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bCs/>
          <w:color w:val="auto"/>
          <w:sz w:val="44"/>
          <w:szCs w:val="44"/>
          <w:highlight w:val="none"/>
        </w:rPr>
      </w:pPr>
    </w:p>
    <w:p>
      <w:pPr>
        <w:jc w:val="center"/>
        <w:rPr>
          <w:rFonts w:ascii="宋体" w:hAnsi="宋体" w:cs="宋体"/>
          <w:b/>
          <w:bCs/>
          <w:color w:val="auto"/>
          <w:sz w:val="44"/>
          <w:szCs w:val="44"/>
          <w:highlight w:val="none"/>
        </w:rPr>
      </w:pPr>
    </w:p>
    <w:p>
      <w:pPr>
        <w:jc w:val="center"/>
        <w:rPr>
          <w:rFonts w:ascii="宋体" w:hAnsi="宋体" w:cs="宋体"/>
          <w:b/>
          <w:bCs/>
          <w:color w:val="auto"/>
          <w:sz w:val="44"/>
          <w:szCs w:val="44"/>
          <w:highlight w:val="none"/>
        </w:rPr>
      </w:pPr>
      <w:r>
        <w:rPr>
          <w:rFonts w:hint="eastAsia" w:ascii="宋体" w:hAnsi="宋体" w:cs="宋体"/>
          <w:b/>
          <w:bCs/>
          <w:color w:val="auto"/>
          <w:sz w:val="44"/>
          <w:szCs w:val="44"/>
          <w:highlight w:val="none"/>
        </w:rPr>
        <w:t>2023年中央耕地建设与利用资金（购置土壤监测设备）项目</w:t>
      </w:r>
    </w:p>
    <w:p>
      <w:pPr>
        <w:pStyle w:val="2"/>
        <w:ind w:left="359"/>
        <w:rPr>
          <w:color w:val="auto"/>
          <w:highlight w:val="none"/>
        </w:rPr>
      </w:pPr>
    </w:p>
    <w:p>
      <w:pPr>
        <w:jc w:val="center"/>
        <w:rPr>
          <w:rFonts w:ascii="宋体" w:hAnsi="宋体" w:cs="宋体"/>
          <w:color w:val="auto"/>
          <w:sz w:val="28"/>
          <w:szCs w:val="28"/>
          <w:highlight w:val="none"/>
        </w:rPr>
      </w:pPr>
      <w:r>
        <w:rPr>
          <w:rFonts w:hint="eastAsia" w:ascii="宋体" w:hAnsi="宋体" w:cs="宋体"/>
          <w:b/>
          <w:bCs/>
          <w:color w:val="auto"/>
          <w:sz w:val="44"/>
          <w:szCs w:val="44"/>
          <w:highlight w:val="none"/>
        </w:rPr>
        <w:t>招标文件</w:t>
      </w:r>
      <w:r>
        <w:rPr>
          <w:rFonts w:hint="eastAsia" w:ascii="宋体" w:hAnsi="宋体" w:cs="宋体"/>
          <w:color w:val="auto"/>
          <w:sz w:val="28"/>
          <w:szCs w:val="28"/>
          <w:highlight w:val="none"/>
        </w:rPr>
        <w:t xml:space="preserve">                                </w:t>
      </w:r>
    </w:p>
    <w:p>
      <w:pPr>
        <w:ind w:firstLine="210"/>
        <w:rPr>
          <w:rFonts w:ascii="宋体" w:hAnsi="宋体" w:cs="宋体"/>
          <w:color w:val="auto"/>
          <w:highlight w:val="none"/>
        </w:rPr>
      </w:pPr>
    </w:p>
    <w:p>
      <w:pPr>
        <w:jc w:val="center"/>
        <w:rPr>
          <w:rFonts w:hint="default" w:ascii="宋体" w:hAnsi="宋体" w:eastAsia="宋体" w:cs="宋体"/>
          <w:color w:val="auto"/>
          <w:sz w:val="28"/>
          <w:szCs w:val="28"/>
          <w:highlight w:val="none"/>
          <w:lang w:val="en-US" w:eastAsia="zh-CN"/>
        </w:rPr>
      </w:pPr>
      <w:r>
        <w:rPr>
          <w:rFonts w:hint="eastAsia" w:ascii="宋体" w:hAnsi="宋体" w:cs="宋体"/>
          <w:color w:val="auto"/>
          <w:sz w:val="28"/>
          <w:szCs w:val="28"/>
          <w:highlight w:val="none"/>
        </w:rPr>
        <w:t>项目编号：XJDN-2023-0</w:t>
      </w:r>
      <w:r>
        <w:rPr>
          <w:rFonts w:hint="eastAsia" w:ascii="宋体" w:hAnsi="宋体" w:cs="宋体"/>
          <w:color w:val="auto"/>
          <w:sz w:val="28"/>
          <w:szCs w:val="28"/>
          <w:highlight w:val="none"/>
          <w:lang w:val="en-US" w:eastAsia="zh-CN"/>
        </w:rPr>
        <w:t>14</w:t>
      </w:r>
    </w:p>
    <w:p>
      <w:pPr>
        <w:pStyle w:val="2"/>
        <w:ind w:left="359"/>
        <w:rPr>
          <w:rFonts w:ascii="宋体" w:hAnsi="宋体" w:cs="宋体"/>
          <w:color w:val="auto"/>
          <w:sz w:val="28"/>
          <w:szCs w:val="28"/>
          <w:highlight w:val="none"/>
        </w:rPr>
      </w:pPr>
    </w:p>
    <w:p>
      <w:pPr>
        <w:rPr>
          <w:color w:val="auto"/>
          <w:highlight w:val="none"/>
        </w:rPr>
      </w:pPr>
    </w:p>
    <w:p>
      <w:pPr>
        <w:rPr>
          <w:rFonts w:ascii="宋体" w:hAnsi="宋体" w:cs="宋体"/>
          <w:color w:val="auto"/>
          <w:highlight w:val="none"/>
        </w:rPr>
      </w:pPr>
    </w:p>
    <w:p>
      <w:pPr>
        <w:pStyle w:val="27"/>
        <w:tabs>
          <w:tab w:val="left" w:pos="567"/>
        </w:tabs>
        <w:rPr>
          <w:rFonts w:hAnsi="宋体" w:cs="宋体"/>
          <w:color w:val="auto"/>
          <w:szCs w:val="28"/>
          <w:highlight w:val="none"/>
        </w:rPr>
      </w:pPr>
      <w:r>
        <w:rPr>
          <w:rFonts w:hint="eastAsia" w:hAnsi="宋体" w:cs="宋体"/>
          <w:color w:val="auto"/>
          <w:szCs w:val="28"/>
          <w:highlight w:val="none"/>
        </w:rPr>
        <w:t>采 购 人：新疆维吾尔自治区生态环境监测总站</w:t>
      </w:r>
    </w:p>
    <w:p>
      <w:pPr>
        <w:rPr>
          <w:rFonts w:ascii="宋体" w:hAnsi="宋体" w:cs="宋体"/>
          <w:color w:val="auto"/>
          <w:sz w:val="28"/>
          <w:szCs w:val="28"/>
          <w:highlight w:val="none"/>
        </w:rPr>
      </w:pPr>
      <w:r>
        <w:rPr>
          <w:rFonts w:hint="eastAsia" w:ascii="宋体" w:hAnsi="宋体" w:cs="宋体"/>
          <w:color w:val="auto"/>
          <w:sz w:val="28"/>
          <w:szCs w:val="28"/>
          <w:highlight w:val="none"/>
        </w:rPr>
        <w:t>联 系 人：杨焕明</w:t>
      </w:r>
    </w:p>
    <w:p>
      <w:pPr>
        <w:rPr>
          <w:rFonts w:ascii="宋体" w:hAnsi="宋体" w:cs="宋体"/>
          <w:color w:val="auto"/>
          <w:sz w:val="28"/>
          <w:szCs w:val="28"/>
          <w:highlight w:val="none"/>
        </w:rPr>
      </w:pPr>
      <w:r>
        <w:rPr>
          <w:rFonts w:hint="eastAsia" w:ascii="宋体" w:hAnsi="宋体" w:cs="宋体"/>
          <w:color w:val="auto"/>
          <w:sz w:val="28"/>
          <w:szCs w:val="28"/>
          <w:highlight w:val="none"/>
        </w:rPr>
        <w:t>联系电话：18999179586</w:t>
      </w:r>
    </w:p>
    <w:p>
      <w:pPr>
        <w:pStyle w:val="27"/>
        <w:tabs>
          <w:tab w:val="left" w:pos="567"/>
        </w:tabs>
        <w:rPr>
          <w:rFonts w:hAnsi="宋体" w:cs="宋体"/>
          <w:color w:val="auto"/>
          <w:szCs w:val="28"/>
          <w:highlight w:val="none"/>
        </w:rPr>
      </w:pPr>
    </w:p>
    <w:p>
      <w:pPr>
        <w:pStyle w:val="27"/>
        <w:tabs>
          <w:tab w:val="left" w:pos="567"/>
        </w:tabs>
        <w:rPr>
          <w:rFonts w:hAnsi="宋体" w:cs="宋体"/>
          <w:color w:val="auto"/>
          <w:szCs w:val="28"/>
          <w:highlight w:val="none"/>
        </w:rPr>
      </w:pPr>
      <w:r>
        <w:rPr>
          <w:rFonts w:hint="eastAsia" w:hAnsi="宋体" w:cs="宋体"/>
          <w:color w:val="auto"/>
          <w:szCs w:val="28"/>
          <w:highlight w:val="none"/>
        </w:rPr>
        <w:t>招标代理机构：新疆东南项目管理有限公司</w:t>
      </w:r>
    </w:p>
    <w:p>
      <w:pPr>
        <w:pStyle w:val="27"/>
        <w:tabs>
          <w:tab w:val="left" w:pos="567"/>
        </w:tabs>
        <w:rPr>
          <w:rFonts w:hAnsi="宋体" w:cs="宋体"/>
          <w:color w:val="auto"/>
          <w:szCs w:val="28"/>
          <w:highlight w:val="none"/>
        </w:rPr>
      </w:pPr>
      <w:r>
        <w:rPr>
          <w:rFonts w:hint="eastAsia" w:hAnsi="宋体" w:cs="宋体"/>
          <w:color w:val="auto"/>
          <w:szCs w:val="28"/>
          <w:highlight w:val="none"/>
        </w:rPr>
        <w:t>联   系   人：朱丽清</w:t>
      </w:r>
    </w:p>
    <w:p>
      <w:pPr>
        <w:pStyle w:val="27"/>
        <w:tabs>
          <w:tab w:val="left" w:pos="567"/>
        </w:tabs>
        <w:rPr>
          <w:rFonts w:hAnsi="宋体" w:cs="宋体"/>
          <w:color w:val="auto"/>
          <w:szCs w:val="28"/>
          <w:highlight w:val="none"/>
        </w:rPr>
      </w:pPr>
      <w:r>
        <w:rPr>
          <w:rFonts w:hint="eastAsia" w:hAnsi="宋体" w:cs="宋体"/>
          <w:color w:val="auto"/>
          <w:szCs w:val="28"/>
          <w:highlight w:val="none"/>
        </w:rPr>
        <w:t>联  系 电 话：18699085701</w:t>
      </w:r>
    </w:p>
    <w:p>
      <w:pPr>
        <w:rPr>
          <w:color w:val="auto"/>
          <w:highlight w:val="none"/>
        </w:rPr>
      </w:pPr>
    </w:p>
    <w:p>
      <w:pPr>
        <w:jc w:val="center"/>
        <w:rPr>
          <w:rFonts w:ascii="仿宋" w:hAnsi="仿宋" w:eastAsia="仿宋" w:cs="仿宋"/>
          <w:b/>
          <w:bCs/>
          <w:color w:val="auto"/>
          <w:sz w:val="40"/>
          <w:szCs w:val="40"/>
          <w:highlight w:val="none"/>
        </w:rPr>
      </w:pPr>
    </w:p>
    <w:p>
      <w:pPr>
        <w:pStyle w:val="741"/>
        <w:rPr>
          <w:color w:val="auto"/>
          <w:highlight w:val="none"/>
        </w:rPr>
      </w:pPr>
    </w:p>
    <w:p>
      <w:pPr>
        <w:jc w:val="center"/>
        <w:rPr>
          <w:rFonts w:ascii="宋体" w:hAnsi="宋体" w:cs="宋体"/>
          <w:color w:val="auto"/>
          <w:sz w:val="28"/>
          <w:szCs w:val="28"/>
          <w:highlight w:val="none"/>
        </w:rPr>
      </w:pPr>
      <w:r>
        <w:rPr>
          <w:rFonts w:hint="eastAsia" w:ascii="宋体" w:hAnsi="宋体" w:cs="宋体"/>
          <w:color w:val="auto"/>
          <w:sz w:val="28"/>
          <w:szCs w:val="28"/>
          <w:highlight w:val="none"/>
        </w:rPr>
        <w:t>2023年08月</w:t>
      </w:r>
    </w:p>
    <w:p>
      <w:pPr>
        <w:snapToGrid w:val="0"/>
        <w:spacing w:line="520" w:lineRule="exact"/>
        <w:jc w:val="center"/>
        <w:rPr>
          <w:rFonts w:ascii="宋体" w:hAnsi="宋体"/>
          <w:b/>
          <w:bCs/>
          <w:color w:val="auto"/>
          <w:kern w:val="0"/>
          <w:sz w:val="28"/>
          <w:szCs w:val="28"/>
          <w:highlight w:val="none"/>
        </w:rPr>
        <w:sectPr>
          <w:headerReference r:id="rId4" w:type="first"/>
          <w:footerReference r:id="rId5" w:type="first"/>
          <w:headerReference r:id="rId3" w:type="default"/>
          <w:pgSz w:w="11906" w:h="16838"/>
          <w:pgMar w:top="1134" w:right="1417" w:bottom="1134" w:left="1417" w:header="703" w:footer="851" w:gutter="0"/>
          <w:cols w:space="720" w:num="1"/>
          <w:docGrid w:type="lines" w:linePitch="314" w:charSpace="0"/>
        </w:sectPr>
      </w:pPr>
    </w:p>
    <w:p>
      <w:pPr>
        <w:shd w:val="clear" w:color="auto" w:fill="FFFFFF"/>
        <w:autoSpaceDE w:val="0"/>
        <w:autoSpaceDN w:val="0"/>
        <w:adjustRightInd w:val="0"/>
        <w:spacing w:line="360" w:lineRule="exact"/>
        <w:ind w:right="-790" w:rightChars="-376"/>
        <w:rPr>
          <w:rFonts w:ascii="宋体" w:hAnsi="宋体"/>
          <w:b/>
          <w:bCs/>
          <w:color w:val="auto"/>
          <w:kern w:val="0"/>
          <w:sz w:val="28"/>
          <w:szCs w:val="28"/>
          <w:highlight w:val="none"/>
        </w:rPr>
      </w:pPr>
    </w:p>
    <w:p>
      <w:pPr>
        <w:shd w:val="clear" w:color="auto" w:fill="FFFFFF"/>
        <w:autoSpaceDE w:val="0"/>
        <w:autoSpaceDN w:val="0"/>
        <w:adjustRightInd w:val="0"/>
        <w:spacing w:line="360" w:lineRule="exact"/>
        <w:jc w:val="center"/>
        <w:rPr>
          <w:rFonts w:ascii="宋体" w:hAnsi="宋体"/>
          <w:b/>
          <w:bCs/>
          <w:color w:val="auto"/>
          <w:kern w:val="0"/>
          <w:sz w:val="32"/>
          <w:szCs w:val="32"/>
          <w:highlight w:val="none"/>
        </w:rPr>
      </w:pPr>
    </w:p>
    <w:p>
      <w:pPr>
        <w:shd w:val="clear" w:color="auto" w:fill="FFFFFF"/>
        <w:autoSpaceDE w:val="0"/>
        <w:autoSpaceDN w:val="0"/>
        <w:adjustRightInd w:val="0"/>
        <w:spacing w:line="360" w:lineRule="exact"/>
        <w:jc w:val="center"/>
        <w:rPr>
          <w:rFonts w:ascii="宋体" w:hAnsi="宋体"/>
          <w:b/>
          <w:bCs/>
          <w:color w:val="auto"/>
          <w:kern w:val="0"/>
          <w:sz w:val="32"/>
          <w:szCs w:val="32"/>
          <w:highlight w:val="none"/>
        </w:rPr>
      </w:pPr>
    </w:p>
    <w:p>
      <w:pPr>
        <w:shd w:val="clear" w:color="auto" w:fill="FFFFFF"/>
        <w:autoSpaceDE w:val="0"/>
        <w:autoSpaceDN w:val="0"/>
        <w:adjustRightInd w:val="0"/>
        <w:spacing w:line="360" w:lineRule="exact"/>
        <w:jc w:val="center"/>
        <w:rPr>
          <w:rFonts w:ascii="宋体" w:hAnsi="宋体"/>
          <w:b/>
          <w:bCs/>
          <w:color w:val="auto"/>
          <w:kern w:val="0"/>
          <w:sz w:val="32"/>
          <w:szCs w:val="32"/>
          <w:highlight w:val="none"/>
        </w:rPr>
      </w:pPr>
      <w:r>
        <w:rPr>
          <w:rFonts w:ascii="宋体" w:hAnsi="宋体"/>
          <w:b/>
          <w:bCs/>
          <w:color w:val="auto"/>
          <w:kern w:val="0"/>
          <w:sz w:val="32"/>
          <w:szCs w:val="32"/>
          <w:highlight w:val="none"/>
        </w:rPr>
        <w:t>目    录</w:t>
      </w:r>
    </w:p>
    <w:p>
      <w:pPr>
        <w:pStyle w:val="71"/>
        <w:rPr>
          <w:color w:val="auto"/>
          <w:highlight w:val="none"/>
        </w:rPr>
      </w:pPr>
    </w:p>
    <w:p>
      <w:pPr>
        <w:pStyle w:val="44"/>
        <w:tabs>
          <w:tab w:val="right" w:leader="dot" w:pos="9040"/>
          <w:tab w:val="clear" w:pos="420"/>
          <w:tab w:val="clear" w:pos="1050"/>
          <w:tab w:val="clear" w:pos="8302"/>
        </w:tabs>
        <w:spacing w:before="0" w:after="0" w:line="600" w:lineRule="exact"/>
        <w:ind w:firstLine="0"/>
        <w:rPr>
          <w:rFonts w:ascii="宋体" w:hAnsi="宋体" w:cs="宋体"/>
          <w:b w:val="0"/>
          <w:bCs w:val="0"/>
          <w:color w:val="auto"/>
          <w:sz w:val="28"/>
          <w:szCs w:val="28"/>
          <w:highlight w:val="none"/>
        </w:rPr>
      </w:pPr>
      <w:r>
        <w:rPr>
          <w:rFonts w:hint="eastAsia" w:ascii="宋体" w:hAnsi="宋体" w:cs="宋体"/>
          <w:b w:val="0"/>
          <w:bCs w:val="0"/>
          <w:color w:val="auto"/>
          <w:sz w:val="28"/>
          <w:szCs w:val="28"/>
          <w:highlight w:val="none"/>
        </w:rPr>
        <w:fldChar w:fldCharType="begin"/>
      </w:r>
      <w:r>
        <w:rPr>
          <w:rFonts w:hint="eastAsia" w:ascii="宋体" w:hAnsi="宋体" w:cs="宋体"/>
          <w:b w:val="0"/>
          <w:bCs w:val="0"/>
          <w:color w:val="auto"/>
          <w:sz w:val="28"/>
          <w:szCs w:val="28"/>
          <w:highlight w:val="none"/>
        </w:rPr>
        <w:instrText xml:space="preserve"> TOC \o "1-3" \h \z \u </w:instrText>
      </w:r>
      <w:r>
        <w:rPr>
          <w:rFonts w:hint="eastAsia" w:ascii="宋体" w:hAnsi="宋体" w:cs="宋体"/>
          <w:b w:val="0"/>
          <w:bCs w:val="0"/>
          <w:color w:val="auto"/>
          <w:sz w:val="28"/>
          <w:szCs w:val="28"/>
          <w:highlight w:val="none"/>
        </w:rPr>
        <w:fldChar w:fldCharType="separate"/>
      </w:r>
      <w:r>
        <w:rPr>
          <w:color w:val="auto"/>
          <w:highlight w:val="none"/>
        </w:rPr>
        <w:fldChar w:fldCharType="begin"/>
      </w:r>
      <w:r>
        <w:rPr>
          <w:color w:val="auto"/>
          <w:highlight w:val="none"/>
        </w:rPr>
        <w:instrText xml:space="preserve"> HYPERLINK \l "_Toc1503" </w:instrText>
      </w:r>
      <w:r>
        <w:rPr>
          <w:color w:val="auto"/>
          <w:highlight w:val="none"/>
        </w:rPr>
        <w:fldChar w:fldCharType="separate"/>
      </w:r>
      <w:r>
        <w:rPr>
          <w:rFonts w:hint="eastAsia" w:ascii="宋体" w:hAnsi="宋体" w:cs="宋体"/>
          <w:b w:val="0"/>
          <w:bCs w:val="0"/>
          <w:color w:val="auto"/>
          <w:sz w:val="28"/>
          <w:szCs w:val="28"/>
          <w:highlight w:val="none"/>
        </w:rPr>
        <w:t>第一章  招标公告</w:t>
      </w:r>
      <w:r>
        <w:rPr>
          <w:rFonts w:hint="eastAsia" w:ascii="宋体" w:hAnsi="宋体" w:cs="宋体"/>
          <w:b w:val="0"/>
          <w:bCs w:val="0"/>
          <w:color w:val="auto"/>
          <w:sz w:val="28"/>
          <w:szCs w:val="28"/>
          <w:highlight w:val="none"/>
        </w:rPr>
        <w:tab/>
      </w:r>
      <w:r>
        <w:rPr>
          <w:rFonts w:hint="eastAsia" w:ascii="宋体" w:hAnsi="宋体" w:cs="宋体"/>
          <w:b w:val="0"/>
          <w:bCs w:val="0"/>
          <w:color w:val="auto"/>
          <w:sz w:val="28"/>
          <w:szCs w:val="28"/>
          <w:highlight w:val="none"/>
        </w:rPr>
        <w:fldChar w:fldCharType="begin"/>
      </w:r>
      <w:r>
        <w:rPr>
          <w:rFonts w:hint="eastAsia" w:ascii="宋体" w:hAnsi="宋体" w:cs="宋体"/>
          <w:b w:val="0"/>
          <w:bCs w:val="0"/>
          <w:color w:val="auto"/>
          <w:sz w:val="28"/>
          <w:szCs w:val="28"/>
          <w:highlight w:val="none"/>
        </w:rPr>
        <w:instrText xml:space="preserve"> PAGEREF _Toc1503 \h </w:instrText>
      </w:r>
      <w:r>
        <w:rPr>
          <w:rFonts w:hint="eastAsia" w:ascii="宋体" w:hAnsi="宋体" w:cs="宋体"/>
          <w:b w:val="0"/>
          <w:bCs w:val="0"/>
          <w:color w:val="auto"/>
          <w:sz w:val="28"/>
          <w:szCs w:val="28"/>
          <w:highlight w:val="none"/>
        </w:rPr>
        <w:fldChar w:fldCharType="separate"/>
      </w:r>
      <w:r>
        <w:rPr>
          <w:rFonts w:hint="eastAsia" w:ascii="宋体" w:hAnsi="宋体" w:cs="宋体"/>
          <w:b w:val="0"/>
          <w:bCs w:val="0"/>
          <w:color w:val="auto"/>
          <w:sz w:val="28"/>
          <w:szCs w:val="28"/>
          <w:highlight w:val="none"/>
        </w:rPr>
        <w:t>1</w:t>
      </w:r>
      <w:r>
        <w:rPr>
          <w:rFonts w:hint="eastAsia" w:ascii="宋体" w:hAnsi="宋体" w:cs="宋体"/>
          <w:b w:val="0"/>
          <w:bCs w:val="0"/>
          <w:color w:val="auto"/>
          <w:sz w:val="28"/>
          <w:szCs w:val="28"/>
          <w:highlight w:val="none"/>
        </w:rPr>
        <w:fldChar w:fldCharType="end"/>
      </w:r>
      <w:r>
        <w:rPr>
          <w:rFonts w:hint="eastAsia" w:ascii="宋体" w:hAnsi="宋体" w:cs="宋体"/>
          <w:b w:val="0"/>
          <w:bCs w:val="0"/>
          <w:color w:val="auto"/>
          <w:sz w:val="28"/>
          <w:szCs w:val="28"/>
          <w:highlight w:val="none"/>
        </w:rPr>
        <w:fldChar w:fldCharType="end"/>
      </w:r>
    </w:p>
    <w:p>
      <w:pPr>
        <w:pStyle w:val="44"/>
        <w:tabs>
          <w:tab w:val="right" w:leader="dot" w:pos="9040"/>
          <w:tab w:val="clear" w:pos="420"/>
          <w:tab w:val="clear" w:pos="1050"/>
          <w:tab w:val="clear" w:pos="8302"/>
        </w:tabs>
        <w:spacing w:before="0" w:after="0" w:line="600" w:lineRule="exact"/>
        <w:ind w:firstLine="0"/>
        <w:rPr>
          <w:rFonts w:ascii="宋体" w:hAnsi="宋体" w:cs="宋体"/>
          <w:b w:val="0"/>
          <w:bCs w:val="0"/>
          <w:color w:val="auto"/>
          <w:sz w:val="28"/>
          <w:szCs w:val="28"/>
          <w:highlight w:val="none"/>
        </w:rPr>
      </w:pPr>
      <w:r>
        <w:rPr>
          <w:color w:val="auto"/>
          <w:highlight w:val="none"/>
        </w:rPr>
        <w:fldChar w:fldCharType="begin"/>
      </w:r>
      <w:r>
        <w:rPr>
          <w:color w:val="auto"/>
          <w:highlight w:val="none"/>
        </w:rPr>
        <w:instrText xml:space="preserve"> HYPERLINK \l "_Toc15470" </w:instrText>
      </w:r>
      <w:r>
        <w:rPr>
          <w:color w:val="auto"/>
          <w:highlight w:val="none"/>
        </w:rPr>
        <w:fldChar w:fldCharType="separate"/>
      </w:r>
      <w:r>
        <w:rPr>
          <w:rFonts w:hint="eastAsia" w:ascii="宋体" w:hAnsi="宋体" w:cs="宋体"/>
          <w:b w:val="0"/>
          <w:bCs w:val="0"/>
          <w:color w:val="auto"/>
          <w:sz w:val="28"/>
          <w:szCs w:val="28"/>
          <w:highlight w:val="none"/>
        </w:rPr>
        <w:t>第二章  投标须知前附表及投标须知</w:t>
      </w:r>
      <w:r>
        <w:rPr>
          <w:rFonts w:hint="eastAsia" w:ascii="宋体" w:hAnsi="宋体" w:cs="宋体"/>
          <w:b w:val="0"/>
          <w:bCs w:val="0"/>
          <w:color w:val="auto"/>
          <w:sz w:val="28"/>
          <w:szCs w:val="28"/>
          <w:highlight w:val="none"/>
        </w:rPr>
        <w:tab/>
      </w:r>
      <w:r>
        <w:rPr>
          <w:rFonts w:hint="eastAsia" w:ascii="宋体" w:hAnsi="宋体" w:cs="宋体"/>
          <w:b w:val="0"/>
          <w:bCs w:val="0"/>
          <w:color w:val="auto"/>
          <w:sz w:val="28"/>
          <w:szCs w:val="28"/>
          <w:highlight w:val="none"/>
        </w:rPr>
        <w:fldChar w:fldCharType="begin"/>
      </w:r>
      <w:r>
        <w:rPr>
          <w:rFonts w:hint="eastAsia" w:ascii="宋体" w:hAnsi="宋体" w:cs="宋体"/>
          <w:b w:val="0"/>
          <w:bCs w:val="0"/>
          <w:color w:val="auto"/>
          <w:sz w:val="28"/>
          <w:szCs w:val="28"/>
          <w:highlight w:val="none"/>
        </w:rPr>
        <w:instrText xml:space="preserve"> PAGEREF _Toc15470 \h </w:instrText>
      </w:r>
      <w:r>
        <w:rPr>
          <w:rFonts w:hint="eastAsia" w:ascii="宋体" w:hAnsi="宋体" w:cs="宋体"/>
          <w:b w:val="0"/>
          <w:bCs w:val="0"/>
          <w:color w:val="auto"/>
          <w:sz w:val="28"/>
          <w:szCs w:val="28"/>
          <w:highlight w:val="none"/>
        </w:rPr>
        <w:fldChar w:fldCharType="separate"/>
      </w:r>
      <w:r>
        <w:rPr>
          <w:rFonts w:hint="eastAsia" w:ascii="宋体" w:hAnsi="宋体" w:cs="宋体"/>
          <w:b w:val="0"/>
          <w:bCs w:val="0"/>
          <w:color w:val="auto"/>
          <w:sz w:val="28"/>
          <w:szCs w:val="28"/>
          <w:highlight w:val="none"/>
        </w:rPr>
        <w:t>5</w:t>
      </w:r>
      <w:r>
        <w:rPr>
          <w:rFonts w:hint="eastAsia" w:ascii="宋体" w:hAnsi="宋体" w:cs="宋体"/>
          <w:b w:val="0"/>
          <w:bCs w:val="0"/>
          <w:color w:val="auto"/>
          <w:sz w:val="28"/>
          <w:szCs w:val="28"/>
          <w:highlight w:val="none"/>
        </w:rPr>
        <w:fldChar w:fldCharType="end"/>
      </w:r>
      <w:r>
        <w:rPr>
          <w:rFonts w:hint="eastAsia" w:ascii="宋体" w:hAnsi="宋体" w:cs="宋体"/>
          <w:b w:val="0"/>
          <w:bCs w:val="0"/>
          <w:color w:val="auto"/>
          <w:sz w:val="28"/>
          <w:szCs w:val="28"/>
          <w:highlight w:val="none"/>
        </w:rPr>
        <w:fldChar w:fldCharType="end"/>
      </w:r>
    </w:p>
    <w:p>
      <w:pPr>
        <w:pStyle w:val="51"/>
        <w:tabs>
          <w:tab w:val="right" w:leader="dot" w:pos="9040"/>
        </w:tabs>
        <w:spacing w:line="600" w:lineRule="exact"/>
        <w:ind w:left="636" w:leftChars="303"/>
        <w:rPr>
          <w:rFonts w:ascii="宋体" w:hAnsi="宋体" w:cs="宋体"/>
          <w:color w:val="auto"/>
          <w:sz w:val="28"/>
          <w:szCs w:val="28"/>
          <w:highlight w:val="none"/>
        </w:rPr>
      </w:pPr>
      <w:r>
        <w:rPr>
          <w:color w:val="auto"/>
          <w:highlight w:val="none"/>
        </w:rPr>
        <w:fldChar w:fldCharType="begin"/>
      </w:r>
      <w:r>
        <w:rPr>
          <w:color w:val="auto"/>
          <w:highlight w:val="none"/>
        </w:rPr>
        <w:instrText xml:space="preserve"> HYPERLINK \l "_Toc9402" </w:instrText>
      </w:r>
      <w:r>
        <w:rPr>
          <w:color w:val="auto"/>
          <w:highlight w:val="none"/>
        </w:rPr>
        <w:fldChar w:fldCharType="separate"/>
      </w:r>
      <w:r>
        <w:rPr>
          <w:rFonts w:hint="eastAsia" w:ascii="宋体" w:hAnsi="宋体" w:cs="宋体"/>
          <w:color w:val="auto"/>
          <w:kern w:val="0"/>
          <w:sz w:val="28"/>
          <w:szCs w:val="28"/>
          <w:highlight w:val="none"/>
        </w:rPr>
        <w:t>一、投标须知前附表</w:t>
      </w:r>
      <w:r>
        <w:rPr>
          <w:rFonts w:hint="eastAsia" w:ascii="宋体" w:hAnsi="宋体" w:cs="宋体"/>
          <w:color w:val="auto"/>
          <w:sz w:val="28"/>
          <w:szCs w:val="28"/>
          <w:highlight w:val="none"/>
        </w:rPr>
        <w:tab/>
      </w:r>
      <w:r>
        <w:rPr>
          <w:rFonts w:hint="eastAsia" w:ascii="宋体" w:hAnsi="宋体" w:cs="宋体"/>
          <w:color w:val="auto"/>
          <w:sz w:val="28"/>
          <w:szCs w:val="28"/>
          <w:highlight w:val="none"/>
        </w:rPr>
        <w:fldChar w:fldCharType="begin"/>
      </w:r>
      <w:r>
        <w:rPr>
          <w:rFonts w:hint="eastAsia" w:ascii="宋体" w:hAnsi="宋体" w:cs="宋体"/>
          <w:color w:val="auto"/>
          <w:sz w:val="28"/>
          <w:szCs w:val="28"/>
          <w:highlight w:val="none"/>
        </w:rPr>
        <w:instrText xml:space="preserve"> PAGEREF _Toc9402 \h </w:instrText>
      </w:r>
      <w:r>
        <w:rPr>
          <w:rFonts w:hint="eastAsia" w:ascii="宋体" w:hAnsi="宋体" w:cs="宋体"/>
          <w:color w:val="auto"/>
          <w:sz w:val="28"/>
          <w:szCs w:val="28"/>
          <w:highlight w:val="none"/>
        </w:rPr>
        <w:fldChar w:fldCharType="separate"/>
      </w:r>
      <w:r>
        <w:rPr>
          <w:rFonts w:hint="eastAsia" w:ascii="宋体" w:hAnsi="宋体" w:cs="宋体"/>
          <w:color w:val="auto"/>
          <w:sz w:val="28"/>
          <w:szCs w:val="28"/>
          <w:highlight w:val="none"/>
        </w:rPr>
        <w:t>5</w:t>
      </w:r>
      <w:r>
        <w:rPr>
          <w:rFonts w:hint="eastAsia" w:ascii="宋体" w:hAnsi="宋体" w:cs="宋体"/>
          <w:color w:val="auto"/>
          <w:sz w:val="28"/>
          <w:szCs w:val="28"/>
          <w:highlight w:val="none"/>
        </w:rPr>
        <w:fldChar w:fldCharType="end"/>
      </w:r>
      <w:r>
        <w:rPr>
          <w:rFonts w:hint="eastAsia" w:ascii="宋体" w:hAnsi="宋体" w:cs="宋体"/>
          <w:color w:val="auto"/>
          <w:sz w:val="28"/>
          <w:szCs w:val="28"/>
          <w:highlight w:val="none"/>
        </w:rPr>
        <w:fldChar w:fldCharType="end"/>
      </w:r>
    </w:p>
    <w:p>
      <w:pPr>
        <w:pStyle w:val="51"/>
        <w:tabs>
          <w:tab w:val="right" w:leader="dot" w:pos="9040"/>
        </w:tabs>
        <w:spacing w:line="600" w:lineRule="exact"/>
        <w:ind w:left="636" w:leftChars="303"/>
        <w:rPr>
          <w:rFonts w:ascii="宋体" w:hAnsi="宋体" w:cs="宋体"/>
          <w:color w:val="auto"/>
          <w:sz w:val="28"/>
          <w:szCs w:val="28"/>
          <w:highlight w:val="none"/>
        </w:rPr>
      </w:pPr>
      <w:r>
        <w:rPr>
          <w:color w:val="auto"/>
          <w:highlight w:val="none"/>
        </w:rPr>
        <w:fldChar w:fldCharType="begin"/>
      </w:r>
      <w:r>
        <w:rPr>
          <w:color w:val="auto"/>
          <w:highlight w:val="none"/>
        </w:rPr>
        <w:instrText xml:space="preserve"> HYPERLINK \l "_Toc7579" </w:instrText>
      </w:r>
      <w:r>
        <w:rPr>
          <w:color w:val="auto"/>
          <w:highlight w:val="none"/>
        </w:rPr>
        <w:fldChar w:fldCharType="separate"/>
      </w:r>
      <w:r>
        <w:rPr>
          <w:rFonts w:hint="eastAsia" w:ascii="宋体" w:hAnsi="宋体" w:cs="宋体"/>
          <w:color w:val="auto"/>
          <w:kern w:val="0"/>
          <w:sz w:val="28"/>
          <w:szCs w:val="28"/>
          <w:highlight w:val="none"/>
        </w:rPr>
        <w:t>二、投标须知</w:t>
      </w:r>
      <w:r>
        <w:rPr>
          <w:rFonts w:hint="eastAsia" w:ascii="宋体" w:hAnsi="宋体" w:cs="宋体"/>
          <w:color w:val="auto"/>
          <w:sz w:val="28"/>
          <w:szCs w:val="28"/>
          <w:highlight w:val="none"/>
        </w:rPr>
        <w:tab/>
      </w:r>
      <w:r>
        <w:rPr>
          <w:rFonts w:hint="eastAsia" w:ascii="宋体" w:hAnsi="宋体" w:cs="宋体"/>
          <w:color w:val="auto"/>
          <w:sz w:val="28"/>
          <w:szCs w:val="28"/>
          <w:highlight w:val="none"/>
        </w:rPr>
        <w:fldChar w:fldCharType="begin"/>
      </w:r>
      <w:r>
        <w:rPr>
          <w:rFonts w:hint="eastAsia" w:ascii="宋体" w:hAnsi="宋体" w:cs="宋体"/>
          <w:color w:val="auto"/>
          <w:sz w:val="28"/>
          <w:szCs w:val="28"/>
          <w:highlight w:val="none"/>
        </w:rPr>
        <w:instrText xml:space="preserve"> PAGEREF _Toc7579 \h </w:instrText>
      </w:r>
      <w:r>
        <w:rPr>
          <w:rFonts w:hint="eastAsia" w:ascii="宋体" w:hAnsi="宋体" w:cs="宋体"/>
          <w:color w:val="auto"/>
          <w:sz w:val="28"/>
          <w:szCs w:val="28"/>
          <w:highlight w:val="none"/>
        </w:rPr>
        <w:fldChar w:fldCharType="separate"/>
      </w:r>
      <w:r>
        <w:rPr>
          <w:rFonts w:hint="eastAsia" w:ascii="宋体" w:hAnsi="宋体" w:cs="宋体"/>
          <w:color w:val="auto"/>
          <w:sz w:val="28"/>
          <w:szCs w:val="28"/>
          <w:highlight w:val="none"/>
        </w:rPr>
        <w:t>9</w:t>
      </w:r>
      <w:r>
        <w:rPr>
          <w:rFonts w:hint="eastAsia" w:ascii="宋体" w:hAnsi="宋体" w:cs="宋体"/>
          <w:color w:val="auto"/>
          <w:sz w:val="28"/>
          <w:szCs w:val="28"/>
          <w:highlight w:val="none"/>
        </w:rPr>
        <w:fldChar w:fldCharType="end"/>
      </w:r>
      <w:r>
        <w:rPr>
          <w:rFonts w:hint="eastAsia" w:ascii="宋体" w:hAnsi="宋体" w:cs="宋体"/>
          <w:color w:val="auto"/>
          <w:sz w:val="28"/>
          <w:szCs w:val="28"/>
          <w:highlight w:val="none"/>
        </w:rPr>
        <w:fldChar w:fldCharType="end"/>
      </w:r>
    </w:p>
    <w:p>
      <w:pPr>
        <w:pStyle w:val="44"/>
        <w:tabs>
          <w:tab w:val="right" w:leader="dot" w:pos="9040"/>
          <w:tab w:val="clear" w:pos="420"/>
          <w:tab w:val="clear" w:pos="1050"/>
          <w:tab w:val="clear" w:pos="8302"/>
        </w:tabs>
        <w:spacing w:before="0" w:after="0" w:line="600" w:lineRule="exact"/>
        <w:ind w:firstLine="0"/>
        <w:rPr>
          <w:rFonts w:ascii="宋体" w:hAnsi="宋体" w:cs="宋体"/>
          <w:b w:val="0"/>
          <w:bCs w:val="0"/>
          <w:color w:val="auto"/>
          <w:sz w:val="28"/>
          <w:szCs w:val="28"/>
          <w:highlight w:val="none"/>
        </w:rPr>
      </w:pPr>
      <w:r>
        <w:rPr>
          <w:color w:val="auto"/>
          <w:highlight w:val="none"/>
        </w:rPr>
        <w:fldChar w:fldCharType="begin"/>
      </w:r>
      <w:r>
        <w:rPr>
          <w:color w:val="auto"/>
          <w:highlight w:val="none"/>
        </w:rPr>
        <w:instrText xml:space="preserve"> HYPERLINK \l "_Toc23710" </w:instrText>
      </w:r>
      <w:r>
        <w:rPr>
          <w:color w:val="auto"/>
          <w:highlight w:val="none"/>
        </w:rPr>
        <w:fldChar w:fldCharType="separate"/>
      </w:r>
      <w:r>
        <w:rPr>
          <w:rFonts w:hint="eastAsia" w:ascii="宋体" w:hAnsi="宋体" w:cs="宋体"/>
          <w:b w:val="0"/>
          <w:bCs w:val="0"/>
          <w:color w:val="auto"/>
          <w:sz w:val="28"/>
          <w:szCs w:val="28"/>
          <w:highlight w:val="none"/>
        </w:rPr>
        <w:t>第三章  合同条款</w:t>
      </w:r>
      <w:r>
        <w:rPr>
          <w:rFonts w:hint="eastAsia" w:ascii="宋体" w:hAnsi="宋体" w:cs="宋体"/>
          <w:b w:val="0"/>
          <w:bCs w:val="0"/>
          <w:color w:val="auto"/>
          <w:sz w:val="28"/>
          <w:szCs w:val="28"/>
          <w:highlight w:val="none"/>
        </w:rPr>
        <w:tab/>
      </w:r>
      <w:r>
        <w:rPr>
          <w:rFonts w:hint="eastAsia" w:ascii="宋体" w:hAnsi="宋体" w:cs="宋体"/>
          <w:b w:val="0"/>
          <w:bCs w:val="0"/>
          <w:color w:val="auto"/>
          <w:sz w:val="28"/>
          <w:szCs w:val="28"/>
          <w:highlight w:val="none"/>
        </w:rPr>
        <w:fldChar w:fldCharType="begin"/>
      </w:r>
      <w:r>
        <w:rPr>
          <w:rFonts w:hint="eastAsia" w:ascii="宋体" w:hAnsi="宋体" w:cs="宋体"/>
          <w:b w:val="0"/>
          <w:bCs w:val="0"/>
          <w:color w:val="auto"/>
          <w:sz w:val="28"/>
          <w:szCs w:val="28"/>
          <w:highlight w:val="none"/>
        </w:rPr>
        <w:instrText xml:space="preserve"> PAGEREF _Toc23710 \h </w:instrText>
      </w:r>
      <w:r>
        <w:rPr>
          <w:rFonts w:hint="eastAsia" w:ascii="宋体" w:hAnsi="宋体" w:cs="宋体"/>
          <w:b w:val="0"/>
          <w:bCs w:val="0"/>
          <w:color w:val="auto"/>
          <w:sz w:val="28"/>
          <w:szCs w:val="28"/>
          <w:highlight w:val="none"/>
        </w:rPr>
        <w:fldChar w:fldCharType="separate"/>
      </w:r>
      <w:r>
        <w:rPr>
          <w:rFonts w:hint="eastAsia" w:ascii="宋体" w:hAnsi="宋体" w:cs="宋体"/>
          <w:b w:val="0"/>
          <w:bCs w:val="0"/>
          <w:color w:val="auto"/>
          <w:sz w:val="28"/>
          <w:szCs w:val="28"/>
          <w:highlight w:val="none"/>
        </w:rPr>
        <w:t>23</w:t>
      </w:r>
      <w:r>
        <w:rPr>
          <w:rFonts w:hint="eastAsia" w:ascii="宋体" w:hAnsi="宋体" w:cs="宋体"/>
          <w:b w:val="0"/>
          <w:bCs w:val="0"/>
          <w:color w:val="auto"/>
          <w:sz w:val="28"/>
          <w:szCs w:val="28"/>
          <w:highlight w:val="none"/>
        </w:rPr>
        <w:fldChar w:fldCharType="end"/>
      </w:r>
      <w:r>
        <w:rPr>
          <w:rFonts w:hint="eastAsia" w:ascii="宋体" w:hAnsi="宋体" w:cs="宋体"/>
          <w:b w:val="0"/>
          <w:bCs w:val="0"/>
          <w:color w:val="auto"/>
          <w:sz w:val="28"/>
          <w:szCs w:val="28"/>
          <w:highlight w:val="none"/>
        </w:rPr>
        <w:fldChar w:fldCharType="end"/>
      </w:r>
    </w:p>
    <w:p>
      <w:pPr>
        <w:pStyle w:val="44"/>
        <w:tabs>
          <w:tab w:val="right" w:leader="dot" w:pos="9040"/>
          <w:tab w:val="clear" w:pos="420"/>
          <w:tab w:val="clear" w:pos="1050"/>
          <w:tab w:val="clear" w:pos="8302"/>
        </w:tabs>
        <w:spacing w:before="0" w:after="0" w:line="600" w:lineRule="exact"/>
        <w:ind w:firstLine="0"/>
        <w:rPr>
          <w:rFonts w:ascii="宋体" w:hAnsi="宋体" w:cs="宋体"/>
          <w:b w:val="0"/>
          <w:bCs w:val="0"/>
          <w:color w:val="auto"/>
          <w:sz w:val="28"/>
          <w:szCs w:val="28"/>
          <w:highlight w:val="none"/>
        </w:rPr>
      </w:pPr>
      <w:r>
        <w:rPr>
          <w:color w:val="auto"/>
          <w:highlight w:val="none"/>
        </w:rPr>
        <w:fldChar w:fldCharType="begin"/>
      </w:r>
      <w:r>
        <w:rPr>
          <w:color w:val="auto"/>
          <w:highlight w:val="none"/>
        </w:rPr>
        <w:instrText xml:space="preserve"> HYPERLINK \l "_Toc9679" </w:instrText>
      </w:r>
      <w:r>
        <w:rPr>
          <w:color w:val="auto"/>
          <w:highlight w:val="none"/>
        </w:rPr>
        <w:fldChar w:fldCharType="separate"/>
      </w:r>
      <w:r>
        <w:rPr>
          <w:rFonts w:hint="eastAsia" w:ascii="宋体" w:hAnsi="宋体" w:cs="宋体"/>
          <w:b w:val="0"/>
          <w:bCs w:val="0"/>
          <w:color w:val="auto"/>
          <w:sz w:val="28"/>
          <w:szCs w:val="28"/>
          <w:highlight w:val="none"/>
        </w:rPr>
        <w:t>第四章  采购需求</w:t>
      </w:r>
      <w:r>
        <w:rPr>
          <w:rFonts w:hint="eastAsia" w:ascii="宋体" w:hAnsi="宋体" w:cs="宋体"/>
          <w:b w:val="0"/>
          <w:bCs w:val="0"/>
          <w:color w:val="auto"/>
          <w:sz w:val="28"/>
          <w:szCs w:val="28"/>
          <w:highlight w:val="none"/>
        </w:rPr>
        <w:tab/>
      </w:r>
      <w:r>
        <w:rPr>
          <w:rFonts w:hint="eastAsia" w:ascii="宋体" w:hAnsi="宋体" w:cs="宋体"/>
          <w:b w:val="0"/>
          <w:bCs w:val="0"/>
          <w:color w:val="auto"/>
          <w:sz w:val="28"/>
          <w:szCs w:val="28"/>
          <w:highlight w:val="none"/>
        </w:rPr>
        <w:fldChar w:fldCharType="begin"/>
      </w:r>
      <w:r>
        <w:rPr>
          <w:rFonts w:hint="eastAsia" w:ascii="宋体" w:hAnsi="宋体" w:cs="宋体"/>
          <w:b w:val="0"/>
          <w:bCs w:val="0"/>
          <w:color w:val="auto"/>
          <w:sz w:val="28"/>
          <w:szCs w:val="28"/>
          <w:highlight w:val="none"/>
        </w:rPr>
        <w:instrText xml:space="preserve"> PAGEREF _Toc9679 \h </w:instrText>
      </w:r>
      <w:r>
        <w:rPr>
          <w:rFonts w:hint="eastAsia" w:ascii="宋体" w:hAnsi="宋体" w:cs="宋体"/>
          <w:b w:val="0"/>
          <w:bCs w:val="0"/>
          <w:color w:val="auto"/>
          <w:sz w:val="28"/>
          <w:szCs w:val="28"/>
          <w:highlight w:val="none"/>
        </w:rPr>
        <w:fldChar w:fldCharType="separate"/>
      </w:r>
      <w:r>
        <w:rPr>
          <w:rFonts w:hint="eastAsia" w:ascii="宋体" w:hAnsi="宋体" w:cs="宋体"/>
          <w:b w:val="0"/>
          <w:bCs w:val="0"/>
          <w:color w:val="auto"/>
          <w:sz w:val="28"/>
          <w:szCs w:val="28"/>
          <w:highlight w:val="none"/>
        </w:rPr>
        <w:t>66</w:t>
      </w:r>
      <w:r>
        <w:rPr>
          <w:rFonts w:hint="eastAsia" w:ascii="宋体" w:hAnsi="宋体" w:cs="宋体"/>
          <w:b w:val="0"/>
          <w:bCs w:val="0"/>
          <w:color w:val="auto"/>
          <w:sz w:val="28"/>
          <w:szCs w:val="28"/>
          <w:highlight w:val="none"/>
        </w:rPr>
        <w:fldChar w:fldCharType="end"/>
      </w:r>
      <w:r>
        <w:rPr>
          <w:rFonts w:hint="eastAsia" w:ascii="宋体" w:hAnsi="宋体" w:cs="宋体"/>
          <w:b w:val="0"/>
          <w:bCs w:val="0"/>
          <w:color w:val="auto"/>
          <w:sz w:val="28"/>
          <w:szCs w:val="28"/>
          <w:highlight w:val="none"/>
        </w:rPr>
        <w:fldChar w:fldCharType="end"/>
      </w:r>
    </w:p>
    <w:p>
      <w:pPr>
        <w:pStyle w:val="44"/>
        <w:tabs>
          <w:tab w:val="right" w:leader="dot" w:pos="9040"/>
          <w:tab w:val="clear" w:pos="420"/>
          <w:tab w:val="clear" w:pos="1050"/>
          <w:tab w:val="clear" w:pos="8302"/>
        </w:tabs>
        <w:spacing w:before="0" w:after="0" w:line="600" w:lineRule="exact"/>
        <w:ind w:firstLine="0"/>
        <w:rPr>
          <w:rFonts w:ascii="宋体" w:hAnsi="宋体" w:cs="宋体"/>
          <w:b w:val="0"/>
          <w:bCs w:val="0"/>
          <w:color w:val="auto"/>
          <w:sz w:val="28"/>
          <w:szCs w:val="28"/>
          <w:highlight w:val="none"/>
        </w:rPr>
      </w:pPr>
      <w:r>
        <w:rPr>
          <w:color w:val="auto"/>
          <w:highlight w:val="none"/>
        </w:rPr>
        <w:fldChar w:fldCharType="begin"/>
      </w:r>
      <w:r>
        <w:rPr>
          <w:color w:val="auto"/>
          <w:highlight w:val="none"/>
        </w:rPr>
        <w:instrText xml:space="preserve"> HYPERLINK \l "_Toc28155" </w:instrText>
      </w:r>
      <w:r>
        <w:rPr>
          <w:color w:val="auto"/>
          <w:highlight w:val="none"/>
        </w:rPr>
        <w:fldChar w:fldCharType="separate"/>
      </w:r>
      <w:r>
        <w:rPr>
          <w:rFonts w:hint="eastAsia" w:ascii="宋体" w:hAnsi="宋体" w:cs="宋体"/>
          <w:b w:val="0"/>
          <w:bCs w:val="0"/>
          <w:color w:val="auto"/>
          <w:sz w:val="28"/>
          <w:szCs w:val="28"/>
          <w:highlight w:val="none"/>
        </w:rPr>
        <w:t>第五章  投标文件格式</w:t>
      </w:r>
      <w:r>
        <w:rPr>
          <w:rFonts w:hint="eastAsia" w:ascii="宋体" w:hAnsi="宋体" w:cs="宋体"/>
          <w:b w:val="0"/>
          <w:bCs w:val="0"/>
          <w:color w:val="auto"/>
          <w:sz w:val="28"/>
          <w:szCs w:val="28"/>
          <w:highlight w:val="none"/>
        </w:rPr>
        <w:tab/>
      </w:r>
      <w:r>
        <w:rPr>
          <w:rFonts w:hint="eastAsia" w:ascii="宋体" w:hAnsi="宋体" w:cs="宋体"/>
          <w:b w:val="0"/>
          <w:bCs w:val="0"/>
          <w:color w:val="auto"/>
          <w:sz w:val="28"/>
          <w:szCs w:val="28"/>
          <w:highlight w:val="none"/>
        </w:rPr>
        <w:fldChar w:fldCharType="begin"/>
      </w:r>
      <w:r>
        <w:rPr>
          <w:rFonts w:hint="eastAsia" w:ascii="宋体" w:hAnsi="宋体" w:cs="宋体"/>
          <w:b w:val="0"/>
          <w:bCs w:val="0"/>
          <w:color w:val="auto"/>
          <w:sz w:val="28"/>
          <w:szCs w:val="28"/>
          <w:highlight w:val="none"/>
        </w:rPr>
        <w:instrText xml:space="preserve"> PAGEREF _Toc28155 \h </w:instrText>
      </w:r>
      <w:r>
        <w:rPr>
          <w:rFonts w:hint="eastAsia" w:ascii="宋体" w:hAnsi="宋体" w:cs="宋体"/>
          <w:b w:val="0"/>
          <w:bCs w:val="0"/>
          <w:color w:val="auto"/>
          <w:sz w:val="28"/>
          <w:szCs w:val="28"/>
          <w:highlight w:val="none"/>
        </w:rPr>
        <w:fldChar w:fldCharType="separate"/>
      </w:r>
      <w:r>
        <w:rPr>
          <w:rFonts w:hint="eastAsia" w:ascii="宋体" w:hAnsi="宋体" w:cs="宋体"/>
          <w:b w:val="0"/>
          <w:bCs w:val="0"/>
          <w:color w:val="auto"/>
          <w:sz w:val="28"/>
          <w:szCs w:val="28"/>
          <w:highlight w:val="none"/>
        </w:rPr>
        <w:t>66</w:t>
      </w:r>
      <w:r>
        <w:rPr>
          <w:rFonts w:hint="eastAsia" w:ascii="宋体" w:hAnsi="宋体" w:cs="宋体"/>
          <w:b w:val="0"/>
          <w:bCs w:val="0"/>
          <w:color w:val="auto"/>
          <w:sz w:val="28"/>
          <w:szCs w:val="28"/>
          <w:highlight w:val="none"/>
        </w:rPr>
        <w:fldChar w:fldCharType="end"/>
      </w:r>
      <w:r>
        <w:rPr>
          <w:rFonts w:hint="eastAsia" w:ascii="宋体" w:hAnsi="宋体" w:cs="宋体"/>
          <w:b w:val="0"/>
          <w:bCs w:val="0"/>
          <w:color w:val="auto"/>
          <w:sz w:val="28"/>
          <w:szCs w:val="28"/>
          <w:highlight w:val="none"/>
        </w:rPr>
        <w:fldChar w:fldCharType="end"/>
      </w:r>
    </w:p>
    <w:p>
      <w:pPr>
        <w:pStyle w:val="51"/>
        <w:tabs>
          <w:tab w:val="right" w:leader="dot" w:pos="9040"/>
        </w:tabs>
        <w:spacing w:line="600" w:lineRule="exact"/>
        <w:ind w:left="636" w:leftChars="303"/>
        <w:rPr>
          <w:rFonts w:ascii="宋体" w:hAnsi="宋体" w:cs="宋体"/>
          <w:color w:val="auto"/>
          <w:sz w:val="28"/>
          <w:szCs w:val="28"/>
          <w:highlight w:val="none"/>
        </w:rPr>
      </w:pPr>
      <w:r>
        <w:rPr>
          <w:color w:val="auto"/>
          <w:highlight w:val="none"/>
        </w:rPr>
        <w:fldChar w:fldCharType="begin"/>
      </w:r>
      <w:r>
        <w:rPr>
          <w:color w:val="auto"/>
          <w:highlight w:val="none"/>
        </w:rPr>
        <w:instrText xml:space="preserve"> HYPERLINK \l "_Toc18153" </w:instrText>
      </w:r>
      <w:r>
        <w:rPr>
          <w:color w:val="auto"/>
          <w:highlight w:val="none"/>
        </w:rPr>
        <w:fldChar w:fldCharType="separate"/>
      </w:r>
      <w:r>
        <w:rPr>
          <w:rFonts w:hint="eastAsia" w:ascii="宋体" w:hAnsi="宋体" w:cs="宋体"/>
          <w:color w:val="auto"/>
          <w:sz w:val="28"/>
          <w:szCs w:val="28"/>
          <w:highlight w:val="none"/>
        </w:rPr>
        <w:t>一、投标函</w:t>
      </w:r>
      <w:r>
        <w:rPr>
          <w:rFonts w:hint="eastAsia" w:ascii="宋体" w:hAnsi="宋体" w:cs="宋体"/>
          <w:color w:val="auto"/>
          <w:sz w:val="28"/>
          <w:szCs w:val="28"/>
          <w:highlight w:val="none"/>
        </w:rPr>
        <w:tab/>
      </w:r>
      <w:r>
        <w:rPr>
          <w:rFonts w:hint="eastAsia" w:ascii="宋体" w:hAnsi="宋体" w:cs="宋体"/>
          <w:color w:val="auto"/>
          <w:sz w:val="28"/>
          <w:szCs w:val="28"/>
          <w:highlight w:val="none"/>
        </w:rPr>
        <w:fldChar w:fldCharType="begin"/>
      </w:r>
      <w:r>
        <w:rPr>
          <w:rFonts w:hint="eastAsia" w:ascii="宋体" w:hAnsi="宋体" w:cs="宋体"/>
          <w:color w:val="auto"/>
          <w:sz w:val="28"/>
          <w:szCs w:val="28"/>
          <w:highlight w:val="none"/>
        </w:rPr>
        <w:instrText xml:space="preserve"> PAGEREF _Toc18153 \h </w:instrText>
      </w:r>
      <w:r>
        <w:rPr>
          <w:rFonts w:hint="eastAsia" w:ascii="宋体" w:hAnsi="宋体" w:cs="宋体"/>
          <w:color w:val="auto"/>
          <w:sz w:val="28"/>
          <w:szCs w:val="28"/>
          <w:highlight w:val="none"/>
        </w:rPr>
        <w:fldChar w:fldCharType="separate"/>
      </w:r>
      <w:r>
        <w:rPr>
          <w:rFonts w:hint="eastAsia" w:ascii="宋体" w:hAnsi="宋体" w:cs="宋体"/>
          <w:color w:val="auto"/>
          <w:sz w:val="28"/>
          <w:szCs w:val="28"/>
          <w:highlight w:val="none"/>
        </w:rPr>
        <w:t>85</w:t>
      </w:r>
      <w:r>
        <w:rPr>
          <w:rFonts w:hint="eastAsia" w:ascii="宋体" w:hAnsi="宋体" w:cs="宋体"/>
          <w:color w:val="auto"/>
          <w:sz w:val="28"/>
          <w:szCs w:val="28"/>
          <w:highlight w:val="none"/>
        </w:rPr>
        <w:fldChar w:fldCharType="end"/>
      </w:r>
      <w:r>
        <w:rPr>
          <w:rFonts w:hint="eastAsia" w:ascii="宋体" w:hAnsi="宋体" w:cs="宋体"/>
          <w:color w:val="auto"/>
          <w:sz w:val="28"/>
          <w:szCs w:val="28"/>
          <w:highlight w:val="none"/>
        </w:rPr>
        <w:fldChar w:fldCharType="end"/>
      </w:r>
    </w:p>
    <w:p>
      <w:pPr>
        <w:pStyle w:val="51"/>
        <w:tabs>
          <w:tab w:val="right" w:leader="dot" w:pos="9040"/>
        </w:tabs>
        <w:spacing w:line="600" w:lineRule="exact"/>
        <w:ind w:left="636" w:leftChars="303"/>
        <w:rPr>
          <w:rFonts w:ascii="宋体" w:hAnsi="宋体" w:cs="宋体"/>
          <w:color w:val="auto"/>
          <w:sz w:val="28"/>
          <w:szCs w:val="28"/>
          <w:highlight w:val="none"/>
        </w:rPr>
      </w:pPr>
      <w:r>
        <w:rPr>
          <w:color w:val="auto"/>
          <w:highlight w:val="none"/>
        </w:rPr>
        <w:fldChar w:fldCharType="begin"/>
      </w:r>
      <w:r>
        <w:rPr>
          <w:color w:val="auto"/>
          <w:highlight w:val="none"/>
        </w:rPr>
        <w:instrText xml:space="preserve"> HYPERLINK \l "_Toc4538" </w:instrText>
      </w:r>
      <w:r>
        <w:rPr>
          <w:color w:val="auto"/>
          <w:highlight w:val="none"/>
        </w:rPr>
        <w:fldChar w:fldCharType="separate"/>
      </w:r>
      <w:r>
        <w:rPr>
          <w:rFonts w:hint="eastAsia" w:ascii="宋体" w:hAnsi="宋体" w:cs="宋体"/>
          <w:color w:val="auto"/>
          <w:sz w:val="28"/>
          <w:szCs w:val="28"/>
          <w:highlight w:val="none"/>
        </w:rPr>
        <w:t>二、资格证明文件</w:t>
      </w:r>
      <w:r>
        <w:rPr>
          <w:rFonts w:hint="eastAsia" w:ascii="宋体" w:hAnsi="宋体" w:cs="宋体"/>
          <w:color w:val="auto"/>
          <w:sz w:val="28"/>
          <w:szCs w:val="28"/>
          <w:highlight w:val="none"/>
        </w:rPr>
        <w:tab/>
      </w:r>
      <w:r>
        <w:rPr>
          <w:rFonts w:hint="eastAsia" w:ascii="宋体" w:hAnsi="宋体" w:cs="宋体"/>
          <w:color w:val="auto"/>
          <w:sz w:val="28"/>
          <w:szCs w:val="28"/>
          <w:highlight w:val="none"/>
        </w:rPr>
        <w:fldChar w:fldCharType="begin"/>
      </w:r>
      <w:r>
        <w:rPr>
          <w:rFonts w:hint="eastAsia" w:ascii="宋体" w:hAnsi="宋体" w:cs="宋体"/>
          <w:color w:val="auto"/>
          <w:sz w:val="28"/>
          <w:szCs w:val="28"/>
          <w:highlight w:val="none"/>
        </w:rPr>
        <w:instrText xml:space="preserve"> PAGEREF _Toc4538 \h </w:instrText>
      </w:r>
      <w:r>
        <w:rPr>
          <w:rFonts w:hint="eastAsia" w:ascii="宋体" w:hAnsi="宋体" w:cs="宋体"/>
          <w:color w:val="auto"/>
          <w:sz w:val="28"/>
          <w:szCs w:val="28"/>
          <w:highlight w:val="none"/>
        </w:rPr>
        <w:fldChar w:fldCharType="separate"/>
      </w:r>
      <w:r>
        <w:rPr>
          <w:rFonts w:hint="eastAsia" w:ascii="宋体" w:hAnsi="宋体" w:cs="宋体"/>
          <w:color w:val="auto"/>
          <w:sz w:val="28"/>
          <w:szCs w:val="28"/>
          <w:highlight w:val="none"/>
        </w:rPr>
        <w:t>87</w:t>
      </w:r>
      <w:r>
        <w:rPr>
          <w:rFonts w:hint="eastAsia" w:ascii="宋体" w:hAnsi="宋体" w:cs="宋体"/>
          <w:color w:val="auto"/>
          <w:sz w:val="28"/>
          <w:szCs w:val="28"/>
          <w:highlight w:val="none"/>
        </w:rPr>
        <w:fldChar w:fldCharType="end"/>
      </w:r>
      <w:r>
        <w:rPr>
          <w:rFonts w:hint="eastAsia" w:ascii="宋体" w:hAnsi="宋体" w:cs="宋体"/>
          <w:color w:val="auto"/>
          <w:sz w:val="28"/>
          <w:szCs w:val="28"/>
          <w:highlight w:val="none"/>
        </w:rPr>
        <w:fldChar w:fldCharType="end"/>
      </w:r>
    </w:p>
    <w:p>
      <w:pPr>
        <w:pStyle w:val="51"/>
        <w:tabs>
          <w:tab w:val="right" w:leader="dot" w:pos="9040"/>
        </w:tabs>
        <w:spacing w:line="600" w:lineRule="exact"/>
        <w:ind w:left="636" w:leftChars="303"/>
        <w:rPr>
          <w:rFonts w:ascii="宋体" w:hAnsi="宋体" w:cs="宋体"/>
          <w:color w:val="auto"/>
          <w:sz w:val="28"/>
          <w:szCs w:val="28"/>
          <w:highlight w:val="none"/>
        </w:rPr>
      </w:pPr>
      <w:r>
        <w:rPr>
          <w:color w:val="auto"/>
          <w:highlight w:val="none"/>
        </w:rPr>
        <w:fldChar w:fldCharType="begin"/>
      </w:r>
      <w:r>
        <w:rPr>
          <w:color w:val="auto"/>
          <w:highlight w:val="none"/>
        </w:rPr>
        <w:instrText xml:space="preserve"> HYPERLINK \l "_Toc12969" </w:instrText>
      </w:r>
      <w:r>
        <w:rPr>
          <w:color w:val="auto"/>
          <w:highlight w:val="none"/>
        </w:rPr>
        <w:fldChar w:fldCharType="separate"/>
      </w:r>
      <w:r>
        <w:rPr>
          <w:rFonts w:hint="eastAsia" w:ascii="宋体" w:hAnsi="宋体" w:cs="宋体"/>
          <w:color w:val="auto"/>
          <w:sz w:val="28"/>
          <w:szCs w:val="28"/>
          <w:highlight w:val="none"/>
        </w:rPr>
        <w:t>三、商务文件</w:t>
      </w:r>
      <w:r>
        <w:rPr>
          <w:rFonts w:hint="eastAsia" w:ascii="宋体" w:hAnsi="宋体" w:cs="宋体"/>
          <w:color w:val="auto"/>
          <w:sz w:val="28"/>
          <w:szCs w:val="28"/>
          <w:highlight w:val="none"/>
        </w:rPr>
        <w:tab/>
      </w:r>
      <w:r>
        <w:rPr>
          <w:rFonts w:hint="eastAsia" w:ascii="宋体" w:hAnsi="宋体" w:cs="宋体"/>
          <w:color w:val="auto"/>
          <w:sz w:val="28"/>
          <w:szCs w:val="28"/>
          <w:highlight w:val="none"/>
        </w:rPr>
        <w:fldChar w:fldCharType="begin"/>
      </w:r>
      <w:r>
        <w:rPr>
          <w:rFonts w:hint="eastAsia" w:ascii="宋体" w:hAnsi="宋体" w:cs="宋体"/>
          <w:color w:val="auto"/>
          <w:sz w:val="28"/>
          <w:szCs w:val="28"/>
          <w:highlight w:val="none"/>
        </w:rPr>
        <w:instrText xml:space="preserve"> PAGEREF _Toc12969 \h </w:instrText>
      </w:r>
      <w:r>
        <w:rPr>
          <w:rFonts w:hint="eastAsia" w:ascii="宋体" w:hAnsi="宋体" w:cs="宋体"/>
          <w:color w:val="auto"/>
          <w:sz w:val="28"/>
          <w:szCs w:val="28"/>
          <w:highlight w:val="none"/>
        </w:rPr>
        <w:fldChar w:fldCharType="separate"/>
      </w:r>
      <w:r>
        <w:rPr>
          <w:rFonts w:hint="eastAsia" w:ascii="宋体" w:hAnsi="宋体" w:cs="宋体"/>
          <w:color w:val="auto"/>
          <w:sz w:val="28"/>
          <w:szCs w:val="28"/>
          <w:highlight w:val="none"/>
        </w:rPr>
        <w:t>97</w:t>
      </w:r>
      <w:r>
        <w:rPr>
          <w:rFonts w:hint="eastAsia" w:ascii="宋体" w:hAnsi="宋体" w:cs="宋体"/>
          <w:color w:val="auto"/>
          <w:sz w:val="28"/>
          <w:szCs w:val="28"/>
          <w:highlight w:val="none"/>
        </w:rPr>
        <w:fldChar w:fldCharType="end"/>
      </w:r>
      <w:r>
        <w:rPr>
          <w:rFonts w:hint="eastAsia" w:ascii="宋体" w:hAnsi="宋体" w:cs="宋体"/>
          <w:color w:val="auto"/>
          <w:sz w:val="28"/>
          <w:szCs w:val="28"/>
          <w:highlight w:val="none"/>
        </w:rPr>
        <w:fldChar w:fldCharType="end"/>
      </w:r>
    </w:p>
    <w:p>
      <w:pPr>
        <w:pStyle w:val="51"/>
        <w:tabs>
          <w:tab w:val="right" w:leader="dot" w:pos="9040"/>
        </w:tabs>
        <w:spacing w:line="600" w:lineRule="exact"/>
        <w:ind w:left="636" w:leftChars="303"/>
        <w:rPr>
          <w:rFonts w:ascii="宋体" w:hAnsi="宋体" w:cs="宋体"/>
          <w:color w:val="auto"/>
          <w:sz w:val="28"/>
          <w:szCs w:val="28"/>
          <w:highlight w:val="none"/>
        </w:rPr>
      </w:pPr>
      <w:r>
        <w:rPr>
          <w:color w:val="auto"/>
          <w:highlight w:val="none"/>
        </w:rPr>
        <w:fldChar w:fldCharType="begin"/>
      </w:r>
      <w:r>
        <w:rPr>
          <w:color w:val="auto"/>
          <w:highlight w:val="none"/>
        </w:rPr>
        <w:instrText xml:space="preserve"> HYPERLINK \l "_Toc1325" </w:instrText>
      </w:r>
      <w:r>
        <w:rPr>
          <w:color w:val="auto"/>
          <w:highlight w:val="none"/>
        </w:rPr>
        <w:fldChar w:fldCharType="separate"/>
      </w:r>
      <w:r>
        <w:rPr>
          <w:rFonts w:hint="eastAsia" w:ascii="宋体" w:hAnsi="宋体" w:cs="宋体"/>
          <w:color w:val="auto"/>
          <w:sz w:val="28"/>
          <w:szCs w:val="28"/>
          <w:highlight w:val="none"/>
        </w:rPr>
        <w:t>四、技术部分</w:t>
      </w:r>
      <w:r>
        <w:rPr>
          <w:rFonts w:hint="eastAsia" w:ascii="宋体" w:hAnsi="宋体" w:cs="宋体"/>
          <w:color w:val="auto"/>
          <w:sz w:val="28"/>
          <w:szCs w:val="28"/>
          <w:highlight w:val="none"/>
        </w:rPr>
        <w:tab/>
      </w:r>
      <w:r>
        <w:rPr>
          <w:rFonts w:hint="eastAsia" w:ascii="宋体" w:hAnsi="宋体" w:cs="宋体"/>
          <w:color w:val="auto"/>
          <w:sz w:val="28"/>
          <w:szCs w:val="28"/>
          <w:highlight w:val="none"/>
        </w:rPr>
        <w:fldChar w:fldCharType="begin"/>
      </w:r>
      <w:r>
        <w:rPr>
          <w:rFonts w:hint="eastAsia" w:ascii="宋体" w:hAnsi="宋体" w:cs="宋体"/>
          <w:color w:val="auto"/>
          <w:sz w:val="28"/>
          <w:szCs w:val="28"/>
          <w:highlight w:val="none"/>
        </w:rPr>
        <w:instrText xml:space="preserve"> PAGEREF _Toc1325 \h </w:instrText>
      </w:r>
      <w:r>
        <w:rPr>
          <w:rFonts w:hint="eastAsia" w:ascii="宋体" w:hAnsi="宋体" w:cs="宋体"/>
          <w:color w:val="auto"/>
          <w:sz w:val="28"/>
          <w:szCs w:val="28"/>
          <w:highlight w:val="none"/>
        </w:rPr>
        <w:fldChar w:fldCharType="separate"/>
      </w:r>
      <w:r>
        <w:rPr>
          <w:rFonts w:hint="eastAsia" w:ascii="宋体" w:hAnsi="宋体" w:cs="宋体"/>
          <w:color w:val="auto"/>
          <w:sz w:val="28"/>
          <w:szCs w:val="28"/>
          <w:highlight w:val="none"/>
        </w:rPr>
        <w:t>105</w:t>
      </w:r>
      <w:r>
        <w:rPr>
          <w:rFonts w:hint="eastAsia" w:ascii="宋体" w:hAnsi="宋体" w:cs="宋体"/>
          <w:color w:val="auto"/>
          <w:sz w:val="28"/>
          <w:szCs w:val="28"/>
          <w:highlight w:val="none"/>
        </w:rPr>
        <w:fldChar w:fldCharType="end"/>
      </w:r>
      <w:r>
        <w:rPr>
          <w:rFonts w:hint="eastAsia" w:ascii="宋体" w:hAnsi="宋体" w:cs="宋体"/>
          <w:color w:val="auto"/>
          <w:sz w:val="28"/>
          <w:szCs w:val="28"/>
          <w:highlight w:val="none"/>
        </w:rPr>
        <w:fldChar w:fldCharType="end"/>
      </w:r>
    </w:p>
    <w:p>
      <w:pPr>
        <w:pStyle w:val="51"/>
        <w:tabs>
          <w:tab w:val="right" w:leader="dot" w:pos="9040"/>
        </w:tabs>
        <w:spacing w:line="600" w:lineRule="exact"/>
        <w:ind w:left="636" w:leftChars="303"/>
        <w:rPr>
          <w:color w:val="auto"/>
          <w:highlight w:val="none"/>
        </w:rPr>
      </w:pPr>
      <w:r>
        <w:rPr>
          <w:color w:val="auto"/>
          <w:highlight w:val="none"/>
        </w:rPr>
        <w:fldChar w:fldCharType="begin"/>
      </w:r>
      <w:r>
        <w:rPr>
          <w:color w:val="auto"/>
          <w:highlight w:val="none"/>
        </w:rPr>
        <w:instrText xml:space="preserve"> HYPERLINK \l "_Toc348" </w:instrText>
      </w:r>
      <w:r>
        <w:rPr>
          <w:color w:val="auto"/>
          <w:highlight w:val="none"/>
        </w:rPr>
        <w:fldChar w:fldCharType="separate"/>
      </w:r>
      <w:r>
        <w:rPr>
          <w:rFonts w:hint="eastAsia" w:ascii="宋体" w:hAnsi="宋体" w:cs="宋体"/>
          <w:color w:val="auto"/>
          <w:sz w:val="28"/>
          <w:szCs w:val="28"/>
          <w:highlight w:val="none"/>
        </w:rPr>
        <w:t>五、其他资料</w:t>
      </w:r>
      <w:r>
        <w:rPr>
          <w:rFonts w:hint="eastAsia" w:ascii="宋体" w:hAnsi="宋体" w:cs="宋体"/>
          <w:color w:val="auto"/>
          <w:sz w:val="28"/>
          <w:szCs w:val="28"/>
          <w:highlight w:val="none"/>
        </w:rPr>
        <w:tab/>
      </w:r>
      <w:r>
        <w:rPr>
          <w:rFonts w:hint="eastAsia" w:ascii="宋体" w:hAnsi="宋体" w:cs="宋体"/>
          <w:color w:val="auto"/>
          <w:sz w:val="28"/>
          <w:szCs w:val="28"/>
          <w:highlight w:val="none"/>
        </w:rPr>
        <w:fldChar w:fldCharType="begin"/>
      </w:r>
      <w:r>
        <w:rPr>
          <w:rFonts w:hint="eastAsia" w:ascii="宋体" w:hAnsi="宋体" w:cs="宋体"/>
          <w:color w:val="auto"/>
          <w:sz w:val="28"/>
          <w:szCs w:val="28"/>
          <w:highlight w:val="none"/>
        </w:rPr>
        <w:instrText xml:space="preserve"> PAGEREF _Toc348 \h </w:instrText>
      </w:r>
      <w:r>
        <w:rPr>
          <w:rFonts w:hint="eastAsia" w:ascii="宋体" w:hAnsi="宋体" w:cs="宋体"/>
          <w:color w:val="auto"/>
          <w:sz w:val="28"/>
          <w:szCs w:val="28"/>
          <w:highlight w:val="none"/>
        </w:rPr>
        <w:fldChar w:fldCharType="separate"/>
      </w:r>
      <w:r>
        <w:rPr>
          <w:rFonts w:hint="eastAsia" w:ascii="宋体" w:hAnsi="宋体" w:cs="宋体"/>
          <w:color w:val="auto"/>
          <w:sz w:val="28"/>
          <w:szCs w:val="28"/>
          <w:highlight w:val="none"/>
        </w:rPr>
        <w:t>114</w:t>
      </w:r>
      <w:r>
        <w:rPr>
          <w:rFonts w:hint="eastAsia" w:ascii="宋体" w:hAnsi="宋体" w:cs="宋体"/>
          <w:color w:val="auto"/>
          <w:sz w:val="28"/>
          <w:szCs w:val="28"/>
          <w:highlight w:val="none"/>
        </w:rPr>
        <w:fldChar w:fldCharType="end"/>
      </w:r>
      <w:r>
        <w:rPr>
          <w:rFonts w:hint="eastAsia" w:ascii="宋体" w:hAnsi="宋体" w:cs="宋体"/>
          <w:color w:val="auto"/>
          <w:sz w:val="28"/>
          <w:szCs w:val="28"/>
          <w:highlight w:val="none"/>
        </w:rPr>
        <w:fldChar w:fldCharType="end"/>
      </w:r>
    </w:p>
    <w:p>
      <w:pPr>
        <w:spacing w:line="600" w:lineRule="exact"/>
        <w:rPr>
          <w:rFonts w:ascii="宋体" w:hAnsi="宋体" w:cs="宋体"/>
          <w:color w:val="auto"/>
          <w:sz w:val="28"/>
          <w:szCs w:val="28"/>
          <w:highlight w:val="none"/>
        </w:rPr>
      </w:pPr>
      <w:r>
        <w:rPr>
          <w:rFonts w:hint="eastAsia" w:ascii="宋体" w:hAnsi="宋体" w:cs="宋体"/>
          <w:color w:val="auto"/>
          <w:szCs w:val="28"/>
          <w:highlight w:val="none"/>
        </w:rPr>
        <w:fldChar w:fldCharType="end"/>
      </w:r>
    </w:p>
    <w:p>
      <w:pPr>
        <w:shd w:val="clear" w:color="auto" w:fill="FFFFFF"/>
        <w:autoSpaceDE w:val="0"/>
        <w:autoSpaceDN w:val="0"/>
        <w:adjustRightInd w:val="0"/>
        <w:spacing w:line="360" w:lineRule="exact"/>
        <w:jc w:val="center"/>
        <w:rPr>
          <w:rFonts w:ascii="宋体" w:hAnsi="宋体"/>
          <w:b/>
          <w:bCs/>
          <w:color w:val="auto"/>
          <w:kern w:val="0"/>
          <w:sz w:val="18"/>
          <w:szCs w:val="18"/>
          <w:highlight w:val="none"/>
        </w:rPr>
      </w:pPr>
    </w:p>
    <w:p>
      <w:pPr>
        <w:pStyle w:val="71"/>
        <w:rPr>
          <w:rFonts w:ascii="宋体" w:hAnsi="宋体"/>
          <w:b/>
          <w:bCs/>
          <w:color w:val="auto"/>
          <w:kern w:val="0"/>
          <w:sz w:val="18"/>
          <w:szCs w:val="18"/>
          <w:highlight w:val="none"/>
        </w:rPr>
      </w:pPr>
    </w:p>
    <w:p>
      <w:pPr>
        <w:pStyle w:val="71"/>
        <w:rPr>
          <w:rFonts w:ascii="宋体" w:hAnsi="宋体"/>
          <w:b/>
          <w:bCs/>
          <w:color w:val="auto"/>
          <w:kern w:val="0"/>
          <w:sz w:val="18"/>
          <w:szCs w:val="18"/>
          <w:highlight w:val="none"/>
        </w:rPr>
      </w:pPr>
    </w:p>
    <w:p>
      <w:pPr>
        <w:pStyle w:val="71"/>
        <w:rPr>
          <w:rFonts w:ascii="宋体" w:hAnsi="宋体"/>
          <w:b/>
          <w:bCs/>
          <w:color w:val="auto"/>
          <w:kern w:val="0"/>
          <w:sz w:val="18"/>
          <w:szCs w:val="18"/>
          <w:highlight w:val="none"/>
        </w:rPr>
      </w:pPr>
    </w:p>
    <w:p>
      <w:pPr>
        <w:shd w:val="clear" w:color="auto" w:fill="FFFFFF"/>
        <w:autoSpaceDE w:val="0"/>
        <w:autoSpaceDN w:val="0"/>
        <w:adjustRightInd w:val="0"/>
        <w:spacing w:line="360" w:lineRule="exact"/>
        <w:jc w:val="center"/>
        <w:rPr>
          <w:rFonts w:ascii="宋体" w:hAnsi="宋体"/>
          <w:b/>
          <w:bCs/>
          <w:color w:val="auto"/>
          <w:kern w:val="0"/>
          <w:sz w:val="18"/>
          <w:szCs w:val="18"/>
          <w:highlight w:val="none"/>
        </w:rPr>
      </w:pPr>
    </w:p>
    <w:p>
      <w:pPr>
        <w:shd w:val="clear" w:color="auto" w:fill="FFFFFF"/>
        <w:autoSpaceDE w:val="0"/>
        <w:autoSpaceDN w:val="0"/>
        <w:adjustRightInd w:val="0"/>
        <w:spacing w:line="360" w:lineRule="exact"/>
        <w:jc w:val="center"/>
        <w:rPr>
          <w:rFonts w:ascii="宋体" w:hAnsi="宋体"/>
          <w:b/>
          <w:bCs/>
          <w:color w:val="auto"/>
          <w:kern w:val="0"/>
          <w:sz w:val="18"/>
          <w:szCs w:val="18"/>
          <w:highlight w:val="none"/>
        </w:rPr>
      </w:pPr>
    </w:p>
    <w:p>
      <w:pPr>
        <w:widowControl/>
        <w:shd w:val="clear" w:color="auto" w:fill="FFFFFF"/>
        <w:spacing w:line="360" w:lineRule="exact"/>
        <w:rPr>
          <w:rFonts w:ascii="宋体" w:hAnsi="宋体" w:cs="宋体"/>
          <w:color w:val="auto"/>
          <w:kern w:val="0"/>
          <w:sz w:val="18"/>
          <w:szCs w:val="18"/>
          <w:highlight w:val="none"/>
        </w:rPr>
        <w:sectPr>
          <w:footerReference r:id="rId8" w:type="first"/>
          <w:headerReference r:id="rId6" w:type="default"/>
          <w:footerReference r:id="rId7" w:type="default"/>
          <w:pgSz w:w="11850" w:h="16783"/>
          <w:pgMar w:top="1134" w:right="1417" w:bottom="1134" w:left="1417" w:header="851" w:footer="964" w:gutter="0"/>
          <w:cols w:space="720" w:num="1"/>
          <w:titlePg/>
          <w:docGrid w:type="lines" w:linePitch="312" w:charSpace="0"/>
        </w:sectPr>
      </w:pPr>
    </w:p>
    <w:p>
      <w:pPr>
        <w:pStyle w:val="27"/>
        <w:rPr>
          <w:color w:val="auto"/>
          <w:highlight w:val="none"/>
        </w:rPr>
      </w:pPr>
    </w:p>
    <w:p>
      <w:pPr>
        <w:pStyle w:val="57"/>
        <w:rPr>
          <w:color w:val="auto"/>
          <w:highlight w:val="none"/>
        </w:rPr>
      </w:pPr>
      <w:bookmarkStart w:id="0" w:name="_Toc1503"/>
      <w:r>
        <w:rPr>
          <w:color w:val="auto"/>
          <w:highlight w:val="none"/>
        </w:rPr>
        <w:t>第一章  招标公告</w:t>
      </w:r>
      <w:bookmarkEnd w:id="0"/>
    </w:p>
    <w:tbl>
      <w:tblPr>
        <w:tblStyle w:val="62"/>
        <w:tblW w:w="99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2" w:type="dxa"/>
          </w:tcPr>
          <w:p>
            <w:pPr>
              <w:adjustRightInd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项目概况 </w:t>
            </w:r>
          </w:p>
          <w:p>
            <w:pPr>
              <w:adjustRightInd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2023年中央耕地建设与利用资金（购置土壤监测设备）项目的</w:t>
            </w:r>
            <w:r>
              <w:rPr>
                <w:rFonts w:hint="eastAsia" w:ascii="宋体" w:hAnsi="宋体" w:cs="宋体"/>
                <w:color w:val="auto"/>
                <w:sz w:val="24"/>
                <w:highlight w:val="none"/>
                <w:lang w:val="en-US" w:eastAsia="zh-CN"/>
              </w:rPr>
              <w:t>潜在投标人应登陆政采云平台https://www.zcygov.cn/在线申请获取采购文件（进入“项目采购”应用，在获取采购文件菜单中选择项目，申请获取采购文件），</w:t>
            </w:r>
            <w:r>
              <w:rPr>
                <w:rFonts w:hint="eastAsia" w:ascii="宋体" w:hAnsi="宋体" w:cs="宋体"/>
                <w:color w:val="auto"/>
                <w:sz w:val="24"/>
                <w:highlight w:val="none"/>
              </w:rPr>
              <w:t>并于202</w:t>
            </w:r>
            <w:r>
              <w:rPr>
                <w:rFonts w:ascii="宋体" w:hAnsi="宋体" w:cs="宋体"/>
                <w:color w:val="auto"/>
                <w:sz w:val="24"/>
                <w:highlight w:val="none"/>
              </w:rPr>
              <w:t>3</w:t>
            </w:r>
            <w:r>
              <w:rPr>
                <w:rFonts w:hint="eastAsia" w:ascii="宋体" w:hAnsi="宋体" w:cs="宋体"/>
                <w:color w:val="auto"/>
                <w:sz w:val="24"/>
                <w:highlight w:val="none"/>
              </w:rPr>
              <w:t>年</w:t>
            </w:r>
            <w:r>
              <w:rPr>
                <w:rFonts w:hint="eastAsia" w:ascii="宋体" w:hAnsi="宋体" w:cs="宋体"/>
                <w:color w:val="auto"/>
                <w:sz w:val="24"/>
                <w:highlight w:val="none"/>
                <w:lang w:val="en-US" w:eastAsia="zh-CN"/>
              </w:rPr>
              <w:t>09</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14</w:t>
            </w:r>
            <w:r>
              <w:rPr>
                <w:rFonts w:hint="eastAsia" w:ascii="宋体" w:hAnsi="宋体" w:cs="宋体"/>
                <w:color w:val="auto"/>
                <w:sz w:val="24"/>
                <w:highlight w:val="none"/>
              </w:rPr>
              <w:t>日11:00（北京时间）前提交投标文件。</w:t>
            </w:r>
          </w:p>
        </w:tc>
      </w:tr>
    </w:tbl>
    <w:p>
      <w:pPr>
        <w:widowControl/>
        <w:spacing w:line="480" w:lineRule="exact"/>
        <w:ind w:firstLine="482" w:firstLineChars="200"/>
        <w:jc w:val="left"/>
        <w:rPr>
          <w:rFonts w:ascii="宋体" w:hAnsi="宋体" w:cs="宋体"/>
          <w:b/>
          <w:color w:val="auto"/>
          <w:kern w:val="0"/>
          <w:sz w:val="24"/>
          <w:highlight w:val="none"/>
        </w:rPr>
      </w:pPr>
      <w:r>
        <w:rPr>
          <w:rFonts w:hint="eastAsia" w:ascii="宋体" w:hAnsi="宋体" w:cs="宋体"/>
          <w:b/>
          <w:color w:val="auto"/>
          <w:kern w:val="0"/>
          <w:sz w:val="24"/>
          <w:highlight w:val="none"/>
        </w:rPr>
        <w:t>一、项目基本情况</w:t>
      </w:r>
    </w:p>
    <w:p>
      <w:pPr>
        <w:widowControl/>
        <w:spacing w:line="480" w:lineRule="exact"/>
        <w:ind w:firstLine="480" w:firstLineChars="200"/>
        <w:jc w:val="left"/>
        <w:rPr>
          <w:rFonts w:hint="default" w:ascii="宋体" w:hAnsi="宋体" w:eastAsia="宋体" w:cs="宋体"/>
          <w:color w:val="auto"/>
          <w:kern w:val="0"/>
          <w:sz w:val="24"/>
          <w:highlight w:val="none"/>
          <w:lang w:val="en-US" w:eastAsia="zh-CN"/>
        </w:rPr>
      </w:pPr>
      <w:r>
        <w:rPr>
          <w:rFonts w:hint="eastAsia" w:ascii="宋体" w:hAnsi="宋体" w:cs="宋体"/>
          <w:color w:val="auto"/>
          <w:kern w:val="0"/>
          <w:sz w:val="24"/>
          <w:highlight w:val="none"/>
        </w:rPr>
        <w:t>项目编号：XJDN-2023-0</w:t>
      </w:r>
      <w:r>
        <w:rPr>
          <w:rFonts w:hint="eastAsia" w:ascii="宋体" w:hAnsi="宋体" w:cs="宋体"/>
          <w:color w:val="auto"/>
          <w:kern w:val="0"/>
          <w:sz w:val="24"/>
          <w:highlight w:val="none"/>
          <w:lang w:val="en-US" w:eastAsia="zh-CN"/>
        </w:rPr>
        <w:t>14</w:t>
      </w:r>
    </w:p>
    <w:p>
      <w:pPr>
        <w:widowControl/>
        <w:spacing w:line="480" w:lineRule="exact"/>
        <w:ind w:left="1679" w:leftChars="228" w:hanging="1200" w:hangingChars="500"/>
        <w:jc w:val="left"/>
        <w:rPr>
          <w:rFonts w:ascii="宋体" w:hAnsi="宋体" w:cs="宋体"/>
          <w:color w:val="auto"/>
          <w:kern w:val="0"/>
          <w:sz w:val="24"/>
          <w:highlight w:val="none"/>
        </w:rPr>
      </w:pPr>
      <w:r>
        <w:rPr>
          <w:rFonts w:hint="eastAsia" w:ascii="宋体" w:hAnsi="宋体" w:cs="宋体"/>
          <w:color w:val="auto"/>
          <w:kern w:val="0"/>
          <w:sz w:val="24"/>
          <w:highlight w:val="none"/>
        </w:rPr>
        <w:t>项目名称：</w:t>
      </w:r>
      <w:r>
        <w:rPr>
          <w:rFonts w:hint="eastAsia" w:ascii="宋体" w:hAnsi="宋体" w:cs="宋体"/>
          <w:color w:val="auto"/>
          <w:sz w:val="24"/>
          <w:highlight w:val="none"/>
        </w:rPr>
        <w:t>2023年中央耕地建设与利用资金（购置土壤监测设备）项目</w:t>
      </w:r>
    </w:p>
    <w:p>
      <w:pPr>
        <w:widowControl/>
        <w:spacing w:line="480" w:lineRule="exact"/>
        <w:ind w:firstLine="480" w:firstLineChars="200"/>
        <w:jc w:val="left"/>
        <w:rPr>
          <w:color w:val="auto"/>
          <w:highlight w:val="none"/>
        </w:rPr>
      </w:pPr>
      <w:r>
        <w:rPr>
          <w:rFonts w:hint="eastAsia" w:ascii="宋体" w:hAnsi="宋体" w:cs="宋体"/>
          <w:color w:val="auto"/>
          <w:kern w:val="0"/>
          <w:sz w:val="24"/>
          <w:highlight w:val="none"/>
        </w:rPr>
        <w:t>采购方式：公开招标</w:t>
      </w:r>
    </w:p>
    <w:p>
      <w:pPr>
        <w:widowControl/>
        <w:spacing w:line="48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采购预算：550.00万元</w:t>
      </w:r>
    </w:p>
    <w:p>
      <w:pPr>
        <w:widowControl/>
        <w:spacing w:line="480" w:lineRule="exact"/>
        <w:ind w:firstLine="480" w:firstLineChars="200"/>
        <w:jc w:val="left"/>
        <w:rPr>
          <w:rFonts w:hint="default" w:ascii="宋体" w:hAnsi="宋体" w:cs="宋体"/>
          <w:color w:val="auto"/>
          <w:kern w:val="0"/>
          <w:sz w:val="24"/>
          <w:highlight w:val="none"/>
          <w:lang w:val="en-US" w:eastAsia="zh-CN"/>
        </w:rPr>
      </w:pPr>
      <w:r>
        <w:rPr>
          <w:rFonts w:hint="eastAsia" w:ascii="宋体" w:hAnsi="宋体" w:cs="宋体"/>
          <w:color w:val="auto"/>
          <w:kern w:val="0"/>
          <w:sz w:val="24"/>
          <w:highlight w:val="none"/>
        </w:rPr>
        <w:t>最高限价：</w:t>
      </w:r>
      <w:r>
        <w:rPr>
          <w:rFonts w:hint="eastAsia" w:ascii="宋体" w:hAnsi="宋体" w:cs="宋体"/>
          <w:color w:val="auto"/>
          <w:kern w:val="0"/>
          <w:sz w:val="24"/>
          <w:highlight w:val="none"/>
          <w:lang w:eastAsia="zh-CN"/>
        </w:rPr>
        <w:t>标项一</w:t>
      </w:r>
      <w:r>
        <w:rPr>
          <w:rFonts w:hint="eastAsia" w:ascii="宋体" w:hAnsi="宋体" w:cs="宋体"/>
          <w:color w:val="auto"/>
          <w:kern w:val="0"/>
          <w:sz w:val="24"/>
          <w:highlight w:val="none"/>
          <w:lang w:val="en-US" w:eastAsia="zh-CN"/>
        </w:rPr>
        <w:t>260万元,标项二264.7万元，标项三：25.3万元</w:t>
      </w:r>
    </w:p>
    <w:p>
      <w:pPr>
        <w:widowControl/>
        <w:spacing w:line="480" w:lineRule="exact"/>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采购需求：</w:t>
      </w:r>
    </w:p>
    <w:p>
      <w:pPr>
        <w:widowControl/>
        <w:spacing w:line="480" w:lineRule="exact"/>
        <w:ind w:firstLine="480" w:firstLineChars="200"/>
        <w:jc w:val="left"/>
        <w:rPr>
          <w:rFonts w:hint="eastAsia" w:ascii="宋体" w:hAnsi="宋体" w:cs="宋体"/>
          <w:color w:val="auto"/>
          <w:kern w:val="0"/>
          <w:sz w:val="24"/>
          <w:highlight w:val="none"/>
          <w:lang w:val="en-US" w:eastAsia="zh-CN"/>
        </w:rPr>
      </w:pPr>
      <w:r>
        <w:rPr>
          <w:rFonts w:hint="eastAsia" w:ascii="宋体" w:hAnsi="宋体" w:cs="宋体"/>
          <w:color w:val="auto"/>
          <w:kern w:val="0"/>
          <w:sz w:val="24"/>
          <w:highlight w:val="none"/>
          <w:lang w:val="en-US" w:eastAsia="zh-CN"/>
        </w:rPr>
        <w:t>标项一</w:t>
      </w:r>
      <w:r>
        <w:rPr>
          <w:rFonts w:hint="eastAsia" w:ascii="宋体" w:hAnsi="宋体" w:cs="宋体"/>
          <w:color w:val="auto"/>
          <w:kern w:val="0"/>
          <w:sz w:val="24"/>
          <w:highlight w:val="none"/>
          <w:lang w:val="en-US" w:eastAsia="zh-CN"/>
        </w:rPr>
        <w:br w:type="textWrapping"/>
      </w:r>
      <w:r>
        <w:rPr>
          <w:rFonts w:hint="eastAsia" w:ascii="宋体" w:hAnsi="宋体" w:cs="宋体"/>
          <w:color w:val="auto"/>
          <w:kern w:val="0"/>
          <w:sz w:val="24"/>
          <w:highlight w:val="none"/>
          <w:lang w:val="en-US" w:eastAsia="zh-CN"/>
        </w:rPr>
        <w:t>   标项名称：标项一</w:t>
      </w:r>
      <w:r>
        <w:rPr>
          <w:rFonts w:hint="eastAsia" w:ascii="宋体" w:hAnsi="宋体" w:cs="宋体"/>
          <w:color w:val="auto"/>
          <w:kern w:val="0"/>
          <w:sz w:val="24"/>
          <w:highlight w:val="none"/>
          <w:lang w:val="en-US" w:eastAsia="zh-CN"/>
        </w:rPr>
        <w:br w:type="textWrapping"/>
      </w:r>
      <w:r>
        <w:rPr>
          <w:rFonts w:hint="eastAsia" w:ascii="宋体" w:hAnsi="宋体" w:cs="宋体"/>
          <w:color w:val="auto"/>
          <w:kern w:val="0"/>
          <w:sz w:val="24"/>
          <w:highlight w:val="none"/>
          <w:lang w:val="en-US" w:eastAsia="zh-CN"/>
        </w:rPr>
        <w:t>   数量：1批</w:t>
      </w:r>
      <w:r>
        <w:rPr>
          <w:rFonts w:hint="eastAsia" w:ascii="宋体" w:hAnsi="宋体" w:cs="宋体"/>
          <w:color w:val="auto"/>
          <w:kern w:val="0"/>
          <w:sz w:val="24"/>
          <w:highlight w:val="none"/>
          <w:lang w:val="en-US" w:eastAsia="zh-CN"/>
        </w:rPr>
        <w:br w:type="textWrapping"/>
      </w:r>
      <w:r>
        <w:rPr>
          <w:rFonts w:hint="eastAsia" w:ascii="宋体" w:hAnsi="宋体" w:cs="宋体"/>
          <w:color w:val="auto"/>
          <w:kern w:val="0"/>
          <w:sz w:val="24"/>
          <w:highlight w:val="none"/>
          <w:lang w:val="en-US" w:eastAsia="zh-CN"/>
        </w:rPr>
        <w:t>   预算金额（元）:260万元</w:t>
      </w:r>
      <w:r>
        <w:rPr>
          <w:rFonts w:hint="eastAsia" w:ascii="宋体" w:hAnsi="宋体" w:cs="宋体"/>
          <w:color w:val="auto"/>
          <w:kern w:val="0"/>
          <w:sz w:val="24"/>
          <w:highlight w:val="none"/>
          <w:lang w:val="en-US" w:eastAsia="zh-CN"/>
        </w:rPr>
        <w:br w:type="textWrapping"/>
      </w:r>
      <w:r>
        <w:rPr>
          <w:rFonts w:hint="eastAsia" w:ascii="宋体" w:hAnsi="宋体" w:cs="宋体"/>
          <w:color w:val="auto"/>
          <w:kern w:val="0"/>
          <w:sz w:val="24"/>
          <w:highlight w:val="none"/>
          <w:lang w:val="en-US" w:eastAsia="zh-CN"/>
        </w:rPr>
        <w:t>   简要规格描述或项目基本概况介绍、用途：土壤监测设备，详见采购需求</w:t>
      </w:r>
      <w:r>
        <w:rPr>
          <w:rFonts w:hint="eastAsia" w:ascii="宋体" w:hAnsi="宋体" w:cs="宋体"/>
          <w:color w:val="auto"/>
          <w:kern w:val="0"/>
          <w:sz w:val="24"/>
          <w:highlight w:val="none"/>
          <w:lang w:val="en-US" w:eastAsia="zh-CN"/>
        </w:rPr>
        <w:br w:type="textWrapping"/>
      </w:r>
      <w:r>
        <w:rPr>
          <w:rFonts w:hint="eastAsia" w:ascii="宋体" w:hAnsi="宋体" w:cs="宋体"/>
          <w:color w:val="auto"/>
          <w:kern w:val="0"/>
          <w:sz w:val="24"/>
          <w:highlight w:val="none"/>
          <w:lang w:val="en-US" w:eastAsia="zh-CN"/>
        </w:rPr>
        <w:t>   备注：</w:t>
      </w:r>
    </w:p>
    <w:p>
      <w:pPr>
        <w:widowControl/>
        <w:spacing w:line="480" w:lineRule="exact"/>
        <w:ind w:firstLine="480" w:firstLineChars="200"/>
        <w:jc w:val="left"/>
        <w:rPr>
          <w:rFonts w:hint="eastAsia" w:ascii="宋体" w:hAnsi="宋体" w:cs="宋体"/>
          <w:color w:val="auto"/>
          <w:kern w:val="0"/>
          <w:sz w:val="24"/>
          <w:highlight w:val="none"/>
          <w:lang w:val="en-US" w:eastAsia="zh-CN"/>
        </w:rPr>
      </w:pPr>
      <w:r>
        <w:rPr>
          <w:rFonts w:hint="eastAsia" w:ascii="宋体" w:hAnsi="宋体" w:cs="宋体"/>
          <w:color w:val="auto"/>
          <w:kern w:val="0"/>
          <w:sz w:val="24"/>
          <w:highlight w:val="none"/>
          <w:lang w:val="en-US" w:eastAsia="zh-CN"/>
        </w:rPr>
        <w:t>标项二</w:t>
      </w:r>
      <w:r>
        <w:rPr>
          <w:rFonts w:hint="eastAsia" w:ascii="宋体" w:hAnsi="宋体" w:cs="宋体"/>
          <w:color w:val="auto"/>
          <w:kern w:val="0"/>
          <w:sz w:val="24"/>
          <w:highlight w:val="none"/>
          <w:lang w:val="en-US" w:eastAsia="zh-CN"/>
        </w:rPr>
        <w:br w:type="textWrapping"/>
      </w:r>
      <w:r>
        <w:rPr>
          <w:rFonts w:hint="eastAsia" w:ascii="宋体" w:hAnsi="宋体" w:cs="宋体"/>
          <w:color w:val="auto"/>
          <w:kern w:val="0"/>
          <w:sz w:val="24"/>
          <w:highlight w:val="none"/>
          <w:lang w:val="en-US" w:eastAsia="zh-CN"/>
        </w:rPr>
        <w:t>   标项名称：标项二</w:t>
      </w:r>
      <w:r>
        <w:rPr>
          <w:rFonts w:hint="eastAsia" w:ascii="宋体" w:hAnsi="宋体" w:cs="宋体"/>
          <w:color w:val="auto"/>
          <w:kern w:val="0"/>
          <w:sz w:val="24"/>
          <w:highlight w:val="none"/>
          <w:lang w:val="en-US" w:eastAsia="zh-CN"/>
        </w:rPr>
        <w:br w:type="textWrapping"/>
      </w:r>
      <w:r>
        <w:rPr>
          <w:rFonts w:hint="eastAsia" w:ascii="宋体" w:hAnsi="宋体" w:cs="宋体"/>
          <w:color w:val="auto"/>
          <w:kern w:val="0"/>
          <w:sz w:val="24"/>
          <w:highlight w:val="none"/>
          <w:lang w:val="en-US" w:eastAsia="zh-CN"/>
        </w:rPr>
        <w:t>   数量：1批</w:t>
      </w:r>
      <w:r>
        <w:rPr>
          <w:rFonts w:hint="eastAsia" w:ascii="宋体" w:hAnsi="宋体" w:cs="宋体"/>
          <w:color w:val="auto"/>
          <w:kern w:val="0"/>
          <w:sz w:val="24"/>
          <w:highlight w:val="none"/>
          <w:lang w:val="en-US" w:eastAsia="zh-CN"/>
        </w:rPr>
        <w:br w:type="textWrapping"/>
      </w:r>
      <w:r>
        <w:rPr>
          <w:rFonts w:hint="eastAsia" w:ascii="宋体" w:hAnsi="宋体" w:cs="宋体"/>
          <w:color w:val="auto"/>
          <w:kern w:val="0"/>
          <w:sz w:val="24"/>
          <w:highlight w:val="none"/>
          <w:lang w:val="en-US" w:eastAsia="zh-CN"/>
        </w:rPr>
        <w:t>   预算金额（元）:264.7万元</w:t>
      </w:r>
      <w:r>
        <w:rPr>
          <w:rFonts w:hint="eastAsia" w:ascii="宋体" w:hAnsi="宋体" w:cs="宋体"/>
          <w:color w:val="auto"/>
          <w:kern w:val="0"/>
          <w:sz w:val="24"/>
          <w:highlight w:val="none"/>
          <w:lang w:val="en-US" w:eastAsia="zh-CN"/>
        </w:rPr>
        <w:br w:type="textWrapping"/>
      </w:r>
      <w:r>
        <w:rPr>
          <w:rFonts w:hint="eastAsia" w:ascii="宋体" w:hAnsi="宋体" w:cs="宋体"/>
          <w:color w:val="auto"/>
          <w:kern w:val="0"/>
          <w:sz w:val="24"/>
          <w:highlight w:val="none"/>
          <w:lang w:val="en-US" w:eastAsia="zh-CN"/>
        </w:rPr>
        <w:t>   简要规格描述或项目基本概况介绍、用途：土壤监测设备，详见采购需求</w:t>
      </w:r>
      <w:r>
        <w:rPr>
          <w:rFonts w:hint="eastAsia" w:ascii="宋体" w:hAnsi="宋体" w:cs="宋体"/>
          <w:color w:val="auto"/>
          <w:kern w:val="0"/>
          <w:sz w:val="24"/>
          <w:highlight w:val="none"/>
          <w:lang w:val="en-US" w:eastAsia="zh-CN"/>
        </w:rPr>
        <w:br w:type="textWrapping"/>
      </w:r>
      <w:r>
        <w:rPr>
          <w:rFonts w:hint="eastAsia" w:ascii="宋体" w:hAnsi="宋体" w:cs="宋体"/>
          <w:color w:val="auto"/>
          <w:kern w:val="0"/>
          <w:sz w:val="24"/>
          <w:highlight w:val="none"/>
          <w:lang w:val="en-US" w:eastAsia="zh-CN"/>
        </w:rPr>
        <w:t>   备注：</w:t>
      </w:r>
    </w:p>
    <w:p>
      <w:pPr>
        <w:widowControl/>
        <w:spacing w:line="48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lang w:val="en-US" w:eastAsia="zh-CN"/>
        </w:rPr>
        <w:t>标项三</w:t>
      </w:r>
      <w:r>
        <w:rPr>
          <w:rFonts w:hint="eastAsia" w:ascii="宋体" w:hAnsi="宋体" w:cs="宋体"/>
          <w:color w:val="auto"/>
          <w:kern w:val="0"/>
          <w:sz w:val="24"/>
          <w:highlight w:val="none"/>
          <w:lang w:val="en-US" w:eastAsia="zh-CN"/>
        </w:rPr>
        <w:br w:type="textWrapping"/>
      </w:r>
      <w:r>
        <w:rPr>
          <w:rFonts w:hint="eastAsia" w:ascii="宋体" w:hAnsi="宋体" w:cs="宋体"/>
          <w:color w:val="auto"/>
          <w:kern w:val="0"/>
          <w:sz w:val="24"/>
          <w:highlight w:val="none"/>
          <w:lang w:val="en-US" w:eastAsia="zh-CN"/>
        </w:rPr>
        <w:t>   标项名称：标项三</w:t>
      </w:r>
      <w:r>
        <w:rPr>
          <w:rFonts w:hint="eastAsia" w:ascii="宋体" w:hAnsi="宋体" w:cs="宋体"/>
          <w:color w:val="auto"/>
          <w:kern w:val="0"/>
          <w:sz w:val="24"/>
          <w:highlight w:val="none"/>
          <w:lang w:val="en-US" w:eastAsia="zh-CN"/>
        </w:rPr>
        <w:br w:type="textWrapping"/>
      </w:r>
      <w:r>
        <w:rPr>
          <w:rFonts w:hint="eastAsia" w:ascii="宋体" w:hAnsi="宋体" w:cs="宋体"/>
          <w:color w:val="auto"/>
          <w:kern w:val="0"/>
          <w:sz w:val="24"/>
          <w:highlight w:val="none"/>
          <w:lang w:val="en-US" w:eastAsia="zh-CN"/>
        </w:rPr>
        <w:t>   数量：1批</w:t>
      </w:r>
      <w:r>
        <w:rPr>
          <w:rFonts w:hint="eastAsia" w:ascii="宋体" w:hAnsi="宋体" w:cs="宋体"/>
          <w:color w:val="auto"/>
          <w:kern w:val="0"/>
          <w:sz w:val="24"/>
          <w:highlight w:val="none"/>
          <w:lang w:val="en-US" w:eastAsia="zh-CN"/>
        </w:rPr>
        <w:br w:type="textWrapping"/>
      </w:r>
      <w:r>
        <w:rPr>
          <w:rFonts w:hint="eastAsia" w:ascii="宋体" w:hAnsi="宋体" w:cs="宋体"/>
          <w:color w:val="auto"/>
          <w:kern w:val="0"/>
          <w:sz w:val="24"/>
          <w:highlight w:val="none"/>
          <w:lang w:val="en-US" w:eastAsia="zh-CN"/>
        </w:rPr>
        <w:t>   预算金额（元）:25.3万元</w:t>
      </w:r>
      <w:r>
        <w:rPr>
          <w:rFonts w:hint="eastAsia" w:ascii="宋体" w:hAnsi="宋体" w:cs="宋体"/>
          <w:color w:val="auto"/>
          <w:kern w:val="0"/>
          <w:sz w:val="24"/>
          <w:highlight w:val="none"/>
          <w:lang w:val="en-US" w:eastAsia="zh-CN"/>
        </w:rPr>
        <w:br w:type="textWrapping"/>
      </w:r>
      <w:r>
        <w:rPr>
          <w:rFonts w:hint="eastAsia" w:ascii="宋体" w:hAnsi="宋体" w:cs="宋体"/>
          <w:color w:val="auto"/>
          <w:kern w:val="0"/>
          <w:sz w:val="24"/>
          <w:highlight w:val="none"/>
          <w:lang w:val="en-US" w:eastAsia="zh-CN"/>
        </w:rPr>
        <w:t>   简要规格描述或项目基本概况介绍、用途：土壤监测设备，详见采购需求</w:t>
      </w:r>
      <w:r>
        <w:rPr>
          <w:rFonts w:hint="eastAsia" w:ascii="宋体" w:hAnsi="宋体" w:cs="宋体"/>
          <w:color w:val="auto"/>
          <w:kern w:val="0"/>
          <w:sz w:val="24"/>
          <w:highlight w:val="none"/>
          <w:lang w:val="en-US" w:eastAsia="zh-CN"/>
        </w:rPr>
        <w:br w:type="textWrapping"/>
      </w:r>
      <w:r>
        <w:rPr>
          <w:rFonts w:hint="eastAsia" w:ascii="宋体" w:hAnsi="宋体" w:cs="宋体"/>
          <w:color w:val="auto"/>
          <w:kern w:val="0"/>
          <w:sz w:val="24"/>
          <w:highlight w:val="none"/>
          <w:lang w:val="en-US" w:eastAsia="zh-CN"/>
        </w:rPr>
        <w:t>   备注：</w:t>
      </w:r>
    </w:p>
    <w:p>
      <w:pPr>
        <w:widowControl/>
        <w:spacing w:line="480" w:lineRule="exact"/>
        <w:ind w:firstLine="480" w:firstLineChars="200"/>
        <w:jc w:val="left"/>
        <w:rPr>
          <w:rFonts w:hint="default" w:ascii="宋体" w:hAnsi="宋体" w:eastAsia="宋体" w:cs="宋体"/>
          <w:color w:val="auto"/>
          <w:kern w:val="0"/>
          <w:sz w:val="24"/>
          <w:highlight w:val="none"/>
          <w:lang w:val="en-US" w:eastAsia="zh-CN"/>
        </w:rPr>
      </w:pPr>
      <w:r>
        <w:rPr>
          <w:rFonts w:hint="eastAsia" w:ascii="宋体" w:hAnsi="宋体" w:cs="宋体"/>
          <w:color w:val="auto"/>
          <w:kern w:val="0"/>
          <w:sz w:val="24"/>
          <w:highlight w:val="none"/>
        </w:rPr>
        <w:t>合同履约期限：</w:t>
      </w:r>
      <w:r>
        <w:rPr>
          <w:rFonts w:hint="eastAsia" w:ascii="宋体" w:hAnsi="宋体" w:cs="宋体"/>
          <w:color w:val="auto"/>
          <w:kern w:val="0"/>
          <w:sz w:val="24"/>
          <w:highlight w:val="none"/>
          <w:lang w:val="en-US" w:eastAsia="zh-CN"/>
        </w:rPr>
        <w:t>30天</w:t>
      </w:r>
    </w:p>
    <w:p>
      <w:pPr>
        <w:widowControl/>
        <w:spacing w:line="480" w:lineRule="exact"/>
        <w:ind w:firstLine="480" w:firstLineChars="200"/>
        <w:jc w:val="left"/>
        <w:rPr>
          <w:rFonts w:ascii="宋体" w:hAnsi="宋体" w:cs="宋体"/>
          <w:b/>
          <w:color w:val="auto"/>
          <w:kern w:val="0"/>
          <w:sz w:val="24"/>
          <w:highlight w:val="none"/>
        </w:rPr>
      </w:pPr>
      <w:r>
        <w:rPr>
          <w:rFonts w:hint="eastAsia" w:ascii="宋体" w:hAnsi="宋体" w:cs="宋体"/>
          <w:color w:val="auto"/>
          <w:kern w:val="0"/>
          <w:sz w:val="24"/>
          <w:highlight w:val="none"/>
        </w:rPr>
        <w:t>本项目不接受联合体投标</w:t>
      </w:r>
    </w:p>
    <w:p>
      <w:pPr>
        <w:widowControl/>
        <w:spacing w:line="480" w:lineRule="exact"/>
        <w:ind w:firstLine="482" w:firstLineChars="200"/>
        <w:jc w:val="left"/>
        <w:rPr>
          <w:rFonts w:ascii="宋体" w:hAnsi="宋体" w:cs="宋体"/>
          <w:color w:val="auto"/>
          <w:kern w:val="0"/>
          <w:sz w:val="24"/>
          <w:highlight w:val="none"/>
        </w:rPr>
      </w:pPr>
      <w:r>
        <w:rPr>
          <w:rFonts w:hint="eastAsia" w:ascii="宋体" w:hAnsi="宋体" w:cs="宋体"/>
          <w:b/>
          <w:color w:val="auto"/>
          <w:kern w:val="0"/>
          <w:sz w:val="24"/>
          <w:highlight w:val="none"/>
        </w:rPr>
        <w:t>二</w:t>
      </w:r>
      <w:r>
        <w:rPr>
          <w:rFonts w:ascii="宋体" w:hAnsi="宋体" w:cs="宋体"/>
          <w:b/>
          <w:color w:val="auto"/>
          <w:kern w:val="0"/>
          <w:sz w:val="24"/>
          <w:highlight w:val="none"/>
        </w:rPr>
        <w:t>、</w:t>
      </w:r>
      <w:r>
        <w:rPr>
          <w:rFonts w:hint="eastAsia" w:ascii="宋体" w:hAnsi="宋体" w:cs="宋体"/>
          <w:b/>
          <w:color w:val="auto"/>
          <w:kern w:val="0"/>
          <w:sz w:val="24"/>
          <w:highlight w:val="none"/>
        </w:rPr>
        <w:t>申请人的资格要求：</w:t>
      </w:r>
    </w:p>
    <w:p>
      <w:pPr>
        <w:widowControl/>
        <w:spacing w:line="48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1.满足《中华人民共和国政府采购法》第二十二条规定；</w:t>
      </w:r>
    </w:p>
    <w:p>
      <w:pPr>
        <w:widowControl/>
        <w:spacing w:line="480" w:lineRule="exact"/>
        <w:ind w:firstLine="480" w:firstLineChars="200"/>
        <w:jc w:val="left"/>
        <w:rPr>
          <w:rFonts w:hint="eastAsia" w:ascii="宋体" w:hAnsi="宋体" w:eastAsia="宋体" w:cs="宋体"/>
          <w:color w:val="auto"/>
          <w:kern w:val="0"/>
          <w:sz w:val="24"/>
          <w:highlight w:val="none"/>
          <w:lang w:eastAsia="zh-CN"/>
        </w:rPr>
      </w:pPr>
      <w:r>
        <w:rPr>
          <w:rFonts w:hint="eastAsia" w:ascii="宋体" w:hAnsi="宋体" w:cs="宋体"/>
          <w:color w:val="auto"/>
          <w:kern w:val="0"/>
          <w:sz w:val="24"/>
          <w:highlight w:val="none"/>
        </w:rPr>
        <w:t>2.落实政府采购政策需满足的资格要求：</w:t>
      </w:r>
      <w:r>
        <w:rPr>
          <w:rFonts w:hint="eastAsia" w:ascii="宋体" w:hAnsi="宋体" w:cs="宋体"/>
          <w:color w:val="auto"/>
          <w:kern w:val="0"/>
          <w:sz w:val="24"/>
          <w:highlight w:val="none"/>
          <w:lang w:eastAsia="zh-CN"/>
        </w:rPr>
        <w:t>无</w:t>
      </w:r>
    </w:p>
    <w:p>
      <w:pPr>
        <w:widowControl/>
        <w:spacing w:line="44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 xml:space="preserve">3.本项目的特定资格要求： </w:t>
      </w:r>
    </w:p>
    <w:p>
      <w:pPr>
        <w:widowControl/>
        <w:spacing w:line="44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3.1 供应商须具有有效的营业执照；</w:t>
      </w:r>
    </w:p>
    <w:p>
      <w:pPr>
        <w:widowControl/>
        <w:spacing w:line="44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3.2 根据《关于在政府采购活动中查询及使用信用记录有关问题的通知》(财库[2016]125号)的规定，对被列入“失信被执行人”、“重大税收违法案件当事人名单”、“政府采购严重违法失信行为记录名单”的供应商，拒绝参与本项目政府采购活动【查询渠道：“信用中国”网站（www.creditchina.gov.cn）、中国政府采购网（</w:t>
      </w:r>
      <w:r>
        <w:rPr>
          <w:rFonts w:hint="eastAsia" w:ascii="宋体" w:hAnsi="宋体" w:cs="宋体"/>
          <w:color w:val="auto"/>
          <w:kern w:val="0"/>
          <w:sz w:val="24"/>
          <w:highlight w:val="none"/>
        </w:rPr>
        <w:fldChar w:fldCharType="begin"/>
      </w:r>
      <w:r>
        <w:rPr>
          <w:rFonts w:hint="eastAsia" w:ascii="宋体" w:hAnsi="宋体" w:cs="宋体"/>
          <w:color w:val="auto"/>
          <w:kern w:val="0"/>
          <w:sz w:val="24"/>
          <w:highlight w:val="none"/>
        </w:rPr>
        <w:instrText xml:space="preserve"> HYPERLINK "http://www.ccgp.gov.cn）】" </w:instrText>
      </w:r>
      <w:r>
        <w:rPr>
          <w:rFonts w:hint="eastAsia" w:ascii="宋体" w:hAnsi="宋体" w:cs="宋体"/>
          <w:color w:val="auto"/>
          <w:kern w:val="0"/>
          <w:sz w:val="24"/>
          <w:highlight w:val="none"/>
        </w:rPr>
        <w:fldChar w:fldCharType="separate"/>
      </w:r>
      <w:r>
        <w:rPr>
          <w:rStyle w:val="69"/>
          <w:rFonts w:hint="eastAsia" w:ascii="宋体" w:hAnsi="宋体" w:cs="宋体"/>
          <w:color w:val="auto"/>
          <w:kern w:val="0"/>
          <w:sz w:val="24"/>
          <w:highlight w:val="none"/>
        </w:rPr>
        <w:t>www.ccgp.gov.cn）】</w:t>
      </w:r>
      <w:r>
        <w:rPr>
          <w:rFonts w:hint="eastAsia" w:ascii="宋体" w:hAnsi="宋体" w:cs="宋体"/>
          <w:color w:val="auto"/>
          <w:kern w:val="0"/>
          <w:sz w:val="24"/>
          <w:highlight w:val="none"/>
        </w:rPr>
        <w:fldChar w:fldCharType="end"/>
      </w:r>
      <w:r>
        <w:rPr>
          <w:rFonts w:hint="eastAsia" w:ascii="宋体" w:hAnsi="宋体" w:cs="宋体"/>
          <w:color w:val="auto"/>
          <w:kern w:val="0"/>
          <w:sz w:val="24"/>
          <w:highlight w:val="none"/>
        </w:rPr>
        <w:t>。</w:t>
      </w:r>
    </w:p>
    <w:p>
      <w:pPr>
        <w:widowControl/>
        <w:spacing w:line="44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4.供应商不得存在下列情形之一：</w:t>
      </w:r>
    </w:p>
    <w:p>
      <w:pPr>
        <w:widowControl/>
        <w:spacing w:line="44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4.1与采购人、采购代理机构存在隶属关系或者其他利害关系。</w:t>
      </w:r>
    </w:p>
    <w:p>
      <w:pPr>
        <w:widowControl/>
        <w:spacing w:line="44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4.2与其他供应商的法定代表人或企业负责人（或者负责人）为同一人；或者与其他供应商存在控股、关联关系；为采购项目提供整体审计、规范编制或者项目管理、监理、检测等服务的供应商，不得再参加本项目的采购活动。</w:t>
      </w:r>
    </w:p>
    <w:p>
      <w:pPr>
        <w:widowControl/>
        <w:spacing w:line="440" w:lineRule="exact"/>
        <w:ind w:firstLine="482" w:firstLineChars="200"/>
        <w:jc w:val="left"/>
        <w:rPr>
          <w:rFonts w:ascii="宋体" w:hAnsi="宋体" w:cs="宋体"/>
          <w:b/>
          <w:color w:val="auto"/>
          <w:kern w:val="0"/>
          <w:sz w:val="24"/>
          <w:highlight w:val="none"/>
        </w:rPr>
      </w:pPr>
      <w:r>
        <w:rPr>
          <w:rFonts w:hint="eastAsia" w:ascii="宋体" w:hAnsi="宋体" w:cs="宋体"/>
          <w:b/>
          <w:color w:val="auto"/>
          <w:kern w:val="0"/>
          <w:sz w:val="24"/>
          <w:highlight w:val="none"/>
        </w:rPr>
        <w:t>三、获取招标文件</w:t>
      </w:r>
    </w:p>
    <w:p>
      <w:pPr>
        <w:widowControl/>
        <w:spacing w:line="44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时间：2023年08月</w:t>
      </w:r>
      <w:r>
        <w:rPr>
          <w:rFonts w:hint="eastAsia" w:ascii="宋体" w:hAnsi="宋体" w:cs="宋体"/>
          <w:color w:val="auto"/>
          <w:kern w:val="0"/>
          <w:sz w:val="24"/>
          <w:highlight w:val="none"/>
          <w:lang w:val="en-US" w:eastAsia="zh-CN"/>
        </w:rPr>
        <w:t>19</w:t>
      </w:r>
      <w:r>
        <w:rPr>
          <w:rFonts w:hint="eastAsia" w:ascii="宋体" w:hAnsi="宋体" w:cs="宋体"/>
          <w:color w:val="auto"/>
          <w:kern w:val="0"/>
          <w:sz w:val="24"/>
          <w:highlight w:val="none"/>
        </w:rPr>
        <w:t>日至2023年08月</w:t>
      </w:r>
      <w:r>
        <w:rPr>
          <w:rFonts w:hint="eastAsia" w:ascii="宋体" w:hAnsi="宋体" w:cs="宋体"/>
          <w:color w:val="auto"/>
          <w:kern w:val="0"/>
          <w:sz w:val="24"/>
          <w:highlight w:val="none"/>
          <w:lang w:val="en-US" w:eastAsia="zh-CN"/>
        </w:rPr>
        <w:t>25</w:t>
      </w:r>
      <w:r>
        <w:rPr>
          <w:rFonts w:hint="eastAsia" w:ascii="宋体" w:hAnsi="宋体" w:cs="宋体"/>
          <w:color w:val="auto"/>
          <w:kern w:val="0"/>
          <w:sz w:val="24"/>
          <w:highlight w:val="none"/>
        </w:rPr>
        <w:t>日，每天上午</w:t>
      </w:r>
      <w:r>
        <w:rPr>
          <w:rFonts w:hint="eastAsia" w:ascii="宋体" w:hAnsi="宋体" w:cs="宋体"/>
          <w:color w:val="auto"/>
          <w:kern w:val="0"/>
          <w:sz w:val="24"/>
          <w:highlight w:val="none"/>
          <w:lang w:val="en-US" w:eastAsia="zh-CN"/>
        </w:rPr>
        <w:t>0</w:t>
      </w:r>
      <w:r>
        <w:rPr>
          <w:rFonts w:hint="eastAsia" w:ascii="宋体" w:hAnsi="宋体" w:cs="宋体"/>
          <w:color w:val="auto"/>
          <w:kern w:val="0"/>
          <w:sz w:val="24"/>
          <w:highlight w:val="none"/>
        </w:rPr>
        <w:t>0:00至1</w:t>
      </w:r>
      <w:r>
        <w:rPr>
          <w:rFonts w:hint="eastAsia" w:ascii="宋体" w:hAnsi="宋体" w:cs="宋体"/>
          <w:color w:val="auto"/>
          <w:kern w:val="0"/>
          <w:sz w:val="24"/>
          <w:highlight w:val="none"/>
          <w:lang w:val="en-US" w:eastAsia="zh-CN"/>
        </w:rPr>
        <w:t>2</w:t>
      </w:r>
      <w:r>
        <w:rPr>
          <w:rFonts w:hint="eastAsia" w:ascii="宋体" w:hAnsi="宋体" w:cs="宋体"/>
          <w:color w:val="auto"/>
          <w:kern w:val="0"/>
          <w:sz w:val="24"/>
          <w:highlight w:val="none"/>
        </w:rPr>
        <w:t>:</w:t>
      </w:r>
      <w:r>
        <w:rPr>
          <w:rFonts w:hint="eastAsia" w:ascii="宋体" w:hAnsi="宋体" w:cs="宋体"/>
          <w:color w:val="auto"/>
          <w:kern w:val="0"/>
          <w:sz w:val="24"/>
          <w:highlight w:val="none"/>
          <w:lang w:val="en-US" w:eastAsia="zh-CN"/>
        </w:rPr>
        <w:t>0</w:t>
      </w:r>
      <w:r>
        <w:rPr>
          <w:rFonts w:hint="eastAsia" w:ascii="宋体" w:hAnsi="宋体" w:cs="宋体"/>
          <w:color w:val="auto"/>
          <w:kern w:val="0"/>
          <w:sz w:val="24"/>
          <w:highlight w:val="none"/>
        </w:rPr>
        <w:t>0，下午1</w:t>
      </w:r>
      <w:r>
        <w:rPr>
          <w:rFonts w:hint="eastAsia" w:ascii="宋体" w:hAnsi="宋体" w:cs="宋体"/>
          <w:color w:val="auto"/>
          <w:kern w:val="0"/>
          <w:sz w:val="24"/>
          <w:highlight w:val="none"/>
          <w:lang w:val="en-US" w:eastAsia="zh-CN"/>
        </w:rPr>
        <w:t>2</w:t>
      </w:r>
      <w:r>
        <w:rPr>
          <w:rFonts w:hint="eastAsia" w:ascii="宋体" w:hAnsi="宋体" w:cs="宋体"/>
          <w:color w:val="auto"/>
          <w:kern w:val="0"/>
          <w:sz w:val="24"/>
          <w:highlight w:val="none"/>
        </w:rPr>
        <w:t>:</w:t>
      </w:r>
      <w:r>
        <w:rPr>
          <w:rFonts w:hint="eastAsia" w:ascii="宋体" w:hAnsi="宋体" w:cs="宋体"/>
          <w:color w:val="auto"/>
          <w:kern w:val="0"/>
          <w:sz w:val="24"/>
          <w:highlight w:val="none"/>
          <w:lang w:val="en-US" w:eastAsia="zh-CN"/>
        </w:rPr>
        <w:t>0</w:t>
      </w:r>
      <w:r>
        <w:rPr>
          <w:rFonts w:hint="eastAsia" w:ascii="宋体" w:hAnsi="宋体" w:cs="宋体"/>
          <w:color w:val="auto"/>
          <w:kern w:val="0"/>
          <w:sz w:val="24"/>
          <w:highlight w:val="none"/>
        </w:rPr>
        <w:t>0至</w:t>
      </w:r>
      <w:r>
        <w:rPr>
          <w:rFonts w:hint="eastAsia" w:ascii="宋体" w:hAnsi="宋体" w:cs="宋体"/>
          <w:color w:val="auto"/>
          <w:kern w:val="0"/>
          <w:sz w:val="24"/>
          <w:highlight w:val="none"/>
          <w:lang w:val="en-US" w:eastAsia="zh-CN"/>
        </w:rPr>
        <w:t>23</w:t>
      </w:r>
      <w:r>
        <w:rPr>
          <w:rFonts w:hint="eastAsia" w:ascii="宋体" w:hAnsi="宋体" w:cs="宋体"/>
          <w:color w:val="auto"/>
          <w:kern w:val="0"/>
          <w:sz w:val="24"/>
          <w:highlight w:val="none"/>
        </w:rPr>
        <w:t>:</w:t>
      </w:r>
      <w:r>
        <w:rPr>
          <w:rFonts w:hint="eastAsia" w:ascii="宋体" w:hAnsi="宋体" w:cs="宋体"/>
          <w:color w:val="auto"/>
          <w:kern w:val="0"/>
          <w:sz w:val="24"/>
          <w:highlight w:val="none"/>
          <w:lang w:val="en-US" w:eastAsia="zh-CN"/>
        </w:rPr>
        <w:t>59</w:t>
      </w:r>
      <w:r>
        <w:rPr>
          <w:rFonts w:hint="eastAsia" w:ascii="宋体" w:hAnsi="宋体" w:cs="宋体"/>
          <w:color w:val="auto"/>
          <w:kern w:val="0"/>
          <w:sz w:val="24"/>
          <w:highlight w:val="none"/>
        </w:rPr>
        <w:t>（北京时间，法定节假日除外）</w:t>
      </w:r>
    </w:p>
    <w:p>
      <w:pPr>
        <w:widowControl/>
        <w:spacing w:line="44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地点：线上方式获取。</w:t>
      </w:r>
    </w:p>
    <w:p>
      <w:pPr>
        <w:widowControl/>
        <w:spacing w:line="44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获取方式：投标人登陆政采云系统平台（https://www.zcygov.cn/）进入“项目采购”栏目，在获取采购文件菜单中选择所要获取采购文件的项目，申请获取采购文件。</w:t>
      </w:r>
    </w:p>
    <w:p>
      <w:pPr>
        <w:widowControl/>
        <w:spacing w:line="44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售价（元）：0</w:t>
      </w:r>
    </w:p>
    <w:p>
      <w:pPr>
        <w:widowControl/>
        <w:spacing w:line="440" w:lineRule="exact"/>
        <w:ind w:firstLine="482" w:firstLineChars="200"/>
        <w:jc w:val="left"/>
        <w:rPr>
          <w:rFonts w:ascii="宋体" w:hAnsi="宋体" w:cs="宋体"/>
          <w:b/>
          <w:color w:val="auto"/>
          <w:kern w:val="0"/>
          <w:sz w:val="24"/>
          <w:highlight w:val="none"/>
        </w:rPr>
      </w:pPr>
      <w:r>
        <w:rPr>
          <w:rFonts w:hint="eastAsia" w:ascii="宋体" w:hAnsi="宋体" w:cs="宋体"/>
          <w:b/>
          <w:color w:val="auto"/>
          <w:kern w:val="0"/>
          <w:sz w:val="24"/>
          <w:highlight w:val="none"/>
        </w:rPr>
        <w:t>四、提交投标文件截止时间、开标时间和地点</w:t>
      </w:r>
    </w:p>
    <w:p>
      <w:pPr>
        <w:widowControl/>
        <w:spacing w:line="44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提交投标文件截止时间：2023年0</w:t>
      </w:r>
      <w:r>
        <w:rPr>
          <w:rFonts w:hint="eastAsia" w:ascii="宋体" w:hAnsi="宋体" w:cs="宋体"/>
          <w:color w:val="auto"/>
          <w:kern w:val="0"/>
          <w:sz w:val="24"/>
          <w:highlight w:val="none"/>
          <w:lang w:val="en-US" w:eastAsia="zh-CN"/>
        </w:rPr>
        <w:t>9</w:t>
      </w:r>
      <w:r>
        <w:rPr>
          <w:rFonts w:hint="eastAsia" w:ascii="宋体" w:hAnsi="宋体" w:cs="宋体"/>
          <w:color w:val="auto"/>
          <w:kern w:val="0"/>
          <w:sz w:val="24"/>
          <w:highlight w:val="none"/>
        </w:rPr>
        <w:t>月</w:t>
      </w:r>
      <w:r>
        <w:rPr>
          <w:rFonts w:hint="eastAsia" w:ascii="宋体" w:hAnsi="宋体" w:cs="宋体"/>
          <w:color w:val="auto"/>
          <w:kern w:val="0"/>
          <w:sz w:val="24"/>
          <w:highlight w:val="none"/>
          <w:lang w:val="en-US" w:eastAsia="zh-CN"/>
        </w:rPr>
        <w:t>14</w:t>
      </w:r>
      <w:r>
        <w:rPr>
          <w:rFonts w:hint="eastAsia" w:ascii="宋体" w:hAnsi="宋体" w:cs="宋体"/>
          <w:color w:val="auto"/>
          <w:kern w:val="0"/>
          <w:sz w:val="24"/>
          <w:highlight w:val="none"/>
        </w:rPr>
        <w:t>日11:00时（北京时间）</w:t>
      </w:r>
    </w:p>
    <w:p>
      <w:pPr>
        <w:widowControl/>
        <w:spacing w:line="440" w:lineRule="exact"/>
        <w:ind w:firstLine="480" w:firstLineChars="200"/>
        <w:jc w:val="left"/>
        <w:rPr>
          <w:rFonts w:ascii="宋体" w:hAnsi="宋体" w:cs="宋体"/>
          <w:b/>
          <w:color w:val="auto"/>
          <w:kern w:val="0"/>
          <w:sz w:val="24"/>
          <w:highlight w:val="none"/>
        </w:rPr>
      </w:pPr>
      <w:r>
        <w:rPr>
          <w:rFonts w:hint="eastAsia" w:ascii="宋体" w:hAnsi="宋体" w:cs="宋体"/>
          <w:color w:val="auto"/>
          <w:kern w:val="0"/>
          <w:sz w:val="24"/>
          <w:highlight w:val="none"/>
        </w:rPr>
        <w:t>投标地点：</w:t>
      </w:r>
      <w:r>
        <w:rPr>
          <w:rFonts w:hint="eastAsia" w:ascii="宋体" w:hAnsi="宋体" w:cs="宋体"/>
          <w:bCs/>
          <w:color w:val="auto"/>
          <w:kern w:val="0"/>
          <w:sz w:val="24"/>
          <w:highlight w:val="none"/>
        </w:rPr>
        <w:t>线上递交，通过</w:t>
      </w:r>
      <w:r>
        <w:rPr>
          <w:rFonts w:ascii="宋体" w:hAnsi="宋体" w:cs="宋体"/>
          <w:color w:val="auto"/>
          <w:sz w:val="24"/>
          <w:highlight w:val="none"/>
        </w:rPr>
        <w:t>政采云平台https://www.zcygov.cn/</w:t>
      </w:r>
      <w:r>
        <w:rPr>
          <w:rFonts w:hint="eastAsia" w:ascii="宋体" w:hAnsi="宋体" w:cs="宋体"/>
          <w:bCs/>
          <w:color w:val="auto"/>
          <w:kern w:val="0"/>
          <w:sz w:val="24"/>
          <w:highlight w:val="none"/>
        </w:rPr>
        <w:t>登录后，将</w:t>
      </w:r>
      <w:r>
        <w:rPr>
          <w:rFonts w:hint="eastAsia" w:ascii="宋体" w:hAnsi="宋体" w:cs="宋体"/>
          <w:bCs/>
          <w:color w:val="auto"/>
          <w:kern w:val="0"/>
          <w:sz w:val="24"/>
          <w:highlight w:val="none"/>
          <w:lang w:val="zh-CN"/>
        </w:rPr>
        <w:t>电子</w:t>
      </w:r>
      <w:r>
        <w:rPr>
          <w:rFonts w:hint="eastAsia" w:ascii="宋体" w:hAnsi="宋体" w:cs="宋体"/>
          <w:bCs/>
          <w:color w:val="auto"/>
          <w:kern w:val="0"/>
          <w:sz w:val="24"/>
          <w:highlight w:val="none"/>
        </w:rPr>
        <w:t>投标文件上</w:t>
      </w:r>
      <w:r>
        <w:rPr>
          <w:rFonts w:hint="eastAsia" w:ascii="宋体" w:hAnsi="宋体" w:cs="宋体"/>
          <w:bCs/>
          <w:color w:val="auto"/>
          <w:kern w:val="0"/>
          <w:sz w:val="24"/>
          <w:highlight w:val="none"/>
          <w:lang w:val="zh-CN"/>
        </w:rPr>
        <w:t>传到</w:t>
      </w:r>
      <w:r>
        <w:rPr>
          <w:rFonts w:hint="eastAsia" w:ascii="宋体" w:hAnsi="宋体" w:cs="宋体"/>
          <w:bCs/>
          <w:color w:val="auto"/>
          <w:kern w:val="0"/>
          <w:sz w:val="24"/>
          <w:highlight w:val="none"/>
        </w:rPr>
        <w:t>对应项目的的</w:t>
      </w:r>
      <w:r>
        <w:rPr>
          <w:rFonts w:hint="eastAsia" w:ascii="宋体" w:hAnsi="宋体" w:cs="宋体"/>
          <w:bCs/>
          <w:color w:val="auto"/>
          <w:kern w:val="0"/>
          <w:sz w:val="24"/>
          <w:highlight w:val="none"/>
          <w:lang w:val="zh-CN"/>
        </w:rPr>
        <w:t>指定</w:t>
      </w:r>
      <w:r>
        <w:rPr>
          <w:rFonts w:hint="eastAsia" w:ascii="宋体" w:hAnsi="宋体" w:cs="宋体"/>
          <w:bCs/>
          <w:color w:val="auto"/>
          <w:kern w:val="0"/>
          <w:sz w:val="24"/>
          <w:highlight w:val="none"/>
        </w:rPr>
        <w:t>位置。</w:t>
      </w:r>
    </w:p>
    <w:p>
      <w:pPr>
        <w:widowControl/>
        <w:spacing w:line="44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开标时间：2023年0</w:t>
      </w:r>
      <w:r>
        <w:rPr>
          <w:rFonts w:hint="eastAsia" w:ascii="宋体" w:hAnsi="宋体" w:cs="宋体"/>
          <w:color w:val="auto"/>
          <w:kern w:val="0"/>
          <w:sz w:val="24"/>
          <w:highlight w:val="none"/>
          <w:lang w:val="en-US" w:eastAsia="zh-CN"/>
        </w:rPr>
        <w:t>9</w:t>
      </w:r>
      <w:r>
        <w:rPr>
          <w:rFonts w:hint="eastAsia" w:ascii="宋体" w:hAnsi="宋体" w:cs="宋体"/>
          <w:color w:val="auto"/>
          <w:kern w:val="0"/>
          <w:sz w:val="24"/>
          <w:highlight w:val="none"/>
        </w:rPr>
        <w:t>月</w:t>
      </w:r>
      <w:r>
        <w:rPr>
          <w:rFonts w:hint="eastAsia" w:ascii="宋体" w:hAnsi="宋体" w:cs="宋体"/>
          <w:color w:val="auto"/>
          <w:kern w:val="0"/>
          <w:sz w:val="24"/>
          <w:highlight w:val="none"/>
          <w:lang w:val="en-US" w:eastAsia="zh-CN"/>
        </w:rPr>
        <w:t>14</w:t>
      </w:r>
      <w:r>
        <w:rPr>
          <w:rFonts w:hint="eastAsia" w:ascii="宋体" w:hAnsi="宋体" w:cs="宋体"/>
          <w:color w:val="auto"/>
          <w:kern w:val="0"/>
          <w:sz w:val="24"/>
          <w:highlight w:val="none"/>
        </w:rPr>
        <w:t>日11:00时（北京时间）</w:t>
      </w:r>
    </w:p>
    <w:p>
      <w:pPr>
        <w:widowControl/>
        <w:spacing w:line="460" w:lineRule="exact"/>
        <w:ind w:firstLine="480" w:firstLineChars="200"/>
        <w:jc w:val="left"/>
        <w:rPr>
          <w:rFonts w:ascii="宋体" w:hAnsi="宋体" w:cs="宋体"/>
          <w:b/>
          <w:color w:val="auto"/>
          <w:kern w:val="0"/>
          <w:sz w:val="24"/>
          <w:highlight w:val="none"/>
        </w:rPr>
      </w:pPr>
      <w:r>
        <w:rPr>
          <w:rFonts w:hint="eastAsia" w:ascii="宋体" w:hAnsi="宋体" w:cs="宋体"/>
          <w:color w:val="auto"/>
          <w:kern w:val="0"/>
          <w:sz w:val="24"/>
          <w:highlight w:val="none"/>
        </w:rPr>
        <w:t>开标地点：</w:t>
      </w:r>
      <w:r>
        <w:rPr>
          <w:rFonts w:hint="eastAsia" w:ascii="宋体" w:hAnsi="宋体" w:cs="宋体"/>
          <w:bCs/>
          <w:color w:val="auto"/>
          <w:kern w:val="0"/>
          <w:sz w:val="24"/>
          <w:highlight w:val="none"/>
        </w:rPr>
        <w:t>政采云平台https://www.zcygov.cn/</w:t>
      </w:r>
    </w:p>
    <w:p>
      <w:pPr>
        <w:widowControl/>
        <w:spacing w:line="480" w:lineRule="exact"/>
        <w:ind w:firstLine="482" w:firstLineChars="200"/>
        <w:jc w:val="left"/>
        <w:rPr>
          <w:rFonts w:ascii="宋体" w:hAnsi="宋体" w:cs="宋体"/>
          <w:b/>
          <w:color w:val="auto"/>
          <w:kern w:val="0"/>
          <w:sz w:val="24"/>
          <w:highlight w:val="none"/>
        </w:rPr>
      </w:pPr>
      <w:r>
        <w:rPr>
          <w:rFonts w:hint="eastAsia" w:ascii="宋体" w:hAnsi="宋体" w:cs="宋体"/>
          <w:b/>
          <w:color w:val="auto"/>
          <w:kern w:val="0"/>
          <w:sz w:val="24"/>
          <w:highlight w:val="none"/>
        </w:rPr>
        <w:t>五、公告期限</w:t>
      </w:r>
    </w:p>
    <w:p>
      <w:pPr>
        <w:widowControl/>
        <w:spacing w:line="48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自本公告发布之日起5个工作日。</w:t>
      </w:r>
    </w:p>
    <w:p>
      <w:pPr>
        <w:widowControl/>
        <w:spacing w:line="480" w:lineRule="exact"/>
        <w:ind w:firstLine="482" w:firstLineChars="200"/>
        <w:jc w:val="left"/>
        <w:rPr>
          <w:rFonts w:ascii="宋体" w:hAnsi="宋体" w:cs="宋体"/>
          <w:b/>
          <w:color w:val="auto"/>
          <w:kern w:val="0"/>
          <w:sz w:val="24"/>
          <w:highlight w:val="none"/>
        </w:rPr>
      </w:pPr>
      <w:r>
        <w:rPr>
          <w:rFonts w:hint="eastAsia" w:ascii="宋体" w:hAnsi="宋体" w:cs="宋体"/>
          <w:b/>
          <w:color w:val="auto"/>
          <w:kern w:val="0"/>
          <w:sz w:val="24"/>
          <w:highlight w:val="none"/>
        </w:rPr>
        <w:t>六、其他补充事宜</w:t>
      </w:r>
    </w:p>
    <w:p>
      <w:pPr>
        <w:widowControl/>
        <w:wordWrap w:val="0"/>
        <w:spacing w:line="480" w:lineRule="exact"/>
        <w:ind w:firstLine="480" w:firstLineChars="200"/>
        <w:jc w:val="left"/>
        <w:rPr>
          <w:rFonts w:hint="eastAsia" w:ascii="宋体" w:hAnsi="宋体" w:cs="宋体"/>
          <w:color w:val="auto"/>
          <w:kern w:val="0"/>
          <w:sz w:val="24"/>
          <w:highlight w:val="none"/>
          <w:lang w:val="en-US" w:eastAsia="zh-CN"/>
        </w:rPr>
      </w:pPr>
      <w:r>
        <w:rPr>
          <w:rFonts w:hint="eastAsia" w:ascii="宋体" w:hAnsi="宋体" w:cs="宋体"/>
          <w:color w:val="auto"/>
          <w:kern w:val="0"/>
          <w:sz w:val="24"/>
          <w:highlight w:val="none"/>
          <w:lang w:val="en-US" w:eastAsia="zh-CN"/>
        </w:rPr>
        <w:t>1、本项目实行网上投标，采用电子投标文件。若供应商参与投标，自行承担投标一切费用。</w:t>
      </w:r>
    </w:p>
    <w:p>
      <w:pPr>
        <w:widowControl/>
        <w:wordWrap w:val="0"/>
        <w:spacing w:line="480" w:lineRule="exact"/>
        <w:ind w:firstLine="480" w:firstLineChars="200"/>
        <w:jc w:val="left"/>
        <w:rPr>
          <w:rFonts w:hint="eastAsia" w:ascii="宋体" w:hAnsi="宋体" w:cs="宋体"/>
          <w:color w:val="auto"/>
          <w:kern w:val="0"/>
          <w:sz w:val="24"/>
          <w:highlight w:val="none"/>
          <w:lang w:val="en-US" w:eastAsia="zh-CN"/>
        </w:rPr>
      </w:pPr>
      <w:r>
        <w:rPr>
          <w:rFonts w:hint="eastAsia" w:ascii="宋体" w:hAnsi="宋体" w:cs="宋体"/>
          <w:color w:val="auto"/>
          <w:kern w:val="0"/>
          <w:sz w:val="24"/>
          <w:highlight w:val="none"/>
          <w:lang w:val="en-US" w:eastAsia="zh-CN"/>
        </w:rPr>
        <w:t>2、各供应商应在开标前应确保成为新疆维吾尔自治区政府采购网正式注册入库供应商，并完成CA数字证书申领。因未注册入库、未办理CA数字证书等原因造成无法投标或投标失败等后果由供应商自行承担。</w:t>
      </w:r>
    </w:p>
    <w:p>
      <w:pPr>
        <w:widowControl/>
        <w:wordWrap w:val="0"/>
        <w:spacing w:line="480" w:lineRule="exact"/>
        <w:ind w:firstLine="480" w:firstLineChars="200"/>
        <w:jc w:val="left"/>
        <w:rPr>
          <w:rFonts w:hint="eastAsia" w:ascii="宋体" w:hAnsi="宋体" w:cs="宋体"/>
          <w:color w:val="auto"/>
          <w:kern w:val="0"/>
          <w:sz w:val="24"/>
          <w:highlight w:val="none"/>
          <w:lang w:val="en-US" w:eastAsia="zh-CN"/>
        </w:rPr>
      </w:pPr>
      <w:r>
        <w:rPr>
          <w:rFonts w:hint="eastAsia" w:ascii="宋体" w:hAnsi="宋体" w:cs="宋体"/>
          <w:color w:val="auto"/>
          <w:kern w:val="0"/>
          <w:sz w:val="24"/>
          <w:highlight w:val="none"/>
          <w:lang w:val="en-US" w:eastAsia="zh-CN"/>
        </w:rPr>
        <w:t>3、供应商将政采云电子交易客户端下载、安装完成后，可通过账号密码或CA登录客户端进行投标文件制作。在使用政采云投标客户端时，建议使用WIN7及以上操作系统。客户端请至新疆政府采购网（http://www.ccgp-xinjiang.gov.cn/）下载专区查看，如有问题可拨打政采云客户服务热线95763进行咨询。</w:t>
      </w:r>
    </w:p>
    <w:p>
      <w:pPr>
        <w:widowControl/>
        <w:wordWrap w:val="0"/>
        <w:spacing w:line="48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lang w:val="en-US" w:eastAsia="zh-CN"/>
        </w:rPr>
        <w:t>4、有意向参与新疆区域电子开评标的供应商，可访问新疆数字证书认证中心官方网站（https://www.xjca.com.cn/）或下载“新疆政务通”APP自行进行申领。如需咨询，请联系新疆CA服务热线0991-2819290</w:t>
      </w:r>
    </w:p>
    <w:p>
      <w:pPr>
        <w:widowControl/>
        <w:spacing w:line="480" w:lineRule="exact"/>
        <w:ind w:firstLine="482" w:firstLineChars="200"/>
        <w:jc w:val="left"/>
        <w:rPr>
          <w:rFonts w:ascii="宋体" w:hAnsi="宋体" w:cs="宋体"/>
          <w:b/>
          <w:bCs/>
          <w:color w:val="auto"/>
          <w:kern w:val="0"/>
          <w:sz w:val="24"/>
          <w:highlight w:val="none"/>
        </w:rPr>
      </w:pPr>
      <w:r>
        <w:rPr>
          <w:rFonts w:hint="eastAsia" w:ascii="宋体" w:hAnsi="宋体" w:cs="宋体"/>
          <w:b/>
          <w:bCs/>
          <w:color w:val="auto"/>
          <w:kern w:val="0"/>
          <w:sz w:val="24"/>
          <w:highlight w:val="none"/>
        </w:rPr>
        <w:t>七、对本次采购提出询问，请按以下方式联系</w:t>
      </w:r>
    </w:p>
    <w:p>
      <w:pPr>
        <w:widowControl/>
        <w:spacing w:line="48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1.采购人信息</w:t>
      </w:r>
    </w:p>
    <w:p>
      <w:pPr>
        <w:widowControl/>
        <w:spacing w:line="48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名 称：新疆维吾尔自治区生态环境监测总站</w:t>
      </w:r>
    </w:p>
    <w:p>
      <w:pPr>
        <w:widowControl/>
        <w:spacing w:line="48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地 址：乌鲁木齐市高新区（新市区）二工乡空港三街1818号</w:t>
      </w:r>
    </w:p>
    <w:p>
      <w:pPr>
        <w:widowControl/>
        <w:spacing w:line="48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项目联系人：杨焕明</w:t>
      </w:r>
    </w:p>
    <w:p>
      <w:pPr>
        <w:widowControl/>
        <w:spacing w:line="48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项目联系方式：18999179586 </w:t>
      </w:r>
    </w:p>
    <w:p>
      <w:pPr>
        <w:widowControl/>
        <w:spacing w:line="48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2.采购代理机构信息</w:t>
      </w:r>
    </w:p>
    <w:p>
      <w:pPr>
        <w:widowControl/>
        <w:spacing w:line="48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名 称：</w:t>
      </w:r>
      <w:r>
        <w:rPr>
          <w:rFonts w:hint="eastAsia" w:ascii="宋体" w:hAnsi="宋体" w:cs="宋体"/>
          <w:color w:val="auto"/>
          <w:sz w:val="24"/>
          <w:highlight w:val="none"/>
        </w:rPr>
        <w:t>新疆东南项目管理有限公司</w:t>
      </w:r>
    </w:p>
    <w:p>
      <w:pPr>
        <w:widowControl/>
        <w:spacing w:line="48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地 址：</w:t>
      </w:r>
      <w:r>
        <w:rPr>
          <w:rFonts w:hint="eastAsia" w:ascii="宋体" w:hAnsi="宋体" w:cs="宋体"/>
          <w:color w:val="auto"/>
          <w:sz w:val="24"/>
          <w:highlight w:val="none"/>
        </w:rPr>
        <w:t>新疆维吾尔自治区乌鲁木齐市水磨沟区绿城广场1B39楼</w:t>
      </w:r>
    </w:p>
    <w:p>
      <w:pPr>
        <w:widowControl/>
        <w:spacing w:line="48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项目联系人：朱丽清</w:t>
      </w:r>
    </w:p>
    <w:p>
      <w:pPr>
        <w:widowControl/>
        <w:spacing w:line="48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项目联系方式：</w:t>
      </w:r>
      <w:r>
        <w:rPr>
          <w:rFonts w:hint="eastAsia" w:ascii="宋体" w:eastAsia="宋体"/>
          <w:color w:val="auto"/>
          <w:kern w:val="2"/>
          <w:sz w:val="24"/>
          <w:szCs w:val="22"/>
          <w:highlight w:val="none"/>
        </w:rPr>
        <w:t>0991-4826287</w:t>
      </w:r>
      <w:r>
        <w:rPr>
          <w:rFonts w:hint="eastAsia" w:ascii="宋体" w:hAnsi="宋体" w:cs="宋体"/>
          <w:color w:val="auto"/>
          <w:kern w:val="0"/>
          <w:sz w:val="24"/>
          <w:highlight w:val="none"/>
        </w:rPr>
        <w:t xml:space="preserve"> </w:t>
      </w:r>
    </w:p>
    <w:p>
      <w:pPr>
        <w:widowControl/>
        <w:jc w:val="left"/>
        <w:rPr>
          <w:rFonts w:ascii="宋体" w:hAnsi="宋体"/>
          <w:b/>
          <w:color w:val="auto"/>
          <w:sz w:val="32"/>
          <w:szCs w:val="32"/>
          <w:highlight w:val="none"/>
        </w:rPr>
      </w:pPr>
    </w:p>
    <w:p>
      <w:pPr>
        <w:pStyle w:val="57"/>
        <w:tabs>
          <w:tab w:val="left" w:pos="3780"/>
        </w:tabs>
        <w:rPr>
          <w:color w:val="auto"/>
          <w:highlight w:val="none"/>
        </w:rPr>
      </w:pPr>
      <w:r>
        <w:rPr>
          <w:color w:val="auto"/>
          <w:highlight w:val="none"/>
        </w:rPr>
        <w:br w:type="page"/>
      </w:r>
      <w:bookmarkStart w:id="1" w:name="_Toc15470"/>
      <w:r>
        <w:rPr>
          <w:color w:val="auto"/>
          <w:highlight w:val="none"/>
        </w:rPr>
        <w:t>第二章  投标须知前附表及投标须知</w:t>
      </w:r>
      <w:bookmarkEnd w:id="1"/>
    </w:p>
    <w:p>
      <w:pPr>
        <w:shd w:val="clear" w:color="auto" w:fill="FFFFFF"/>
        <w:autoSpaceDE w:val="0"/>
        <w:autoSpaceDN w:val="0"/>
        <w:adjustRightInd w:val="0"/>
        <w:spacing w:line="360" w:lineRule="exact"/>
        <w:jc w:val="center"/>
        <w:outlineLvl w:val="1"/>
        <w:rPr>
          <w:rFonts w:ascii="宋体" w:hAnsi="宋体"/>
          <w:b/>
          <w:bCs/>
          <w:color w:val="auto"/>
          <w:kern w:val="0"/>
          <w:sz w:val="28"/>
          <w:szCs w:val="28"/>
          <w:highlight w:val="none"/>
        </w:rPr>
      </w:pPr>
      <w:bookmarkStart w:id="2" w:name="_Toc9402"/>
      <w:r>
        <w:rPr>
          <w:rFonts w:ascii="宋体" w:hAnsi="宋体"/>
          <w:b/>
          <w:bCs/>
          <w:color w:val="auto"/>
          <w:kern w:val="0"/>
          <w:sz w:val="28"/>
          <w:szCs w:val="28"/>
          <w:highlight w:val="none"/>
        </w:rPr>
        <w:t>一、投标须知前附表</w:t>
      </w:r>
      <w:bookmarkEnd w:id="2"/>
    </w:p>
    <w:p>
      <w:pPr>
        <w:shd w:val="clear" w:color="auto" w:fill="FFFFFF"/>
        <w:autoSpaceDE w:val="0"/>
        <w:autoSpaceDN w:val="0"/>
        <w:adjustRightInd w:val="0"/>
        <w:spacing w:line="360" w:lineRule="exact"/>
        <w:jc w:val="center"/>
        <w:rPr>
          <w:rFonts w:ascii="宋体" w:hAnsi="宋体"/>
          <w:b/>
          <w:bCs/>
          <w:color w:val="auto"/>
          <w:kern w:val="0"/>
          <w:sz w:val="28"/>
          <w:szCs w:val="28"/>
          <w:highlight w:val="none"/>
        </w:rPr>
      </w:pPr>
    </w:p>
    <w:tbl>
      <w:tblPr>
        <w:tblStyle w:val="61"/>
        <w:tblW w:w="993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13"/>
        <w:gridCol w:w="1996"/>
        <w:gridCol w:w="723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713" w:type="dxa"/>
            <w:tcBorders>
              <w:top w:val="single" w:color="auto" w:sz="12" w:space="0"/>
              <w:left w:val="single" w:color="auto" w:sz="12" w:space="0"/>
              <w:bottom w:val="single" w:color="auto" w:sz="4" w:space="0"/>
              <w:right w:val="single" w:color="auto" w:sz="4" w:space="0"/>
            </w:tcBorders>
            <w:vAlign w:val="center"/>
          </w:tcPr>
          <w:p>
            <w:pPr>
              <w:shd w:val="clear" w:color="auto" w:fill="FFFFFF"/>
              <w:autoSpaceDE w:val="0"/>
              <w:autoSpaceDN w:val="0"/>
              <w:spacing w:line="360" w:lineRule="exact"/>
              <w:jc w:val="center"/>
              <w:rPr>
                <w:rFonts w:ascii="宋体" w:hAnsi="宋体"/>
                <w:bCs/>
                <w:color w:val="auto"/>
                <w:kern w:val="0"/>
                <w:sz w:val="24"/>
                <w:highlight w:val="none"/>
              </w:rPr>
            </w:pPr>
            <w:r>
              <w:rPr>
                <w:rFonts w:ascii="宋体" w:hAnsi="宋体"/>
                <w:bCs/>
                <w:color w:val="auto"/>
                <w:kern w:val="0"/>
                <w:sz w:val="24"/>
                <w:highlight w:val="none"/>
              </w:rPr>
              <w:t>项号</w:t>
            </w:r>
          </w:p>
        </w:tc>
        <w:tc>
          <w:tcPr>
            <w:tcW w:w="1996" w:type="dxa"/>
            <w:tcBorders>
              <w:top w:val="single" w:color="auto" w:sz="12" w:space="0"/>
              <w:left w:val="single" w:color="auto" w:sz="4" w:space="0"/>
              <w:bottom w:val="single" w:color="auto" w:sz="4" w:space="0"/>
              <w:right w:val="single" w:color="auto" w:sz="4" w:space="0"/>
            </w:tcBorders>
            <w:vAlign w:val="center"/>
          </w:tcPr>
          <w:p>
            <w:pPr>
              <w:shd w:val="clear" w:color="auto" w:fill="FFFFFF"/>
              <w:autoSpaceDE w:val="0"/>
              <w:autoSpaceDN w:val="0"/>
              <w:spacing w:line="360" w:lineRule="exact"/>
              <w:jc w:val="center"/>
              <w:rPr>
                <w:rFonts w:ascii="宋体" w:hAnsi="宋体"/>
                <w:bCs/>
                <w:color w:val="auto"/>
                <w:kern w:val="0"/>
                <w:sz w:val="24"/>
                <w:highlight w:val="none"/>
              </w:rPr>
            </w:pPr>
            <w:r>
              <w:rPr>
                <w:rFonts w:ascii="宋体" w:hAnsi="宋体"/>
                <w:bCs/>
                <w:color w:val="auto"/>
                <w:kern w:val="0"/>
                <w:sz w:val="24"/>
                <w:highlight w:val="none"/>
              </w:rPr>
              <w:t>内  容</w:t>
            </w:r>
          </w:p>
        </w:tc>
        <w:tc>
          <w:tcPr>
            <w:tcW w:w="7230" w:type="dxa"/>
            <w:tcBorders>
              <w:top w:val="single" w:color="auto" w:sz="12" w:space="0"/>
              <w:left w:val="single" w:color="auto" w:sz="4" w:space="0"/>
              <w:bottom w:val="single" w:color="auto" w:sz="4" w:space="0"/>
              <w:right w:val="single" w:color="auto" w:sz="12" w:space="0"/>
            </w:tcBorders>
            <w:vAlign w:val="center"/>
          </w:tcPr>
          <w:p>
            <w:pPr>
              <w:shd w:val="clear" w:color="auto" w:fill="FFFFFF"/>
              <w:autoSpaceDE w:val="0"/>
              <w:autoSpaceDN w:val="0"/>
              <w:spacing w:line="360" w:lineRule="exact"/>
              <w:jc w:val="center"/>
              <w:rPr>
                <w:rFonts w:ascii="宋体" w:hAnsi="宋体"/>
                <w:bCs/>
                <w:color w:val="auto"/>
                <w:kern w:val="0"/>
                <w:sz w:val="24"/>
                <w:highlight w:val="none"/>
              </w:rPr>
            </w:pPr>
            <w:r>
              <w:rPr>
                <w:rFonts w:ascii="宋体" w:hAnsi="宋体"/>
                <w:bCs/>
                <w:color w:val="auto"/>
                <w:kern w:val="0"/>
                <w:sz w:val="24"/>
                <w:highlight w:val="none"/>
              </w:rPr>
              <w:t>说明及要求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713" w:type="dxa"/>
            <w:vMerge w:val="restart"/>
            <w:tcBorders>
              <w:top w:val="single" w:color="auto" w:sz="4" w:space="0"/>
              <w:left w:val="single" w:color="auto" w:sz="12" w:space="0"/>
              <w:bottom w:val="single" w:color="auto" w:sz="4" w:space="0"/>
              <w:right w:val="single" w:color="auto" w:sz="4" w:space="0"/>
            </w:tcBorders>
            <w:vAlign w:val="center"/>
          </w:tcPr>
          <w:p>
            <w:pPr>
              <w:shd w:val="clear" w:color="auto" w:fill="FFFFFF"/>
              <w:autoSpaceDE w:val="0"/>
              <w:autoSpaceDN w:val="0"/>
              <w:spacing w:line="360" w:lineRule="exact"/>
              <w:jc w:val="center"/>
              <w:rPr>
                <w:rFonts w:ascii="宋体" w:hAnsi="宋体"/>
                <w:color w:val="auto"/>
                <w:kern w:val="0"/>
                <w:sz w:val="24"/>
                <w:highlight w:val="none"/>
              </w:rPr>
            </w:pPr>
            <w:r>
              <w:rPr>
                <w:rFonts w:ascii="宋体" w:hAnsi="宋体"/>
                <w:color w:val="auto"/>
                <w:kern w:val="0"/>
                <w:sz w:val="24"/>
                <w:highlight w:val="none"/>
              </w:rPr>
              <w:t>１</w:t>
            </w:r>
          </w:p>
        </w:tc>
        <w:tc>
          <w:tcPr>
            <w:tcW w:w="1996" w:type="dxa"/>
            <w:tcBorders>
              <w:top w:val="single" w:color="auto" w:sz="4" w:space="0"/>
              <w:left w:val="single" w:color="auto" w:sz="4" w:space="0"/>
              <w:bottom w:val="single" w:color="auto" w:sz="4" w:space="0"/>
              <w:right w:val="single" w:color="auto" w:sz="4" w:space="0"/>
            </w:tcBorders>
            <w:vAlign w:val="center"/>
          </w:tcPr>
          <w:p>
            <w:pPr>
              <w:shd w:val="clear" w:color="auto" w:fill="FFFFFF"/>
              <w:autoSpaceDE w:val="0"/>
              <w:autoSpaceDN w:val="0"/>
              <w:spacing w:line="360" w:lineRule="exact"/>
              <w:jc w:val="center"/>
              <w:rPr>
                <w:rFonts w:ascii="宋体" w:hAnsi="宋体"/>
                <w:bCs/>
                <w:color w:val="auto"/>
                <w:kern w:val="0"/>
                <w:sz w:val="24"/>
                <w:highlight w:val="none"/>
              </w:rPr>
            </w:pPr>
            <w:r>
              <w:rPr>
                <w:rFonts w:ascii="宋体" w:hAnsi="宋体"/>
                <w:bCs/>
                <w:color w:val="auto"/>
                <w:kern w:val="0"/>
                <w:sz w:val="24"/>
                <w:highlight w:val="none"/>
              </w:rPr>
              <w:t>项目名称</w:t>
            </w:r>
          </w:p>
        </w:tc>
        <w:tc>
          <w:tcPr>
            <w:tcW w:w="7230" w:type="dxa"/>
            <w:tcBorders>
              <w:top w:val="single" w:color="auto" w:sz="4" w:space="0"/>
              <w:left w:val="single" w:color="auto" w:sz="4" w:space="0"/>
              <w:bottom w:val="single" w:color="auto" w:sz="4" w:space="0"/>
              <w:right w:val="single" w:color="auto" w:sz="12" w:space="0"/>
            </w:tcBorders>
            <w:vAlign w:val="center"/>
          </w:tcPr>
          <w:p>
            <w:pPr>
              <w:shd w:val="clear" w:color="auto" w:fill="FFFFFF"/>
              <w:autoSpaceDE w:val="0"/>
              <w:autoSpaceDN w:val="0"/>
              <w:spacing w:line="360" w:lineRule="exact"/>
              <w:rPr>
                <w:rFonts w:ascii="宋体" w:hAnsi="宋体"/>
                <w:bCs/>
                <w:color w:val="auto"/>
                <w:spacing w:val="-4"/>
                <w:kern w:val="0"/>
                <w:sz w:val="24"/>
                <w:highlight w:val="none"/>
              </w:rPr>
            </w:pPr>
            <w:r>
              <w:rPr>
                <w:rFonts w:hint="eastAsia" w:ascii="宋体" w:hAnsi="宋体" w:cs="宋体"/>
                <w:color w:val="auto"/>
                <w:sz w:val="24"/>
                <w:highlight w:val="none"/>
              </w:rPr>
              <w:t>2023年中央耕地建设与利用资金（购置土壤监测设备）项目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713" w:type="dxa"/>
            <w:vMerge w:val="continue"/>
            <w:tcBorders>
              <w:top w:val="single" w:color="auto" w:sz="4" w:space="0"/>
              <w:left w:val="single" w:color="auto" w:sz="12" w:space="0"/>
              <w:bottom w:val="single" w:color="auto" w:sz="4" w:space="0"/>
              <w:right w:val="single" w:color="auto" w:sz="4" w:space="0"/>
            </w:tcBorders>
            <w:vAlign w:val="center"/>
          </w:tcPr>
          <w:p>
            <w:pPr>
              <w:shd w:val="clear" w:color="auto" w:fill="FFFFFF"/>
              <w:autoSpaceDE w:val="0"/>
              <w:autoSpaceDN w:val="0"/>
              <w:spacing w:line="360" w:lineRule="exact"/>
              <w:jc w:val="center"/>
              <w:rPr>
                <w:rFonts w:ascii="宋体" w:hAnsi="宋体"/>
                <w:color w:val="auto"/>
                <w:kern w:val="0"/>
                <w:sz w:val="24"/>
                <w:highlight w:val="none"/>
              </w:rPr>
            </w:pPr>
          </w:p>
        </w:tc>
        <w:tc>
          <w:tcPr>
            <w:tcW w:w="1996" w:type="dxa"/>
            <w:tcBorders>
              <w:top w:val="single" w:color="auto" w:sz="4" w:space="0"/>
              <w:left w:val="single" w:color="auto" w:sz="4" w:space="0"/>
              <w:bottom w:val="single" w:color="auto" w:sz="4" w:space="0"/>
              <w:right w:val="single" w:color="auto" w:sz="4" w:space="0"/>
            </w:tcBorders>
            <w:vAlign w:val="center"/>
          </w:tcPr>
          <w:p>
            <w:pPr>
              <w:shd w:val="clear" w:color="auto" w:fill="FFFFFF"/>
              <w:autoSpaceDE w:val="0"/>
              <w:autoSpaceDN w:val="0"/>
              <w:spacing w:line="360" w:lineRule="exact"/>
              <w:jc w:val="center"/>
              <w:rPr>
                <w:rFonts w:ascii="宋体" w:hAnsi="宋体"/>
                <w:bCs/>
                <w:color w:val="auto"/>
                <w:kern w:val="0"/>
                <w:sz w:val="24"/>
                <w:highlight w:val="none"/>
              </w:rPr>
            </w:pPr>
            <w:r>
              <w:rPr>
                <w:rFonts w:ascii="宋体" w:hAnsi="宋体" w:cs="Arial"/>
                <w:color w:val="auto"/>
                <w:sz w:val="24"/>
                <w:highlight w:val="none"/>
              </w:rPr>
              <w:t>项目编号</w:t>
            </w:r>
          </w:p>
        </w:tc>
        <w:tc>
          <w:tcPr>
            <w:tcW w:w="7230" w:type="dxa"/>
            <w:tcBorders>
              <w:top w:val="single" w:color="auto" w:sz="4" w:space="0"/>
              <w:left w:val="single" w:color="auto" w:sz="4" w:space="0"/>
              <w:bottom w:val="single" w:color="auto" w:sz="4" w:space="0"/>
              <w:right w:val="single" w:color="auto" w:sz="12" w:space="0"/>
            </w:tcBorders>
            <w:vAlign w:val="center"/>
          </w:tcPr>
          <w:p>
            <w:pPr>
              <w:shd w:val="clear" w:color="auto" w:fill="FFFFFF"/>
              <w:autoSpaceDE w:val="0"/>
              <w:autoSpaceDN w:val="0"/>
              <w:spacing w:line="360" w:lineRule="exact"/>
              <w:rPr>
                <w:rFonts w:hint="default" w:ascii="宋体" w:hAnsi="宋体" w:eastAsia="宋体" w:cs="Arial"/>
                <w:color w:val="auto"/>
                <w:sz w:val="24"/>
                <w:highlight w:val="none"/>
                <w:lang w:val="en-US" w:eastAsia="zh-CN"/>
              </w:rPr>
            </w:pPr>
            <w:r>
              <w:rPr>
                <w:rFonts w:hint="eastAsia" w:ascii="宋体" w:hAnsi="宋体" w:cs="Arial"/>
                <w:color w:val="auto"/>
                <w:sz w:val="24"/>
                <w:highlight w:val="none"/>
              </w:rPr>
              <w:t>XJDN-2023-0</w:t>
            </w:r>
            <w:r>
              <w:rPr>
                <w:rFonts w:hint="eastAsia" w:ascii="宋体" w:hAnsi="宋体" w:cs="Arial"/>
                <w:color w:val="auto"/>
                <w:sz w:val="24"/>
                <w:highlight w:val="none"/>
                <w:lang w:val="en-US" w:eastAsia="zh-CN"/>
              </w:rPr>
              <w:t>14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9" w:hRule="atLeast"/>
          <w:jc w:val="center"/>
        </w:trPr>
        <w:tc>
          <w:tcPr>
            <w:tcW w:w="713" w:type="dxa"/>
            <w:vMerge w:val="continue"/>
            <w:tcBorders>
              <w:top w:val="single" w:color="auto" w:sz="4" w:space="0"/>
              <w:left w:val="single" w:color="auto" w:sz="12" w:space="0"/>
              <w:bottom w:val="single" w:color="auto" w:sz="4" w:space="0"/>
              <w:right w:val="single" w:color="auto" w:sz="4" w:space="0"/>
            </w:tcBorders>
            <w:vAlign w:val="center"/>
          </w:tcPr>
          <w:p>
            <w:pPr>
              <w:shd w:val="clear" w:color="auto" w:fill="FFFFFF"/>
              <w:autoSpaceDE w:val="0"/>
              <w:autoSpaceDN w:val="0"/>
              <w:spacing w:line="360" w:lineRule="exact"/>
              <w:jc w:val="center"/>
              <w:rPr>
                <w:rFonts w:ascii="宋体" w:hAnsi="宋体"/>
                <w:color w:val="auto"/>
                <w:kern w:val="0"/>
                <w:sz w:val="24"/>
                <w:highlight w:val="none"/>
              </w:rPr>
            </w:pPr>
          </w:p>
        </w:tc>
        <w:tc>
          <w:tcPr>
            <w:tcW w:w="1996" w:type="dxa"/>
            <w:tcBorders>
              <w:top w:val="single" w:color="auto" w:sz="4" w:space="0"/>
              <w:left w:val="single" w:color="auto" w:sz="4" w:space="0"/>
              <w:bottom w:val="single" w:color="auto" w:sz="4" w:space="0"/>
              <w:right w:val="single" w:color="auto" w:sz="4" w:space="0"/>
            </w:tcBorders>
            <w:vAlign w:val="center"/>
          </w:tcPr>
          <w:p>
            <w:pPr>
              <w:shd w:val="clear" w:color="auto" w:fill="FFFFFF"/>
              <w:autoSpaceDE w:val="0"/>
              <w:autoSpaceDN w:val="0"/>
              <w:spacing w:line="360" w:lineRule="exact"/>
              <w:jc w:val="center"/>
              <w:rPr>
                <w:rFonts w:ascii="宋体" w:hAnsi="宋体"/>
                <w:bCs/>
                <w:color w:val="auto"/>
                <w:kern w:val="0"/>
                <w:sz w:val="24"/>
                <w:highlight w:val="none"/>
              </w:rPr>
            </w:pPr>
            <w:r>
              <w:rPr>
                <w:rFonts w:ascii="宋体" w:hAnsi="宋体"/>
                <w:bCs/>
                <w:color w:val="auto"/>
                <w:kern w:val="0"/>
                <w:sz w:val="24"/>
                <w:highlight w:val="none"/>
              </w:rPr>
              <w:t>采购方式</w:t>
            </w:r>
          </w:p>
        </w:tc>
        <w:tc>
          <w:tcPr>
            <w:tcW w:w="7230" w:type="dxa"/>
            <w:tcBorders>
              <w:top w:val="single" w:color="auto" w:sz="4" w:space="0"/>
              <w:left w:val="single" w:color="auto" w:sz="4" w:space="0"/>
              <w:bottom w:val="single" w:color="auto" w:sz="4" w:space="0"/>
              <w:right w:val="single" w:color="auto" w:sz="12" w:space="0"/>
            </w:tcBorders>
            <w:vAlign w:val="center"/>
          </w:tcPr>
          <w:p>
            <w:pPr>
              <w:shd w:val="clear" w:color="auto" w:fill="FFFFFF"/>
              <w:autoSpaceDE w:val="0"/>
              <w:autoSpaceDN w:val="0"/>
              <w:spacing w:line="360" w:lineRule="exact"/>
              <w:rPr>
                <w:rFonts w:ascii="宋体" w:hAnsi="宋体"/>
                <w:bCs/>
                <w:color w:val="auto"/>
                <w:kern w:val="0"/>
                <w:sz w:val="24"/>
                <w:highlight w:val="none"/>
              </w:rPr>
            </w:pPr>
            <w:r>
              <w:rPr>
                <w:rFonts w:ascii="宋体" w:hAnsi="宋体"/>
                <w:bCs/>
                <w:color w:val="auto"/>
                <w:kern w:val="0"/>
                <w:sz w:val="24"/>
                <w:highlight w:val="none"/>
              </w:rPr>
              <w:t>公开招标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9" w:hRule="atLeast"/>
          <w:jc w:val="center"/>
        </w:trPr>
        <w:tc>
          <w:tcPr>
            <w:tcW w:w="713" w:type="dxa"/>
            <w:vMerge w:val="continue"/>
            <w:tcBorders>
              <w:top w:val="single" w:color="auto" w:sz="4" w:space="0"/>
              <w:left w:val="single" w:color="auto" w:sz="12" w:space="0"/>
              <w:bottom w:val="single" w:color="auto" w:sz="4" w:space="0"/>
              <w:right w:val="single" w:color="auto" w:sz="4" w:space="0"/>
            </w:tcBorders>
            <w:vAlign w:val="center"/>
          </w:tcPr>
          <w:p>
            <w:pPr>
              <w:shd w:val="clear" w:color="auto" w:fill="FFFFFF"/>
              <w:autoSpaceDE w:val="0"/>
              <w:autoSpaceDN w:val="0"/>
              <w:spacing w:line="360" w:lineRule="exact"/>
              <w:jc w:val="center"/>
              <w:rPr>
                <w:rFonts w:ascii="宋体" w:hAnsi="宋体"/>
                <w:color w:val="auto"/>
                <w:kern w:val="0"/>
                <w:sz w:val="24"/>
                <w:highlight w:val="none"/>
              </w:rPr>
            </w:pPr>
          </w:p>
        </w:tc>
        <w:tc>
          <w:tcPr>
            <w:tcW w:w="1996" w:type="dxa"/>
            <w:tcBorders>
              <w:top w:val="single" w:color="auto" w:sz="4" w:space="0"/>
              <w:left w:val="single" w:color="auto" w:sz="4" w:space="0"/>
              <w:bottom w:val="single" w:color="auto" w:sz="4" w:space="0"/>
              <w:right w:val="single" w:color="auto" w:sz="4" w:space="0"/>
            </w:tcBorders>
            <w:vAlign w:val="center"/>
          </w:tcPr>
          <w:p>
            <w:pPr>
              <w:shd w:val="clear" w:color="auto" w:fill="FFFFFF"/>
              <w:autoSpaceDE w:val="0"/>
              <w:autoSpaceDN w:val="0"/>
              <w:spacing w:line="360" w:lineRule="exact"/>
              <w:jc w:val="center"/>
              <w:rPr>
                <w:rFonts w:ascii="宋体" w:hAnsi="宋体"/>
                <w:bCs/>
                <w:color w:val="auto"/>
                <w:kern w:val="0"/>
                <w:sz w:val="24"/>
                <w:highlight w:val="none"/>
              </w:rPr>
            </w:pPr>
            <w:r>
              <w:rPr>
                <w:rFonts w:ascii="宋体" w:hAnsi="宋体"/>
                <w:bCs/>
                <w:color w:val="auto"/>
                <w:kern w:val="0"/>
                <w:sz w:val="24"/>
                <w:highlight w:val="none"/>
              </w:rPr>
              <w:t>资金来源</w:t>
            </w:r>
          </w:p>
        </w:tc>
        <w:tc>
          <w:tcPr>
            <w:tcW w:w="7230" w:type="dxa"/>
            <w:tcBorders>
              <w:top w:val="single" w:color="auto" w:sz="4" w:space="0"/>
              <w:left w:val="single" w:color="auto" w:sz="4" w:space="0"/>
              <w:bottom w:val="single" w:color="auto" w:sz="4" w:space="0"/>
              <w:right w:val="single" w:color="auto" w:sz="12" w:space="0"/>
            </w:tcBorders>
            <w:vAlign w:val="center"/>
          </w:tcPr>
          <w:p>
            <w:pPr>
              <w:shd w:val="clear" w:color="auto" w:fill="FFFFFF"/>
              <w:autoSpaceDE w:val="0"/>
              <w:autoSpaceDN w:val="0"/>
              <w:spacing w:line="360" w:lineRule="exact"/>
              <w:rPr>
                <w:rFonts w:ascii="宋体" w:hAnsi="宋体"/>
                <w:bCs/>
                <w:color w:val="auto"/>
                <w:kern w:val="0"/>
                <w:sz w:val="24"/>
                <w:highlight w:val="none"/>
              </w:rPr>
            </w:pPr>
            <w:r>
              <w:rPr>
                <w:rFonts w:ascii="宋体" w:hAnsi="宋体" w:cs="Arial"/>
                <w:color w:val="auto"/>
                <w:sz w:val="24"/>
                <w:highlight w:val="none"/>
              </w:rPr>
              <w:t>财政性资金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9" w:hRule="atLeast"/>
          <w:jc w:val="center"/>
        </w:trPr>
        <w:tc>
          <w:tcPr>
            <w:tcW w:w="713" w:type="dxa"/>
            <w:vMerge w:val="continue"/>
            <w:tcBorders>
              <w:top w:val="single" w:color="auto" w:sz="4" w:space="0"/>
              <w:left w:val="single" w:color="auto" w:sz="12" w:space="0"/>
              <w:bottom w:val="single" w:color="auto" w:sz="4" w:space="0"/>
              <w:right w:val="single" w:color="auto" w:sz="4" w:space="0"/>
            </w:tcBorders>
            <w:vAlign w:val="center"/>
          </w:tcPr>
          <w:p>
            <w:pPr>
              <w:shd w:val="clear" w:color="auto" w:fill="FFFFFF"/>
              <w:autoSpaceDE w:val="0"/>
              <w:autoSpaceDN w:val="0"/>
              <w:spacing w:line="360" w:lineRule="exact"/>
              <w:jc w:val="center"/>
              <w:rPr>
                <w:rFonts w:ascii="宋体" w:hAnsi="宋体"/>
                <w:color w:val="auto"/>
                <w:kern w:val="0"/>
                <w:sz w:val="24"/>
                <w:highlight w:val="none"/>
              </w:rPr>
            </w:pPr>
          </w:p>
        </w:tc>
        <w:tc>
          <w:tcPr>
            <w:tcW w:w="1996" w:type="dxa"/>
            <w:tcBorders>
              <w:top w:val="single" w:color="auto" w:sz="4" w:space="0"/>
              <w:left w:val="single" w:color="auto" w:sz="4" w:space="0"/>
              <w:bottom w:val="single" w:color="auto" w:sz="4" w:space="0"/>
              <w:right w:val="single" w:color="auto" w:sz="4" w:space="0"/>
            </w:tcBorders>
            <w:vAlign w:val="center"/>
          </w:tcPr>
          <w:p>
            <w:pPr>
              <w:shd w:val="clear" w:color="auto" w:fill="FFFFFF"/>
              <w:autoSpaceDE w:val="0"/>
              <w:autoSpaceDN w:val="0"/>
              <w:spacing w:line="360" w:lineRule="exact"/>
              <w:jc w:val="center"/>
              <w:rPr>
                <w:rFonts w:ascii="宋体" w:hAnsi="宋体"/>
                <w:bCs/>
                <w:color w:val="auto"/>
                <w:kern w:val="0"/>
                <w:sz w:val="24"/>
                <w:highlight w:val="none"/>
              </w:rPr>
            </w:pPr>
            <w:r>
              <w:rPr>
                <w:rFonts w:ascii="宋体" w:hAnsi="宋体"/>
                <w:bCs/>
                <w:color w:val="auto"/>
                <w:kern w:val="0"/>
                <w:sz w:val="24"/>
                <w:highlight w:val="none"/>
              </w:rPr>
              <w:t>资格审查方式</w:t>
            </w:r>
          </w:p>
        </w:tc>
        <w:tc>
          <w:tcPr>
            <w:tcW w:w="7230" w:type="dxa"/>
            <w:tcBorders>
              <w:top w:val="single" w:color="auto" w:sz="4" w:space="0"/>
              <w:left w:val="single" w:color="auto" w:sz="4" w:space="0"/>
              <w:bottom w:val="single" w:color="auto" w:sz="4" w:space="0"/>
              <w:right w:val="single" w:color="auto" w:sz="12" w:space="0"/>
            </w:tcBorders>
            <w:vAlign w:val="center"/>
          </w:tcPr>
          <w:p>
            <w:pPr>
              <w:shd w:val="clear" w:color="auto" w:fill="FFFFFF"/>
              <w:autoSpaceDE w:val="0"/>
              <w:autoSpaceDN w:val="0"/>
              <w:spacing w:line="360" w:lineRule="exact"/>
              <w:rPr>
                <w:rFonts w:ascii="宋体" w:hAnsi="宋体"/>
                <w:bCs/>
                <w:color w:val="auto"/>
                <w:kern w:val="0"/>
                <w:sz w:val="24"/>
                <w:highlight w:val="none"/>
              </w:rPr>
            </w:pPr>
            <w:r>
              <w:rPr>
                <w:rFonts w:ascii="宋体" w:hAnsi="宋体"/>
                <w:bCs/>
                <w:color w:val="auto"/>
                <w:kern w:val="0"/>
                <w:sz w:val="24"/>
                <w:highlight w:val="none"/>
              </w:rPr>
              <w:t>资格后审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9" w:hRule="atLeast"/>
          <w:jc w:val="center"/>
        </w:trPr>
        <w:tc>
          <w:tcPr>
            <w:tcW w:w="713" w:type="dxa"/>
            <w:vMerge w:val="continue"/>
            <w:tcBorders>
              <w:top w:val="single" w:color="auto" w:sz="4" w:space="0"/>
              <w:left w:val="single" w:color="auto" w:sz="12" w:space="0"/>
              <w:bottom w:val="single" w:color="auto" w:sz="4" w:space="0"/>
              <w:right w:val="single" w:color="auto" w:sz="4" w:space="0"/>
            </w:tcBorders>
            <w:vAlign w:val="center"/>
          </w:tcPr>
          <w:p>
            <w:pPr>
              <w:shd w:val="clear" w:color="auto" w:fill="FFFFFF"/>
              <w:autoSpaceDE w:val="0"/>
              <w:autoSpaceDN w:val="0"/>
              <w:spacing w:line="360" w:lineRule="exact"/>
              <w:jc w:val="center"/>
              <w:rPr>
                <w:rFonts w:ascii="宋体" w:hAnsi="宋体"/>
                <w:color w:val="auto"/>
                <w:kern w:val="0"/>
                <w:sz w:val="24"/>
                <w:highlight w:val="none"/>
              </w:rPr>
            </w:pPr>
          </w:p>
        </w:tc>
        <w:tc>
          <w:tcPr>
            <w:tcW w:w="1996" w:type="dxa"/>
            <w:tcBorders>
              <w:top w:val="single" w:color="auto" w:sz="4" w:space="0"/>
              <w:left w:val="single" w:color="auto" w:sz="4" w:space="0"/>
              <w:bottom w:val="single" w:color="auto" w:sz="4" w:space="0"/>
              <w:right w:val="single" w:color="auto" w:sz="4" w:space="0"/>
            </w:tcBorders>
            <w:vAlign w:val="center"/>
          </w:tcPr>
          <w:p>
            <w:pPr>
              <w:shd w:val="clear" w:color="auto" w:fill="FFFFFF"/>
              <w:autoSpaceDE w:val="0"/>
              <w:autoSpaceDN w:val="0"/>
              <w:spacing w:line="360" w:lineRule="exact"/>
              <w:jc w:val="center"/>
              <w:rPr>
                <w:rFonts w:ascii="宋体" w:hAnsi="宋体"/>
                <w:bCs/>
                <w:color w:val="auto"/>
                <w:kern w:val="0"/>
                <w:sz w:val="24"/>
                <w:highlight w:val="none"/>
              </w:rPr>
            </w:pPr>
            <w:r>
              <w:rPr>
                <w:rFonts w:ascii="宋体" w:hAnsi="宋体"/>
                <w:bCs/>
                <w:color w:val="auto"/>
                <w:kern w:val="0"/>
                <w:sz w:val="24"/>
                <w:highlight w:val="none"/>
              </w:rPr>
              <w:t>采购内容</w:t>
            </w:r>
          </w:p>
        </w:tc>
        <w:tc>
          <w:tcPr>
            <w:tcW w:w="7230" w:type="dxa"/>
            <w:tcBorders>
              <w:top w:val="single" w:color="auto" w:sz="4" w:space="0"/>
              <w:left w:val="single" w:color="auto" w:sz="4" w:space="0"/>
              <w:bottom w:val="single" w:color="auto" w:sz="4" w:space="0"/>
              <w:right w:val="single" w:color="auto" w:sz="12" w:space="0"/>
            </w:tcBorders>
            <w:vAlign w:val="center"/>
          </w:tcPr>
          <w:p>
            <w:pPr>
              <w:shd w:val="clear" w:color="auto" w:fill="FFFFFF"/>
              <w:autoSpaceDE w:val="0"/>
              <w:autoSpaceDN w:val="0"/>
              <w:spacing w:line="360" w:lineRule="exact"/>
              <w:rPr>
                <w:rFonts w:hint="eastAsia" w:ascii="宋体" w:hAnsi="宋体" w:eastAsia="宋体" w:cs="Arial"/>
                <w:color w:val="auto"/>
                <w:sz w:val="24"/>
                <w:highlight w:val="none"/>
                <w:lang w:eastAsia="zh-CN"/>
              </w:rPr>
            </w:pPr>
            <w:r>
              <w:rPr>
                <w:rFonts w:hint="eastAsia" w:ascii="宋体" w:hAnsi="宋体" w:eastAsia="宋体" w:cs="Arial"/>
                <w:color w:val="auto"/>
                <w:sz w:val="24"/>
                <w:highlight w:val="none"/>
                <w:lang w:eastAsia="zh-CN"/>
              </w:rPr>
              <w:t>标项一、标项二、标项三：</w:t>
            </w:r>
            <w:r>
              <w:rPr>
                <w:rFonts w:hint="eastAsia" w:ascii="宋体" w:hAnsi="宋体" w:eastAsia="宋体" w:cs="Arial"/>
                <w:color w:val="auto"/>
                <w:sz w:val="24"/>
                <w:highlight w:val="none"/>
              </w:rPr>
              <w:t>购置一批土壤监测设备</w:t>
            </w:r>
            <w:r>
              <w:rPr>
                <w:rFonts w:hint="eastAsia" w:ascii="宋体" w:hAnsi="宋体" w:eastAsia="宋体" w:cs="Arial"/>
                <w:color w:val="auto"/>
                <w:sz w:val="24"/>
                <w:highlight w:val="none"/>
                <w:lang w:eastAsia="zh-CN"/>
              </w:rPr>
              <w:t>，详见采购需求</w:t>
            </w:r>
          </w:p>
          <w:p>
            <w:pPr>
              <w:pStyle w:val="71"/>
              <w:ind w:left="0" w:leftChars="0" w:firstLine="0" w:firstLineChars="0"/>
              <w:rPr>
                <w:color w:val="auto"/>
                <w:highlight w:val="none"/>
              </w:rPr>
            </w:pPr>
            <w:r>
              <w:rPr>
                <w:rFonts w:hint="eastAsia" w:ascii="宋体" w:hAnsi="宋体" w:eastAsia="宋体" w:cs="宋体"/>
                <w:b/>
                <w:bCs/>
                <w:color w:val="auto"/>
                <w:sz w:val="24"/>
                <w:szCs w:val="24"/>
                <w:highlight w:val="none"/>
                <w:lang w:val="en-US" w:eastAsia="zh-CN"/>
              </w:rPr>
              <w:t>注：供应商须按照标项分别制作投标文件。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713" w:type="dxa"/>
            <w:tcBorders>
              <w:top w:val="single" w:color="auto" w:sz="4" w:space="0"/>
              <w:left w:val="single" w:color="auto" w:sz="12" w:space="0"/>
              <w:bottom w:val="single" w:color="auto" w:sz="4" w:space="0"/>
              <w:right w:val="single" w:color="auto" w:sz="4" w:space="0"/>
            </w:tcBorders>
            <w:vAlign w:val="center"/>
          </w:tcPr>
          <w:p>
            <w:pPr>
              <w:shd w:val="clear" w:color="auto" w:fill="FFFFFF"/>
              <w:autoSpaceDE w:val="0"/>
              <w:autoSpaceDN w:val="0"/>
              <w:spacing w:line="360" w:lineRule="exact"/>
              <w:jc w:val="center"/>
              <w:rPr>
                <w:rFonts w:ascii="宋体" w:hAnsi="宋体"/>
                <w:color w:val="auto"/>
                <w:kern w:val="0"/>
                <w:sz w:val="24"/>
                <w:highlight w:val="none"/>
              </w:rPr>
            </w:pPr>
            <w:r>
              <w:rPr>
                <w:rFonts w:ascii="宋体" w:hAnsi="宋体"/>
                <w:color w:val="auto"/>
                <w:kern w:val="0"/>
                <w:sz w:val="24"/>
                <w:highlight w:val="none"/>
              </w:rPr>
              <w:t>2</w:t>
            </w:r>
          </w:p>
        </w:tc>
        <w:tc>
          <w:tcPr>
            <w:tcW w:w="1996" w:type="dxa"/>
            <w:tcBorders>
              <w:top w:val="single" w:color="auto" w:sz="4" w:space="0"/>
              <w:left w:val="single" w:color="auto" w:sz="4" w:space="0"/>
              <w:bottom w:val="single" w:color="auto" w:sz="4" w:space="0"/>
              <w:right w:val="single" w:color="auto" w:sz="4" w:space="0"/>
            </w:tcBorders>
            <w:vAlign w:val="center"/>
          </w:tcPr>
          <w:p>
            <w:pPr>
              <w:shd w:val="clear" w:color="auto" w:fill="FFFFFF"/>
              <w:autoSpaceDE w:val="0"/>
              <w:autoSpaceDN w:val="0"/>
              <w:spacing w:line="360" w:lineRule="exact"/>
              <w:jc w:val="center"/>
              <w:rPr>
                <w:rFonts w:ascii="宋体" w:hAnsi="宋体"/>
                <w:bCs/>
                <w:color w:val="auto"/>
                <w:kern w:val="0"/>
                <w:sz w:val="24"/>
                <w:highlight w:val="none"/>
              </w:rPr>
            </w:pPr>
            <w:r>
              <w:rPr>
                <w:rFonts w:hint="eastAsia" w:ascii="宋体" w:hAnsi="宋体" w:cs="宋体"/>
                <w:b/>
                <w:bCs/>
                <w:color w:val="auto"/>
                <w:sz w:val="24"/>
                <w:highlight w:val="none"/>
              </w:rPr>
              <w:t>★</w:t>
            </w:r>
            <w:r>
              <w:rPr>
                <w:rFonts w:ascii="宋体" w:hAnsi="宋体"/>
                <w:bCs/>
                <w:color w:val="auto"/>
                <w:kern w:val="0"/>
                <w:sz w:val="24"/>
                <w:highlight w:val="none"/>
              </w:rPr>
              <w:t>预算</w:t>
            </w:r>
            <w:r>
              <w:rPr>
                <w:rFonts w:ascii="宋体" w:hAnsi="宋体" w:cs="Arial"/>
                <w:color w:val="auto"/>
                <w:sz w:val="24"/>
                <w:highlight w:val="none"/>
              </w:rPr>
              <w:t>及最高限价</w:t>
            </w:r>
          </w:p>
        </w:tc>
        <w:tc>
          <w:tcPr>
            <w:tcW w:w="7230" w:type="dxa"/>
            <w:tcBorders>
              <w:top w:val="single" w:color="auto" w:sz="4" w:space="0"/>
              <w:left w:val="single" w:color="auto" w:sz="4" w:space="0"/>
              <w:bottom w:val="single" w:color="auto" w:sz="4" w:space="0"/>
              <w:right w:val="single" w:color="auto" w:sz="12" w:space="0"/>
            </w:tcBorders>
            <w:vAlign w:val="center"/>
          </w:tcPr>
          <w:p>
            <w:pPr>
              <w:widowControl/>
              <w:shd w:val="clear" w:color="auto" w:fill="FFFFFF"/>
              <w:spacing w:line="360" w:lineRule="exact"/>
              <w:rPr>
                <w:rFonts w:hint="eastAsia" w:ascii="宋体" w:hAnsi="宋体" w:cs="Arial"/>
                <w:color w:val="auto"/>
                <w:sz w:val="24"/>
                <w:highlight w:val="none"/>
              </w:rPr>
            </w:pPr>
            <w:r>
              <w:rPr>
                <w:rFonts w:hint="eastAsia" w:ascii="宋体" w:hAnsi="宋体" w:cs="Arial"/>
                <w:color w:val="auto"/>
                <w:sz w:val="24"/>
                <w:highlight w:val="none"/>
              </w:rPr>
              <w:t>标项一</w:t>
            </w:r>
            <w:r>
              <w:rPr>
                <w:rFonts w:ascii="宋体" w:hAnsi="宋体" w:cs="Arial"/>
                <w:color w:val="auto"/>
                <w:sz w:val="24"/>
                <w:highlight w:val="none"/>
              </w:rPr>
              <w:t>采购</w:t>
            </w:r>
            <w:r>
              <w:rPr>
                <w:rFonts w:hint="eastAsia" w:ascii="宋体" w:hAnsi="宋体" w:cs="Arial"/>
                <w:color w:val="auto"/>
                <w:sz w:val="24"/>
                <w:highlight w:val="none"/>
              </w:rPr>
              <w:t>预算：</w:t>
            </w:r>
            <w:r>
              <w:rPr>
                <w:rFonts w:hint="eastAsia" w:ascii="宋体" w:hAnsi="宋体" w:cs="Arial"/>
                <w:color w:val="auto"/>
                <w:kern w:val="0"/>
                <w:sz w:val="24"/>
                <w:highlight w:val="none"/>
                <w:u w:val="single"/>
              </w:rPr>
              <w:t xml:space="preserve">  </w:t>
            </w:r>
            <w:r>
              <w:rPr>
                <w:rFonts w:hint="eastAsia" w:ascii="宋体" w:hAnsi="宋体" w:cs="Arial"/>
                <w:color w:val="auto"/>
                <w:kern w:val="0"/>
                <w:sz w:val="24"/>
                <w:highlight w:val="none"/>
                <w:u w:val="single"/>
                <w:lang w:val="en-US" w:eastAsia="zh-CN"/>
              </w:rPr>
              <w:t>260.00</w:t>
            </w:r>
            <w:r>
              <w:rPr>
                <w:rFonts w:hint="eastAsia" w:ascii="宋体" w:hAnsi="宋体" w:cs="Arial"/>
                <w:color w:val="auto"/>
                <w:kern w:val="0"/>
                <w:sz w:val="24"/>
                <w:highlight w:val="none"/>
                <w:u w:val="single"/>
              </w:rPr>
              <w:t xml:space="preserve"> </w:t>
            </w:r>
            <w:r>
              <w:rPr>
                <w:rFonts w:ascii="宋体" w:hAnsi="宋体" w:cs="Arial"/>
                <w:color w:val="auto"/>
                <w:sz w:val="24"/>
                <w:highlight w:val="none"/>
              </w:rPr>
              <w:t>万元</w:t>
            </w:r>
            <w:r>
              <w:rPr>
                <w:rFonts w:hint="eastAsia" w:ascii="宋体" w:hAnsi="宋体" w:cs="Arial"/>
                <w:color w:val="auto"/>
                <w:sz w:val="24"/>
                <w:highlight w:val="none"/>
              </w:rPr>
              <w:t>，最高限价：</w:t>
            </w:r>
            <w:r>
              <w:rPr>
                <w:rFonts w:hint="eastAsia" w:ascii="宋体" w:hAnsi="宋体" w:cs="Arial"/>
                <w:color w:val="auto"/>
                <w:kern w:val="0"/>
                <w:sz w:val="22"/>
                <w:szCs w:val="22"/>
                <w:highlight w:val="none"/>
                <w:u w:val="single"/>
              </w:rPr>
              <w:t xml:space="preserve"> </w:t>
            </w:r>
            <w:r>
              <w:rPr>
                <w:rFonts w:hint="eastAsia" w:ascii="宋体" w:hAnsi="宋体" w:eastAsia="宋体" w:cs="Arial"/>
                <w:color w:val="auto"/>
                <w:kern w:val="0"/>
                <w:sz w:val="24"/>
                <w:highlight w:val="none"/>
                <w:u w:val="single"/>
              </w:rPr>
              <w:t xml:space="preserve"> </w:t>
            </w:r>
            <w:r>
              <w:rPr>
                <w:rFonts w:hint="eastAsia" w:ascii="宋体" w:hAnsi="宋体" w:eastAsia="宋体" w:cs="Arial"/>
                <w:color w:val="auto"/>
                <w:kern w:val="0"/>
                <w:sz w:val="24"/>
                <w:highlight w:val="none"/>
                <w:u w:val="single"/>
                <w:lang w:val="en-US" w:eastAsia="zh-CN"/>
              </w:rPr>
              <w:t>260.00</w:t>
            </w:r>
            <w:r>
              <w:rPr>
                <w:rFonts w:hint="eastAsia" w:ascii="宋体" w:hAnsi="宋体" w:eastAsia="宋体" w:cs="Arial"/>
                <w:color w:val="auto"/>
                <w:kern w:val="0"/>
                <w:sz w:val="24"/>
                <w:highlight w:val="none"/>
                <w:u w:val="single"/>
              </w:rPr>
              <w:t xml:space="preserve"> </w:t>
            </w:r>
            <w:r>
              <w:rPr>
                <w:rFonts w:hint="eastAsia" w:ascii="宋体" w:hAnsi="宋体" w:cs="Arial"/>
                <w:color w:val="auto"/>
                <w:kern w:val="0"/>
                <w:sz w:val="22"/>
                <w:szCs w:val="22"/>
                <w:highlight w:val="none"/>
                <w:u w:val="single"/>
              </w:rPr>
              <w:t xml:space="preserve"> </w:t>
            </w:r>
            <w:r>
              <w:rPr>
                <w:rFonts w:ascii="宋体" w:hAnsi="宋体" w:cs="Arial"/>
                <w:color w:val="auto"/>
                <w:sz w:val="24"/>
                <w:highlight w:val="none"/>
              </w:rPr>
              <w:t>万元</w:t>
            </w:r>
            <w:r>
              <w:rPr>
                <w:rFonts w:hint="eastAsia" w:ascii="宋体" w:hAnsi="宋体" w:cs="Arial"/>
                <w:color w:val="auto"/>
                <w:sz w:val="24"/>
                <w:highlight w:val="none"/>
              </w:rPr>
              <w:t>；</w:t>
            </w:r>
          </w:p>
          <w:p>
            <w:pPr>
              <w:widowControl/>
              <w:shd w:val="clear" w:color="auto" w:fill="FFFFFF"/>
              <w:spacing w:line="360" w:lineRule="exact"/>
              <w:rPr>
                <w:rFonts w:hint="eastAsia" w:ascii="宋体" w:hAnsi="宋体" w:cs="Arial"/>
                <w:color w:val="auto"/>
                <w:sz w:val="24"/>
                <w:highlight w:val="none"/>
              </w:rPr>
            </w:pPr>
            <w:r>
              <w:rPr>
                <w:rFonts w:hint="eastAsia" w:ascii="宋体" w:hAnsi="宋体" w:cs="Arial"/>
                <w:color w:val="auto"/>
                <w:sz w:val="24"/>
                <w:highlight w:val="none"/>
              </w:rPr>
              <w:t>标项二</w:t>
            </w:r>
            <w:r>
              <w:rPr>
                <w:rFonts w:ascii="宋体" w:hAnsi="宋体" w:cs="Arial"/>
                <w:color w:val="auto"/>
                <w:sz w:val="24"/>
                <w:highlight w:val="none"/>
              </w:rPr>
              <w:t>采购</w:t>
            </w:r>
            <w:r>
              <w:rPr>
                <w:rFonts w:hint="eastAsia" w:ascii="宋体" w:hAnsi="宋体" w:cs="Arial"/>
                <w:color w:val="auto"/>
                <w:sz w:val="24"/>
                <w:highlight w:val="none"/>
              </w:rPr>
              <w:t>预算：</w:t>
            </w:r>
            <w:r>
              <w:rPr>
                <w:rFonts w:hint="eastAsia" w:ascii="宋体" w:hAnsi="宋体" w:cs="Arial"/>
                <w:color w:val="auto"/>
                <w:kern w:val="0"/>
                <w:sz w:val="24"/>
                <w:highlight w:val="none"/>
                <w:u w:val="single"/>
              </w:rPr>
              <w:t xml:space="preserve"> </w:t>
            </w:r>
            <w:r>
              <w:rPr>
                <w:rFonts w:hint="eastAsia" w:ascii="宋体" w:hAnsi="宋体" w:cs="Arial"/>
                <w:color w:val="auto"/>
                <w:kern w:val="0"/>
                <w:sz w:val="24"/>
                <w:highlight w:val="none"/>
                <w:u w:val="single"/>
                <w:lang w:val="en-US" w:eastAsia="zh-CN"/>
              </w:rPr>
              <w:t xml:space="preserve"> 264.70</w:t>
            </w:r>
            <w:r>
              <w:rPr>
                <w:rFonts w:hint="eastAsia" w:ascii="宋体" w:hAnsi="宋体" w:cs="Arial"/>
                <w:color w:val="auto"/>
                <w:kern w:val="0"/>
                <w:sz w:val="24"/>
                <w:highlight w:val="none"/>
                <w:u w:val="single"/>
              </w:rPr>
              <w:t xml:space="preserve"> </w:t>
            </w:r>
            <w:r>
              <w:rPr>
                <w:rFonts w:ascii="宋体" w:hAnsi="宋体" w:cs="Arial"/>
                <w:color w:val="auto"/>
                <w:sz w:val="24"/>
                <w:highlight w:val="none"/>
              </w:rPr>
              <w:t>万元</w:t>
            </w:r>
            <w:r>
              <w:rPr>
                <w:rFonts w:hint="eastAsia" w:ascii="宋体" w:hAnsi="宋体" w:cs="Arial"/>
                <w:color w:val="auto"/>
                <w:sz w:val="24"/>
                <w:highlight w:val="none"/>
              </w:rPr>
              <w:t>，最高限价：</w:t>
            </w:r>
            <w:r>
              <w:rPr>
                <w:rFonts w:hint="eastAsia" w:ascii="宋体" w:hAnsi="宋体" w:cs="Arial"/>
                <w:color w:val="auto"/>
                <w:kern w:val="0"/>
                <w:sz w:val="22"/>
                <w:szCs w:val="22"/>
                <w:highlight w:val="none"/>
                <w:u w:val="single"/>
              </w:rPr>
              <w:t xml:space="preserve">  </w:t>
            </w:r>
            <w:r>
              <w:rPr>
                <w:rFonts w:hint="eastAsia" w:ascii="宋体" w:hAnsi="宋体" w:eastAsia="宋体" w:cs="Arial"/>
                <w:color w:val="auto"/>
                <w:kern w:val="0"/>
                <w:sz w:val="24"/>
                <w:highlight w:val="none"/>
                <w:u w:val="single"/>
                <w:lang w:val="en-US" w:eastAsia="zh-CN"/>
              </w:rPr>
              <w:t>264.70</w:t>
            </w:r>
            <w:r>
              <w:rPr>
                <w:rFonts w:hint="eastAsia" w:ascii="宋体" w:hAnsi="宋体" w:cs="Arial"/>
                <w:color w:val="auto"/>
                <w:kern w:val="0"/>
                <w:sz w:val="22"/>
                <w:szCs w:val="22"/>
                <w:highlight w:val="none"/>
                <w:u w:val="single"/>
              </w:rPr>
              <w:t xml:space="preserve"> </w:t>
            </w:r>
            <w:r>
              <w:rPr>
                <w:rFonts w:ascii="宋体" w:hAnsi="宋体" w:cs="Arial"/>
                <w:color w:val="auto"/>
                <w:sz w:val="24"/>
                <w:highlight w:val="none"/>
              </w:rPr>
              <w:t>万元</w:t>
            </w:r>
            <w:r>
              <w:rPr>
                <w:rFonts w:hint="eastAsia" w:ascii="宋体" w:hAnsi="宋体" w:cs="Arial"/>
                <w:color w:val="auto"/>
                <w:sz w:val="24"/>
                <w:highlight w:val="none"/>
              </w:rPr>
              <w:t>；</w:t>
            </w:r>
          </w:p>
          <w:p>
            <w:pPr>
              <w:widowControl/>
              <w:shd w:val="clear" w:color="auto" w:fill="FFFFFF"/>
              <w:spacing w:line="360" w:lineRule="exact"/>
              <w:rPr>
                <w:rFonts w:hint="eastAsia" w:ascii="宋体" w:hAnsi="宋体" w:cs="Arial"/>
                <w:color w:val="auto"/>
                <w:sz w:val="24"/>
                <w:highlight w:val="none"/>
              </w:rPr>
            </w:pPr>
            <w:r>
              <w:rPr>
                <w:rFonts w:hint="eastAsia" w:ascii="宋体" w:hAnsi="宋体" w:cs="Arial"/>
                <w:color w:val="auto"/>
                <w:sz w:val="24"/>
                <w:highlight w:val="none"/>
              </w:rPr>
              <w:t>标项</w:t>
            </w:r>
            <w:r>
              <w:rPr>
                <w:rFonts w:hint="eastAsia" w:ascii="宋体" w:hAnsi="宋体" w:cs="Arial"/>
                <w:color w:val="auto"/>
                <w:sz w:val="24"/>
                <w:highlight w:val="none"/>
                <w:lang w:eastAsia="zh-CN"/>
              </w:rPr>
              <w:t>三</w:t>
            </w:r>
            <w:r>
              <w:rPr>
                <w:rFonts w:ascii="宋体" w:hAnsi="宋体" w:cs="Arial"/>
                <w:color w:val="auto"/>
                <w:sz w:val="24"/>
                <w:highlight w:val="none"/>
              </w:rPr>
              <w:t>采购</w:t>
            </w:r>
            <w:r>
              <w:rPr>
                <w:rFonts w:hint="eastAsia" w:ascii="宋体" w:hAnsi="宋体" w:cs="Arial"/>
                <w:color w:val="auto"/>
                <w:sz w:val="24"/>
                <w:highlight w:val="none"/>
              </w:rPr>
              <w:t>预算：</w:t>
            </w:r>
            <w:r>
              <w:rPr>
                <w:rFonts w:hint="eastAsia" w:ascii="宋体" w:hAnsi="宋体" w:cs="Arial"/>
                <w:color w:val="auto"/>
                <w:kern w:val="0"/>
                <w:sz w:val="24"/>
                <w:highlight w:val="none"/>
                <w:u w:val="single"/>
              </w:rPr>
              <w:t xml:space="preserve">  </w:t>
            </w:r>
            <w:r>
              <w:rPr>
                <w:rFonts w:hint="eastAsia" w:ascii="宋体" w:hAnsi="宋体" w:cs="Arial"/>
                <w:color w:val="auto"/>
                <w:kern w:val="0"/>
                <w:sz w:val="24"/>
                <w:highlight w:val="none"/>
                <w:u w:val="single"/>
                <w:lang w:val="en-US" w:eastAsia="zh-CN"/>
              </w:rPr>
              <w:t>25.30</w:t>
            </w:r>
            <w:r>
              <w:rPr>
                <w:rFonts w:hint="eastAsia" w:ascii="宋体" w:hAnsi="宋体" w:cs="Arial"/>
                <w:color w:val="auto"/>
                <w:kern w:val="0"/>
                <w:sz w:val="24"/>
                <w:highlight w:val="none"/>
                <w:u w:val="single"/>
              </w:rPr>
              <w:t xml:space="preserve"> </w:t>
            </w:r>
            <w:r>
              <w:rPr>
                <w:rFonts w:ascii="宋体" w:hAnsi="宋体" w:cs="Arial"/>
                <w:color w:val="auto"/>
                <w:sz w:val="24"/>
                <w:highlight w:val="none"/>
              </w:rPr>
              <w:t>万元</w:t>
            </w:r>
            <w:r>
              <w:rPr>
                <w:rFonts w:hint="eastAsia" w:ascii="宋体" w:hAnsi="宋体" w:cs="Arial"/>
                <w:color w:val="auto"/>
                <w:sz w:val="24"/>
                <w:highlight w:val="none"/>
              </w:rPr>
              <w:t>，最高限价：</w:t>
            </w:r>
            <w:r>
              <w:rPr>
                <w:rFonts w:hint="eastAsia" w:ascii="宋体" w:hAnsi="宋体" w:cs="Arial"/>
                <w:color w:val="auto"/>
                <w:kern w:val="0"/>
                <w:sz w:val="22"/>
                <w:szCs w:val="22"/>
                <w:highlight w:val="none"/>
                <w:u w:val="single"/>
              </w:rPr>
              <w:t xml:space="preserve">  </w:t>
            </w:r>
            <w:r>
              <w:rPr>
                <w:rFonts w:hint="eastAsia" w:ascii="宋体" w:hAnsi="宋体" w:cs="Arial"/>
                <w:color w:val="auto"/>
                <w:kern w:val="0"/>
                <w:sz w:val="22"/>
                <w:szCs w:val="22"/>
                <w:highlight w:val="none"/>
                <w:u w:val="single"/>
                <w:lang w:val="en-US" w:eastAsia="zh-CN"/>
              </w:rPr>
              <w:t>25.30</w:t>
            </w:r>
            <w:r>
              <w:rPr>
                <w:rFonts w:hint="eastAsia" w:ascii="宋体" w:hAnsi="宋体" w:cs="Arial"/>
                <w:color w:val="auto"/>
                <w:kern w:val="0"/>
                <w:sz w:val="22"/>
                <w:szCs w:val="22"/>
                <w:highlight w:val="none"/>
                <w:u w:val="single"/>
              </w:rPr>
              <w:t xml:space="preserve"> </w:t>
            </w:r>
            <w:r>
              <w:rPr>
                <w:rFonts w:ascii="宋体" w:hAnsi="宋体" w:cs="Arial"/>
                <w:color w:val="auto"/>
                <w:sz w:val="24"/>
                <w:highlight w:val="none"/>
              </w:rPr>
              <w:t>万元</w:t>
            </w:r>
            <w:r>
              <w:rPr>
                <w:rFonts w:hint="eastAsia" w:ascii="宋体" w:hAnsi="宋体" w:cs="Arial"/>
                <w:color w:val="auto"/>
                <w:sz w:val="24"/>
                <w:highlight w:val="none"/>
              </w:rPr>
              <w:t>；</w:t>
            </w:r>
          </w:p>
          <w:p>
            <w:pPr>
              <w:pStyle w:val="71"/>
              <w:ind w:firstLine="0"/>
              <w:rPr>
                <w:color w:val="auto"/>
                <w:highlight w:val="none"/>
              </w:rPr>
            </w:pPr>
            <w:r>
              <w:rPr>
                <w:rFonts w:hint="eastAsia" w:ascii="宋体" w:hAnsi="宋体" w:eastAsia="宋体" w:cs="宋体"/>
                <w:b/>
                <w:bCs/>
                <w:color w:val="auto"/>
                <w:spacing w:val="0"/>
                <w:sz w:val="24"/>
                <w:szCs w:val="24"/>
                <w:highlight w:val="none"/>
              </w:rPr>
              <w:t>供应商</w:t>
            </w:r>
            <w:r>
              <w:rPr>
                <w:rFonts w:hint="eastAsia" w:ascii="宋体" w:hAnsi="宋体" w:eastAsia="宋体" w:cs="宋体"/>
                <w:b/>
                <w:bCs/>
                <w:color w:val="auto"/>
                <w:spacing w:val="0"/>
                <w:sz w:val="24"/>
                <w:szCs w:val="24"/>
                <w:highlight w:val="none"/>
                <w:lang w:eastAsia="zh-CN"/>
              </w:rPr>
              <w:t>各标项</w:t>
            </w:r>
            <w:r>
              <w:rPr>
                <w:rFonts w:hint="eastAsia" w:ascii="宋体" w:hAnsi="宋体" w:eastAsia="宋体" w:cs="宋体"/>
                <w:b/>
                <w:bCs/>
                <w:color w:val="auto"/>
                <w:spacing w:val="0"/>
                <w:sz w:val="24"/>
                <w:szCs w:val="24"/>
                <w:highlight w:val="none"/>
              </w:rPr>
              <w:t>投标报价若超过本项目采购预算或最高限价的，将视为未实质性响应招标文件要求。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9" w:hRule="atLeast"/>
          <w:jc w:val="center"/>
        </w:trPr>
        <w:tc>
          <w:tcPr>
            <w:tcW w:w="713" w:type="dxa"/>
            <w:tcBorders>
              <w:top w:val="single" w:color="auto" w:sz="4" w:space="0"/>
              <w:left w:val="single" w:color="auto" w:sz="12" w:space="0"/>
              <w:bottom w:val="single" w:color="auto" w:sz="4" w:space="0"/>
              <w:right w:val="single" w:color="auto" w:sz="4" w:space="0"/>
            </w:tcBorders>
            <w:vAlign w:val="center"/>
          </w:tcPr>
          <w:p>
            <w:pPr>
              <w:shd w:val="clear" w:color="auto" w:fill="FFFFFF"/>
              <w:autoSpaceDE w:val="0"/>
              <w:autoSpaceDN w:val="0"/>
              <w:spacing w:line="360" w:lineRule="exact"/>
              <w:jc w:val="center"/>
              <w:rPr>
                <w:rFonts w:ascii="宋体" w:hAnsi="宋体"/>
                <w:color w:val="auto"/>
                <w:kern w:val="0"/>
                <w:sz w:val="24"/>
                <w:highlight w:val="none"/>
              </w:rPr>
            </w:pPr>
            <w:r>
              <w:rPr>
                <w:rFonts w:ascii="宋体" w:hAnsi="宋体"/>
                <w:color w:val="auto"/>
                <w:kern w:val="0"/>
                <w:sz w:val="24"/>
                <w:highlight w:val="none"/>
              </w:rPr>
              <w:t>3</w:t>
            </w:r>
          </w:p>
        </w:tc>
        <w:tc>
          <w:tcPr>
            <w:tcW w:w="1996" w:type="dxa"/>
            <w:tcBorders>
              <w:top w:val="single" w:color="auto" w:sz="4" w:space="0"/>
              <w:left w:val="single" w:color="auto" w:sz="4" w:space="0"/>
              <w:bottom w:val="single" w:color="auto" w:sz="4" w:space="0"/>
              <w:right w:val="single" w:color="auto" w:sz="4" w:space="0"/>
            </w:tcBorders>
            <w:vAlign w:val="center"/>
          </w:tcPr>
          <w:p>
            <w:pPr>
              <w:shd w:val="clear" w:color="auto" w:fill="FFFFFF"/>
              <w:autoSpaceDE w:val="0"/>
              <w:autoSpaceDN w:val="0"/>
              <w:spacing w:line="360" w:lineRule="exact"/>
              <w:jc w:val="center"/>
              <w:rPr>
                <w:rFonts w:ascii="宋体" w:hAnsi="宋体"/>
                <w:bCs/>
                <w:color w:val="auto"/>
                <w:kern w:val="0"/>
                <w:sz w:val="24"/>
                <w:highlight w:val="none"/>
              </w:rPr>
            </w:pPr>
            <w:r>
              <w:rPr>
                <w:rFonts w:hint="eastAsia" w:ascii="宋体" w:hAnsi="宋体" w:cs="宋体"/>
                <w:b/>
                <w:bCs/>
                <w:color w:val="auto"/>
                <w:sz w:val="24"/>
                <w:highlight w:val="none"/>
              </w:rPr>
              <w:t>★</w:t>
            </w:r>
            <w:r>
              <w:rPr>
                <w:rFonts w:ascii="宋体" w:hAnsi="宋体"/>
                <w:bCs/>
                <w:color w:val="auto"/>
                <w:kern w:val="0"/>
                <w:sz w:val="24"/>
                <w:highlight w:val="none"/>
              </w:rPr>
              <w:t>质量标准</w:t>
            </w:r>
          </w:p>
        </w:tc>
        <w:tc>
          <w:tcPr>
            <w:tcW w:w="7230" w:type="dxa"/>
            <w:tcBorders>
              <w:top w:val="single" w:color="auto" w:sz="4" w:space="0"/>
              <w:left w:val="single" w:color="auto" w:sz="4" w:space="0"/>
              <w:bottom w:val="single" w:color="auto" w:sz="4" w:space="0"/>
              <w:right w:val="single" w:color="auto" w:sz="12" w:space="0"/>
            </w:tcBorders>
            <w:vAlign w:val="center"/>
          </w:tcPr>
          <w:p>
            <w:pPr>
              <w:shd w:val="clear" w:color="auto" w:fill="FFFFFF"/>
              <w:autoSpaceDE w:val="0"/>
              <w:autoSpaceDN w:val="0"/>
              <w:spacing w:line="360" w:lineRule="exact"/>
              <w:rPr>
                <w:rFonts w:ascii="宋体" w:hAnsi="宋体"/>
                <w:bCs/>
                <w:color w:val="auto"/>
                <w:kern w:val="0"/>
                <w:sz w:val="24"/>
                <w:highlight w:val="none"/>
              </w:rPr>
            </w:pPr>
            <w:r>
              <w:rPr>
                <w:rFonts w:ascii="宋体" w:hAnsi="宋体"/>
                <w:bCs/>
                <w:color w:val="auto"/>
                <w:kern w:val="0"/>
                <w:sz w:val="24"/>
                <w:highlight w:val="none"/>
              </w:rPr>
              <w:t>合格（通过采购人及有关部门组织的项目验收）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497" w:hRule="atLeast"/>
          <w:jc w:val="center"/>
        </w:trPr>
        <w:tc>
          <w:tcPr>
            <w:tcW w:w="713" w:type="dxa"/>
            <w:tcBorders>
              <w:top w:val="single" w:color="auto" w:sz="4" w:space="0"/>
              <w:left w:val="single" w:color="auto" w:sz="12" w:space="0"/>
              <w:bottom w:val="single" w:color="auto" w:sz="4" w:space="0"/>
              <w:right w:val="single" w:color="auto" w:sz="4" w:space="0"/>
            </w:tcBorders>
            <w:vAlign w:val="center"/>
          </w:tcPr>
          <w:p>
            <w:pPr>
              <w:shd w:val="clear" w:color="auto" w:fill="FFFFFF"/>
              <w:autoSpaceDE w:val="0"/>
              <w:autoSpaceDN w:val="0"/>
              <w:spacing w:line="360" w:lineRule="exact"/>
              <w:jc w:val="center"/>
              <w:rPr>
                <w:rFonts w:ascii="宋体" w:hAnsi="宋体"/>
                <w:color w:val="auto"/>
                <w:kern w:val="0"/>
                <w:sz w:val="24"/>
                <w:highlight w:val="none"/>
              </w:rPr>
            </w:pPr>
            <w:r>
              <w:rPr>
                <w:rFonts w:ascii="宋体" w:hAnsi="宋体"/>
                <w:color w:val="auto"/>
                <w:kern w:val="0"/>
                <w:sz w:val="24"/>
                <w:highlight w:val="none"/>
              </w:rPr>
              <w:t>4</w:t>
            </w:r>
          </w:p>
        </w:tc>
        <w:tc>
          <w:tcPr>
            <w:tcW w:w="1996" w:type="dxa"/>
            <w:tcBorders>
              <w:top w:val="single" w:color="auto" w:sz="4" w:space="0"/>
              <w:left w:val="single" w:color="auto" w:sz="4" w:space="0"/>
              <w:bottom w:val="single" w:color="auto" w:sz="4" w:space="0"/>
              <w:right w:val="single" w:color="auto" w:sz="4" w:space="0"/>
            </w:tcBorders>
            <w:vAlign w:val="center"/>
          </w:tcPr>
          <w:p>
            <w:pPr>
              <w:shd w:val="clear" w:color="auto" w:fill="FFFFFF"/>
              <w:autoSpaceDE w:val="0"/>
              <w:autoSpaceDN w:val="0"/>
              <w:spacing w:line="360" w:lineRule="exact"/>
              <w:jc w:val="center"/>
              <w:rPr>
                <w:rFonts w:ascii="宋体" w:hAnsi="宋体"/>
                <w:bCs/>
                <w:color w:val="auto"/>
                <w:kern w:val="0"/>
                <w:sz w:val="24"/>
                <w:highlight w:val="none"/>
              </w:rPr>
            </w:pPr>
            <w:r>
              <w:rPr>
                <w:rFonts w:hint="eastAsia" w:ascii="宋体" w:hAnsi="宋体" w:cs="宋体"/>
                <w:b/>
                <w:bCs/>
                <w:color w:val="auto"/>
                <w:sz w:val="24"/>
                <w:highlight w:val="none"/>
              </w:rPr>
              <w:t>★</w:t>
            </w:r>
            <w:r>
              <w:rPr>
                <w:rFonts w:ascii="宋体" w:hAnsi="宋体"/>
                <w:bCs/>
                <w:color w:val="auto"/>
                <w:kern w:val="0"/>
                <w:sz w:val="24"/>
                <w:highlight w:val="none"/>
              </w:rPr>
              <w:t>供应商资格</w:t>
            </w:r>
          </w:p>
        </w:tc>
        <w:tc>
          <w:tcPr>
            <w:tcW w:w="7230" w:type="dxa"/>
            <w:tcBorders>
              <w:top w:val="single" w:color="auto" w:sz="4" w:space="0"/>
              <w:left w:val="single" w:color="auto" w:sz="4" w:space="0"/>
              <w:bottom w:val="single" w:color="auto" w:sz="4" w:space="0"/>
              <w:right w:val="single" w:color="auto" w:sz="12" w:space="0"/>
            </w:tcBorders>
            <w:vAlign w:val="center"/>
          </w:tcPr>
          <w:p>
            <w:pPr>
              <w:widowControl/>
              <w:shd w:val="clear" w:color="auto" w:fill="FFFFFF"/>
              <w:spacing w:line="400" w:lineRule="exact"/>
              <w:rPr>
                <w:rFonts w:ascii="宋体" w:hAnsi="宋体" w:cs="Arial"/>
                <w:color w:val="auto"/>
                <w:sz w:val="24"/>
                <w:highlight w:val="none"/>
              </w:rPr>
            </w:pPr>
            <w:r>
              <w:rPr>
                <w:rFonts w:hint="eastAsia" w:ascii="宋体" w:hAnsi="宋体" w:cs="Arial"/>
                <w:color w:val="auto"/>
                <w:sz w:val="24"/>
                <w:highlight w:val="none"/>
              </w:rPr>
              <w:t>1.</w:t>
            </w:r>
            <w:r>
              <w:rPr>
                <w:rFonts w:ascii="宋体" w:hAnsi="宋体" w:cs="Arial"/>
                <w:color w:val="auto"/>
                <w:sz w:val="24"/>
                <w:highlight w:val="none"/>
              </w:rPr>
              <w:t>供应商须满足《中华人民共和国政府采购法》第二十二条款规定。</w:t>
            </w:r>
          </w:p>
          <w:p>
            <w:pPr>
              <w:pStyle w:val="71"/>
              <w:spacing w:line="400" w:lineRule="exact"/>
              <w:ind w:firstLine="0"/>
              <w:rPr>
                <w:rFonts w:ascii="宋体" w:hAnsi="宋体" w:cs="Arial"/>
                <w:color w:val="auto"/>
                <w:spacing w:val="0"/>
                <w:sz w:val="24"/>
                <w:szCs w:val="24"/>
                <w:highlight w:val="none"/>
              </w:rPr>
            </w:pPr>
            <w:r>
              <w:rPr>
                <w:rFonts w:hint="eastAsia" w:ascii="宋体" w:hAnsi="宋体" w:cs="Arial"/>
                <w:color w:val="auto"/>
                <w:spacing w:val="0"/>
                <w:sz w:val="24"/>
                <w:szCs w:val="24"/>
                <w:highlight w:val="none"/>
              </w:rPr>
              <w:t>2.</w:t>
            </w:r>
            <w:r>
              <w:rPr>
                <w:rFonts w:ascii="宋体" w:hAnsi="宋体" w:cs="Arial"/>
                <w:color w:val="auto"/>
                <w:spacing w:val="0"/>
                <w:sz w:val="24"/>
                <w:szCs w:val="24"/>
                <w:highlight w:val="none"/>
              </w:rPr>
              <w:t>供应商须具有</w:t>
            </w:r>
            <w:r>
              <w:rPr>
                <w:rFonts w:hint="eastAsia" w:ascii="宋体" w:hAnsi="宋体" w:cs="Arial"/>
                <w:color w:val="auto"/>
                <w:spacing w:val="0"/>
                <w:sz w:val="24"/>
                <w:szCs w:val="24"/>
                <w:highlight w:val="none"/>
              </w:rPr>
              <w:t>有效的营业执照</w:t>
            </w:r>
            <w:r>
              <w:rPr>
                <w:rFonts w:ascii="宋体" w:hAnsi="宋体" w:cs="Arial"/>
                <w:color w:val="auto"/>
                <w:spacing w:val="0"/>
                <w:sz w:val="24"/>
                <w:szCs w:val="24"/>
                <w:highlight w:val="none"/>
              </w:rPr>
              <w:t>；</w:t>
            </w:r>
          </w:p>
          <w:p>
            <w:pPr>
              <w:widowControl/>
              <w:shd w:val="clear" w:color="auto" w:fill="FFFFFF"/>
              <w:spacing w:line="400" w:lineRule="exact"/>
              <w:rPr>
                <w:rFonts w:ascii="宋体" w:hAnsi="宋体" w:cs="Arial"/>
                <w:color w:val="auto"/>
                <w:sz w:val="24"/>
                <w:highlight w:val="none"/>
              </w:rPr>
            </w:pPr>
            <w:r>
              <w:rPr>
                <w:rFonts w:hint="eastAsia" w:ascii="宋体" w:hAnsi="宋体" w:cs="Arial"/>
                <w:color w:val="auto"/>
                <w:sz w:val="24"/>
                <w:highlight w:val="none"/>
              </w:rPr>
              <w:t>3.</w:t>
            </w:r>
            <w:r>
              <w:rPr>
                <w:rFonts w:ascii="宋体" w:hAnsi="宋体" w:cs="Arial"/>
                <w:color w:val="auto"/>
                <w:sz w:val="24"/>
                <w:highlight w:val="none"/>
              </w:rPr>
              <w:t>根据《关于在政府采购活动中查询及使用信用记录有关问题的通知》(财库[2016]125号)的规定，对被列入“失信被执行人”、“重大税收违法案件当事人名单”、“政府采购严重违法失信行为记录名单”的供应商，拒绝参与本项目政府采购活动【查询渠道：“信用中国”网站（www.creditchina.gov.cn）、中国政府采购网（www.ccgp.gov.cn）】。</w:t>
            </w:r>
          </w:p>
          <w:p>
            <w:pPr>
              <w:widowControl/>
              <w:shd w:val="clear" w:color="auto" w:fill="FFFFFF"/>
              <w:spacing w:line="400" w:lineRule="exact"/>
              <w:rPr>
                <w:rFonts w:ascii="宋体" w:hAnsi="宋体" w:cs="宋体"/>
                <w:color w:val="auto"/>
                <w:sz w:val="24"/>
                <w:highlight w:val="none"/>
              </w:rPr>
            </w:pPr>
            <w:r>
              <w:rPr>
                <w:rFonts w:hint="eastAsia" w:ascii="宋体" w:hAnsi="宋体"/>
                <w:color w:val="auto"/>
                <w:sz w:val="24"/>
                <w:highlight w:val="none"/>
              </w:rPr>
              <w:t>4.本次招标接受不联合体投标</w:t>
            </w:r>
            <w:r>
              <w:rPr>
                <w:rFonts w:ascii="宋体" w:hAnsi="宋体" w:cs="宋体"/>
                <w:color w:val="auto"/>
                <w:sz w:val="24"/>
                <w:highlight w:val="none"/>
              </w:rPr>
              <w:t>。</w:t>
            </w:r>
          </w:p>
          <w:p>
            <w:pPr>
              <w:widowControl/>
              <w:shd w:val="clear" w:color="auto" w:fill="FFFFFF"/>
              <w:spacing w:line="400" w:lineRule="exact"/>
              <w:rPr>
                <w:rFonts w:ascii="宋体" w:hAnsi="宋体" w:cs="宋体"/>
                <w:color w:val="auto"/>
                <w:sz w:val="24"/>
                <w:highlight w:val="none"/>
              </w:rPr>
            </w:pPr>
            <w:r>
              <w:rPr>
                <w:rFonts w:hint="eastAsia" w:ascii="宋体" w:hAnsi="宋体" w:cs="宋体"/>
                <w:color w:val="auto"/>
                <w:sz w:val="24"/>
                <w:highlight w:val="none"/>
              </w:rPr>
              <w:t>5.</w:t>
            </w:r>
            <w:r>
              <w:rPr>
                <w:rFonts w:ascii="宋体" w:hAnsi="宋体" w:cs="宋体"/>
                <w:color w:val="auto"/>
                <w:sz w:val="24"/>
                <w:highlight w:val="none"/>
              </w:rPr>
              <w:t>供应商不得存在下列情形之一：</w:t>
            </w:r>
          </w:p>
          <w:p>
            <w:pPr>
              <w:widowControl/>
              <w:shd w:val="clear" w:color="auto" w:fill="FFFFFF"/>
              <w:spacing w:line="400" w:lineRule="exact"/>
              <w:rPr>
                <w:rFonts w:ascii="宋体" w:hAnsi="宋体" w:cs="宋体"/>
                <w:color w:val="auto"/>
                <w:sz w:val="24"/>
                <w:highlight w:val="none"/>
              </w:rPr>
            </w:pPr>
            <w:r>
              <w:rPr>
                <w:rFonts w:ascii="宋体" w:hAnsi="宋体" w:cs="宋体"/>
                <w:color w:val="auto"/>
                <w:sz w:val="24"/>
                <w:highlight w:val="none"/>
              </w:rPr>
              <w:t>（l）与采购人、采购代理机构存在</w:t>
            </w:r>
            <w:r>
              <w:rPr>
                <w:rFonts w:ascii="宋体" w:hAnsi="宋体" w:cs="宋体"/>
                <w:bCs/>
                <w:color w:val="auto"/>
                <w:sz w:val="24"/>
                <w:highlight w:val="none"/>
              </w:rPr>
              <w:t>隶属关系或者其他利害关系</w:t>
            </w:r>
            <w:r>
              <w:rPr>
                <w:rFonts w:ascii="宋体" w:hAnsi="宋体" w:cs="宋体"/>
                <w:color w:val="auto"/>
                <w:sz w:val="24"/>
                <w:highlight w:val="none"/>
              </w:rPr>
              <w:t>。</w:t>
            </w:r>
          </w:p>
          <w:p>
            <w:pPr>
              <w:widowControl/>
              <w:shd w:val="clear" w:color="auto" w:fill="FFFFFF"/>
              <w:spacing w:line="400" w:lineRule="exact"/>
              <w:rPr>
                <w:rFonts w:ascii="宋体" w:hAnsi="宋体"/>
                <w:color w:val="auto"/>
                <w:sz w:val="24"/>
                <w:highlight w:val="none"/>
              </w:rPr>
            </w:pPr>
            <w:r>
              <w:rPr>
                <w:rFonts w:ascii="宋体" w:hAnsi="宋体" w:cs="宋体"/>
                <w:color w:val="auto"/>
                <w:sz w:val="24"/>
                <w:highlight w:val="none"/>
              </w:rPr>
              <w:t>（2）与其他供应商的</w:t>
            </w:r>
            <w:r>
              <w:rPr>
                <w:rFonts w:hint="eastAsia" w:ascii="宋体" w:hAnsi="宋体" w:cs="宋体"/>
                <w:color w:val="auto"/>
                <w:sz w:val="24"/>
                <w:highlight w:val="none"/>
              </w:rPr>
              <w:t>法定代表人或企业负责人</w:t>
            </w:r>
            <w:r>
              <w:rPr>
                <w:rFonts w:ascii="宋体" w:hAnsi="宋体" w:cs="宋体"/>
                <w:color w:val="auto"/>
                <w:sz w:val="24"/>
                <w:highlight w:val="none"/>
              </w:rPr>
              <w:t>（或者负责人）为同一人；或者与其他供应商存在控股、关联关系；为采购项目提供整体设计、规范编制或者项目管理、监理、检测等服务的供应商，不得再参加本项目的采购活动。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713" w:type="dxa"/>
            <w:tcBorders>
              <w:top w:val="single" w:color="auto" w:sz="4" w:space="0"/>
              <w:left w:val="single" w:color="auto" w:sz="12" w:space="0"/>
              <w:bottom w:val="single" w:color="auto" w:sz="4" w:space="0"/>
              <w:right w:val="single" w:color="auto" w:sz="4" w:space="0"/>
            </w:tcBorders>
            <w:vAlign w:val="center"/>
          </w:tcPr>
          <w:p>
            <w:pPr>
              <w:shd w:val="clear" w:color="auto" w:fill="FFFFFF"/>
              <w:autoSpaceDE w:val="0"/>
              <w:autoSpaceDN w:val="0"/>
              <w:spacing w:line="360" w:lineRule="exact"/>
              <w:jc w:val="center"/>
              <w:rPr>
                <w:rFonts w:ascii="宋体" w:hAnsi="宋体"/>
                <w:color w:val="auto"/>
                <w:kern w:val="0"/>
                <w:sz w:val="24"/>
                <w:highlight w:val="none"/>
              </w:rPr>
            </w:pPr>
            <w:r>
              <w:rPr>
                <w:rFonts w:ascii="宋体" w:hAnsi="宋体"/>
                <w:color w:val="auto"/>
                <w:kern w:val="0"/>
                <w:sz w:val="24"/>
                <w:highlight w:val="none"/>
              </w:rPr>
              <w:t>5</w:t>
            </w:r>
          </w:p>
        </w:tc>
        <w:tc>
          <w:tcPr>
            <w:tcW w:w="1996" w:type="dxa"/>
            <w:tcBorders>
              <w:top w:val="single" w:color="auto" w:sz="4" w:space="0"/>
              <w:left w:val="single" w:color="auto" w:sz="4" w:space="0"/>
              <w:bottom w:val="single" w:color="auto" w:sz="4" w:space="0"/>
              <w:right w:val="single" w:color="auto" w:sz="4" w:space="0"/>
            </w:tcBorders>
            <w:vAlign w:val="center"/>
          </w:tcPr>
          <w:p>
            <w:pPr>
              <w:shd w:val="clear" w:color="auto" w:fill="FFFFFF"/>
              <w:autoSpaceDE w:val="0"/>
              <w:autoSpaceDN w:val="0"/>
              <w:spacing w:line="360" w:lineRule="exact"/>
              <w:jc w:val="center"/>
              <w:rPr>
                <w:rFonts w:ascii="宋体" w:hAnsi="宋体"/>
                <w:bCs/>
                <w:color w:val="auto"/>
                <w:kern w:val="0"/>
                <w:sz w:val="24"/>
                <w:highlight w:val="none"/>
              </w:rPr>
            </w:pPr>
            <w:r>
              <w:rPr>
                <w:rFonts w:ascii="宋体" w:hAnsi="宋体"/>
                <w:bCs/>
                <w:color w:val="auto"/>
                <w:kern w:val="0"/>
                <w:sz w:val="24"/>
                <w:highlight w:val="none"/>
              </w:rPr>
              <w:t>投标文件份数</w:t>
            </w:r>
          </w:p>
        </w:tc>
        <w:tc>
          <w:tcPr>
            <w:tcW w:w="7230" w:type="dxa"/>
            <w:tcBorders>
              <w:top w:val="single" w:color="auto" w:sz="4" w:space="0"/>
              <w:left w:val="single" w:color="auto" w:sz="4" w:space="0"/>
              <w:bottom w:val="single" w:color="auto" w:sz="4" w:space="0"/>
              <w:right w:val="single" w:color="auto" w:sz="12" w:space="0"/>
            </w:tcBorders>
            <w:vAlign w:val="center"/>
          </w:tcPr>
          <w:p>
            <w:pPr>
              <w:shd w:val="clear" w:color="auto" w:fill="FFFFFF"/>
              <w:autoSpaceDE w:val="0"/>
              <w:autoSpaceDN w:val="0"/>
              <w:spacing w:line="360" w:lineRule="exact"/>
              <w:rPr>
                <w:rFonts w:ascii="宋体" w:hAnsi="宋体" w:cs="宋体"/>
                <w:b/>
                <w:color w:val="auto"/>
                <w:kern w:val="0"/>
                <w:sz w:val="24"/>
                <w:highlight w:val="none"/>
              </w:rPr>
            </w:pPr>
            <w:r>
              <w:rPr>
                <w:rFonts w:hint="eastAsia" w:ascii="宋体" w:hAnsi="宋体" w:cs="宋体"/>
                <w:b/>
                <w:color w:val="auto"/>
                <w:kern w:val="0"/>
                <w:sz w:val="24"/>
                <w:highlight w:val="none"/>
              </w:rPr>
              <w:t>（1）本项目采用远程不见面电子标的方式开标，供应商开标时无需提供纸质投标文件，须在投标文件递交截止时间前登录政采云平台https://www.zcygov.cn/后，将加密</w:t>
            </w:r>
            <w:r>
              <w:rPr>
                <w:rFonts w:hint="eastAsia" w:ascii="宋体" w:hAnsi="宋体" w:cs="宋体"/>
                <w:b/>
                <w:color w:val="auto"/>
                <w:kern w:val="0"/>
                <w:sz w:val="24"/>
                <w:highlight w:val="none"/>
                <w:lang w:val="zh-CN"/>
              </w:rPr>
              <w:t>电子</w:t>
            </w:r>
            <w:r>
              <w:rPr>
                <w:rFonts w:hint="eastAsia" w:ascii="宋体" w:hAnsi="宋体" w:cs="宋体"/>
                <w:b/>
                <w:color w:val="auto"/>
                <w:kern w:val="0"/>
                <w:sz w:val="24"/>
                <w:highlight w:val="none"/>
              </w:rPr>
              <w:t>投标文件上</w:t>
            </w:r>
            <w:r>
              <w:rPr>
                <w:rFonts w:hint="eastAsia" w:ascii="宋体" w:hAnsi="宋体" w:cs="宋体"/>
                <w:b/>
                <w:color w:val="auto"/>
                <w:kern w:val="0"/>
                <w:sz w:val="24"/>
                <w:highlight w:val="none"/>
                <w:lang w:val="zh-CN"/>
              </w:rPr>
              <w:t>传到</w:t>
            </w:r>
            <w:r>
              <w:rPr>
                <w:rFonts w:hint="eastAsia" w:ascii="宋体" w:hAnsi="宋体" w:cs="宋体"/>
                <w:b/>
                <w:color w:val="auto"/>
                <w:kern w:val="0"/>
                <w:sz w:val="24"/>
                <w:highlight w:val="none"/>
              </w:rPr>
              <w:t>对应项目的的</w:t>
            </w:r>
            <w:r>
              <w:rPr>
                <w:rFonts w:hint="eastAsia" w:ascii="宋体" w:hAnsi="宋体" w:cs="宋体"/>
                <w:b/>
                <w:color w:val="auto"/>
                <w:kern w:val="0"/>
                <w:sz w:val="24"/>
                <w:highlight w:val="none"/>
                <w:lang w:val="zh-CN"/>
              </w:rPr>
              <w:t>指定</w:t>
            </w:r>
            <w:r>
              <w:rPr>
                <w:rFonts w:hint="eastAsia" w:ascii="宋体" w:hAnsi="宋体" w:cs="宋体"/>
                <w:b/>
                <w:color w:val="auto"/>
                <w:kern w:val="0"/>
                <w:sz w:val="24"/>
                <w:highlight w:val="none"/>
              </w:rPr>
              <w:t>位置。</w:t>
            </w:r>
          </w:p>
          <w:p>
            <w:pPr>
              <w:shd w:val="clear" w:color="auto" w:fill="FFFFFF"/>
              <w:autoSpaceDE w:val="0"/>
              <w:autoSpaceDN w:val="0"/>
              <w:spacing w:line="360" w:lineRule="exact"/>
              <w:rPr>
                <w:rFonts w:ascii="宋体" w:hAnsi="宋体"/>
                <w:b/>
                <w:bCs/>
                <w:color w:val="auto"/>
                <w:kern w:val="0"/>
                <w:sz w:val="24"/>
                <w:highlight w:val="none"/>
              </w:rPr>
            </w:pPr>
            <w:r>
              <w:rPr>
                <w:rFonts w:hint="eastAsia" w:ascii="宋体" w:hAnsi="宋体" w:cs="宋体"/>
                <w:b/>
                <w:color w:val="auto"/>
                <w:kern w:val="0"/>
                <w:sz w:val="24"/>
                <w:highlight w:val="none"/>
              </w:rPr>
              <w:t>（2）</w:t>
            </w:r>
            <w:r>
              <w:rPr>
                <w:rFonts w:hint="eastAsia" w:ascii="宋体" w:hAnsi="宋体" w:cs="宋体"/>
                <w:b/>
                <w:color w:val="auto"/>
                <w:kern w:val="0"/>
                <w:sz w:val="24"/>
                <w:highlight w:val="none"/>
                <w:lang w:val="zh-CN"/>
              </w:rPr>
              <w:t>中标</w:t>
            </w:r>
            <w:r>
              <w:rPr>
                <w:rFonts w:hint="eastAsia" w:ascii="宋体" w:hAnsi="宋体" w:cs="宋体"/>
                <w:b/>
                <w:color w:val="auto"/>
                <w:kern w:val="0"/>
                <w:sz w:val="24"/>
                <w:highlight w:val="none"/>
              </w:rPr>
              <w:t>的供应商</w:t>
            </w:r>
            <w:r>
              <w:rPr>
                <w:rFonts w:hint="eastAsia" w:ascii="宋体" w:hAnsi="宋体" w:cs="宋体"/>
                <w:b/>
                <w:color w:val="auto"/>
                <w:kern w:val="0"/>
                <w:sz w:val="24"/>
                <w:highlight w:val="none"/>
                <w:lang w:val="zh-CN"/>
              </w:rPr>
              <w:t>在领取中标通知书时须向</w:t>
            </w:r>
            <w:r>
              <w:rPr>
                <w:rFonts w:hint="eastAsia" w:ascii="宋体" w:hAnsi="宋体" w:cs="宋体"/>
                <w:b/>
                <w:color w:val="auto"/>
                <w:kern w:val="0"/>
                <w:sz w:val="24"/>
                <w:highlight w:val="none"/>
              </w:rPr>
              <w:t>采购</w:t>
            </w:r>
            <w:r>
              <w:rPr>
                <w:rFonts w:hint="eastAsia" w:ascii="宋体" w:hAnsi="宋体" w:cs="宋体"/>
                <w:b/>
                <w:color w:val="auto"/>
                <w:kern w:val="0"/>
                <w:sz w:val="24"/>
                <w:highlight w:val="none"/>
                <w:lang w:val="zh-CN"/>
              </w:rPr>
              <w:t>代理机构递交纸质投标文件三份、格式为PDF的电子投标文件一份（U盘存储）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713" w:type="dxa"/>
            <w:tcBorders>
              <w:top w:val="single" w:color="auto" w:sz="4" w:space="0"/>
              <w:left w:val="single" w:color="auto" w:sz="12" w:space="0"/>
              <w:bottom w:val="single" w:color="auto" w:sz="4" w:space="0"/>
              <w:right w:val="single" w:color="auto" w:sz="4" w:space="0"/>
            </w:tcBorders>
            <w:vAlign w:val="center"/>
          </w:tcPr>
          <w:p>
            <w:pPr>
              <w:shd w:val="clear" w:color="auto" w:fill="FFFFFF"/>
              <w:autoSpaceDE w:val="0"/>
              <w:autoSpaceDN w:val="0"/>
              <w:spacing w:line="360" w:lineRule="exact"/>
              <w:jc w:val="center"/>
              <w:rPr>
                <w:rFonts w:ascii="宋体" w:hAnsi="宋体"/>
                <w:color w:val="auto"/>
                <w:kern w:val="0"/>
                <w:sz w:val="24"/>
                <w:highlight w:val="none"/>
              </w:rPr>
            </w:pPr>
            <w:r>
              <w:rPr>
                <w:rFonts w:ascii="宋体" w:hAnsi="宋体"/>
                <w:color w:val="auto"/>
                <w:kern w:val="0"/>
                <w:sz w:val="24"/>
                <w:highlight w:val="none"/>
              </w:rPr>
              <w:t>6</w:t>
            </w:r>
          </w:p>
        </w:tc>
        <w:tc>
          <w:tcPr>
            <w:tcW w:w="1996" w:type="dxa"/>
            <w:tcBorders>
              <w:top w:val="single" w:color="auto" w:sz="4" w:space="0"/>
              <w:left w:val="single" w:color="auto" w:sz="4" w:space="0"/>
              <w:bottom w:val="single" w:color="auto" w:sz="4" w:space="0"/>
              <w:right w:val="single" w:color="auto" w:sz="4" w:space="0"/>
            </w:tcBorders>
            <w:vAlign w:val="center"/>
          </w:tcPr>
          <w:p>
            <w:pPr>
              <w:shd w:val="clear" w:color="auto" w:fill="FFFFFF"/>
              <w:autoSpaceDE w:val="0"/>
              <w:autoSpaceDN w:val="0"/>
              <w:spacing w:line="360" w:lineRule="exact"/>
              <w:jc w:val="center"/>
              <w:rPr>
                <w:rFonts w:ascii="宋体" w:hAnsi="宋体"/>
                <w:bCs/>
                <w:color w:val="auto"/>
                <w:kern w:val="0"/>
                <w:sz w:val="24"/>
                <w:highlight w:val="none"/>
              </w:rPr>
            </w:pPr>
            <w:r>
              <w:rPr>
                <w:rFonts w:ascii="宋体" w:hAnsi="宋体"/>
                <w:bCs/>
                <w:color w:val="auto"/>
                <w:kern w:val="0"/>
                <w:sz w:val="24"/>
                <w:highlight w:val="none"/>
              </w:rPr>
              <w:t>投标文件递交截止时间</w:t>
            </w:r>
          </w:p>
        </w:tc>
        <w:tc>
          <w:tcPr>
            <w:tcW w:w="7230" w:type="dxa"/>
            <w:tcBorders>
              <w:top w:val="single" w:color="auto" w:sz="4" w:space="0"/>
              <w:left w:val="single" w:color="auto" w:sz="4" w:space="0"/>
              <w:bottom w:val="single" w:color="auto" w:sz="4" w:space="0"/>
              <w:right w:val="single" w:color="auto" w:sz="12" w:space="0"/>
            </w:tcBorders>
            <w:vAlign w:val="center"/>
          </w:tcPr>
          <w:p>
            <w:pPr>
              <w:shd w:val="clear" w:color="auto" w:fill="FFFFFF"/>
              <w:autoSpaceDE w:val="0"/>
              <w:autoSpaceDN w:val="0"/>
              <w:spacing w:line="360" w:lineRule="exact"/>
              <w:rPr>
                <w:rFonts w:ascii="宋体" w:hAnsi="宋体"/>
                <w:color w:val="auto"/>
                <w:sz w:val="24"/>
                <w:highlight w:val="none"/>
              </w:rPr>
            </w:pPr>
            <w:r>
              <w:rPr>
                <w:rFonts w:ascii="宋体" w:hAnsi="宋体" w:cs="宋体"/>
                <w:color w:val="auto"/>
                <w:sz w:val="24"/>
                <w:highlight w:val="none"/>
              </w:rPr>
              <w:t>202</w:t>
            </w:r>
            <w:r>
              <w:rPr>
                <w:rFonts w:hint="eastAsia" w:ascii="宋体" w:hAnsi="宋体" w:cs="宋体"/>
                <w:color w:val="auto"/>
                <w:sz w:val="24"/>
                <w:highlight w:val="none"/>
              </w:rPr>
              <w:t>3</w:t>
            </w:r>
            <w:r>
              <w:rPr>
                <w:rFonts w:ascii="宋体" w:hAnsi="宋体" w:cs="宋体"/>
                <w:color w:val="auto"/>
                <w:sz w:val="24"/>
                <w:highlight w:val="none"/>
              </w:rPr>
              <w:t>年</w:t>
            </w:r>
            <w:r>
              <w:rPr>
                <w:rFonts w:hint="eastAsia" w:ascii="宋体" w:hAnsi="宋体" w:cs="宋体"/>
                <w:color w:val="auto"/>
                <w:sz w:val="24"/>
                <w:highlight w:val="none"/>
              </w:rPr>
              <w:t>0</w:t>
            </w:r>
            <w:r>
              <w:rPr>
                <w:rFonts w:hint="eastAsia" w:ascii="宋体" w:hAnsi="宋体" w:cs="宋体"/>
                <w:color w:val="auto"/>
                <w:sz w:val="24"/>
                <w:highlight w:val="none"/>
                <w:lang w:val="en-US" w:eastAsia="zh-CN"/>
              </w:rPr>
              <w:t>9</w:t>
            </w:r>
            <w:r>
              <w:rPr>
                <w:rFonts w:ascii="宋体" w:hAnsi="宋体" w:cs="宋体"/>
                <w:color w:val="auto"/>
                <w:sz w:val="24"/>
                <w:highlight w:val="none"/>
              </w:rPr>
              <w:t>月</w:t>
            </w:r>
            <w:r>
              <w:rPr>
                <w:rFonts w:hint="eastAsia" w:ascii="宋体" w:hAnsi="宋体" w:cs="宋体"/>
                <w:color w:val="auto"/>
                <w:sz w:val="24"/>
                <w:highlight w:val="none"/>
                <w:lang w:val="en-US" w:eastAsia="zh-CN"/>
              </w:rPr>
              <w:t>14</w:t>
            </w:r>
            <w:r>
              <w:rPr>
                <w:rFonts w:ascii="宋体" w:hAnsi="宋体" w:cs="宋体"/>
                <w:color w:val="auto"/>
                <w:sz w:val="24"/>
                <w:highlight w:val="none"/>
              </w:rPr>
              <w:t>日1</w:t>
            </w:r>
            <w:r>
              <w:rPr>
                <w:rFonts w:hint="eastAsia" w:ascii="宋体" w:hAnsi="宋体" w:cs="宋体"/>
                <w:color w:val="auto"/>
                <w:sz w:val="24"/>
                <w:highlight w:val="none"/>
              </w:rPr>
              <w:t>1:0</w:t>
            </w:r>
            <w:r>
              <w:rPr>
                <w:rFonts w:ascii="宋体" w:hAnsi="宋体" w:cs="宋体"/>
                <w:color w:val="auto"/>
                <w:sz w:val="24"/>
                <w:highlight w:val="none"/>
              </w:rPr>
              <w:t>0时（北京时间）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9" w:hRule="atLeast"/>
          <w:jc w:val="center"/>
        </w:trPr>
        <w:tc>
          <w:tcPr>
            <w:tcW w:w="713" w:type="dxa"/>
            <w:tcBorders>
              <w:top w:val="single" w:color="auto" w:sz="4" w:space="0"/>
              <w:left w:val="single" w:color="auto" w:sz="12" w:space="0"/>
              <w:bottom w:val="single" w:color="auto" w:sz="4" w:space="0"/>
              <w:right w:val="single" w:color="auto" w:sz="4" w:space="0"/>
            </w:tcBorders>
            <w:vAlign w:val="center"/>
          </w:tcPr>
          <w:p>
            <w:pPr>
              <w:shd w:val="clear" w:color="auto" w:fill="FFFFFF"/>
              <w:autoSpaceDE w:val="0"/>
              <w:autoSpaceDN w:val="0"/>
              <w:spacing w:line="360" w:lineRule="exact"/>
              <w:jc w:val="center"/>
              <w:rPr>
                <w:rFonts w:ascii="宋体" w:hAnsi="宋体"/>
                <w:color w:val="auto"/>
                <w:kern w:val="0"/>
                <w:sz w:val="24"/>
                <w:highlight w:val="none"/>
              </w:rPr>
            </w:pPr>
            <w:r>
              <w:rPr>
                <w:rFonts w:ascii="宋体" w:hAnsi="宋体"/>
                <w:color w:val="auto"/>
                <w:kern w:val="0"/>
                <w:sz w:val="24"/>
                <w:highlight w:val="none"/>
              </w:rPr>
              <w:t>7</w:t>
            </w:r>
          </w:p>
        </w:tc>
        <w:tc>
          <w:tcPr>
            <w:tcW w:w="1996" w:type="dxa"/>
            <w:tcBorders>
              <w:top w:val="single" w:color="auto" w:sz="4" w:space="0"/>
              <w:left w:val="single" w:color="auto" w:sz="4" w:space="0"/>
              <w:bottom w:val="single" w:color="auto" w:sz="4" w:space="0"/>
              <w:right w:val="single" w:color="auto" w:sz="4" w:space="0"/>
            </w:tcBorders>
            <w:vAlign w:val="center"/>
          </w:tcPr>
          <w:p>
            <w:pPr>
              <w:shd w:val="clear" w:color="auto" w:fill="FFFFFF"/>
              <w:autoSpaceDE w:val="0"/>
              <w:autoSpaceDN w:val="0"/>
              <w:spacing w:line="360" w:lineRule="exact"/>
              <w:jc w:val="center"/>
              <w:rPr>
                <w:rFonts w:ascii="宋体" w:hAnsi="宋体"/>
                <w:bCs/>
                <w:color w:val="auto"/>
                <w:kern w:val="0"/>
                <w:sz w:val="24"/>
                <w:highlight w:val="none"/>
              </w:rPr>
            </w:pPr>
            <w:r>
              <w:rPr>
                <w:rFonts w:hint="eastAsia" w:ascii="宋体" w:hAnsi="宋体" w:cs="宋体"/>
                <w:b/>
                <w:bCs/>
                <w:color w:val="auto"/>
                <w:sz w:val="24"/>
                <w:highlight w:val="none"/>
              </w:rPr>
              <w:t>★</w:t>
            </w:r>
            <w:r>
              <w:rPr>
                <w:rFonts w:ascii="宋体" w:hAnsi="宋体"/>
                <w:bCs/>
                <w:color w:val="auto"/>
                <w:kern w:val="0"/>
                <w:sz w:val="24"/>
                <w:highlight w:val="none"/>
              </w:rPr>
              <w:t>投标有效期限</w:t>
            </w:r>
          </w:p>
        </w:tc>
        <w:tc>
          <w:tcPr>
            <w:tcW w:w="7230" w:type="dxa"/>
            <w:tcBorders>
              <w:top w:val="single" w:color="auto" w:sz="4" w:space="0"/>
              <w:left w:val="single" w:color="auto" w:sz="4" w:space="0"/>
              <w:bottom w:val="single" w:color="auto" w:sz="4" w:space="0"/>
              <w:right w:val="single" w:color="auto" w:sz="12" w:space="0"/>
            </w:tcBorders>
            <w:vAlign w:val="center"/>
          </w:tcPr>
          <w:p>
            <w:pPr>
              <w:shd w:val="clear" w:color="auto" w:fill="FFFFFF"/>
              <w:autoSpaceDE w:val="0"/>
              <w:autoSpaceDN w:val="0"/>
              <w:spacing w:line="360" w:lineRule="exact"/>
              <w:rPr>
                <w:rFonts w:ascii="宋体" w:hAnsi="宋体"/>
                <w:bCs/>
                <w:color w:val="auto"/>
                <w:kern w:val="0"/>
                <w:sz w:val="24"/>
                <w:highlight w:val="none"/>
              </w:rPr>
            </w:pPr>
            <w:r>
              <w:rPr>
                <w:rFonts w:ascii="宋体" w:hAnsi="宋体"/>
                <w:bCs/>
                <w:color w:val="auto"/>
                <w:kern w:val="0"/>
                <w:sz w:val="24"/>
                <w:highlight w:val="none"/>
              </w:rPr>
              <w:t>投标截止后</w:t>
            </w:r>
            <w:r>
              <w:rPr>
                <w:rFonts w:ascii="宋体" w:hAnsi="宋体"/>
                <w:bCs/>
                <w:color w:val="auto"/>
                <w:kern w:val="0"/>
                <w:sz w:val="24"/>
                <w:highlight w:val="none"/>
                <w:u w:val="single"/>
              </w:rPr>
              <w:t>90</w:t>
            </w:r>
            <w:r>
              <w:rPr>
                <w:rFonts w:ascii="宋体" w:hAnsi="宋体"/>
                <w:bCs/>
                <w:color w:val="auto"/>
                <w:kern w:val="0"/>
                <w:sz w:val="24"/>
                <w:highlight w:val="none"/>
              </w:rPr>
              <w:t>天（日历日）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713" w:type="dxa"/>
            <w:tcBorders>
              <w:top w:val="single" w:color="auto" w:sz="4" w:space="0"/>
              <w:left w:val="single" w:color="auto" w:sz="12" w:space="0"/>
              <w:bottom w:val="single" w:color="auto" w:sz="4" w:space="0"/>
              <w:right w:val="single" w:color="auto" w:sz="4" w:space="0"/>
            </w:tcBorders>
            <w:vAlign w:val="center"/>
          </w:tcPr>
          <w:p>
            <w:pPr>
              <w:shd w:val="clear" w:color="auto" w:fill="FFFFFF"/>
              <w:autoSpaceDE w:val="0"/>
              <w:autoSpaceDN w:val="0"/>
              <w:spacing w:line="360" w:lineRule="exact"/>
              <w:jc w:val="center"/>
              <w:rPr>
                <w:rFonts w:ascii="宋体" w:hAnsi="宋体"/>
                <w:color w:val="auto"/>
                <w:kern w:val="0"/>
                <w:sz w:val="24"/>
                <w:highlight w:val="none"/>
              </w:rPr>
            </w:pPr>
            <w:r>
              <w:rPr>
                <w:rFonts w:ascii="宋体" w:hAnsi="宋体"/>
                <w:color w:val="auto"/>
                <w:kern w:val="0"/>
                <w:sz w:val="24"/>
                <w:highlight w:val="none"/>
              </w:rPr>
              <w:t>8</w:t>
            </w:r>
          </w:p>
        </w:tc>
        <w:tc>
          <w:tcPr>
            <w:tcW w:w="1996" w:type="dxa"/>
            <w:tcBorders>
              <w:top w:val="single" w:color="auto" w:sz="4" w:space="0"/>
              <w:left w:val="single" w:color="auto" w:sz="4" w:space="0"/>
              <w:bottom w:val="single" w:color="auto" w:sz="4" w:space="0"/>
              <w:right w:val="single" w:color="auto" w:sz="4" w:space="0"/>
            </w:tcBorders>
            <w:vAlign w:val="center"/>
          </w:tcPr>
          <w:p>
            <w:pPr>
              <w:shd w:val="clear" w:color="auto" w:fill="FFFFFF"/>
              <w:autoSpaceDE w:val="0"/>
              <w:autoSpaceDN w:val="0"/>
              <w:spacing w:line="360" w:lineRule="exact"/>
              <w:jc w:val="center"/>
              <w:rPr>
                <w:rFonts w:ascii="宋体" w:hAnsi="宋体"/>
                <w:bCs/>
                <w:color w:val="auto"/>
                <w:kern w:val="0"/>
                <w:sz w:val="24"/>
                <w:highlight w:val="none"/>
              </w:rPr>
            </w:pPr>
            <w:r>
              <w:rPr>
                <w:rFonts w:hint="eastAsia" w:ascii="宋体" w:hAnsi="宋体" w:cs="宋体"/>
                <w:b/>
                <w:bCs/>
                <w:color w:val="auto"/>
                <w:sz w:val="24"/>
                <w:highlight w:val="none"/>
              </w:rPr>
              <w:t>★</w:t>
            </w:r>
            <w:r>
              <w:rPr>
                <w:rFonts w:ascii="宋体" w:hAnsi="宋体"/>
                <w:bCs/>
                <w:color w:val="auto"/>
                <w:kern w:val="0"/>
                <w:sz w:val="24"/>
                <w:highlight w:val="none"/>
              </w:rPr>
              <w:t>投标文件递交地点</w:t>
            </w:r>
          </w:p>
        </w:tc>
        <w:tc>
          <w:tcPr>
            <w:tcW w:w="7230" w:type="dxa"/>
            <w:tcBorders>
              <w:top w:val="single" w:color="auto" w:sz="4" w:space="0"/>
              <w:left w:val="single" w:color="auto" w:sz="4" w:space="0"/>
              <w:bottom w:val="single" w:color="auto" w:sz="4" w:space="0"/>
              <w:right w:val="single" w:color="auto" w:sz="12" w:space="0"/>
            </w:tcBorders>
            <w:vAlign w:val="center"/>
          </w:tcPr>
          <w:p>
            <w:pPr>
              <w:widowControl/>
              <w:shd w:val="clear" w:color="auto" w:fill="FFFFFF"/>
              <w:spacing w:line="360" w:lineRule="exact"/>
              <w:jc w:val="left"/>
              <w:rPr>
                <w:rFonts w:ascii="宋体" w:hAnsi="宋体" w:cs="宋体"/>
                <w:color w:val="auto"/>
                <w:kern w:val="0"/>
                <w:sz w:val="24"/>
                <w:highlight w:val="none"/>
              </w:rPr>
            </w:pPr>
            <w:r>
              <w:rPr>
                <w:rFonts w:hint="eastAsia" w:ascii="宋体" w:hAnsi="宋体" w:cs="宋体"/>
                <w:bCs/>
                <w:color w:val="auto"/>
                <w:kern w:val="0"/>
                <w:sz w:val="24"/>
                <w:highlight w:val="none"/>
              </w:rPr>
              <w:t>线上递交，登录政采云平台https://www.zcygov.cn/，将加密</w:t>
            </w:r>
            <w:r>
              <w:rPr>
                <w:rFonts w:hint="eastAsia" w:ascii="宋体" w:hAnsi="宋体" w:cs="宋体"/>
                <w:bCs/>
                <w:color w:val="auto"/>
                <w:kern w:val="0"/>
                <w:sz w:val="24"/>
                <w:highlight w:val="none"/>
                <w:lang w:val="zh-CN"/>
              </w:rPr>
              <w:t>电子</w:t>
            </w:r>
            <w:r>
              <w:rPr>
                <w:rFonts w:hint="eastAsia" w:ascii="宋体" w:hAnsi="宋体" w:cs="宋体"/>
                <w:bCs/>
                <w:color w:val="auto"/>
                <w:kern w:val="0"/>
                <w:sz w:val="24"/>
                <w:highlight w:val="none"/>
              </w:rPr>
              <w:t>投标文件上</w:t>
            </w:r>
            <w:r>
              <w:rPr>
                <w:rFonts w:hint="eastAsia" w:ascii="宋体" w:hAnsi="宋体" w:cs="宋体"/>
                <w:bCs/>
                <w:color w:val="auto"/>
                <w:kern w:val="0"/>
                <w:sz w:val="24"/>
                <w:highlight w:val="none"/>
                <w:lang w:val="zh-CN"/>
              </w:rPr>
              <w:t>传到</w:t>
            </w:r>
            <w:r>
              <w:rPr>
                <w:rFonts w:hint="eastAsia" w:ascii="宋体" w:hAnsi="宋体" w:cs="宋体"/>
                <w:bCs/>
                <w:color w:val="auto"/>
                <w:kern w:val="0"/>
                <w:sz w:val="24"/>
                <w:highlight w:val="none"/>
              </w:rPr>
              <w:t>对应项目的的</w:t>
            </w:r>
            <w:r>
              <w:rPr>
                <w:rFonts w:hint="eastAsia" w:ascii="宋体" w:hAnsi="宋体" w:cs="宋体"/>
                <w:bCs/>
                <w:color w:val="auto"/>
                <w:kern w:val="0"/>
                <w:sz w:val="24"/>
                <w:highlight w:val="none"/>
                <w:lang w:val="zh-CN"/>
              </w:rPr>
              <w:t>指定</w:t>
            </w:r>
            <w:r>
              <w:rPr>
                <w:rFonts w:hint="eastAsia" w:ascii="宋体" w:hAnsi="宋体" w:cs="宋体"/>
                <w:bCs/>
                <w:color w:val="auto"/>
                <w:kern w:val="0"/>
                <w:sz w:val="24"/>
                <w:highlight w:val="none"/>
              </w:rPr>
              <w:t>位置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713" w:type="dxa"/>
            <w:tcBorders>
              <w:top w:val="single" w:color="auto" w:sz="4" w:space="0"/>
              <w:left w:val="single" w:color="auto" w:sz="12" w:space="0"/>
              <w:bottom w:val="single" w:color="auto" w:sz="4" w:space="0"/>
              <w:right w:val="single" w:color="auto" w:sz="4" w:space="0"/>
            </w:tcBorders>
            <w:vAlign w:val="center"/>
          </w:tcPr>
          <w:p>
            <w:pPr>
              <w:shd w:val="clear" w:color="auto" w:fill="FFFFFF"/>
              <w:autoSpaceDE w:val="0"/>
              <w:autoSpaceDN w:val="0"/>
              <w:spacing w:line="360" w:lineRule="exact"/>
              <w:jc w:val="center"/>
              <w:rPr>
                <w:rFonts w:ascii="宋体" w:hAnsi="宋体"/>
                <w:color w:val="auto"/>
                <w:kern w:val="0"/>
                <w:sz w:val="24"/>
                <w:highlight w:val="none"/>
              </w:rPr>
            </w:pPr>
            <w:r>
              <w:rPr>
                <w:rFonts w:ascii="宋体" w:hAnsi="宋体"/>
                <w:color w:val="auto"/>
                <w:kern w:val="0"/>
                <w:sz w:val="24"/>
                <w:highlight w:val="none"/>
              </w:rPr>
              <w:t>9</w:t>
            </w:r>
          </w:p>
        </w:tc>
        <w:tc>
          <w:tcPr>
            <w:tcW w:w="1996" w:type="dxa"/>
            <w:tcBorders>
              <w:top w:val="single" w:color="auto" w:sz="4" w:space="0"/>
              <w:left w:val="single" w:color="auto" w:sz="4" w:space="0"/>
              <w:bottom w:val="single" w:color="auto" w:sz="4" w:space="0"/>
              <w:right w:val="single" w:color="auto" w:sz="4" w:space="0"/>
            </w:tcBorders>
            <w:vAlign w:val="center"/>
          </w:tcPr>
          <w:p>
            <w:pPr>
              <w:shd w:val="clear" w:color="auto" w:fill="FFFFFF"/>
              <w:autoSpaceDE w:val="0"/>
              <w:autoSpaceDN w:val="0"/>
              <w:spacing w:line="360" w:lineRule="exact"/>
              <w:jc w:val="center"/>
              <w:rPr>
                <w:rFonts w:ascii="宋体" w:hAnsi="宋体"/>
                <w:bCs/>
                <w:color w:val="auto"/>
                <w:kern w:val="0"/>
                <w:sz w:val="24"/>
                <w:highlight w:val="none"/>
              </w:rPr>
            </w:pPr>
            <w:r>
              <w:rPr>
                <w:rFonts w:ascii="宋体" w:hAnsi="宋体"/>
                <w:bCs/>
                <w:color w:val="auto"/>
                <w:kern w:val="0"/>
                <w:sz w:val="24"/>
                <w:highlight w:val="none"/>
              </w:rPr>
              <w:t>开标时间、开标地点</w:t>
            </w:r>
          </w:p>
        </w:tc>
        <w:tc>
          <w:tcPr>
            <w:tcW w:w="7230" w:type="dxa"/>
            <w:tcBorders>
              <w:top w:val="single" w:color="auto" w:sz="4" w:space="0"/>
              <w:left w:val="single" w:color="auto" w:sz="4" w:space="0"/>
              <w:bottom w:val="single" w:color="auto" w:sz="4" w:space="0"/>
              <w:right w:val="single" w:color="auto" w:sz="12" w:space="0"/>
            </w:tcBorders>
            <w:vAlign w:val="center"/>
          </w:tcPr>
          <w:p>
            <w:pPr>
              <w:shd w:val="clear" w:color="auto" w:fill="FFFFFF"/>
              <w:autoSpaceDE w:val="0"/>
              <w:autoSpaceDN w:val="0"/>
              <w:spacing w:line="360" w:lineRule="exact"/>
              <w:rPr>
                <w:rFonts w:ascii="宋体" w:hAnsi="宋体" w:cs="宋体"/>
                <w:color w:val="auto"/>
                <w:sz w:val="24"/>
                <w:highlight w:val="none"/>
              </w:rPr>
            </w:pPr>
            <w:r>
              <w:rPr>
                <w:rFonts w:hint="eastAsia" w:ascii="宋体" w:hAnsi="宋体" w:cs="宋体"/>
                <w:color w:val="auto"/>
                <w:sz w:val="24"/>
                <w:highlight w:val="none"/>
              </w:rPr>
              <w:t>2022年0</w:t>
            </w:r>
            <w:r>
              <w:rPr>
                <w:rFonts w:hint="eastAsia" w:ascii="宋体" w:hAnsi="宋体" w:cs="宋体"/>
                <w:color w:val="auto"/>
                <w:sz w:val="24"/>
                <w:highlight w:val="none"/>
                <w:lang w:val="en-US" w:eastAsia="zh-CN"/>
              </w:rPr>
              <w:t>9</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14</w:t>
            </w:r>
            <w:r>
              <w:rPr>
                <w:rFonts w:hint="eastAsia" w:ascii="宋体" w:hAnsi="宋体" w:cs="宋体"/>
                <w:color w:val="auto"/>
                <w:sz w:val="24"/>
                <w:highlight w:val="none"/>
              </w:rPr>
              <w:t>日11:00时（北京时间）</w:t>
            </w:r>
          </w:p>
          <w:p>
            <w:pPr>
              <w:shd w:val="clear" w:color="auto" w:fill="FFFFFF"/>
              <w:autoSpaceDE w:val="0"/>
              <w:autoSpaceDN w:val="0"/>
              <w:spacing w:line="360" w:lineRule="exact"/>
              <w:rPr>
                <w:rFonts w:ascii="宋体" w:hAnsi="宋体"/>
                <w:bCs/>
                <w:color w:val="auto"/>
                <w:kern w:val="0"/>
                <w:sz w:val="24"/>
                <w:highlight w:val="none"/>
              </w:rPr>
            </w:pPr>
            <w:r>
              <w:rPr>
                <w:rFonts w:hint="eastAsia" w:ascii="宋体" w:hAnsi="宋体" w:cs="宋体"/>
                <w:color w:val="auto"/>
                <w:kern w:val="0"/>
                <w:sz w:val="24"/>
                <w:highlight w:val="none"/>
              </w:rPr>
              <w:t>开标地址：</w:t>
            </w:r>
            <w:r>
              <w:rPr>
                <w:rFonts w:ascii="宋体" w:hAnsi="宋体" w:cs="宋体"/>
                <w:color w:val="auto"/>
                <w:sz w:val="24"/>
                <w:highlight w:val="none"/>
              </w:rPr>
              <w:t>政采云平台https://www.zcygov.cn/</w:t>
            </w:r>
            <w:r>
              <w:rPr>
                <w:rFonts w:hint="eastAsia" w:ascii="宋体" w:hAnsi="宋体" w:cs="宋体"/>
                <w:color w:val="auto"/>
                <w:sz w:val="24"/>
                <w:highlight w:val="none"/>
              </w:rPr>
              <w:t>不见面开标大厅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9" w:hRule="atLeast"/>
          <w:jc w:val="center"/>
        </w:trPr>
        <w:tc>
          <w:tcPr>
            <w:tcW w:w="713" w:type="dxa"/>
            <w:tcBorders>
              <w:top w:val="single" w:color="auto" w:sz="4" w:space="0"/>
              <w:left w:val="single" w:color="auto" w:sz="12" w:space="0"/>
              <w:bottom w:val="single" w:color="auto" w:sz="4" w:space="0"/>
              <w:right w:val="single" w:color="auto" w:sz="4" w:space="0"/>
            </w:tcBorders>
            <w:vAlign w:val="center"/>
          </w:tcPr>
          <w:p>
            <w:pPr>
              <w:shd w:val="clear" w:color="auto" w:fill="FFFFFF"/>
              <w:autoSpaceDE w:val="0"/>
              <w:autoSpaceDN w:val="0"/>
              <w:spacing w:line="360" w:lineRule="exact"/>
              <w:jc w:val="center"/>
              <w:rPr>
                <w:rFonts w:ascii="宋体" w:hAnsi="宋体"/>
                <w:color w:val="auto"/>
                <w:kern w:val="0"/>
                <w:sz w:val="24"/>
                <w:highlight w:val="none"/>
              </w:rPr>
            </w:pPr>
            <w:r>
              <w:rPr>
                <w:rFonts w:ascii="宋体" w:hAnsi="宋体"/>
                <w:color w:val="auto"/>
                <w:kern w:val="0"/>
                <w:sz w:val="24"/>
                <w:highlight w:val="none"/>
              </w:rPr>
              <w:t>10</w:t>
            </w:r>
          </w:p>
        </w:tc>
        <w:tc>
          <w:tcPr>
            <w:tcW w:w="1996" w:type="dxa"/>
            <w:tcBorders>
              <w:top w:val="single" w:color="auto" w:sz="4" w:space="0"/>
              <w:left w:val="single" w:color="auto" w:sz="4" w:space="0"/>
              <w:bottom w:val="single" w:color="auto" w:sz="4" w:space="0"/>
              <w:right w:val="single" w:color="auto" w:sz="4" w:space="0"/>
            </w:tcBorders>
            <w:vAlign w:val="center"/>
          </w:tcPr>
          <w:p>
            <w:pPr>
              <w:shd w:val="clear" w:color="auto" w:fill="FFFFFF"/>
              <w:autoSpaceDE w:val="0"/>
              <w:autoSpaceDN w:val="0"/>
              <w:spacing w:line="360" w:lineRule="exact"/>
              <w:jc w:val="center"/>
              <w:rPr>
                <w:rFonts w:ascii="宋体" w:hAnsi="宋体"/>
                <w:bCs/>
                <w:color w:val="auto"/>
                <w:kern w:val="0"/>
                <w:sz w:val="24"/>
                <w:highlight w:val="none"/>
              </w:rPr>
            </w:pPr>
            <w:r>
              <w:rPr>
                <w:rFonts w:ascii="宋体" w:hAnsi="宋体"/>
                <w:bCs/>
                <w:color w:val="auto"/>
                <w:kern w:val="0"/>
                <w:sz w:val="24"/>
                <w:highlight w:val="none"/>
              </w:rPr>
              <w:t>评标办法</w:t>
            </w:r>
          </w:p>
        </w:tc>
        <w:tc>
          <w:tcPr>
            <w:tcW w:w="7230" w:type="dxa"/>
            <w:tcBorders>
              <w:top w:val="single" w:color="auto" w:sz="4" w:space="0"/>
              <w:left w:val="single" w:color="auto" w:sz="4" w:space="0"/>
              <w:bottom w:val="single" w:color="auto" w:sz="4" w:space="0"/>
              <w:right w:val="single" w:color="auto" w:sz="12" w:space="0"/>
            </w:tcBorders>
            <w:vAlign w:val="center"/>
          </w:tcPr>
          <w:p>
            <w:pPr>
              <w:shd w:val="clear" w:color="auto" w:fill="FFFFFF"/>
              <w:autoSpaceDE w:val="0"/>
              <w:autoSpaceDN w:val="0"/>
              <w:spacing w:line="360" w:lineRule="exact"/>
              <w:rPr>
                <w:rFonts w:ascii="宋体" w:hAnsi="宋体"/>
                <w:bCs/>
                <w:color w:val="auto"/>
                <w:kern w:val="0"/>
                <w:sz w:val="24"/>
                <w:highlight w:val="none"/>
              </w:rPr>
            </w:pPr>
            <w:r>
              <w:rPr>
                <w:rFonts w:ascii="宋体" w:hAnsi="宋体"/>
                <w:bCs/>
                <w:color w:val="auto"/>
                <w:kern w:val="0"/>
                <w:sz w:val="24"/>
                <w:highlight w:val="none"/>
              </w:rPr>
              <w:t>综合评分法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97" w:hRule="atLeast"/>
          <w:jc w:val="center"/>
        </w:trPr>
        <w:tc>
          <w:tcPr>
            <w:tcW w:w="713" w:type="dxa"/>
            <w:tcBorders>
              <w:top w:val="single" w:color="auto" w:sz="4" w:space="0"/>
              <w:left w:val="single" w:color="auto" w:sz="12" w:space="0"/>
              <w:bottom w:val="single" w:color="auto" w:sz="4" w:space="0"/>
              <w:right w:val="single" w:color="auto" w:sz="4" w:space="0"/>
            </w:tcBorders>
            <w:vAlign w:val="center"/>
          </w:tcPr>
          <w:p>
            <w:pPr>
              <w:shd w:val="clear" w:color="auto" w:fill="FFFFFF"/>
              <w:autoSpaceDE w:val="0"/>
              <w:autoSpaceDN w:val="0"/>
              <w:spacing w:line="360" w:lineRule="exact"/>
              <w:jc w:val="center"/>
              <w:rPr>
                <w:rFonts w:ascii="宋体" w:hAnsi="宋体"/>
                <w:color w:val="auto"/>
                <w:kern w:val="0"/>
                <w:sz w:val="24"/>
                <w:highlight w:val="none"/>
              </w:rPr>
            </w:pPr>
            <w:r>
              <w:rPr>
                <w:rFonts w:ascii="宋体" w:hAnsi="宋体"/>
                <w:color w:val="auto"/>
                <w:kern w:val="0"/>
                <w:sz w:val="24"/>
                <w:highlight w:val="none"/>
              </w:rPr>
              <w:t>11</w:t>
            </w:r>
          </w:p>
        </w:tc>
        <w:tc>
          <w:tcPr>
            <w:tcW w:w="1996" w:type="dxa"/>
            <w:tcBorders>
              <w:top w:val="single" w:color="auto" w:sz="4" w:space="0"/>
              <w:left w:val="single" w:color="auto" w:sz="4" w:space="0"/>
              <w:bottom w:val="single" w:color="auto" w:sz="4" w:space="0"/>
              <w:right w:val="single" w:color="auto" w:sz="4" w:space="0"/>
            </w:tcBorders>
            <w:vAlign w:val="center"/>
          </w:tcPr>
          <w:p>
            <w:pPr>
              <w:shd w:val="clear" w:color="auto" w:fill="FFFFFF"/>
              <w:autoSpaceDE w:val="0"/>
              <w:autoSpaceDN w:val="0"/>
              <w:spacing w:line="360" w:lineRule="exact"/>
              <w:jc w:val="center"/>
              <w:rPr>
                <w:rFonts w:ascii="宋体" w:hAnsi="宋体"/>
                <w:bCs/>
                <w:color w:val="auto"/>
                <w:kern w:val="0"/>
                <w:sz w:val="24"/>
                <w:highlight w:val="none"/>
              </w:rPr>
            </w:pPr>
            <w:r>
              <w:rPr>
                <w:rFonts w:hint="eastAsia" w:ascii="宋体" w:hAnsi="宋体" w:cs="宋体"/>
                <w:b/>
                <w:bCs/>
                <w:color w:val="auto"/>
                <w:sz w:val="24"/>
                <w:highlight w:val="none"/>
              </w:rPr>
              <w:t>★</w:t>
            </w:r>
            <w:r>
              <w:rPr>
                <w:rFonts w:ascii="宋体" w:hAnsi="宋体"/>
                <w:bCs/>
                <w:color w:val="auto"/>
                <w:kern w:val="0"/>
                <w:sz w:val="24"/>
                <w:highlight w:val="none"/>
              </w:rPr>
              <w:t>投标保证金</w:t>
            </w:r>
          </w:p>
        </w:tc>
        <w:tc>
          <w:tcPr>
            <w:tcW w:w="7230"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snapToGrid/>
              <w:spacing w:line="300" w:lineRule="exact"/>
              <w:ind w:left="0" w:right="0" w:firstLine="0" w:firstLineChars="0"/>
              <w:jc w:val="both"/>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rPr>
              <w:t>标项一投标保证金的金额：</w:t>
            </w:r>
            <w:r>
              <w:rPr>
                <w:rFonts w:hint="eastAsia" w:ascii="宋体" w:hAnsi="宋体" w:cs="宋体"/>
                <w:b/>
                <w:bCs/>
                <w:color w:val="auto"/>
                <w:sz w:val="24"/>
                <w:szCs w:val="24"/>
                <w:highlight w:val="none"/>
                <w:lang w:val="en-US" w:eastAsia="zh-CN"/>
              </w:rPr>
              <w:t>26000.00</w:t>
            </w:r>
            <w:r>
              <w:rPr>
                <w:rFonts w:hint="eastAsia" w:ascii="宋体" w:hAnsi="宋体" w:eastAsia="宋体" w:cs="宋体"/>
                <w:b/>
                <w:bCs/>
                <w:color w:val="auto"/>
                <w:sz w:val="24"/>
                <w:szCs w:val="24"/>
                <w:highlight w:val="none"/>
                <w:lang w:val="en-US" w:eastAsia="zh-CN"/>
              </w:rPr>
              <w:t>元（</w:t>
            </w:r>
            <w:r>
              <w:rPr>
                <w:rFonts w:hint="eastAsia" w:ascii="宋体" w:hAnsi="宋体" w:cs="宋体"/>
                <w:b/>
                <w:bCs/>
                <w:color w:val="auto"/>
                <w:sz w:val="24"/>
                <w:szCs w:val="24"/>
                <w:highlight w:val="none"/>
                <w:lang w:val="en-US" w:eastAsia="zh-CN"/>
              </w:rPr>
              <w:t>贰万陆仟元整</w:t>
            </w:r>
            <w:r>
              <w:rPr>
                <w:rFonts w:hint="eastAsia" w:ascii="宋体" w:hAnsi="宋体" w:eastAsia="宋体" w:cs="宋体"/>
                <w:b/>
                <w:bCs/>
                <w:color w:val="auto"/>
                <w:sz w:val="24"/>
                <w:szCs w:val="24"/>
                <w:highlight w:val="none"/>
                <w:lang w:val="en-US" w:eastAsia="zh-CN"/>
              </w:rPr>
              <w:t>）</w:t>
            </w:r>
          </w:p>
          <w:p>
            <w:pPr>
              <w:keepNext w:val="0"/>
              <w:keepLines w:val="0"/>
              <w:pageBreakBefore w:val="0"/>
              <w:kinsoku/>
              <w:wordWrap/>
              <w:overflowPunct/>
              <w:topLinePunct w:val="0"/>
              <w:autoSpaceDE/>
              <w:autoSpaceDN/>
              <w:bidi w:val="0"/>
              <w:adjustRightInd/>
              <w:snapToGrid/>
              <w:spacing w:line="300" w:lineRule="exact"/>
              <w:ind w:left="0" w:right="0" w:firstLine="0" w:firstLineChars="0"/>
              <w:jc w:val="both"/>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rPr>
              <w:t>标项</w:t>
            </w:r>
            <w:r>
              <w:rPr>
                <w:rFonts w:hint="eastAsia" w:ascii="宋体" w:hAnsi="宋体" w:eastAsia="宋体" w:cs="宋体"/>
                <w:b/>
                <w:bCs/>
                <w:color w:val="auto"/>
                <w:sz w:val="24"/>
                <w:szCs w:val="24"/>
                <w:highlight w:val="none"/>
                <w:lang w:eastAsia="zh-CN"/>
              </w:rPr>
              <w:t>二</w:t>
            </w:r>
            <w:r>
              <w:rPr>
                <w:rFonts w:hint="eastAsia" w:ascii="宋体" w:hAnsi="宋体" w:eastAsia="宋体" w:cs="宋体"/>
                <w:b/>
                <w:bCs/>
                <w:color w:val="auto"/>
                <w:sz w:val="24"/>
                <w:szCs w:val="24"/>
                <w:highlight w:val="none"/>
              </w:rPr>
              <w:t>投标保证金的金额：</w:t>
            </w:r>
            <w:r>
              <w:rPr>
                <w:rFonts w:hint="eastAsia" w:ascii="宋体" w:hAnsi="宋体" w:cs="宋体"/>
                <w:b/>
                <w:bCs/>
                <w:color w:val="auto"/>
                <w:sz w:val="24"/>
                <w:szCs w:val="24"/>
                <w:highlight w:val="none"/>
                <w:lang w:val="en-US" w:eastAsia="zh-CN"/>
              </w:rPr>
              <w:t>26500</w:t>
            </w:r>
            <w:r>
              <w:rPr>
                <w:rFonts w:hint="eastAsia" w:ascii="宋体" w:hAnsi="宋体" w:eastAsia="宋体" w:cs="宋体"/>
                <w:b/>
                <w:bCs/>
                <w:color w:val="auto"/>
                <w:sz w:val="24"/>
                <w:szCs w:val="24"/>
                <w:highlight w:val="none"/>
                <w:lang w:val="en-US" w:eastAsia="zh-CN"/>
              </w:rPr>
              <w:t>.00元（贰万陆仟伍佰元整）</w:t>
            </w:r>
          </w:p>
          <w:p>
            <w:pPr>
              <w:keepNext w:val="0"/>
              <w:keepLines w:val="0"/>
              <w:pageBreakBefore w:val="0"/>
              <w:kinsoku/>
              <w:wordWrap/>
              <w:overflowPunct/>
              <w:topLinePunct w:val="0"/>
              <w:autoSpaceDE/>
              <w:autoSpaceDN/>
              <w:bidi w:val="0"/>
              <w:adjustRightInd/>
              <w:snapToGrid/>
              <w:spacing w:line="300" w:lineRule="exact"/>
              <w:ind w:left="0" w:right="0" w:firstLine="0" w:firstLineChars="0"/>
              <w:jc w:val="both"/>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rPr>
              <w:t>标项</w:t>
            </w:r>
            <w:r>
              <w:rPr>
                <w:rFonts w:hint="eastAsia" w:ascii="宋体" w:hAnsi="宋体" w:eastAsia="宋体" w:cs="宋体"/>
                <w:b/>
                <w:bCs/>
                <w:color w:val="auto"/>
                <w:sz w:val="24"/>
                <w:szCs w:val="24"/>
                <w:highlight w:val="none"/>
                <w:lang w:eastAsia="zh-CN"/>
              </w:rPr>
              <w:t>三</w:t>
            </w:r>
            <w:r>
              <w:rPr>
                <w:rFonts w:hint="eastAsia" w:ascii="宋体" w:hAnsi="宋体" w:eastAsia="宋体" w:cs="宋体"/>
                <w:b/>
                <w:bCs/>
                <w:color w:val="auto"/>
                <w:sz w:val="24"/>
                <w:szCs w:val="24"/>
                <w:highlight w:val="none"/>
              </w:rPr>
              <w:t>投标保证金的金额：</w:t>
            </w:r>
            <w:r>
              <w:rPr>
                <w:rFonts w:hint="eastAsia" w:ascii="宋体" w:hAnsi="宋体" w:cs="宋体"/>
                <w:b/>
                <w:bCs/>
                <w:color w:val="auto"/>
                <w:sz w:val="24"/>
                <w:szCs w:val="24"/>
                <w:highlight w:val="none"/>
                <w:lang w:val="en-US" w:eastAsia="zh-CN"/>
              </w:rPr>
              <w:t>2500</w:t>
            </w:r>
            <w:r>
              <w:rPr>
                <w:rFonts w:hint="eastAsia" w:ascii="宋体" w:hAnsi="宋体" w:eastAsia="宋体" w:cs="宋体"/>
                <w:b/>
                <w:bCs/>
                <w:color w:val="auto"/>
                <w:sz w:val="24"/>
                <w:szCs w:val="24"/>
                <w:highlight w:val="none"/>
                <w:lang w:val="en-US" w:eastAsia="zh-CN"/>
              </w:rPr>
              <w:t>.00元（</w:t>
            </w:r>
            <w:r>
              <w:rPr>
                <w:rFonts w:hint="eastAsia" w:ascii="宋体" w:hAnsi="宋体" w:cs="宋体"/>
                <w:b/>
                <w:bCs/>
                <w:color w:val="auto"/>
                <w:sz w:val="24"/>
                <w:szCs w:val="24"/>
                <w:highlight w:val="none"/>
                <w:lang w:val="en-US" w:eastAsia="zh-CN"/>
              </w:rPr>
              <w:t>贰仟伍佰元整</w:t>
            </w:r>
            <w:r>
              <w:rPr>
                <w:rFonts w:hint="eastAsia" w:ascii="宋体" w:hAnsi="宋体" w:eastAsia="宋体" w:cs="宋体"/>
                <w:b/>
                <w:bCs/>
                <w:color w:val="auto"/>
                <w:sz w:val="24"/>
                <w:szCs w:val="24"/>
                <w:highlight w:val="none"/>
                <w:lang w:val="en-US" w:eastAsia="zh-CN"/>
              </w:rPr>
              <w:t>）</w:t>
            </w:r>
          </w:p>
          <w:p>
            <w:pPr>
              <w:pStyle w:val="215"/>
              <w:shd w:val="clear" w:color="auto" w:fill="FFFFFF"/>
              <w:spacing w:line="360" w:lineRule="exact"/>
              <w:ind w:firstLine="0" w:firstLineChars="0"/>
              <w:rPr>
                <w:rFonts w:ascii="宋体" w:eastAsia="宋体" w:cs="宋体"/>
                <w:color w:val="auto"/>
                <w:sz w:val="24"/>
                <w:szCs w:val="24"/>
                <w:highlight w:val="none"/>
              </w:rPr>
            </w:pPr>
            <w:r>
              <w:rPr>
                <w:rFonts w:ascii="宋体" w:eastAsia="宋体"/>
                <w:bCs/>
                <w:color w:val="auto"/>
                <w:sz w:val="24"/>
                <w:szCs w:val="24"/>
                <w:highlight w:val="none"/>
              </w:rPr>
              <w:t>供应商应于</w:t>
            </w:r>
            <w:r>
              <w:rPr>
                <w:rFonts w:ascii="宋体" w:cs="宋体"/>
                <w:color w:val="auto"/>
                <w:sz w:val="24"/>
                <w:highlight w:val="none"/>
              </w:rPr>
              <w:t>202</w:t>
            </w:r>
            <w:r>
              <w:rPr>
                <w:rFonts w:hint="eastAsia" w:ascii="宋体" w:eastAsia="宋体" w:cs="宋体"/>
                <w:color w:val="auto"/>
                <w:sz w:val="24"/>
                <w:highlight w:val="none"/>
              </w:rPr>
              <w:t>3</w:t>
            </w:r>
            <w:r>
              <w:rPr>
                <w:rFonts w:ascii="宋体" w:cs="宋体"/>
                <w:color w:val="auto"/>
                <w:sz w:val="24"/>
                <w:highlight w:val="none"/>
              </w:rPr>
              <w:t>年</w:t>
            </w:r>
            <w:r>
              <w:rPr>
                <w:rFonts w:hint="eastAsia" w:ascii="宋体" w:eastAsia="宋体" w:cs="宋体"/>
                <w:color w:val="auto"/>
                <w:sz w:val="24"/>
                <w:highlight w:val="none"/>
              </w:rPr>
              <w:t>0</w:t>
            </w:r>
            <w:r>
              <w:rPr>
                <w:rFonts w:hint="eastAsia" w:ascii="宋体" w:eastAsia="宋体" w:cs="宋体"/>
                <w:color w:val="auto"/>
                <w:sz w:val="24"/>
                <w:highlight w:val="none"/>
                <w:lang w:val="en-US" w:eastAsia="zh-CN"/>
              </w:rPr>
              <w:t>9</w:t>
            </w:r>
            <w:r>
              <w:rPr>
                <w:rFonts w:ascii="宋体" w:cs="宋体"/>
                <w:color w:val="auto"/>
                <w:sz w:val="24"/>
                <w:highlight w:val="none"/>
              </w:rPr>
              <w:t>月</w:t>
            </w:r>
            <w:r>
              <w:rPr>
                <w:rFonts w:hint="eastAsia" w:ascii="宋体" w:eastAsia="宋体" w:cs="宋体"/>
                <w:color w:val="auto"/>
                <w:sz w:val="24"/>
                <w:highlight w:val="none"/>
                <w:lang w:val="en-US" w:eastAsia="zh-CN"/>
              </w:rPr>
              <w:t>14</w:t>
            </w:r>
            <w:r>
              <w:rPr>
                <w:rFonts w:ascii="宋体" w:cs="宋体"/>
                <w:color w:val="auto"/>
                <w:sz w:val="24"/>
                <w:highlight w:val="none"/>
              </w:rPr>
              <w:t>日1</w:t>
            </w:r>
            <w:r>
              <w:rPr>
                <w:rFonts w:hint="eastAsia" w:ascii="宋体" w:eastAsia="宋体" w:cs="宋体"/>
                <w:color w:val="auto"/>
                <w:sz w:val="24"/>
                <w:highlight w:val="none"/>
              </w:rPr>
              <w:t>1:0</w:t>
            </w:r>
            <w:r>
              <w:rPr>
                <w:rFonts w:ascii="宋体" w:cs="宋体"/>
                <w:color w:val="auto"/>
                <w:sz w:val="24"/>
                <w:highlight w:val="none"/>
              </w:rPr>
              <w:t>0时（北京时间）</w:t>
            </w:r>
            <w:r>
              <w:rPr>
                <w:rFonts w:ascii="宋体" w:eastAsia="宋体"/>
                <w:bCs/>
                <w:color w:val="auto"/>
                <w:sz w:val="24"/>
                <w:szCs w:val="24"/>
                <w:highlight w:val="none"/>
              </w:rPr>
              <w:t>前，将投标保证金缴纳至采购代理机构指定账户。</w:t>
            </w:r>
            <w:r>
              <w:rPr>
                <w:rFonts w:ascii="宋体" w:eastAsia="宋体" w:cs="宋体"/>
                <w:color w:val="auto"/>
                <w:sz w:val="24"/>
                <w:szCs w:val="24"/>
                <w:highlight w:val="none"/>
              </w:rPr>
              <w:t>投标保证金应采用人民币，以非现金形式的电汇、网银</w:t>
            </w:r>
            <w:r>
              <w:rPr>
                <w:rFonts w:hint="eastAsia" w:ascii="宋体" w:eastAsia="宋体" w:cs="宋体"/>
                <w:color w:val="auto"/>
                <w:sz w:val="24"/>
                <w:szCs w:val="24"/>
                <w:highlight w:val="none"/>
              </w:rPr>
              <w:t>、银行保函等</w:t>
            </w:r>
            <w:r>
              <w:rPr>
                <w:rFonts w:ascii="宋体" w:eastAsia="宋体" w:cs="宋体"/>
                <w:color w:val="auto"/>
                <w:sz w:val="24"/>
                <w:szCs w:val="24"/>
                <w:highlight w:val="none"/>
              </w:rPr>
              <w:t>方式</w:t>
            </w:r>
            <w:r>
              <w:rPr>
                <w:rFonts w:hint="eastAsia" w:ascii="宋体" w:eastAsia="宋体" w:cs="宋体"/>
                <w:color w:val="auto"/>
                <w:sz w:val="24"/>
                <w:szCs w:val="24"/>
                <w:highlight w:val="none"/>
              </w:rPr>
              <w:t>，</w:t>
            </w:r>
            <w:r>
              <w:rPr>
                <w:rFonts w:ascii="宋体" w:eastAsia="宋体" w:cs="宋体"/>
                <w:color w:val="auto"/>
                <w:sz w:val="24"/>
                <w:szCs w:val="24"/>
                <w:highlight w:val="none"/>
              </w:rPr>
              <w:t>由供应商的账户汇出(个体工商户除外)提交。</w:t>
            </w:r>
          </w:p>
          <w:p>
            <w:pPr>
              <w:pStyle w:val="215"/>
              <w:shd w:val="clear" w:color="auto" w:fill="FFFFFF"/>
              <w:spacing w:line="360" w:lineRule="exact"/>
              <w:ind w:left="216" w:leftChars="103" w:firstLine="0" w:firstLineChars="0"/>
              <w:rPr>
                <w:rFonts w:ascii="宋体" w:eastAsia="宋体" w:cs="宋体"/>
                <w:color w:val="auto"/>
                <w:sz w:val="24"/>
                <w:highlight w:val="none"/>
              </w:rPr>
            </w:pPr>
            <w:r>
              <w:rPr>
                <w:rFonts w:hint="eastAsia" w:ascii="宋体" w:eastAsia="宋体" w:cs="宋体"/>
                <w:color w:val="auto"/>
                <w:sz w:val="24"/>
                <w:highlight w:val="none"/>
              </w:rPr>
              <w:t>账户名称：</w:t>
            </w:r>
            <w:r>
              <w:rPr>
                <w:rFonts w:hint="eastAsia" w:ascii="宋体" w:cs="宋体"/>
                <w:color w:val="auto"/>
                <w:sz w:val="24"/>
                <w:highlight w:val="none"/>
              </w:rPr>
              <w:t>新疆东南项目管理有限公司</w:t>
            </w:r>
          </w:p>
          <w:p>
            <w:pPr>
              <w:pStyle w:val="215"/>
              <w:shd w:val="clear" w:color="auto" w:fill="FFFFFF"/>
              <w:spacing w:line="360" w:lineRule="exact"/>
              <w:ind w:left="216" w:leftChars="103" w:firstLine="0" w:firstLineChars="0"/>
              <w:rPr>
                <w:rFonts w:ascii="宋体" w:eastAsia="宋体" w:cs="宋体"/>
                <w:color w:val="auto"/>
                <w:sz w:val="24"/>
                <w:highlight w:val="none"/>
              </w:rPr>
            </w:pPr>
            <w:r>
              <w:rPr>
                <w:rFonts w:hint="eastAsia" w:ascii="宋体" w:eastAsia="宋体" w:cs="宋体"/>
                <w:color w:val="auto"/>
                <w:sz w:val="24"/>
                <w:highlight w:val="none"/>
              </w:rPr>
              <w:t>开户行名称：</w:t>
            </w:r>
            <w:r>
              <w:rPr>
                <w:rFonts w:hint="eastAsia" w:ascii="宋体" w:cs="宋体"/>
                <w:color w:val="auto"/>
                <w:sz w:val="24"/>
                <w:highlight w:val="none"/>
              </w:rPr>
              <w:t>交通银行乌鲁木齐市北京路支行</w:t>
            </w:r>
          </w:p>
          <w:p>
            <w:pPr>
              <w:pStyle w:val="215"/>
              <w:shd w:val="clear" w:color="auto" w:fill="FFFFFF"/>
              <w:spacing w:line="360" w:lineRule="exact"/>
              <w:ind w:left="216" w:leftChars="103" w:firstLine="0" w:firstLineChars="0"/>
              <w:rPr>
                <w:rFonts w:ascii="宋体" w:eastAsia="宋体" w:cs="宋体"/>
                <w:color w:val="auto"/>
                <w:sz w:val="24"/>
                <w:highlight w:val="none"/>
              </w:rPr>
            </w:pPr>
            <w:r>
              <w:rPr>
                <w:rFonts w:hint="eastAsia" w:ascii="宋体" w:eastAsia="宋体" w:cs="宋体"/>
                <w:color w:val="auto"/>
                <w:sz w:val="24"/>
                <w:highlight w:val="none"/>
              </w:rPr>
              <w:t>账号：</w:t>
            </w:r>
            <w:r>
              <w:rPr>
                <w:rFonts w:hint="eastAsia" w:ascii="宋体" w:cs="宋体"/>
                <w:color w:val="auto"/>
                <w:sz w:val="24"/>
                <w:highlight w:val="none"/>
              </w:rPr>
              <w:t>651651026013000992631</w:t>
            </w:r>
          </w:p>
          <w:p>
            <w:pPr>
              <w:pStyle w:val="215"/>
              <w:shd w:val="clear" w:color="auto" w:fill="FFFFFF"/>
              <w:spacing w:line="360" w:lineRule="exact"/>
              <w:ind w:firstLine="0" w:firstLineChars="0"/>
              <w:rPr>
                <w:rFonts w:ascii="宋体" w:eastAsia="宋体" w:cs="宋体"/>
                <w:color w:val="auto"/>
                <w:sz w:val="24"/>
                <w:highlight w:val="none"/>
              </w:rPr>
            </w:pPr>
            <w:r>
              <w:rPr>
                <w:rFonts w:hint="eastAsia" w:ascii="宋体" w:eastAsia="宋体" w:cs="宋体"/>
                <w:color w:val="auto"/>
                <w:sz w:val="24"/>
                <w:highlight w:val="none"/>
              </w:rPr>
              <w:t>注：1.如果发现供应商有围标、串标行为，其响应无效，且投标保证金将被没收，不予退还；</w:t>
            </w:r>
          </w:p>
          <w:p>
            <w:pPr>
              <w:pStyle w:val="215"/>
              <w:shd w:val="clear" w:color="auto" w:fill="FFFFFF"/>
              <w:spacing w:line="360" w:lineRule="exact"/>
              <w:ind w:firstLine="0" w:firstLineChars="0"/>
              <w:rPr>
                <w:rFonts w:ascii="宋体" w:eastAsia="宋体" w:cs="宋体"/>
                <w:color w:val="auto"/>
                <w:sz w:val="24"/>
                <w:highlight w:val="none"/>
              </w:rPr>
            </w:pPr>
            <w:r>
              <w:rPr>
                <w:rFonts w:hint="eastAsia" w:ascii="宋体" w:eastAsia="宋体" w:cs="宋体"/>
                <w:color w:val="auto"/>
                <w:sz w:val="24"/>
                <w:highlight w:val="none"/>
              </w:rPr>
              <w:t>2.投标保证金未按规定时间缴纳或提交金额不足的，将被视为无效响应,其响应文件将不予接受。供应商应充分考虑资金在途时间）；</w:t>
            </w:r>
          </w:p>
          <w:p>
            <w:pPr>
              <w:pStyle w:val="215"/>
              <w:shd w:val="clear" w:color="auto" w:fill="FFFFFF"/>
              <w:spacing w:line="360" w:lineRule="exact"/>
              <w:ind w:firstLine="0" w:firstLineChars="0"/>
              <w:rPr>
                <w:rFonts w:ascii="宋体" w:eastAsia="宋体"/>
                <w:bCs/>
                <w:color w:val="auto"/>
                <w:sz w:val="24"/>
                <w:szCs w:val="24"/>
                <w:highlight w:val="none"/>
              </w:rPr>
            </w:pPr>
            <w:r>
              <w:rPr>
                <w:rFonts w:hint="eastAsia" w:ascii="宋体" w:eastAsia="宋体" w:cs="宋体"/>
                <w:color w:val="auto"/>
                <w:sz w:val="24"/>
                <w:highlight w:val="none"/>
              </w:rPr>
              <w:t>3.</w:t>
            </w:r>
            <w:r>
              <w:rPr>
                <w:rFonts w:hint="eastAsia" w:ascii="宋体" w:eastAsia="宋体" w:cs="宋体;SimSun"/>
                <w:b/>
                <w:bCs/>
                <w:color w:val="auto"/>
                <w:sz w:val="24"/>
                <w:highlight w:val="none"/>
              </w:rPr>
              <w:t>供应商递交保证金时请在汇款时注明“项目名称简称、汇款事由（投标保证金）”，对因未注明项目简称及汇款事由而造成保证金不能及时到账的，后果由供应商自负。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713" w:type="dxa"/>
            <w:tcBorders>
              <w:top w:val="single" w:color="auto" w:sz="4" w:space="0"/>
              <w:left w:val="single" w:color="auto" w:sz="12" w:space="0"/>
              <w:bottom w:val="single" w:color="auto" w:sz="4" w:space="0"/>
              <w:right w:val="single" w:color="auto" w:sz="4" w:space="0"/>
            </w:tcBorders>
            <w:vAlign w:val="center"/>
          </w:tcPr>
          <w:p>
            <w:pPr>
              <w:shd w:val="clear" w:color="auto" w:fill="FFFFFF"/>
              <w:autoSpaceDE w:val="0"/>
              <w:autoSpaceDN w:val="0"/>
              <w:spacing w:line="360" w:lineRule="exact"/>
              <w:jc w:val="center"/>
              <w:rPr>
                <w:rFonts w:ascii="宋体" w:hAnsi="宋体"/>
                <w:color w:val="auto"/>
                <w:kern w:val="0"/>
                <w:sz w:val="24"/>
                <w:highlight w:val="none"/>
              </w:rPr>
            </w:pPr>
            <w:r>
              <w:rPr>
                <w:rFonts w:ascii="宋体" w:hAnsi="宋体"/>
                <w:color w:val="auto"/>
                <w:kern w:val="0"/>
                <w:sz w:val="24"/>
                <w:highlight w:val="none"/>
              </w:rPr>
              <w:t>1</w:t>
            </w:r>
            <w:r>
              <w:rPr>
                <w:rFonts w:hint="eastAsia" w:ascii="宋体" w:hAnsi="宋体"/>
                <w:color w:val="auto"/>
                <w:kern w:val="0"/>
                <w:sz w:val="24"/>
                <w:highlight w:val="none"/>
              </w:rPr>
              <w:t>2</w:t>
            </w:r>
          </w:p>
        </w:tc>
        <w:tc>
          <w:tcPr>
            <w:tcW w:w="1996" w:type="dxa"/>
            <w:tcBorders>
              <w:top w:val="single" w:color="auto" w:sz="4" w:space="0"/>
              <w:left w:val="single" w:color="auto" w:sz="4" w:space="0"/>
              <w:bottom w:val="single" w:color="auto" w:sz="4" w:space="0"/>
              <w:right w:val="single" w:color="auto" w:sz="4" w:space="0"/>
            </w:tcBorders>
            <w:vAlign w:val="center"/>
          </w:tcPr>
          <w:p>
            <w:pPr>
              <w:pStyle w:val="215"/>
              <w:shd w:val="clear" w:color="auto" w:fill="FFFFFF"/>
              <w:spacing w:line="360" w:lineRule="exact"/>
              <w:ind w:firstLine="0" w:firstLineChars="0"/>
              <w:jc w:val="center"/>
              <w:rPr>
                <w:rFonts w:ascii="宋体"/>
                <w:bCs/>
                <w:color w:val="auto"/>
                <w:sz w:val="24"/>
                <w:highlight w:val="none"/>
              </w:rPr>
            </w:pPr>
            <w:r>
              <w:rPr>
                <w:rFonts w:ascii="宋体" w:eastAsia="宋体"/>
                <w:bCs/>
                <w:color w:val="auto"/>
                <w:sz w:val="24"/>
                <w:szCs w:val="24"/>
                <w:highlight w:val="none"/>
              </w:rPr>
              <w:t>对招标文件的质疑</w:t>
            </w:r>
          </w:p>
        </w:tc>
        <w:tc>
          <w:tcPr>
            <w:tcW w:w="7230" w:type="dxa"/>
            <w:tcBorders>
              <w:top w:val="single" w:color="auto" w:sz="4" w:space="0"/>
              <w:left w:val="single" w:color="auto" w:sz="4" w:space="0"/>
              <w:bottom w:val="single" w:color="auto" w:sz="4" w:space="0"/>
              <w:right w:val="single" w:color="auto" w:sz="12" w:space="0"/>
            </w:tcBorders>
            <w:vAlign w:val="center"/>
          </w:tcPr>
          <w:p>
            <w:pPr>
              <w:pStyle w:val="215"/>
              <w:shd w:val="clear" w:color="auto" w:fill="FFFFFF"/>
              <w:spacing w:line="360" w:lineRule="exact"/>
              <w:ind w:firstLine="0" w:firstLineChars="0"/>
              <w:rPr>
                <w:rFonts w:ascii="宋体" w:eastAsia="宋体" w:cs="宋体"/>
                <w:color w:val="auto"/>
                <w:sz w:val="24"/>
                <w:szCs w:val="24"/>
                <w:highlight w:val="none"/>
              </w:rPr>
            </w:pPr>
            <w:r>
              <w:rPr>
                <w:rFonts w:hint="eastAsia" w:ascii="宋体" w:eastAsia="宋体" w:cs="宋体"/>
                <w:color w:val="auto"/>
                <w:sz w:val="24"/>
                <w:szCs w:val="24"/>
                <w:highlight w:val="none"/>
              </w:rPr>
              <w:t>供应商若对招标文件内容质疑，须按以下要求提出：</w:t>
            </w:r>
          </w:p>
          <w:p>
            <w:pPr>
              <w:pStyle w:val="215"/>
              <w:shd w:val="clear" w:color="auto" w:fill="FFFFFF"/>
              <w:spacing w:line="360" w:lineRule="exact"/>
              <w:ind w:firstLine="0" w:firstLineChars="0"/>
              <w:rPr>
                <w:rFonts w:ascii="宋体" w:eastAsia="宋体" w:cs="宋体"/>
                <w:color w:val="auto"/>
                <w:sz w:val="24"/>
                <w:szCs w:val="24"/>
                <w:highlight w:val="none"/>
              </w:rPr>
            </w:pPr>
            <w:r>
              <w:rPr>
                <w:rFonts w:hint="eastAsia" w:ascii="宋体" w:eastAsia="宋体" w:cs="宋体"/>
                <w:color w:val="auto"/>
                <w:sz w:val="24"/>
                <w:szCs w:val="24"/>
                <w:highlight w:val="none"/>
              </w:rPr>
              <w:t>①质疑函应以书面形式（详见投标须知第14.1款）通知采购代理机构。采购代理机构将在收到质疑函后7个工作日内作出答复，并以书面形式通知质疑供应商和其他有关供应商。</w:t>
            </w:r>
          </w:p>
          <w:p>
            <w:pPr>
              <w:pStyle w:val="215"/>
              <w:shd w:val="clear" w:color="auto" w:fill="FFFFFF"/>
              <w:spacing w:line="360" w:lineRule="exact"/>
              <w:ind w:firstLine="0" w:firstLineChars="0"/>
              <w:rPr>
                <w:rFonts w:ascii="宋体" w:eastAsia="宋体" w:cs="宋体"/>
                <w:b/>
                <w:bCs/>
                <w:color w:val="auto"/>
                <w:sz w:val="24"/>
                <w:szCs w:val="24"/>
                <w:highlight w:val="none"/>
              </w:rPr>
            </w:pPr>
            <w:r>
              <w:rPr>
                <w:rFonts w:hint="eastAsia" w:ascii="宋体" w:eastAsia="宋体" w:cs="宋体"/>
                <w:b/>
                <w:bCs/>
                <w:color w:val="auto"/>
                <w:sz w:val="24"/>
                <w:szCs w:val="24"/>
                <w:highlight w:val="none"/>
              </w:rPr>
              <w:t>②供应商应在法定质疑期内一次性提出所有质疑内容。</w:t>
            </w:r>
          </w:p>
          <w:p>
            <w:pPr>
              <w:pStyle w:val="215"/>
              <w:shd w:val="clear" w:color="auto" w:fill="FFFFFF"/>
              <w:spacing w:line="360" w:lineRule="exact"/>
              <w:ind w:firstLine="0" w:firstLineChars="0"/>
              <w:rPr>
                <w:rFonts w:ascii="宋体" w:eastAsia="宋体"/>
                <w:bCs/>
                <w:color w:val="auto"/>
                <w:sz w:val="24"/>
                <w:szCs w:val="24"/>
                <w:highlight w:val="none"/>
              </w:rPr>
            </w:pPr>
            <w:r>
              <w:rPr>
                <w:rFonts w:ascii="宋体" w:eastAsia="宋体"/>
                <w:bCs/>
                <w:color w:val="auto"/>
                <w:sz w:val="24"/>
                <w:szCs w:val="24"/>
                <w:highlight w:val="none"/>
              </w:rPr>
              <w:t>③联系部门：</w:t>
            </w:r>
            <w:r>
              <w:rPr>
                <w:rFonts w:hint="eastAsia" w:ascii="宋体" w:cs="宋体"/>
                <w:color w:val="auto"/>
                <w:sz w:val="24"/>
                <w:highlight w:val="none"/>
              </w:rPr>
              <w:t>新疆东南项目管理有限公司</w:t>
            </w:r>
          </w:p>
          <w:p>
            <w:pPr>
              <w:pStyle w:val="215"/>
              <w:shd w:val="clear" w:color="auto" w:fill="FFFFFF"/>
              <w:spacing w:line="360" w:lineRule="exact"/>
              <w:ind w:firstLine="0" w:firstLineChars="0"/>
              <w:rPr>
                <w:rFonts w:ascii="宋体" w:eastAsia="宋体"/>
                <w:bCs/>
                <w:color w:val="auto"/>
                <w:sz w:val="24"/>
                <w:szCs w:val="24"/>
                <w:highlight w:val="none"/>
              </w:rPr>
            </w:pPr>
            <w:r>
              <w:rPr>
                <w:rFonts w:ascii="宋体" w:eastAsia="宋体"/>
                <w:bCs/>
                <w:color w:val="auto"/>
                <w:sz w:val="24"/>
                <w:szCs w:val="24"/>
                <w:highlight w:val="none"/>
              </w:rPr>
              <w:t>④联系电话：</w:t>
            </w:r>
            <w:r>
              <w:rPr>
                <w:rFonts w:hint="eastAsia" w:ascii="宋体" w:eastAsia="宋体"/>
                <w:color w:val="auto"/>
                <w:kern w:val="2"/>
                <w:sz w:val="24"/>
                <w:szCs w:val="22"/>
                <w:highlight w:val="none"/>
              </w:rPr>
              <w:t xml:space="preserve">0991-4826287  </w:t>
            </w:r>
          </w:p>
          <w:p>
            <w:pPr>
              <w:pStyle w:val="215"/>
              <w:shd w:val="clear" w:color="auto" w:fill="FFFFFF"/>
              <w:spacing w:line="360" w:lineRule="exact"/>
              <w:ind w:firstLine="0" w:firstLineChars="0"/>
              <w:rPr>
                <w:rFonts w:ascii="宋体"/>
                <w:bCs/>
                <w:color w:val="auto"/>
                <w:sz w:val="24"/>
                <w:highlight w:val="none"/>
              </w:rPr>
            </w:pPr>
            <w:r>
              <w:rPr>
                <w:rFonts w:ascii="宋体" w:eastAsia="宋体"/>
                <w:bCs/>
                <w:color w:val="auto"/>
                <w:sz w:val="24"/>
                <w:szCs w:val="24"/>
                <w:highlight w:val="none"/>
              </w:rPr>
              <w:t>⑤通讯地址：</w:t>
            </w:r>
            <w:r>
              <w:rPr>
                <w:rFonts w:hint="eastAsia" w:ascii="宋体" w:cs="宋体"/>
                <w:color w:val="auto"/>
                <w:sz w:val="24"/>
                <w:highlight w:val="none"/>
              </w:rPr>
              <w:t>新疆维吾尔自治区乌鲁木齐市水磨沟区绿城广场1B39楼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260" w:hRule="atLeast"/>
          <w:jc w:val="center"/>
        </w:trPr>
        <w:tc>
          <w:tcPr>
            <w:tcW w:w="713" w:type="dxa"/>
            <w:tcBorders>
              <w:top w:val="single" w:color="auto" w:sz="4" w:space="0"/>
              <w:left w:val="single" w:color="auto" w:sz="12" w:space="0"/>
              <w:bottom w:val="single" w:color="auto" w:sz="4" w:space="0"/>
              <w:right w:val="single" w:color="auto" w:sz="4" w:space="0"/>
            </w:tcBorders>
            <w:vAlign w:val="center"/>
          </w:tcPr>
          <w:p>
            <w:pPr>
              <w:shd w:val="clear" w:color="auto" w:fill="FFFFFF"/>
              <w:autoSpaceDE w:val="0"/>
              <w:autoSpaceDN w:val="0"/>
              <w:spacing w:line="360" w:lineRule="exact"/>
              <w:jc w:val="center"/>
              <w:rPr>
                <w:rFonts w:ascii="宋体" w:hAnsi="宋体"/>
                <w:color w:val="auto"/>
                <w:kern w:val="0"/>
                <w:sz w:val="24"/>
                <w:highlight w:val="none"/>
              </w:rPr>
            </w:pPr>
            <w:bookmarkStart w:id="3" w:name="_Hlk89422925"/>
            <w:r>
              <w:rPr>
                <w:rFonts w:ascii="宋体" w:hAnsi="宋体"/>
                <w:color w:val="auto"/>
                <w:kern w:val="0"/>
                <w:sz w:val="24"/>
                <w:highlight w:val="none"/>
              </w:rPr>
              <w:t>1</w:t>
            </w:r>
            <w:r>
              <w:rPr>
                <w:rFonts w:hint="eastAsia" w:ascii="宋体" w:hAnsi="宋体"/>
                <w:color w:val="auto"/>
                <w:kern w:val="0"/>
                <w:sz w:val="24"/>
                <w:highlight w:val="none"/>
              </w:rPr>
              <w:t>3</w:t>
            </w:r>
          </w:p>
        </w:tc>
        <w:tc>
          <w:tcPr>
            <w:tcW w:w="1996" w:type="dxa"/>
            <w:tcBorders>
              <w:top w:val="single" w:color="auto" w:sz="4" w:space="0"/>
              <w:left w:val="single" w:color="auto" w:sz="4" w:space="0"/>
              <w:bottom w:val="single" w:color="auto" w:sz="4" w:space="0"/>
              <w:right w:val="single" w:color="auto" w:sz="4" w:space="0"/>
            </w:tcBorders>
            <w:vAlign w:val="center"/>
          </w:tcPr>
          <w:p>
            <w:pPr>
              <w:shd w:val="clear" w:color="auto" w:fill="FFFFFF"/>
              <w:autoSpaceDE w:val="0"/>
              <w:autoSpaceDN w:val="0"/>
              <w:spacing w:line="360" w:lineRule="exact"/>
              <w:jc w:val="center"/>
              <w:rPr>
                <w:rFonts w:ascii="宋体"/>
                <w:bCs/>
                <w:color w:val="auto"/>
                <w:sz w:val="24"/>
                <w:highlight w:val="none"/>
              </w:rPr>
            </w:pPr>
            <w:r>
              <w:rPr>
                <w:rFonts w:ascii="宋体" w:hAnsi="宋体"/>
                <w:bCs/>
                <w:color w:val="auto"/>
                <w:kern w:val="0"/>
                <w:sz w:val="24"/>
                <w:highlight w:val="none"/>
              </w:rPr>
              <w:t>履约保证金</w:t>
            </w:r>
          </w:p>
        </w:tc>
        <w:tc>
          <w:tcPr>
            <w:tcW w:w="7230" w:type="dxa"/>
            <w:tcBorders>
              <w:top w:val="single" w:color="auto" w:sz="4" w:space="0"/>
              <w:left w:val="single" w:color="auto" w:sz="4" w:space="0"/>
              <w:bottom w:val="single" w:color="auto" w:sz="4" w:space="0"/>
              <w:right w:val="single" w:color="auto" w:sz="12" w:space="0"/>
            </w:tcBorders>
            <w:vAlign w:val="center"/>
          </w:tcPr>
          <w:p>
            <w:pPr>
              <w:pStyle w:val="215"/>
              <w:shd w:val="clear" w:color="auto" w:fill="FFFFFF"/>
              <w:spacing w:line="360" w:lineRule="exact"/>
              <w:ind w:firstLine="0" w:firstLineChars="0"/>
              <w:rPr>
                <w:rFonts w:ascii="宋体" w:eastAsia="宋体"/>
                <w:bCs/>
                <w:color w:val="auto"/>
                <w:sz w:val="24"/>
                <w:szCs w:val="24"/>
                <w:highlight w:val="none"/>
              </w:rPr>
            </w:pPr>
            <w:r>
              <w:rPr>
                <w:rFonts w:hint="eastAsia" w:ascii="宋体" w:eastAsia="宋体"/>
                <w:bCs/>
                <w:color w:val="auto"/>
                <w:sz w:val="24"/>
                <w:szCs w:val="24"/>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713" w:type="dxa"/>
            <w:tcBorders>
              <w:top w:val="single" w:color="auto" w:sz="4" w:space="0"/>
              <w:left w:val="single" w:color="auto" w:sz="12" w:space="0"/>
              <w:bottom w:val="single" w:color="auto" w:sz="4" w:space="0"/>
              <w:right w:val="single" w:color="auto" w:sz="4" w:space="0"/>
            </w:tcBorders>
            <w:vAlign w:val="center"/>
          </w:tcPr>
          <w:p>
            <w:pPr>
              <w:shd w:val="clear" w:color="auto" w:fill="FFFFFF"/>
              <w:autoSpaceDE w:val="0"/>
              <w:autoSpaceDN w:val="0"/>
              <w:spacing w:line="360" w:lineRule="exact"/>
              <w:jc w:val="center"/>
              <w:rPr>
                <w:rFonts w:ascii="宋体" w:hAnsi="宋体"/>
                <w:color w:val="auto"/>
                <w:kern w:val="0"/>
                <w:sz w:val="24"/>
                <w:highlight w:val="none"/>
              </w:rPr>
            </w:pPr>
            <w:r>
              <w:rPr>
                <w:rFonts w:ascii="宋体" w:hAnsi="宋体"/>
                <w:color w:val="auto"/>
                <w:kern w:val="0"/>
                <w:sz w:val="24"/>
                <w:highlight w:val="none"/>
              </w:rPr>
              <w:t>1</w:t>
            </w:r>
            <w:r>
              <w:rPr>
                <w:rFonts w:hint="eastAsia" w:ascii="宋体" w:hAnsi="宋体"/>
                <w:color w:val="auto"/>
                <w:kern w:val="0"/>
                <w:sz w:val="24"/>
                <w:highlight w:val="none"/>
              </w:rPr>
              <w:t>4</w:t>
            </w:r>
          </w:p>
        </w:tc>
        <w:tc>
          <w:tcPr>
            <w:tcW w:w="1996" w:type="dxa"/>
            <w:tcBorders>
              <w:top w:val="single" w:color="auto" w:sz="4" w:space="0"/>
              <w:left w:val="single" w:color="auto" w:sz="4" w:space="0"/>
              <w:bottom w:val="single" w:color="auto" w:sz="4" w:space="0"/>
              <w:right w:val="single" w:color="auto" w:sz="4" w:space="0"/>
            </w:tcBorders>
            <w:vAlign w:val="center"/>
          </w:tcPr>
          <w:p>
            <w:pPr>
              <w:shd w:val="clear" w:color="auto" w:fill="FFFFFF"/>
              <w:autoSpaceDE w:val="0"/>
              <w:autoSpaceDN w:val="0"/>
              <w:spacing w:line="360" w:lineRule="exact"/>
              <w:jc w:val="center"/>
              <w:rPr>
                <w:rFonts w:ascii="宋体" w:hAnsi="宋体"/>
                <w:bCs/>
                <w:color w:val="auto"/>
                <w:kern w:val="0"/>
                <w:sz w:val="24"/>
                <w:highlight w:val="none"/>
              </w:rPr>
            </w:pPr>
            <w:r>
              <w:rPr>
                <w:rFonts w:hint="eastAsia" w:ascii="宋体" w:hAnsi="宋体" w:cs="宋体"/>
                <w:b/>
                <w:bCs/>
                <w:color w:val="auto"/>
                <w:sz w:val="24"/>
                <w:highlight w:val="none"/>
              </w:rPr>
              <w:t>★</w:t>
            </w:r>
            <w:r>
              <w:rPr>
                <w:rFonts w:hint="eastAsia" w:ascii="宋体" w:hAnsi="宋体"/>
                <w:bCs/>
                <w:color w:val="auto"/>
                <w:kern w:val="0"/>
                <w:sz w:val="24"/>
                <w:highlight w:val="none"/>
              </w:rPr>
              <w:t>供货期限</w:t>
            </w:r>
          </w:p>
        </w:tc>
        <w:tc>
          <w:tcPr>
            <w:tcW w:w="7230" w:type="dxa"/>
            <w:tcBorders>
              <w:top w:val="single" w:color="auto" w:sz="4" w:space="0"/>
              <w:left w:val="single" w:color="auto" w:sz="4" w:space="0"/>
              <w:bottom w:val="single" w:color="auto" w:sz="4" w:space="0"/>
              <w:right w:val="single" w:color="auto" w:sz="12" w:space="0"/>
            </w:tcBorders>
            <w:vAlign w:val="center"/>
          </w:tcPr>
          <w:p>
            <w:pPr>
              <w:spacing w:line="360" w:lineRule="exact"/>
              <w:rPr>
                <w:rFonts w:ascii="宋体"/>
                <w:color w:val="auto"/>
                <w:sz w:val="24"/>
                <w:szCs w:val="22"/>
                <w:highlight w:val="none"/>
              </w:rPr>
            </w:pPr>
            <w:r>
              <w:rPr>
                <w:rFonts w:hint="eastAsia" w:ascii="宋体"/>
                <w:color w:val="auto"/>
                <w:sz w:val="24"/>
                <w:szCs w:val="22"/>
                <w:highlight w:val="none"/>
              </w:rPr>
              <w:t>30天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13" w:type="dxa"/>
            <w:vMerge w:val="restart"/>
            <w:tcBorders>
              <w:top w:val="single" w:color="auto" w:sz="4" w:space="0"/>
              <w:left w:val="single" w:color="auto" w:sz="12" w:space="0"/>
              <w:right w:val="single" w:color="auto" w:sz="4" w:space="0"/>
            </w:tcBorders>
            <w:vAlign w:val="center"/>
          </w:tcPr>
          <w:p>
            <w:pPr>
              <w:shd w:val="clear" w:color="auto" w:fill="FFFFFF"/>
              <w:autoSpaceDE w:val="0"/>
              <w:autoSpaceDN w:val="0"/>
              <w:spacing w:line="360" w:lineRule="exact"/>
              <w:jc w:val="center"/>
              <w:rPr>
                <w:rFonts w:ascii="宋体" w:hAnsi="宋体"/>
                <w:color w:val="auto"/>
                <w:kern w:val="0"/>
                <w:sz w:val="24"/>
                <w:highlight w:val="none"/>
              </w:rPr>
            </w:pPr>
            <w:r>
              <w:rPr>
                <w:rFonts w:ascii="宋体" w:hAnsi="宋体"/>
                <w:color w:val="auto"/>
                <w:kern w:val="0"/>
                <w:sz w:val="24"/>
                <w:highlight w:val="none"/>
              </w:rPr>
              <w:t>1</w:t>
            </w:r>
            <w:r>
              <w:rPr>
                <w:rFonts w:hint="eastAsia" w:ascii="宋体" w:hAnsi="宋体"/>
                <w:color w:val="auto"/>
                <w:kern w:val="0"/>
                <w:sz w:val="24"/>
                <w:highlight w:val="none"/>
              </w:rPr>
              <w:t>5</w:t>
            </w:r>
          </w:p>
        </w:tc>
        <w:tc>
          <w:tcPr>
            <w:tcW w:w="1996" w:type="dxa"/>
            <w:tcBorders>
              <w:top w:val="single" w:color="auto" w:sz="4" w:space="0"/>
              <w:left w:val="single" w:color="auto" w:sz="4" w:space="0"/>
              <w:bottom w:val="single" w:color="auto" w:sz="4" w:space="0"/>
              <w:right w:val="single" w:color="auto" w:sz="4" w:space="0"/>
            </w:tcBorders>
            <w:vAlign w:val="center"/>
          </w:tcPr>
          <w:p>
            <w:pPr>
              <w:pStyle w:val="215"/>
              <w:shd w:val="clear" w:color="auto" w:fill="FFFFFF"/>
              <w:spacing w:line="360" w:lineRule="exact"/>
              <w:ind w:firstLine="0" w:firstLineChars="0"/>
              <w:jc w:val="center"/>
              <w:rPr>
                <w:rFonts w:ascii="宋体"/>
                <w:bCs/>
                <w:color w:val="auto"/>
                <w:sz w:val="24"/>
                <w:highlight w:val="none"/>
              </w:rPr>
            </w:pPr>
            <w:r>
              <w:rPr>
                <w:rFonts w:hint="eastAsia" w:ascii="宋体" w:eastAsia="宋体" w:cs="宋体"/>
                <w:b/>
                <w:bCs/>
                <w:color w:val="auto"/>
                <w:sz w:val="24"/>
                <w:szCs w:val="24"/>
                <w:highlight w:val="none"/>
              </w:rPr>
              <w:t>★</w:t>
            </w:r>
            <w:r>
              <w:rPr>
                <w:rFonts w:hint="eastAsia" w:ascii="宋体" w:eastAsia="宋体" w:cs="Calibri"/>
                <w:bCs/>
                <w:color w:val="auto"/>
                <w:sz w:val="24"/>
                <w:szCs w:val="24"/>
                <w:highlight w:val="none"/>
              </w:rPr>
              <w:t>供货</w:t>
            </w:r>
            <w:r>
              <w:rPr>
                <w:rFonts w:ascii="宋体" w:eastAsia="宋体" w:cs="Calibri"/>
                <w:bCs/>
                <w:color w:val="auto"/>
                <w:sz w:val="24"/>
                <w:szCs w:val="24"/>
                <w:highlight w:val="none"/>
              </w:rPr>
              <w:t>地点</w:t>
            </w:r>
          </w:p>
        </w:tc>
        <w:tc>
          <w:tcPr>
            <w:tcW w:w="7230" w:type="dxa"/>
            <w:tcBorders>
              <w:top w:val="single" w:color="auto" w:sz="4" w:space="0"/>
              <w:left w:val="single" w:color="auto" w:sz="4" w:space="0"/>
              <w:bottom w:val="single" w:color="auto" w:sz="4" w:space="0"/>
              <w:right w:val="single" w:color="auto" w:sz="12" w:space="0"/>
            </w:tcBorders>
            <w:vAlign w:val="center"/>
          </w:tcPr>
          <w:p>
            <w:pPr>
              <w:pStyle w:val="215"/>
              <w:shd w:val="clear" w:color="auto" w:fill="FFFFFF"/>
              <w:spacing w:line="360" w:lineRule="exact"/>
              <w:ind w:firstLine="0" w:firstLineChars="0"/>
              <w:rPr>
                <w:rFonts w:ascii="宋体" w:eastAsia="宋体"/>
                <w:color w:val="auto"/>
                <w:sz w:val="24"/>
                <w:highlight w:val="none"/>
              </w:rPr>
            </w:pPr>
            <w:r>
              <w:rPr>
                <w:rFonts w:hint="eastAsia" w:ascii="宋体" w:eastAsia="宋体"/>
                <w:color w:val="auto"/>
                <w:sz w:val="24"/>
                <w:highlight w:val="none"/>
              </w:rPr>
              <w:t>采购人指定地点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713" w:type="dxa"/>
            <w:vMerge w:val="continue"/>
            <w:tcBorders>
              <w:left w:val="single" w:color="auto" w:sz="12" w:space="0"/>
              <w:right w:val="single" w:color="auto" w:sz="4" w:space="0"/>
            </w:tcBorders>
            <w:vAlign w:val="center"/>
          </w:tcPr>
          <w:p>
            <w:pPr>
              <w:shd w:val="clear" w:color="auto" w:fill="FFFFFF"/>
              <w:autoSpaceDE w:val="0"/>
              <w:autoSpaceDN w:val="0"/>
              <w:spacing w:line="360" w:lineRule="exact"/>
              <w:jc w:val="center"/>
              <w:rPr>
                <w:rFonts w:ascii="宋体" w:hAnsi="宋体"/>
                <w:color w:val="auto"/>
                <w:kern w:val="0"/>
                <w:sz w:val="24"/>
                <w:highlight w:val="none"/>
              </w:rPr>
            </w:pPr>
          </w:p>
        </w:tc>
        <w:tc>
          <w:tcPr>
            <w:tcW w:w="1996" w:type="dxa"/>
            <w:tcBorders>
              <w:top w:val="single" w:color="auto" w:sz="4" w:space="0"/>
              <w:left w:val="single" w:color="auto" w:sz="4" w:space="0"/>
              <w:bottom w:val="single" w:color="auto" w:sz="4" w:space="0"/>
              <w:right w:val="single" w:color="auto" w:sz="4" w:space="0"/>
            </w:tcBorders>
            <w:vAlign w:val="center"/>
          </w:tcPr>
          <w:p>
            <w:pPr>
              <w:pStyle w:val="215"/>
              <w:shd w:val="clear" w:color="auto" w:fill="FFFFFF"/>
              <w:spacing w:line="360" w:lineRule="exact"/>
              <w:ind w:firstLine="0" w:firstLineChars="0"/>
              <w:jc w:val="center"/>
              <w:rPr>
                <w:rFonts w:ascii="宋体" w:eastAsia="宋体" w:cs="Calibri"/>
                <w:bCs/>
                <w:color w:val="auto"/>
                <w:sz w:val="24"/>
                <w:szCs w:val="24"/>
                <w:highlight w:val="none"/>
              </w:rPr>
            </w:pPr>
            <w:r>
              <w:rPr>
                <w:rFonts w:hint="eastAsia" w:ascii="宋体" w:eastAsia="宋体" w:cs="宋体"/>
                <w:b/>
                <w:bCs/>
                <w:color w:val="auto"/>
                <w:sz w:val="24"/>
                <w:szCs w:val="24"/>
                <w:highlight w:val="none"/>
              </w:rPr>
              <w:t>★</w:t>
            </w:r>
            <w:r>
              <w:rPr>
                <w:rFonts w:ascii="宋体" w:eastAsia="宋体" w:cs="Calibri"/>
                <w:bCs/>
                <w:color w:val="auto"/>
                <w:sz w:val="24"/>
                <w:szCs w:val="24"/>
                <w:highlight w:val="none"/>
              </w:rPr>
              <w:t>付款方式</w:t>
            </w:r>
          </w:p>
        </w:tc>
        <w:tc>
          <w:tcPr>
            <w:tcW w:w="7230" w:type="dxa"/>
            <w:tcBorders>
              <w:top w:val="single" w:color="auto" w:sz="4" w:space="0"/>
              <w:left w:val="single" w:color="auto" w:sz="4" w:space="0"/>
              <w:bottom w:val="single" w:color="auto" w:sz="4" w:space="0"/>
              <w:right w:val="single" w:color="auto" w:sz="12" w:space="0"/>
            </w:tcBorders>
            <w:vAlign w:val="center"/>
          </w:tcPr>
          <w:p>
            <w:pPr>
              <w:pStyle w:val="27"/>
              <w:rPr>
                <w:rFonts w:hAnsi="宋体" w:cs="宋体"/>
                <w:color w:val="auto"/>
                <w:sz w:val="24"/>
                <w:highlight w:val="none"/>
              </w:rPr>
            </w:pPr>
            <w:r>
              <w:rPr>
                <w:rFonts w:hint="eastAsia" w:hAnsi="宋体" w:cs="宋体"/>
                <w:color w:val="auto"/>
                <w:sz w:val="24"/>
                <w:highlight w:val="none"/>
              </w:rPr>
              <w:t>3.1、合同签订后，在5个工作日内甲方向乙方支付合同总额的30%作为预付款，计¥</w:t>
            </w:r>
            <w:r>
              <w:rPr>
                <w:rFonts w:hint="eastAsia" w:hAnsi="宋体" w:cs="宋体"/>
                <w:color w:val="auto"/>
                <w:sz w:val="24"/>
                <w:highlight w:val="none"/>
                <w:u w:val="single"/>
              </w:rPr>
              <w:t xml:space="preserve">       </w:t>
            </w:r>
            <w:r>
              <w:rPr>
                <w:rFonts w:hint="eastAsia" w:hAnsi="宋体" w:cs="宋体"/>
                <w:color w:val="auto"/>
                <w:sz w:val="24"/>
                <w:highlight w:val="none"/>
              </w:rPr>
              <w:t>元整（大写：</w:t>
            </w:r>
            <w:r>
              <w:rPr>
                <w:rFonts w:hint="eastAsia" w:hAnsi="宋体" w:cs="宋体"/>
                <w:color w:val="auto"/>
                <w:sz w:val="24"/>
                <w:highlight w:val="none"/>
                <w:u w:val="single"/>
              </w:rPr>
              <w:t xml:space="preserve">        </w:t>
            </w:r>
            <w:r>
              <w:rPr>
                <w:rFonts w:hint="eastAsia" w:hAnsi="宋体" w:cs="宋体"/>
                <w:color w:val="auto"/>
                <w:sz w:val="24"/>
                <w:highlight w:val="none"/>
              </w:rPr>
              <w:t>元整）。</w:t>
            </w:r>
          </w:p>
          <w:p>
            <w:pPr>
              <w:pStyle w:val="27"/>
              <w:rPr>
                <w:rFonts w:hAnsi="宋体" w:cs="宋体"/>
                <w:color w:val="auto"/>
                <w:sz w:val="24"/>
                <w:highlight w:val="none"/>
              </w:rPr>
            </w:pPr>
            <w:r>
              <w:rPr>
                <w:rFonts w:hint="eastAsia" w:hAnsi="宋体" w:cs="宋体"/>
                <w:color w:val="auto"/>
                <w:sz w:val="24"/>
                <w:highlight w:val="none"/>
              </w:rPr>
              <w:t>3.2、设备安装调试完毕并经甲方终验合格后，乙方提供合同总额3%的银行保函，计¥</w:t>
            </w:r>
            <w:r>
              <w:rPr>
                <w:rFonts w:hint="eastAsia" w:hAnsi="宋体" w:cs="宋体"/>
                <w:color w:val="auto"/>
                <w:sz w:val="24"/>
                <w:highlight w:val="none"/>
                <w:u w:val="single"/>
              </w:rPr>
              <w:t xml:space="preserve">       </w:t>
            </w:r>
            <w:r>
              <w:rPr>
                <w:rFonts w:hint="eastAsia" w:hAnsi="宋体" w:cs="宋体"/>
                <w:color w:val="auto"/>
                <w:sz w:val="24"/>
                <w:highlight w:val="none"/>
              </w:rPr>
              <w:t>元整（大写：</w:t>
            </w:r>
            <w:r>
              <w:rPr>
                <w:rFonts w:hint="eastAsia" w:hAnsi="宋体" w:cs="宋体"/>
                <w:color w:val="auto"/>
                <w:sz w:val="24"/>
                <w:highlight w:val="none"/>
                <w:u w:val="single"/>
              </w:rPr>
              <w:t xml:space="preserve">        </w:t>
            </w:r>
            <w:r>
              <w:rPr>
                <w:rFonts w:hint="eastAsia" w:hAnsi="宋体" w:cs="宋体"/>
                <w:color w:val="auto"/>
                <w:sz w:val="24"/>
                <w:highlight w:val="none"/>
              </w:rPr>
              <w:t>元整）后，甲方支付合同总额的70%，计¥</w:t>
            </w:r>
            <w:r>
              <w:rPr>
                <w:rFonts w:hint="eastAsia" w:hAnsi="宋体" w:cs="宋体"/>
                <w:color w:val="auto"/>
                <w:sz w:val="24"/>
                <w:highlight w:val="none"/>
                <w:u w:val="single"/>
              </w:rPr>
              <w:t xml:space="preserve">        </w:t>
            </w:r>
            <w:r>
              <w:rPr>
                <w:rFonts w:hint="eastAsia" w:hAnsi="宋体" w:cs="宋体"/>
                <w:color w:val="auto"/>
                <w:sz w:val="24"/>
                <w:highlight w:val="none"/>
              </w:rPr>
              <w:t>元整（大写：</w:t>
            </w:r>
            <w:r>
              <w:rPr>
                <w:rFonts w:hint="eastAsia" w:hAnsi="宋体" w:cs="宋体"/>
                <w:color w:val="auto"/>
                <w:sz w:val="24"/>
                <w:highlight w:val="none"/>
                <w:u w:val="single"/>
              </w:rPr>
              <w:t xml:space="preserve">       </w:t>
            </w:r>
            <w:r>
              <w:rPr>
                <w:rFonts w:hint="eastAsia" w:hAnsi="宋体" w:cs="宋体"/>
                <w:color w:val="auto"/>
                <w:sz w:val="24"/>
                <w:highlight w:val="none"/>
              </w:rPr>
              <w:t>元整）给乙方。</w:t>
            </w:r>
          </w:p>
          <w:p>
            <w:pPr>
              <w:pStyle w:val="27"/>
              <w:rPr>
                <w:rFonts w:cs="Calibri"/>
                <w:bCs/>
                <w:color w:val="auto"/>
                <w:sz w:val="24"/>
                <w:highlight w:val="none"/>
              </w:rPr>
            </w:pPr>
            <w:r>
              <w:rPr>
                <w:rFonts w:hint="eastAsia" w:hAnsi="宋体" w:cs="宋体"/>
                <w:color w:val="auto"/>
                <w:sz w:val="24"/>
                <w:highlight w:val="none"/>
              </w:rPr>
              <w:t>3.3、质保期满后10个工作日内，甲方向乙方退还银行保函。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713" w:type="dxa"/>
            <w:tcBorders>
              <w:top w:val="single" w:color="auto" w:sz="4" w:space="0"/>
              <w:left w:val="single" w:color="auto" w:sz="12" w:space="0"/>
              <w:bottom w:val="single" w:color="auto" w:sz="4" w:space="0"/>
              <w:right w:val="single" w:color="auto" w:sz="4" w:space="0"/>
            </w:tcBorders>
            <w:vAlign w:val="center"/>
          </w:tcPr>
          <w:p>
            <w:pPr>
              <w:shd w:val="clear" w:color="auto" w:fill="FFFFFF"/>
              <w:autoSpaceDE w:val="0"/>
              <w:autoSpaceDN w:val="0"/>
              <w:spacing w:line="360" w:lineRule="exact"/>
              <w:jc w:val="center"/>
              <w:rPr>
                <w:rFonts w:ascii="宋体" w:hAnsi="宋体"/>
                <w:color w:val="auto"/>
                <w:kern w:val="0"/>
                <w:sz w:val="24"/>
                <w:highlight w:val="none"/>
              </w:rPr>
            </w:pPr>
            <w:r>
              <w:rPr>
                <w:rFonts w:ascii="宋体" w:hAnsi="宋体"/>
                <w:color w:val="auto"/>
                <w:kern w:val="0"/>
                <w:sz w:val="24"/>
                <w:highlight w:val="none"/>
              </w:rPr>
              <w:t>1</w:t>
            </w:r>
            <w:r>
              <w:rPr>
                <w:rFonts w:hint="eastAsia" w:ascii="宋体" w:hAnsi="宋体"/>
                <w:color w:val="auto"/>
                <w:kern w:val="0"/>
                <w:sz w:val="24"/>
                <w:highlight w:val="none"/>
              </w:rPr>
              <w:t>6</w:t>
            </w:r>
          </w:p>
        </w:tc>
        <w:tc>
          <w:tcPr>
            <w:tcW w:w="1996" w:type="dxa"/>
            <w:tcBorders>
              <w:top w:val="single" w:color="auto" w:sz="4" w:space="0"/>
              <w:left w:val="single" w:color="auto" w:sz="4" w:space="0"/>
              <w:bottom w:val="single" w:color="auto" w:sz="4" w:space="0"/>
              <w:right w:val="single" w:color="auto" w:sz="4" w:space="0"/>
            </w:tcBorders>
            <w:vAlign w:val="center"/>
          </w:tcPr>
          <w:p>
            <w:pPr>
              <w:shd w:val="clear" w:color="auto" w:fill="FFFFFF"/>
              <w:autoSpaceDE w:val="0"/>
              <w:autoSpaceDN w:val="0"/>
              <w:spacing w:line="360" w:lineRule="exact"/>
              <w:jc w:val="center"/>
              <w:rPr>
                <w:rFonts w:ascii="宋体" w:cs="Calibri"/>
                <w:bCs/>
                <w:color w:val="auto"/>
                <w:sz w:val="24"/>
                <w:highlight w:val="none"/>
              </w:rPr>
            </w:pPr>
            <w:r>
              <w:rPr>
                <w:rFonts w:hint="eastAsia" w:ascii="宋体" w:hAnsi="宋体" w:cs="宋体"/>
                <w:b/>
                <w:bCs/>
                <w:color w:val="auto"/>
                <w:sz w:val="24"/>
                <w:highlight w:val="none"/>
              </w:rPr>
              <w:t>★</w:t>
            </w:r>
            <w:r>
              <w:rPr>
                <w:rFonts w:hint="eastAsia" w:ascii="宋体" w:cs="Calibri"/>
                <w:bCs/>
                <w:color w:val="auto"/>
                <w:sz w:val="24"/>
                <w:highlight w:val="none"/>
              </w:rPr>
              <w:t>质保期</w:t>
            </w:r>
          </w:p>
        </w:tc>
        <w:tc>
          <w:tcPr>
            <w:tcW w:w="7230" w:type="dxa"/>
            <w:tcBorders>
              <w:top w:val="single" w:color="auto" w:sz="4" w:space="0"/>
              <w:left w:val="single" w:color="auto" w:sz="4" w:space="0"/>
              <w:bottom w:val="single" w:color="auto" w:sz="4" w:space="0"/>
              <w:right w:val="single" w:color="auto" w:sz="12" w:space="0"/>
            </w:tcBorders>
            <w:vAlign w:val="center"/>
          </w:tcPr>
          <w:p>
            <w:pPr>
              <w:pStyle w:val="215"/>
              <w:shd w:val="clear" w:color="auto" w:fill="FFFFFF"/>
              <w:spacing w:line="360" w:lineRule="exact"/>
              <w:ind w:firstLine="0" w:firstLineChars="0"/>
              <w:rPr>
                <w:rFonts w:hint="eastAsia" w:eastAsia="宋体"/>
                <w:color w:val="auto"/>
                <w:highlight w:val="none"/>
                <w:lang w:eastAsia="zh-CN"/>
              </w:rPr>
            </w:pPr>
            <w:r>
              <w:rPr>
                <w:rFonts w:hint="eastAsia" w:ascii="宋体" w:hAnsi="宋体" w:eastAsia="宋体" w:cs="宋体"/>
                <w:color w:val="auto"/>
                <w:kern w:val="2"/>
                <w:sz w:val="24"/>
                <w:szCs w:val="24"/>
                <w:highlight w:val="none"/>
                <w:lang w:val="en-US" w:eastAsia="zh-CN" w:bidi="ar-SA"/>
              </w:rPr>
              <w:t>详见采购需求</w:t>
            </w:r>
          </w:p>
        </w:tc>
      </w:tr>
      <w:bookmarkEnd w:id="3"/>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713" w:type="dxa"/>
            <w:tcBorders>
              <w:top w:val="single" w:color="auto" w:sz="4" w:space="0"/>
              <w:left w:val="single" w:color="auto" w:sz="12" w:space="0"/>
              <w:bottom w:val="single" w:color="auto" w:sz="4" w:space="0"/>
              <w:right w:val="single" w:color="auto" w:sz="4" w:space="0"/>
            </w:tcBorders>
            <w:vAlign w:val="center"/>
          </w:tcPr>
          <w:p>
            <w:pPr>
              <w:shd w:val="clear" w:color="auto" w:fill="FFFFFF"/>
              <w:autoSpaceDE w:val="0"/>
              <w:autoSpaceDN w:val="0"/>
              <w:spacing w:line="360" w:lineRule="exact"/>
              <w:jc w:val="center"/>
              <w:rPr>
                <w:rFonts w:hint="eastAsia" w:ascii="宋体" w:hAnsi="宋体" w:eastAsia="宋体"/>
                <w:color w:val="auto"/>
                <w:kern w:val="0"/>
                <w:sz w:val="24"/>
                <w:highlight w:val="none"/>
                <w:lang w:val="en-US" w:eastAsia="zh-CN"/>
              </w:rPr>
            </w:pPr>
            <w:r>
              <w:rPr>
                <w:rFonts w:ascii="宋体" w:hAnsi="宋体"/>
                <w:color w:val="auto"/>
                <w:kern w:val="0"/>
                <w:sz w:val="24"/>
                <w:highlight w:val="none"/>
              </w:rPr>
              <w:t>1</w:t>
            </w:r>
            <w:r>
              <w:rPr>
                <w:rFonts w:hint="eastAsia" w:ascii="宋体" w:hAnsi="宋体"/>
                <w:color w:val="auto"/>
                <w:kern w:val="0"/>
                <w:sz w:val="24"/>
                <w:highlight w:val="none"/>
                <w:lang w:val="en-US" w:eastAsia="zh-CN"/>
              </w:rPr>
              <w:t>7</w:t>
            </w:r>
          </w:p>
        </w:tc>
        <w:tc>
          <w:tcPr>
            <w:tcW w:w="1996" w:type="dxa"/>
            <w:tcBorders>
              <w:top w:val="single" w:color="auto" w:sz="4" w:space="0"/>
              <w:left w:val="single" w:color="auto" w:sz="4" w:space="0"/>
              <w:bottom w:val="single" w:color="auto" w:sz="4" w:space="0"/>
              <w:right w:val="single" w:color="auto" w:sz="4" w:space="0"/>
            </w:tcBorders>
            <w:vAlign w:val="center"/>
          </w:tcPr>
          <w:p>
            <w:pPr>
              <w:shd w:val="clear" w:color="auto" w:fill="FFFFFF"/>
              <w:autoSpaceDE w:val="0"/>
              <w:autoSpaceDN w:val="0"/>
              <w:spacing w:line="360" w:lineRule="exact"/>
              <w:rPr>
                <w:rFonts w:ascii="宋体" w:hAnsi="宋体"/>
                <w:bCs/>
                <w:color w:val="auto"/>
                <w:kern w:val="0"/>
                <w:sz w:val="24"/>
                <w:highlight w:val="none"/>
              </w:rPr>
            </w:pPr>
            <w:r>
              <w:rPr>
                <w:rFonts w:ascii="宋体" w:hAnsi="宋体" w:cs="宋体"/>
                <w:color w:val="auto"/>
                <w:kern w:val="1"/>
                <w:sz w:val="24"/>
                <w:highlight w:val="none"/>
              </w:rPr>
              <w:t>政府采购政策</w:t>
            </w:r>
          </w:p>
        </w:tc>
        <w:tc>
          <w:tcPr>
            <w:tcW w:w="7230" w:type="dxa"/>
            <w:tcBorders>
              <w:top w:val="single" w:color="auto" w:sz="4" w:space="0"/>
              <w:left w:val="single" w:color="auto" w:sz="4" w:space="0"/>
              <w:bottom w:val="single" w:color="auto" w:sz="4" w:space="0"/>
              <w:right w:val="single" w:color="auto" w:sz="12" w:space="0"/>
            </w:tcBorders>
            <w:vAlign w:val="center"/>
          </w:tcPr>
          <w:p>
            <w:pPr>
              <w:spacing w:line="360" w:lineRule="exact"/>
              <w:rPr>
                <w:rFonts w:ascii="宋体" w:hAnsi="宋体" w:cs="宋体"/>
                <w:color w:val="auto"/>
                <w:kern w:val="1"/>
                <w:sz w:val="24"/>
                <w:highlight w:val="none"/>
              </w:rPr>
            </w:pPr>
            <w:r>
              <w:rPr>
                <w:rFonts w:hint="eastAsia" w:ascii="宋体" w:hAnsi="宋体" w:cs="宋体"/>
                <w:color w:val="auto"/>
                <w:kern w:val="1"/>
                <w:sz w:val="24"/>
                <w:highlight w:val="none"/>
              </w:rPr>
              <w:t>一、中小企业评审优惠内容及价格扣除幅度：</w:t>
            </w:r>
          </w:p>
          <w:p>
            <w:pPr>
              <w:pStyle w:val="496"/>
              <w:spacing w:line="360" w:lineRule="exact"/>
              <w:rPr>
                <w:rFonts w:ascii="宋体" w:hAnsi="宋体" w:eastAsia="宋体" w:cs="宋体"/>
                <w:i/>
                <w:iCs/>
                <w:color w:val="auto"/>
                <w:sz w:val="24"/>
                <w:szCs w:val="24"/>
                <w:highlight w:val="none"/>
                <w:u w:val="single"/>
              </w:rPr>
            </w:pPr>
            <w:r>
              <w:rPr>
                <w:rFonts w:hint="eastAsia" w:ascii="宋体" w:hAnsi="宋体" w:eastAsia="宋体" w:cs="宋体"/>
                <w:color w:val="auto"/>
                <w:sz w:val="24"/>
                <w:szCs w:val="24"/>
                <w:highlight w:val="none"/>
              </w:rPr>
              <w:t>1、本项目小微企业价格扣除比例为</w:t>
            </w:r>
            <w:r>
              <w:rPr>
                <w:rFonts w:hint="eastAsia" w:ascii="宋体" w:hAnsi="宋体" w:eastAsia="宋体" w:cs="宋体"/>
                <w:color w:val="auto"/>
                <w:sz w:val="24"/>
                <w:szCs w:val="24"/>
                <w:highlight w:val="none"/>
                <w:u w:val="single"/>
              </w:rPr>
              <w:t xml:space="preserve"> 10% </w:t>
            </w:r>
            <w:r>
              <w:rPr>
                <w:rFonts w:hint="eastAsia" w:ascii="宋体" w:hAnsi="宋体" w:eastAsia="宋体" w:cs="宋体"/>
                <w:color w:val="auto"/>
                <w:sz w:val="24"/>
                <w:szCs w:val="24"/>
                <w:highlight w:val="none"/>
              </w:rPr>
              <w:t>。</w:t>
            </w:r>
          </w:p>
          <w:p>
            <w:pPr>
              <w:pStyle w:val="496"/>
              <w:spacing w:line="360" w:lineRule="exac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2、中小企业评审优惠内容及价格扣除幅度，执行政策如下：</w:t>
            </w:r>
          </w:p>
          <w:p>
            <w:pPr>
              <w:pStyle w:val="496"/>
              <w:spacing w:line="360" w:lineRule="exact"/>
              <w:rPr>
                <w:rFonts w:ascii="宋体" w:hAnsi="宋体" w:eastAsia="宋体" w:cs="宋体"/>
                <w:b/>
                <w:bCs/>
                <w:color w:val="auto"/>
                <w:sz w:val="24"/>
                <w:szCs w:val="24"/>
                <w:highlight w:val="none"/>
              </w:rPr>
            </w:pPr>
            <w:r>
              <w:rPr>
                <w:rFonts w:hint="eastAsia" w:ascii="宋体" w:hAnsi="宋体" w:eastAsia="宋体" w:cs="宋体"/>
                <w:color w:val="auto"/>
                <w:sz w:val="24"/>
                <w:szCs w:val="24"/>
                <w:highlight w:val="none"/>
              </w:rPr>
              <w:t>1）根据工信部等部委发布的《关于印发中小企业划型标准规定的通知》（工信部联企业〔2011〕300号），</w:t>
            </w:r>
            <w:r>
              <w:rPr>
                <w:rFonts w:hint="eastAsia" w:ascii="宋体" w:hAnsi="宋体" w:eastAsia="宋体" w:cs="宋体"/>
                <w:b/>
                <w:bCs/>
                <w:color w:val="auto"/>
                <w:sz w:val="24"/>
                <w:szCs w:val="24"/>
                <w:highlight w:val="none"/>
              </w:rPr>
              <w:t>本次采购项目所属行业为“第</w:t>
            </w:r>
            <w:r>
              <w:rPr>
                <w:rFonts w:hint="eastAsia" w:ascii="宋体" w:hAnsi="宋体" w:eastAsia="宋体" w:cs="宋体"/>
                <w:b/>
                <w:bCs/>
                <w:color w:val="auto"/>
                <w:sz w:val="24"/>
                <w:szCs w:val="24"/>
                <w:highlight w:val="none"/>
                <w:lang w:eastAsia="zh-CN"/>
              </w:rPr>
              <w:t>二</w:t>
            </w:r>
            <w:r>
              <w:rPr>
                <w:rFonts w:hint="eastAsia" w:ascii="宋体" w:hAnsi="宋体" w:eastAsia="宋体" w:cs="宋体"/>
                <w:b/>
                <w:bCs/>
                <w:color w:val="auto"/>
                <w:sz w:val="24"/>
                <w:szCs w:val="24"/>
                <w:highlight w:val="none"/>
              </w:rPr>
              <w:t xml:space="preserve">项 </w:t>
            </w:r>
            <w:r>
              <w:rPr>
                <w:rFonts w:hint="eastAsia" w:ascii="宋体" w:hAnsi="宋体" w:eastAsia="宋体" w:cs="宋体"/>
                <w:b/>
                <w:bCs/>
                <w:color w:val="auto"/>
                <w:sz w:val="24"/>
                <w:szCs w:val="24"/>
                <w:highlight w:val="none"/>
                <w:lang w:eastAsia="zh-CN"/>
              </w:rPr>
              <w:t>工</w:t>
            </w:r>
            <w:r>
              <w:rPr>
                <w:rFonts w:hint="eastAsia" w:ascii="宋体" w:hAnsi="宋体" w:eastAsia="宋体" w:cs="宋体"/>
                <w:b/>
                <w:bCs/>
                <w:color w:val="auto"/>
                <w:sz w:val="24"/>
                <w:szCs w:val="24"/>
                <w:highlight w:val="none"/>
              </w:rPr>
              <w:t>业”。</w:t>
            </w:r>
            <w:r>
              <w:rPr>
                <w:rFonts w:hint="eastAsia" w:ascii="宋体" w:hAnsi="宋体" w:eastAsia="宋体" w:cs="宋体"/>
                <w:color w:val="auto"/>
                <w:sz w:val="24"/>
                <w:szCs w:val="24"/>
                <w:highlight w:val="none"/>
              </w:rPr>
              <w:t>对于符合本次采购项目所属行业条件的中小微企业应按照招标文件格式要求提供《中小企业声明函》。</w:t>
            </w:r>
          </w:p>
          <w:p>
            <w:pPr>
              <w:pStyle w:val="496"/>
              <w:spacing w:line="360" w:lineRule="exac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2）根据财政部发布的《政府采购促进中小企业发展管理办法》（财库〔2020〕46号）规定，对小微企业报价给予10%-20%（工程项目为 6%—10%）的扣除，用扣除后的价格参加评审。在货物采购项目中，只有当供应商提供的全部标的均由小微企业制造，才能享受价格扣除政策；在工程、服务采购项目中，只有由小微企业承建、承接，才能享受价格扣除政策；允许联合体形式参加政府采购活动的，联合体各方均为小微企业的，联合体视同小微企业。专门面向中小企业采购的项目或者采购包，不再执行价格评审优惠的扶持政策。</w:t>
            </w:r>
          </w:p>
          <w:p>
            <w:pPr>
              <w:pStyle w:val="496"/>
              <w:spacing w:line="360" w:lineRule="exact"/>
              <w:rPr>
                <w:rFonts w:ascii="宋体" w:hAnsi="宋体" w:eastAsia="宋体" w:cs="宋体"/>
                <w:color w:val="auto"/>
                <w:sz w:val="24"/>
                <w:highlight w:val="none"/>
              </w:rPr>
            </w:pPr>
            <w:r>
              <w:rPr>
                <w:rFonts w:hint="eastAsia" w:ascii="宋体" w:hAnsi="宋体" w:eastAsia="宋体" w:cs="宋体"/>
                <w:color w:val="auto"/>
                <w:sz w:val="24"/>
                <w:highlight w:val="none"/>
              </w:rPr>
              <w:t>3）若所投标产品为进口产品的，不适用《</w:t>
            </w:r>
            <w:r>
              <w:rPr>
                <w:rFonts w:hint="eastAsia" w:ascii="宋体" w:hAnsi="宋体" w:eastAsia="宋体" w:cs="宋体"/>
                <w:color w:val="auto"/>
                <w:sz w:val="24"/>
                <w:szCs w:val="24"/>
                <w:highlight w:val="none"/>
              </w:rPr>
              <w:t>政府采购促进中小企业发展管理办法</w:t>
            </w:r>
            <w:r>
              <w:rPr>
                <w:rFonts w:hint="eastAsia" w:ascii="宋体" w:hAnsi="宋体" w:eastAsia="宋体" w:cs="宋体"/>
                <w:color w:val="auto"/>
                <w:sz w:val="24"/>
                <w:highlight w:val="none"/>
              </w:rPr>
              <w:t>》。</w:t>
            </w:r>
          </w:p>
          <w:p>
            <w:pPr>
              <w:spacing w:line="360" w:lineRule="exact"/>
              <w:rPr>
                <w:rFonts w:ascii="宋体" w:hAnsi="宋体" w:cs="宋体"/>
                <w:color w:val="auto"/>
                <w:sz w:val="24"/>
                <w:highlight w:val="none"/>
              </w:rPr>
            </w:pPr>
            <w:r>
              <w:rPr>
                <w:rFonts w:hint="eastAsia" w:ascii="宋体" w:hAnsi="宋体" w:cs="宋体"/>
                <w:color w:val="auto"/>
                <w:sz w:val="24"/>
                <w:highlight w:val="none"/>
              </w:rPr>
              <w:t>4）监狱企业、残疾人福利性单位，视同为小型和微型企业。供应商若为监狱企业、残疾人福利性单位，须在投标文件中提供《监狱企业声明函》、《残疾人福利性单位声明函》，否则将不给予价格扣除。供应商须对其声明的真实性负责，若与事实不符的，将依照《政府采购法》第七十七条第一款的规定追究法律责任。</w:t>
            </w:r>
          </w:p>
          <w:p>
            <w:pPr>
              <w:spacing w:line="360" w:lineRule="exact"/>
              <w:rPr>
                <w:rFonts w:ascii="宋体" w:hAnsi="宋体" w:cs="宋体"/>
                <w:color w:val="auto"/>
                <w:kern w:val="1"/>
                <w:sz w:val="24"/>
                <w:highlight w:val="none"/>
              </w:rPr>
            </w:pPr>
            <w:r>
              <w:rPr>
                <w:rFonts w:hint="eastAsia" w:ascii="宋体" w:hAnsi="宋体" w:cs="宋体"/>
                <w:color w:val="auto"/>
                <w:kern w:val="1"/>
                <w:sz w:val="24"/>
                <w:highlight w:val="none"/>
              </w:rPr>
              <w:t>二、节能、环境标志产品评审优惠内容及加分幅度：</w:t>
            </w:r>
          </w:p>
          <w:p>
            <w:pPr>
              <w:spacing w:line="360" w:lineRule="exact"/>
              <w:rPr>
                <w:rFonts w:ascii="宋体"/>
                <w:color w:val="auto"/>
                <w:sz w:val="24"/>
                <w:szCs w:val="22"/>
                <w:highlight w:val="none"/>
              </w:rPr>
            </w:pPr>
            <w:r>
              <w:rPr>
                <w:rFonts w:hint="eastAsia" w:ascii="宋体" w:hAnsi="宋体" w:cs="宋体"/>
                <w:color w:val="auto"/>
                <w:kern w:val="1"/>
                <w:sz w:val="24"/>
                <w:highlight w:val="none"/>
              </w:rPr>
              <w:t>严格执行《财政部 发展改革委 生态环境部 市场监管总局关于调整优化节能产品、环境标志产品政府采购执行机制的通知》（财库〔2019〕9号）、关于印发节能产品政府采购品目清单的通知（财库〔2019〕19号）、关于印发环境标志产品政府采购品目清单的通知（财库〔2019〕18号）、市场监管总局关于发布参与实施政府采购节能产品、环境标志产品认证机构名录的公告（2019年第16号），</w:t>
            </w:r>
            <w:r>
              <w:rPr>
                <w:rFonts w:hint="eastAsia" w:ascii="宋体" w:hAnsi="宋体" w:cs="宋体"/>
                <w:b/>
                <w:color w:val="auto"/>
                <w:kern w:val="1"/>
                <w:sz w:val="24"/>
                <w:highlight w:val="none"/>
              </w:rPr>
              <w:t>本次投标产品类别属于政府强制采购产品类别的，须按照要求提供依据国家确定的认证机构出具的节能产品或环境标志产品认证证书，否则投标无效；属于政府优先采购产品类别的，须按照要求提供依据国家确定的认证机构出具的、节能产品或环境标志产品认证证书，否则不予认定。</w:t>
            </w:r>
            <w:r>
              <w:rPr>
                <w:rFonts w:hint="eastAsia" w:ascii="宋体" w:hAnsi="宋体" w:cs="宋体"/>
                <w:color w:val="auto"/>
                <w:kern w:val="1"/>
                <w:sz w:val="24"/>
                <w:highlight w:val="none"/>
              </w:rPr>
              <w:t>同一标项内的节能、环境标志政府采购产品部分加分只对属于品目内的非强制类产品进行加分，强制类产品已作为投标时强制性要求不再给予加分。若节能、环境标志品目内的产品仅是构成投标产品的部件、组件或零件的，则该投标产品不予加分。价格项加分具体方法详见第五评标办法“商务评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13" w:type="dxa"/>
            <w:tcBorders>
              <w:top w:val="single" w:color="auto" w:sz="4" w:space="0"/>
              <w:left w:val="single" w:color="auto" w:sz="12" w:space="0"/>
              <w:bottom w:val="single" w:color="auto" w:sz="4" w:space="0"/>
              <w:right w:val="single" w:color="auto" w:sz="4" w:space="0"/>
            </w:tcBorders>
            <w:vAlign w:val="center"/>
          </w:tcPr>
          <w:p>
            <w:pPr>
              <w:shd w:val="clear" w:color="auto" w:fill="FFFFFF"/>
              <w:autoSpaceDE w:val="0"/>
              <w:autoSpaceDN w:val="0"/>
              <w:spacing w:line="360" w:lineRule="exact"/>
              <w:jc w:val="center"/>
              <w:rPr>
                <w:rFonts w:hint="eastAsia" w:ascii="宋体" w:hAnsi="宋体" w:eastAsia="宋体"/>
                <w:color w:val="auto"/>
                <w:kern w:val="0"/>
                <w:sz w:val="24"/>
                <w:highlight w:val="none"/>
                <w:lang w:val="en-US" w:eastAsia="zh-CN"/>
              </w:rPr>
            </w:pPr>
            <w:r>
              <w:rPr>
                <w:rFonts w:ascii="宋体" w:hAnsi="宋体"/>
                <w:color w:val="auto"/>
                <w:kern w:val="0"/>
                <w:sz w:val="24"/>
                <w:highlight w:val="none"/>
              </w:rPr>
              <w:t>1</w:t>
            </w:r>
            <w:r>
              <w:rPr>
                <w:rFonts w:hint="eastAsia" w:ascii="宋体" w:hAnsi="宋体"/>
                <w:color w:val="auto"/>
                <w:kern w:val="0"/>
                <w:sz w:val="24"/>
                <w:highlight w:val="none"/>
                <w:lang w:val="en-US" w:eastAsia="zh-CN"/>
              </w:rPr>
              <w:t>8</w:t>
            </w:r>
          </w:p>
        </w:tc>
        <w:tc>
          <w:tcPr>
            <w:tcW w:w="19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bCs/>
                <w:color w:val="auto"/>
                <w:kern w:val="0"/>
                <w:sz w:val="24"/>
                <w:highlight w:val="none"/>
              </w:rPr>
            </w:pPr>
            <w:r>
              <w:rPr>
                <w:rFonts w:ascii="宋体" w:hAnsi="宋体" w:cs="宋体"/>
                <w:color w:val="auto"/>
                <w:kern w:val="1"/>
                <w:sz w:val="24"/>
                <w:highlight w:val="none"/>
              </w:rPr>
              <w:t>其他说明</w:t>
            </w:r>
          </w:p>
        </w:tc>
        <w:tc>
          <w:tcPr>
            <w:tcW w:w="7230"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snapToGrid/>
              <w:spacing w:line="300" w:lineRule="exact"/>
              <w:ind w:left="0" w:right="0" w:firstLine="480" w:firstLineChars="200"/>
              <w:jc w:val="both"/>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特别提醒：</w:t>
            </w:r>
          </w:p>
          <w:p>
            <w:pPr>
              <w:keepNext w:val="0"/>
              <w:keepLines w:val="0"/>
              <w:pageBreakBefore w:val="0"/>
              <w:kinsoku/>
              <w:wordWrap/>
              <w:overflowPunct/>
              <w:topLinePunct w:val="0"/>
              <w:autoSpaceDE/>
              <w:autoSpaceDN/>
              <w:bidi w:val="0"/>
              <w:adjustRightInd/>
              <w:snapToGrid/>
              <w:spacing w:line="300" w:lineRule="exact"/>
              <w:ind w:left="0" w:right="0" w:firstLine="480" w:firstLineChars="200"/>
              <w:jc w:val="both"/>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1、所有投标人的报价高于本项目（标项）最高限价额度的视为无效报价（即作否决投标处理）。</w:t>
            </w:r>
          </w:p>
          <w:p>
            <w:pPr>
              <w:keepNext w:val="0"/>
              <w:keepLines w:val="0"/>
              <w:pageBreakBefore w:val="0"/>
              <w:kinsoku/>
              <w:wordWrap/>
              <w:overflowPunct/>
              <w:topLinePunct w:val="0"/>
              <w:autoSpaceDE/>
              <w:autoSpaceDN/>
              <w:bidi w:val="0"/>
              <w:adjustRightInd/>
              <w:snapToGrid/>
              <w:spacing w:line="300" w:lineRule="exact"/>
              <w:ind w:left="0" w:right="0" w:firstLine="480" w:firstLineChars="200"/>
              <w:jc w:val="both"/>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相同品牌产品且通过资格审查、符合性审查的不同投标人参加同一合同项下投标的，按一家投标人计算，评审后得分最高的同品牌投标人获得中标人推荐资格；评审得分相同的，由评标委员会按照报价最低的供应商，推荐其作为中标候选人，其他同品牌供应商不作为中标候选人。</w:t>
            </w:r>
          </w:p>
          <w:p>
            <w:pPr>
              <w:keepNext w:val="0"/>
              <w:keepLines w:val="0"/>
              <w:pageBreakBefore w:val="0"/>
              <w:kinsoku/>
              <w:wordWrap/>
              <w:overflowPunct/>
              <w:topLinePunct w:val="0"/>
              <w:autoSpaceDE/>
              <w:autoSpaceDN/>
              <w:bidi w:val="0"/>
              <w:adjustRightInd/>
              <w:snapToGrid/>
              <w:spacing w:line="300" w:lineRule="exact"/>
              <w:ind w:left="0" w:right="0" w:firstLine="480" w:firstLineChars="200"/>
              <w:jc w:val="both"/>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3、投标人的报价明显低于其他投标报价或者在设有标底时明显低于标底，使得其投标报价可能低于其个别成本的，应当要求该投标人作出书面说明并提供相应证明材料。投标人不能合理或者不能提供相应证明材料的，由评标委员会认定该投标人以低于成本报价竞标，其投标视为无效标处理。</w:t>
            </w:r>
          </w:p>
          <w:p>
            <w:pPr>
              <w:keepNext w:val="0"/>
              <w:keepLines w:val="0"/>
              <w:pageBreakBefore w:val="0"/>
              <w:kinsoku/>
              <w:wordWrap/>
              <w:overflowPunct/>
              <w:topLinePunct w:val="0"/>
              <w:autoSpaceDE/>
              <w:autoSpaceDN/>
              <w:bidi w:val="0"/>
              <w:adjustRightInd/>
              <w:snapToGrid/>
              <w:spacing w:line="300" w:lineRule="exact"/>
              <w:ind w:left="0" w:right="0" w:firstLine="480" w:firstLineChars="200"/>
              <w:jc w:val="both"/>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4、更正补充公告请自行登录新疆政府采购网查看下载。</w:t>
            </w:r>
          </w:p>
          <w:p>
            <w:pPr>
              <w:keepNext w:val="0"/>
              <w:keepLines w:val="0"/>
              <w:pageBreakBefore w:val="0"/>
              <w:kinsoku/>
              <w:wordWrap/>
              <w:overflowPunct/>
              <w:topLinePunct w:val="0"/>
              <w:autoSpaceDE/>
              <w:autoSpaceDN/>
              <w:bidi w:val="0"/>
              <w:adjustRightInd/>
              <w:snapToGrid/>
              <w:spacing w:line="300" w:lineRule="exact"/>
              <w:ind w:left="0" w:right="0" w:firstLine="480" w:firstLineChars="200"/>
              <w:jc w:val="both"/>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5、采购代理机构将拒绝接受未在政采云平台获取招标文件的投标人的投标文件。</w:t>
            </w:r>
          </w:p>
          <w:p>
            <w:pPr>
              <w:keepNext w:val="0"/>
              <w:keepLines w:val="0"/>
              <w:pageBreakBefore w:val="0"/>
              <w:kinsoku/>
              <w:wordWrap/>
              <w:overflowPunct/>
              <w:topLinePunct w:val="0"/>
              <w:autoSpaceDE/>
              <w:autoSpaceDN/>
              <w:bidi w:val="0"/>
              <w:adjustRightInd/>
              <w:snapToGrid/>
              <w:spacing w:line="300" w:lineRule="exact"/>
              <w:ind w:left="0" w:right="0" w:firstLine="480" w:firstLineChars="200"/>
              <w:jc w:val="both"/>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6、所有投标单位对招标文件中所有条款如有疑问或异议请在开标以书面形式提出，否则不予受理。</w:t>
            </w:r>
          </w:p>
          <w:p>
            <w:pPr>
              <w:keepNext w:val="0"/>
              <w:keepLines w:val="0"/>
              <w:pageBreakBefore w:val="0"/>
              <w:kinsoku/>
              <w:wordWrap/>
              <w:overflowPunct/>
              <w:topLinePunct w:val="0"/>
              <w:autoSpaceDE/>
              <w:autoSpaceDN/>
              <w:bidi w:val="0"/>
              <w:adjustRightInd/>
              <w:snapToGrid/>
              <w:spacing w:line="300" w:lineRule="exact"/>
              <w:ind w:left="0" w:right="0" w:firstLine="480" w:firstLineChars="200"/>
              <w:jc w:val="both"/>
              <w:textAlignment w:val="auto"/>
              <w:rPr>
                <w:rFonts w:ascii="宋体" w:hAnsi="宋体" w:cs="宋体"/>
                <w:b/>
                <w:color w:val="auto"/>
                <w:kern w:val="1"/>
                <w:sz w:val="24"/>
                <w:highlight w:val="none"/>
              </w:rPr>
            </w:pPr>
            <w:r>
              <w:rPr>
                <w:rFonts w:hint="eastAsia" w:ascii="宋体" w:hAnsi="宋体" w:eastAsia="宋体" w:cs="宋体"/>
                <w:b w:val="0"/>
                <w:bCs w:val="0"/>
                <w:color w:val="auto"/>
                <w:sz w:val="24"/>
                <w:szCs w:val="24"/>
                <w:highlight w:val="none"/>
                <w:lang w:val="en-US" w:eastAsia="zh-CN"/>
              </w:rPr>
              <w:t>7、本项目资格审查模块由</w:t>
            </w:r>
            <w:r>
              <w:rPr>
                <w:rFonts w:hint="eastAsia" w:ascii="宋体" w:hAnsi="宋体" w:cs="宋体"/>
                <w:b w:val="0"/>
                <w:bCs w:val="0"/>
                <w:color w:val="auto"/>
                <w:sz w:val="24"/>
                <w:szCs w:val="24"/>
                <w:highlight w:val="none"/>
                <w:lang w:val="en-US" w:eastAsia="zh-CN"/>
              </w:rPr>
              <w:t>采购人</w:t>
            </w:r>
            <w:r>
              <w:rPr>
                <w:rFonts w:hint="eastAsia" w:ascii="宋体" w:hAnsi="宋体" w:eastAsia="宋体" w:cs="宋体"/>
                <w:b w:val="0"/>
                <w:bCs w:val="0"/>
                <w:color w:val="auto"/>
                <w:sz w:val="24"/>
                <w:szCs w:val="24"/>
                <w:highlight w:val="none"/>
                <w:lang w:val="en-US" w:eastAsia="zh-CN"/>
              </w:rPr>
              <w:t>组织进行。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713" w:type="dxa"/>
            <w:tcBorders>
              <w:top w:val="single" w:color="auto" w:sz="4" w:space="0"/>
              <w:left w:val="single" w:color="auto" w:sz="12" w:space="0"/>
              <w:bottom w:val="single" w:color="auto" w:sz="4" w:space="0"/>
              <w:right w:val="single" w:color="auto" w:sz="4" w:space="0"/>
            </w:tcBorders>
            <w:vAlign w:val="center"/>
          </w:tcPr>
          <w:p>
            <w:pPr>
              <w:shd w:val="clear" w:color="auto" w:fill="FFFFFF"/>
              <w:autoSpaceDE w:val="0"/>
              <w:autoSpaceDN w:val="0"/>
              <w:spacing w:line="360" w:lineRule="exact"/>
              <w:jc w:val="center"/>
              <w:rPr>
                <w:rFonts w:hint="default" w:ascii="宋体" w:hAnsi="宋体" w:eastAsia="宋体"/>
                <w:color w:val="auto"/>
                <w:kern w:val="0"/>
                <w:sz w:val="24"/>
                <w:highlight w:val="none"/>
                <w:lang w:val="en-US" w:eastAsia="zh-CN"/>
              </w:rPr>
            </w:pPr>
            <w:r>
              <w:rPr>
                <w:rFonts w:hint="eastAsia" w:ascii="宋体" w:hAnsi="宋体"/>
                <w:color w:val="auto"/>
                <w:kern w:val="0"/>
                <w:sz w:val="24"/>
                <w:highlight w:val="none"/>
                <w:lang w:val="en-US" w:eastAsia="zh-CN"/>
              </w:rPr>
              <w:t>19</w:t>
            </w:r>
          </w:p>
        </w:tc>
        <w:tc>
          <w:tcPr>
            <w:tcW w:w="1996" w:type="dxa"/>
            <w:tcBorders>
              <w:top w:val="single" w:color="auto" w:sz="4" w:space="0"/>
              <w:left w:val="single" w:color="auto" w:sz="4" w:space="0"/>
              <w:bottom w:val="single" w:color="auto" w:sz="4" w:space="0"/>
              <w:right w:val="single" w:color="auto" w:sz="4" w:space="0"/>
            </w:tcBorders>
            <w:vAlign w:val="center"/>
          </w:tcPr>
          <w:p>
            <w:pPr>
              <w:shd w:val="clear" w:color="auto" w:fill="FFFFFF"/>
              <w:autoSpaceDE w:val="0"/>
              <w:autoSpaceDN w:val="0"/>
              <w:spacing w:line="360" w:lineRule="exact"/>
              <w:jc w:val="center"/>
              <w:rPr>
                <w:rFonts w:ascii="宋体" w:hAnsi="宋体" w:cs="宋体"/>
                <w:color w:val="auto"/>
                <w:kern w:val="1"/>
                <w:sz w:val="24"/>
                <w:highlight w:val="none"/>
              </w:rPr>
            </w:pPr>
            <w:r>
              <w:rPr>
                <w:rFonts w:hint="eastAsia" w:ascii="宋体" w:hAnsi="宋体" w:cs="宋体"/>
                <w:color w:val="auto"/>
                <w:kern w:val="1"/>
                <w:sz w:val="24"/>
                <w:highlight w:val="none"/>
              </w:rPr>
              <w:t>注意事项</w:t>
            </w:r>
          </w:p>
        </w:tc>
        <w:tc>
          <w:tcPr>
            <w:tcW w:w="7230" w:type="dxa"/>
            <w:tcBorders>
              <w:top w:val="single" w:color="auto" w:sz="4" w:space="0"/>
              <w:left w:val="single" w:color="auto" w:sz="4" w:space="0"/>
              <w:bottom w:val="single" w:color="auto" w:sz="4" w:space="0"/>
              <w:right w:val="single" w:color="auto" w:sz="12" w:space="0"/>
            </w:tcBorders>
            <w:vAlign w:val="center"/>
          </w:tcPr>
          <w:p>
            <w:pPr>
              <w:spacing w:line="360" w:lineRule="exact"/>
              <w:rPr>
                <w:rFonts w:ascii="宋体" w:hAnsi="宋体" w:cs="宋体"/>
                <w:b/>
                <w:color w:val="auto"/>
                <w:kern w:val="1"/>
                <w:sz w:val="24"/>
                <w:highlight w:val="none"/>
              </w:rPr>
            </w:pPr>
            <w:r>
              <w:rPr>
                <w:rFonts w:hint="eastAsia" w:ascii="宋体" w:hAnsi="宋体" w:eastAsia="宋体" w:cs="宋体"/>
                <w:b/>
                <w:color w:val="auto"/>
                <w:sz w:val="24"/>
                <w:highlight w:val="none"/>
              </w:rPr>
              <w:t>供应商应对招标文件中加“★”引起重视，如不满足此类条款的规定，将视为未实质性响应招标文件要求，其投标文件无效。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13" w:type="dxa"/>
            <w:tcBorders>
              <w:top w:val="single" w:color="auto" w:sz="4" w:space="0"/>
              <w:left w:val="single" w:color="auto" w:sz="12" w:space="0"/>
              <w:bottom w:val="single" w:color="auto" w:sz="4" w:space="0"/>
              <w:right w:val="single" w:color="auto" w:sz="4" w:space="0"/>
            </w:tcBorders>
            <w:vAlign w:val="center"/>
          </w:tcPr>
          <w:p>
            <w:pPr>
              <w:shd w:val="clear" w:color="auto" w:fill="FFFFFF"/>
              <w:autoSpaceDE w:val="0"/>
              <w:autoSpaceDN w:val="0"/>
              <w:spacing w:line="360" w:lineRule="exact"/>
              <w:jc w:val="center"/>
              <w:rPr>
                <w:rFonts w:hint="eastAsia" w:ascii="宋体" w:hAnsi="宋体" w:eastAsia="宋体"/>
                <w:color w:val="auto"/>
                <w:kern w:val="0"/>
                <w:sz w:val="24"/>
                <w:highlight w:val="none"/>
                <w:lang w:val="en-US" w:eastAsia="zh-CN"/>
              </w:rPr>
            </w:pPr>
            <w:r>
              <w:rPr>
                <w:rFonts w:ascii="宋体" w:hAnsi="宋体"/>
                <w:color w:val="auto"/>
                <w:kern w:val="0"/>
                <w:sz w:val="24"/>
                <w:highlight w:val="none"/>
              </w:rPr>
              <w:t>2</w:t>
            </w:r>
            <w:r>
              <w:rPr>
                <w:rFonts w:hint="eastAsia" w:ascii="宋体" w:hAnsi="宋体"/>
                <w:color w:val="auto"/>
                <w:kern w:val="0"/>
                <w:sz w:val="24"/>
                <w:highlight w:val="none"/>
                <w:lang w:val="en-US" w:eastAsia="zh-CN"/>
              </w:rPr>
              <w:t>0</w:t>
            </w:r>
          </w:p>
        </w:tc>
        <w:tc>
          <w:tcPr>
            <w:tcW w:w="9226" w:type="dxa"/>
            <w:gridSpan w:val="2"/>
            <w:tcBorders>
              <w:top w:val="single" w:color="auto" w:sz="4" w:space="0"/>
              <w:left w:val="single" w:color="auto" w:sz="4" w:space="0"/>
              <w:bottom w:val="single" w:color="auto" w:sz="4" w:space="0"/>
              <w:right w:val="single" w:color="auto" w:sz="12" w:space="0"/>
            </w:tcBorders>
            <w:vAlign w:val="center"/>
          </w:tcPr>
          <w:p>
            <w:pPr>
              <w:spacing w:line="360" w:lineRule="exact"/>
              <w:rPr>
                <w:rFonts w:ascii="宋体" w:hAnsi="宋体"/>
                <w:color w:val="auto"/>
                <w:highlight w:val="none"/>
              </w:rPr>
            </w:pPr>
            <w:r>
              <w:rPr>
                <w:rFonts w:hint="eastAsia" w:ascii="宋体" w:hAnsi="宋体"/>
                <w:color w:val="auto"/>
                <w:sz w:val="24"/>
                <w:highlight w:val="none"/>
              </w:rPr>
              <w:t>在评标过程直至签订合同前的任何时间，如经证实发现供应商提供虚假投标资料(包括技术支持资料)或信息骗取中标的，或者未按本招标文件要求提交履约保证金的（如有要求），将取消其中标资格，没收其投标保证金，并报主管部门备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40" w:hRule="atLeast"/>
          <w:jc w:val="center"/>
        </w:trPr>
        <w:tc>
          <w:tcPr>
            <w:tcW w:w="713" w:type="dxa"/>
            <w:tcBorders>
              <w:top w:val="single" w:color="auto" w:sz="4" w:space="0"/>
              <w:left w:val="single" w:color="auto" w:sz="12" w:space="0"/>
              <w:bottom w:val="single" w:color="auto" w:sz="4" w:space="0"/>
              <w:right w:val="single" w:color="auto" w:sz="4" w:space="0"/>
            </w:tcBorders>
            <w:vAlign w:val="center"/>
          </w:tcPr>
          <w:p>
            <w:pPr>
              <w:shd w:val="clear" w:color="auto" w:fill="FFFFFF"/>
              <w:autoSpaceDE w:val="0"/>
              <w:autoSpaceDN w:val="0"/>
              <w:spacing w:line="360" w:lineRule="exact"/>
              <w:jc w:val="center"/>
              <w:rPr>
                <w:rFonts w:hint="eastAsia" w:ascii="宋体" w:hAnsi="宋体" w:eastAsia="宋体"/>
                <w:color w:val="auto"/>
                <w:kern w:val="0"/>
                <w:sz w:val="24"/>
                <w:highlight w:val="none"/>
                <w:lang w:val="en-US" w:eastAsia="zh-CN"/>
              </w:rPr>
            </w:pPr>
            <w:r>
              <w:rPr>
                <w:rFonts w:ascii="宋体" w:hAnsi="宋体"/>
                <w:color w:val="auto"/>
                <w:kern w:val="0"/>
                <w:sz w:val="24"/>
                <w:highlight w:val="none"/>
              </w:rPr>
              <w:t>2</w:t>
            </w:r>
            <w:r>
              <w:rPr>
                <w:rFonts w:hint="eastAsia" w:ascii="宋体" w:hAnsi="宋体"/>
                <w:color w:val="auto"/>
                <w:kern w:val="0"/>
                <w:sz w:val="24"/>
                <w:highlight w:val="none"/>
                <w:lang w:val="en-US" w:eastAsia="zh-CN"/>
              </w:rPr>
              <w:t>1</w:t>
            </w:r>
          </w:p>
        </w:tc>
        <w:tc>
          <w:tcPr>
            <w:tcW w:w="9226" w:type="dxa"/>
            <w:gridSpan w:val="2"/>
            <w:tcBorders>
              <w:top w:val="single" w:color="auto" w:sz="4" w:space="0"/>
              <w:left w:val="single" w:color="auto" w:sz="4" w:space="0"/>
              <w:bottom w:val="single" w:color="auto" w:sz="4" w:space="0"/>
              <w:right w:val="single" w:color="auto" w:sz="12" w:space="0"/>
            </w:tcBorders>
            <w:vAlign w:val="center"/>
          </w:tcPr>
          <w:p>
            <w:pPr>
              <w:pStyle w:val="207"/>
              <w:adjustRightInd/>
              <w:spacing w:line="360" w:lineRule="exact"/>
              <w:jc w:val="both"/>
              <w:rPr>
                <w:rFonts w:ascii="宋体" w:hAnsi="宋体" w:cs="宋体"/>
                <w:b/>
                <w:bCs/>
                <w:color w:val="auto"/>
                <w:highlight w:val="none"/>
              </w:rPr>
            </w:pPr>
            <w:r>
              <w:rPr>
                <w:rFonts w:hint="eastAsia" w:ascii="宋体" w:hAnsi="宋体" w:cs="宋体"/>
                <w:b/>
                <w:bCs/>
                <w:color w:val="auto"/>
                <w:highlight w:val="none"/>
              </w:rPr>
              <w:t>注意事项：</w:t>
            </w:r>
          </w:p>
          <w:p>
            <w:pPr>
              <w:pStyle w:val="207"/>
              <w:numPr>
                <w:ilvl w:val="0"/>
                <w:numId w:val="12"/>
              </w:numPr>
              <w:adjustRightInd/>
              <w:spacing w:line="360" w:lineRule="exact"/>
              <w:jc w:val="both"/>
              <w:rPr>
                <w:rFonts w:ascii="宋体" w:hAnsi="宋体" w:cs="宋体"/>
                <w:b/>
                <w:color w:val="auto"/>
                <w:kern w:val="1"/>
                <w:highlight w:val="none"/>
              </w:rPr>
            </w:pPr>
            <w:r>
              <w:rPr>
                <w:rFonts w:hint="eastAsia" w:ascii="宋体" w:hAnsi="宋体" w:cs="宋体"/>
                <w:b/>
                <w:color w:val="auto"/>
                <w:kern w:val="1"/>
                <w:highlight w:val="none"/>
              </w:rPr>
              <w:t>电子标书加盖法人章的两种方式:一种为法人（企业负责人）电子章；另一种为纸质手写版盖章后扫描，两种方式的任意一种在评审时均予认可。</w:t>
            </w:r>
          </w:p>
          <w:p>
            <w:pPr>
              <w:pStyle w:val="207"/>
              <w:numPr>
                <w:ilvl w:val="0"/>
                <w:numId w:val="12"/>
              </w:numPr>
              <w:adjustRightInd/>
              <w:spacing w:line="360" w:lineRule="exact"/>
              <w:jc w:val="both"/>
              <w:rPr>
                <w:rFonts w:ascii="宋体" w:hAnsi="宋体" w:cs="宋体"/>
                <w:b/>
                <w:bCs/>
                <w:color w:val="auto"/>
                <w:kern w:val="2"/>
                <w:highlight w:val="none"/>
              </w:rPr>
            </w:pPr>
            <w:r>
              <w:rPr>
                <w:rFonts w:hint="eastAsia" w:ascii="宋体" w:hAnsi="宋体" w:cs="宋体"/>
                <w:b/>
                <w:bCs/>
                <w:color w:val="auto"/>
                <w:kern w:val="2"/>
                <w:highlight w:val="none"/>
              </w:rPr>
              <w:t>潜在供应商领取文件须提前完成注册、CA证书和电子签章申领和绑定、下载投标客户端。因未注册入库、未办理CA数字证书、CA证书故障、操作不当等原因造成无法投标或投标失败等后果由供应商自行承担。CA证书办理可通过在线APP“新疆政务通”或新疆CA网点办理CA数字证书和电子签章；若单位已经办理过新疆CA证书且证书符合国产密码算法要求，可直接联系发证机构，申请增加“政采云”招投标电子签章，无需重新办理。</w:t>
            </w:r>
          </w:p>
          <w:p>
            <w:pPr>
              <w:pStyle w:val="207"/>
              <w:numPr>
                <w:ilvl w:val="0"/>
                <w:numId w:val="12"/>
              </w:numPr>
              <w:adjustRightInd/>
              <w:spacing w:line="360" w:lineRule="exact"/>
              <w:jc w:val="both"/>
              <w:rPr>
                <w:rFonts w:ascii="宋体" w:hAnsi="宋体" w:cs="宋体"/>
                <w:b/>
                <w:bCs/>
                <w:color w:val="auto"/>
                <w:kern w:val="2"/>
                <w:highlight w:val="none"/>
              </w:rPr>
            </w:pPr>
            <w:r>
              <w:rPr>
                <w:rFonts w:hint="eastAsia" w:ascii="宋体" w:hAnsi="宋体" w:cs="宋体"/>
                <w:b/>
                <w:bCs/>
                <w:color w:val="auto"/>
                <w:kern w:val="2"/>
                <w:highlight w:val="none"/>
              </w:rPr>
              <w:t>系统操作问题请咨询技术支持电话0991-2899144，CA办理问题请咨询新疆CA服务电话0991-2819290，或加QQ号800175577。</w:t>
            </w:r>
          </w:p>
          <w:p>
            <w:pPr>
              <w:pStyle w:val="207"/>
              <w:numPr>
                <w:ilvl w:val="0"/>
                <w:numId w:val="12"/>
              </w:numPr>
              <w:adjustRightInd/>
              <w:spacing w:line="360" w:lineRule="exact"/>
              <w:jc w:val="both"/>
              <w:rPr>
                <w:rFonts w:ascii="宋体" w:hAnsi="宋体" w:cs="宋体"/>
                <w:b/>
                <w:bCs/>
                <w:color w:val="auto"/>
                <w:kern w:val="2"/>
                <w:highlight w:val="none"/>
              </w:rPr>
            </w:pPr>
            <w:r>
              <w:rPr>
                <w:rFonts w:hint="eastAsia" w:ascii="宋体" w:hAnsi="宋体" w:cs="宋体"/>
                <w:b/>
                <w:bCs/>
                <w:color w:val="auto"/>
                <w:kern w:val="2"/>
                <w:highlight w:val="none"/>
              </w:rPr>
              <w:t>招标文件中部分加粗、“★”、废标、无效、投标被否决等字样的条款，</w:t>
            </w:r>
            <w:r>
              <w:rPr>
                <w:rFonts w:ascii="宋体" w:hAnsi="宋体" w:cs="宋体"/>
                <w:b/>
                <w:bCs/>
                <w:color w:val="auto"/>
                <w:kern w:val="2"/>
                <w:highlight w:val="none"/>
              </w:rPr>
              <w:t>为采购的实质性要求和条件，着重提醒各供应商注意，</w:t>
            </w:r>
            <w:r>
              <w:rPr>
                <w:rFonts w:hint="eastAsia" w:ascii="宋体" w:hAnsi="宋体" w:cs="宋体"/>
                <w:b/>
                <w:bCs/>
                <w:color w:val="auto"/>
                <w:kern w:val="2"/>
                <w:highlight w:val="none"/>
              </w:rPr>
              <w:t>如不满足此类条款的规定，将视为未实质性响应招标文件要求，其投标文件无效。请</w:t>
            </w:r>
            <w:r>
              <w:rPr>
                <w:rFonts w:ascii="宋体" w:hAnsi="宋体" w:cs="宋体"/>
                <w:b/>
                <w:bCs/>
                <w:color w:val="auto"/>
                <w:kern w:val="2"/>
                <w:highlight w:val="none"/>
              </w:rPr>
              <w:t>认真查看</w:t>
            </w:r>
            <w:r>
              <w:rPr>
                <w:rFonts w:hint="eastAsia" w:ascii="宋体" w:hAnsi="宋体" w:cs="宋体"/>
                <w:b/>
                <w:bCs/>
                <w:color w:val="auto"/>
                <w:kern w:val="2"/>
                <w:highlight w:val="none"/>
              </w:rPr>
              <w:t>招标</w:t>
            </w:r>
            <w:r>
              <w:rPr>
                <w:rFonts w:ascii="宋体" w:hAnsi="宋体" w:cs="宋体"/>
                <w:b/>
                <w:bCs/>
                <w:color w:val="auto"/>
                <w:kern w:val="2"/>
                <w:highlight w:val="none"/>
              </w:rPr>
              <w:t>文件中的每一个条款及要求，因误读</w:t>
            </w:r>
            <w:r>
              <w:rPr>
                <w:rFonts w:hint="eastAsia" w:ascii="宋体" w:hAnsi="宋体" w:cs="宋体"/>
                <w:b/>
                <w:bCs/>
                <w:color w:val="auto"/>
                <w:kern w:val="2"/>
                <w:highlight w:val="none"/>
              </w:rPr>
              <w:t>招标</w:t>
            </w:r>
            <w:r>
              <w:rPr>
                <w:rFonts w:ascii="宋体" w:hAnsi="宋体" w:cs="宋体"/>
                <w:b/>
                <w:bCs/>
                <w:color w:val="auto"/>
                <w:kern w:val="2"/>
                <w:highlight w:val="none"/>
              </w:rPr>
              <w:t>文件而造成的后果，采购人概不负责。</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713" w:type="dxa"/>
            <w:tcBorders>
              <w:top w:val="single" w:color="auto" w:sz="4" w:space="0"/>
              <w:left w:val="single" w:color="auto" w:sz="12" w:space="0"/>
              <w:bottom w:val="single" w:color="auto" w:sz="12" w:space="0"/>
              <w:right w:val="single" w:color="auto" w:sz="4" w:space="0"/>
            </w:tcBorders>
            <w:vAlign w:val="center"/>
          </w:tcPr>
          <w:p>
            <w:pPr>
              <w:shd w:val="clear" w:color="auto" w:fill="FFFFFF"/>
              <w:autoSpaceDE w:val="0"/>
              <w:autoSpaceDN w:val="0"/>
              <w:spacing w:line="360" w:lineRule="exact"/>
              <w:jc w:val="center"/>
              <w:rPr>
                <w:rFonts w:hint="eastAsia" w:ascii="宋体" w:hAnsi="宋体" w:eastAsia="宋体"/>
                <w:color w:val="auto"/>
                <w:kern w:val="0"/>
                <w:sz w:val="24"/>
                <w:highlight w:val="none"/>
                <w:lang w:val="en-US" w:eastAsia="zh-CN"/>
              </w:rPr>
            </w:pPr>
            <w:r>
              <w:rPr>
                <w:rFonts w:hint="eastAsia" w:ascii="宋体" w:hAnsi="宋体"/>
                <w:color w:val="auto"/>
                <w:kern w:val="0"/>
                <w:sz w:val="24"/>
                <w:highlight w:val="none"/>
              </w:rPr>
              <w:t>2</w:t>
            </w:r>
            <w:r>
              <w:rPr>
                <w:rFonts w:hint="eastAsia" w:ascii="宋体" w:hAnsi="宋体"/>
                <w:color w:val="auto"/>
                <w:kern w:val="0"/>
                <w:sz w:val="24"/>
                <w:highlight w:val="none"/>
                <w:lang w:val="en-US" w:eastAsia="zh-CN"/>
              </w:rPr>
              <w:t>2</w:t>
            </w:r>
          </w:p>
        </w:tc>
        <w:tc>
          <w:tcPr>
            <w:tcW w:w="9226" w:type="dxa"/>
            <w:gridSpan w:val="2"/>
            <w:tcBorders>
              <w:top w:val="single" w:color="auto" w:sz="4" w:space="0"/>
              <w:left w:val="single" w:color="auto" w:sz="4" w:space="0"/>
              <w:bottom w:val="single" w:color="auto" w:sz="12" w:space="0"/>
              <w:right w:val="single" w:color="auto" w:sz="12" w:space="0"/>
            </w:tcBorders>
            <w:vAlign w:val="center"/>
          </w:tcPr>
          <w:p>
            <w:pPr>
              <w:pStyle w:val="207"/>
              <w:spacing w:line="400" w:lineRule="exact"/>
              <w:jc w:val="both"/>
              <w:rPr>
                <w:rFonts w:ascii="宋体" w:hAnsi="宋体"/>
                <w:color w:val="auto"/>
                <w:kern w:val="2"/>
                <w:highlight w:val="none"/>
              </w:rPr>
            </w:pPr>
            <w:r>
              <w:rPr>
                <w:rFonts w:hint="eastAsia" w:ascii="宋体" w:hAnsi="宋体" w:cs="宋体"/>
                <w:b/>
                <w:color w:val="auto"/>
                <w:kern w:val="1"/>
                <w:highlight w:val="none"/>
              </w:rPr>
              <w:t>中标服务费：由中标人支付，在领取《中标通知书》时向采购代理机构一次性支付中标服务费。其计算标准和方法参照原发改价格[2011]534号文件规定标准执行。</w:t>
            </w:r>
          </w:p>
        </w:tc>
      </w:tr>
    </w:tbl>
    <w:p>
      <w:pPr>
        <w:shd w:val="clear" w:color="auto" w:fill="FFFFFF"/>
        <w:autoSpaceDE w:val="0"/>
        <w:autoSpaceDN w:val="0"/>
        <w:adjustRightInd w:val="0"/>
        <w:spacing w:line="360" w:lineRule="exact"/>
        <w:rPr>
          <w:rFonts w:ascii="宋体" w:hAnsi="宋体"/>
          <w:b/>
          <w:bCs/>
          <w:color w:val="auto"/>
          <w:kern w:val="0"/>
          <w:sz w:val="18"/>
          <w:szCs w:val="18"/>
          <w:highlight w:val="none"/>
        </w:rPr>
      </w:pPr>
    </w:p>
    <w:p>
      <w:pPr>
        <w:widowControl/>
        <w:jc w:val="center"/>
        <w:outlineLvl w:val="1"/>
        <w:rPr>
          <w:rFonts w:ascii="宋体" w:hAnsi="宋体"/>
          <w:b/>
          <w:bCs/>
          <w:color w:val="auto"/>
          <w:kern w:val="0"/>
          <w:sz w:val="28"/>
          <w:szCs w:val="28"/>
          <w:highlight w:val="none"/>
        </w:rPr>
      </w:pPr>
      <w:r>
        <w:rPr>
          <w:rFonts w:ascii="宋体" w:hAnsi="宋体"/>
          <w:b/>
          <w:bCs/>
          <w:color w:val="auto"/>
          <w:kern w:val="0"/>
          <w:sz w:val="28"/>
          <w:szCs w:val="28"/>
          <w:highlight w:val="none"/>
        </w:rPr>
        <w:br w:type="page"/>
      </w:r>
      <w:bookmarkStart w:id="4" w:name="_Toc7579"/>
      <w:r>
        <w:rPr>
          <w:rFonts w:ascii="宋体" w:hAnsi="宋体"/>
          <w:b/>
          <w:bCs/>
          <w:color w:val="auto"/>
          <w:kern w:val="0"/>
          <w:sz w:val="28"/>
          <w:szCs w:val="28"/>
          <w:highlight w:val="none"/>
        </w:rPr>
        <w:t>二、投标须知</w:t>
      </w:r>
      <w:bookmarkEnd w:id="4"/>
    </w:p>
    <w:p>
      <w:pPr>
        <w:spacing w:before="156" w:beforeLines="50" w:after="156" w:afterLines="50" w:line="440" w:lineRule="exact"/>
        <w:jc w:val="center"/>
        <w:rPr>
          <w:rFonts w:ascii="宋体" w:hAnsi="宋体" w:cs="宋体"/>
          <w:b/>
          <w:color w:val="auto"/>
          <w:kern w:val="0"/>
          <w:sz w:val="24"/>
          <w:highlight w:val="none"/>
          <w:lang w:val="zh-CN"/>
        </w:rPr>
      </w:pPr>
      <w:bookmarkStart w:id="5" w:name="_Toc21030"/>
      <w:bookmarkStart w:id="6" w:name="_Toc37090625"/>
      <w:bookmarkStart w:id="7" w:name="_Toc37090961"/>
      <w:bookmarkStart w:id="8" w:name="_Toc13766990"/>
      <w:r>
        <w:rPr>
          <w:rFonts w:hint="eastAsia" w:ascii="宋体" w:hAnsi="宋体" w:cs="宋体"/>
          <w:b/>
          <w:color w:val="auto"/>
          <w:kern w:val="0"/>
          <w:sz w:val="24"/>
          <w:highlight w:val="none"/>
          <w:lang w:val="zh-CN"/>
        </w:rPr>
        <w:t>（一）总则</w:t>
      </w:r>
      <w:bookmarkEnd w:id="5"/>
      <w:bookmarkEnd w:id="6"/>
      <w:bookmarkEnd w:id="7"/>
    </w:p>
    <w:p>
      <w:pPr>
        <w:spacing w:line="440" w:lineRule="exact"/>
        <w:ind w:firstLine="482" w:firstLineChars="200"/>
        <w:rPr>
          <w:rFonts w:ascii="宋体" w:hAnsi="宋体" w:cs="宋体"/>
          <w:b/>
          <w:bCs/>
          <w:color w:val="auto"/>
          <w:sz w:val="24"/>
          <w:highlight w:val="none"/>
        </w:rPr>
      </w:pPr>
      <w:bookmarkStart w:id="9" w:name="_Toc37090626"/>
      <w:bookmarkStart w:id="10" w:name="_Toc29497"/>
      <w:bookmarkStart w:id="11" w:name="_Toc37090962"/>
      <w:r>
        <w:rPr>
          <w:rFonts w:hint="eastAsia" w:ascii="宋体" w:hAnsi="宋体" w:cs="宋体"/>
          <w:b/>
          <w:bCs/>
          <w:color w:val="auto"/>
          <w:sz w:val="24"/>
          <w:highlight w:val="none"/>
        </w:rPr>
        <w:t>1. 项目说明</w:t>
      </w:r>
      <w:bookmarkEnd w:id="9"/>
      <w:bookmarkEnd w:id="10"/>
      <w:bookmarkEnd w:id="11"/>
    </w:p>
    <w:p>
      <w:pPr>
        <w:shd w:val="clear" w:color="auto" w:fill="FFFFFF"/>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1.1 本项目的说明详见投标须知前附表（以下简称“前附表”）所述。</w:t>
      </w:r>
    </w:p>
    <w:p>
      <w:pPr>
        <w:shd w:val="clear" w:color="auto" w:fill="FFFFFF"/>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1.2本招标项目已经批准，采购人为</w:t>
      </w:r>
      <w:r>
        <w:rPr>
          <w:rFonts w:hint="eastAsia" w:ascii="宋体" w:hAnsi="宋体" w:cs="宋体"/>
          <w:color w:val="auto"/>
          <w:sz w:val="24"/>
          <w:highlight w:val="none"/>
          <w:u w:val="single"/>
        </w:rPr>
        <w:t>新疆维吾尔自治区生态环境监测总站</w:t>
      </w:r>
      <w:r>
        <w:rPr>
          <w:rFonts w:hint="eastAsia" w:ascii="宋体" w:hAnsi="宋体" w:cs="宋体"/>
          <w:color w:val="auto"/>
          <w:sz w:val="24"/>
          <w:highlight w:val="none"/>
        </w:rPr>
        <w:t>，该项目已具备招标条件，现对该项目进行公开招标。</w:t>
      </w:r>
    </w:p>
    <w:p>
      <w:pPr>
        <w:shd w:val="clear" w:color="auto" w:fill="FFFFFF"/>
        <w:spacing w:line="440" w:lineRule="exact"/>
        <w:ind w:firstLine="480" w:firstLineChars="200"/>
        <w:rPr>
          <w:rFonts w:ascii="宋体" w:hAnsi="宋体" w:cs="宋体"/>
          <w:color w:val="auto"/>
          <w:sz w:val="24"/>
          <w:highlight w:val="none"/>
        </w:rPr>
      </w:pPr>
      <w:r>
        <w:rPr>
          <w:rFonts w:hint="eastAsia" w:ascii="宋体" w:hAnsi="宋体" w:cs="宋体"/>
          <w:color w:val="auto"/>
          <w:kern w:val="0"/>
          <w:sz w:val="24"/>
          <w:highlight w:val="none"/>
        </w:rPr>
        <w:t>1.3</w:t>
      </w:r>
      <w:r>
        <w:rPr>
          <w:rFonts w:hint="eastAsia" w:ascii="宋体" w:hAnsi="宋体" w:cs="宋体"/>
          <w:color w:val="auto"/>
          <w:sz w:val="24"/>
          <w:highlight w:val="none"/>
        </w:rPr>
        <w:t>本招标项目供应商的资格审查采取资格后审方式。本次招标</w:t>
      </w:r>
      <w:r>
        <w:rPr>
          <w:rFonts w:hint="eastAsia" w:ascii="宋体" w:hAnsi="宋体" w:cs="宋体"/>
          <w:color w:val="auto"/>
          <w:sz w:val="24"/>
          <w:highlight w:val="none"/>
          <w:u w:val="single"/>
        </w:rPr>
        <w:t>不接受</w:t>
      </w:r>
      <w:r>
        <w:rPr>
          <w:rFonts w:hint="eastAsia" w:ascii="宋体" w:hAnsi="宋体" w:cs="宋体"/>
          <w:color w:val="auto"/>
          <w:sz w:val="24"/>
          <w:highlight w:val="none"/>
        </w:rPr>
        <w:t>联合体投标、不接受备选方案。</w:t>
      </w:r>
    </w:p>
    <w:p>
      <w:pPr>
        <w:shd w:val="clear" w:color="auto" w:fill="FFFFFF"/>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供应商资格必须符合供应商须知前附表说明，通过资格后审的供应商为合格的供应商。合格的供应商必须符合招标文件中对供应商的规定，且具备独立完成所投项目或所投标项的</w:t>
      </w:r>
      <w:r>
        <w:rPr>
          <w:rFonts w:hint="eastAsia" w:ascii="宋体" w:hAnsi="宋体" w:cs="宋体"/>
          <w:color w:val="auto"/>
          <w:kern w:val="10"/>
          <w:sz w:val="24"/>
          <w:highlight w:val="none"/>
        </w:rPr>
        <w:t>能</w:t>
      </w:r>
      <w:r>
        <w:rPr>
          <w:rFonts w:hint="eastAsia" w:ascii="宋体" w:hAnsi="宋体" w:cs="宋体"/>
          <w:color w:val="auto"/>
          <w:sz w:val="24"/>
          <w:highlight w:val="none"/>
        </w:rPr>
        <w:t>力，中标后不允许转包、违法分包。</w:t>
      </w:r>
    </w:p>
    <w:p>
      <w:pPr>
        <w:shd w:val="clear" w:color="auto" w:fill="FFFFFF"/>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1.4 资格后审包括下列的内容</w:t>
      </w:r>
    </w:p>
    <w:p>
      <w:pPr>
        <w:shd w:val="clear" w:color="auto" w:fill="FFFFFF"/>
        <w:spacing w:line="44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1.4.1 供应商具有独立法人资格并满足“前附表”规定的资格要求；</w:t>
      </w:r>
    </w:p>
    <w:p>
      <w:pPr>
        <w:shd w:val="clear" w:color="auto" w:fill="FFFFFF"/>
        <w:spacing w:line="44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1.4.2招标文件有要求供应商法定代表人或企业负责人或其授权代表签字或盖章和加盖供应商公章要求的，供应商须按招标文件要求签署；</w:t>
      </w:r>
    </w:p>
    <w:p>
      <w:pPr>
        <w:shd w:val="clear" w:color="auto" w:fill="FFFFFF"/>
        <w:spacing w:line="44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1.4.3服务期限符合招标文件要求；</w:t>
      </w:r>
    </w:p>
    <w:p>
      <w:pPr>
        <w:shd w:val="clear" w:color="auto" w:fill="FFFFFF"/>
        <w:spacing w:line="44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1.4.4服务地点符合招标文件规定；</w:t>
      </w:r>
    </w:p>
    <w:p>
      <w:pPr>
        <w:shd w:val="clear" w:color="auto" w:fill="FFFFFF"/>
        <w:spacing w:line="44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1.4.5投标内容、质量、服务等满足招标文件要求；</w:t>
      </w:r>
      <w:bookmarkStart w:id="202" w:name="_GoBack"/>
      <w:bookmarkEnd w:id="202"/>
    </w:p>
    <w:p>
      <w:pPr>
        <w:shd w:val="clear" w:color="auto" w:fill="FFFFFF"/>
        <w:spacing w:line="44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1.4.6投标文件中所提条件均须符合采购人的要求；</w:t>
      </w:r>
    </w:p>
    <w:p>
      <w:pPr>
        <w:shd w:val="clear" w:color="auto" w:fill="FFFFFF"/>
        <w:spacing w:line="44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1.4.7符合招标文件中规定的其他实质性要求；</w:t>
      </w:r>
    </w:p>
    <w:p>
      <w:pPr>
        <w:shd w:val="clear" w:color="auto" w:fill="FFFFFF"/>
        <w:spacing w:line="440" w:lineRule="exact"/>
        <w:ind w:firstLine="480" w:firstLineChars="200"/>
        <w:rPr>
          <w:rFonts w:ascii="宋体" w:hAnsi="宋体" w:cs="宋体"/>
          <w:color w:val="auto"/>
          <w:sz w:val="24"/>
          <w:highlight w:val="none"/>
        </w:rPr>
      </w:pPr>
      <w:r>
        <w:rPr>
          <w:rFonts w:hint="eastAsia" w:ascii="宋体" w:hAnsi="宋体" w:cs="宋体"/>
          <w:color w:val="auto"/>
          <w:kern w:val="0"/>
          <w:sz w:val="24"/>
          <w:highlight w:val="none"/>
        </w:rPr>
        <w:t>1.4.8无法律、法规和规章禁止的其他情况。</w:t>
      </w:r>
    </w:p>
    <w:p>
      <w:pPr>
        <w:spacing w:line="440" w:lineRule="exact"/>
        <w:ind w:firstLine="482" w:firstLineChars="200"/>
        <w:rPr>
          <w:rFonts w:ascii="宋体" w:hAnsi="宋体" w:cs="宋体"/>
          <w:b/>
          <w:bCs/>
          <w:color w:val="auto"/>
          <w:sz w:val="24"/>
          <w:highlight w:val="none"/>
        </w:rPr>
      </w:pPr>
      <w:bookmarkStart w:id="12" w:name="_Toc37090627"/>
      <w:bookmarkStart w:id="13" w:name="_Toc17644"/>
      <w:bookmarkStart w:id="14" w:name="_Toc37090963"/>
      <w:r>
        <w:rPr>
          <w:rFonts w:hint="eastAsia" w:ascii="宋体" w:hAnsi="宋体" w:cs="宋体"/>
          <w:b/>
          <w:bCs/>
          <w:color w:val="auto"/>
          <w:sz w:val="24"/>
          <w:highlight w:val="none"/>
        </w:rPr>
        <w:t>2. 招标范围</w:t>
      </w:r>
      <w:bookmarkEnd w:id="12"/>
      <w:bookmarkEnd w:id="13"/>
      <w:bookmarkEnd w:id="14"/>
    </w:p>
    <w:p>
      <w:pPr>
        <w:shd w:val="clear" w:color="auto" w:fill="FFFFFF"/>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2.1本招标项目的招标范围</w:t>
      </w:r>
      <w:r>
        <w:rPr>
          <w:rFonts w:hint="eastAsia" w:ascii="宋体" w:hAnsi="宋体" w:cs="宋体"/>
          <w:color w:val="auto"/>
          <w:kern w:val="0"/>
          <w:sz w:val="24"/>
          <w:highlight w:val="none"/>
        </w:rPr>
        <w:t>已通过“前附表”第1项</w:t>
      </w:r>
      <w:r>
        <w:rPr>
          <w:rFonts w:hint="eastAsia" w:ascii="宋体" w:hAnsi="宋体" w:cs="宋体"/>
          <w:color w:val="auto"/>
          <w:sz w:val="24"/>
          <w:highlight w:val="none"/>
        </w:rPr>
        <w:t>采购内容</w:t>
      </w:r>
      <w:r>
        <w:rPr>
          <w:rFonts w:hint="eastAsia" w:ascii="宋体" w:hAnsi="宋体" w:cs="宋体"/>
          <w:color w:val="auto"/>
          <w:kern w:val="0"/>
          <w:sz w:val="24"/>
          <w:highlight w:val="none"/>
        </w:rPr>
        <w:t>所述，</w:t>
      </w:r>
      <w:r>
        <w:rPr>
          <w:rFonts w:hint="eastAsia" w:ascii="宋体" w:hAnsi="宋体" w:cs="宋体"/>
          <w:color w:val="auto"/>
          <w:sz w:val="24"/>
          <w:highlight w:val="none"/>
        </w:rPr>
        <w:t>指本项目招标文件中范围内所要求的所有工作内容。</w:t>
      </w:r>
    </w:p>
    <w:p>
      <w:pPr>
        <w:spacing w:line="440" w:lineRule="exact"/>
        <w:ind w:firstLine="482" w:firstLineChars="200"/>
        <w:rPr>
          <w:rFonts w:ascii="宋体" w:hAnsi="宋体" w:cs="宋体"/>
          <w:b/>
          <w:bCs/>
          <w:color w:val="auto"/>
          <w:sz w:val="24"/>
          <w:highlight w:val="none"/>
        </w:rPr>
      </w:pPr>
      <w:bookmarkStart w:id="15" w:name="_Toc37090628"/>
      <w:bookmarkStart w:id="16" w:name="_Toc26876"/>
      <w:bookmarkStart w:id="17" w:name="_Toc37090964"/>
      <w:r>
        <w:rPr>
          <w:rFonts w:hint="eastAsia" w:ascii="宋体" w:hAnsi="宋体" w:cs="宋体"/>
          <w:b/>
          <w:bCs/>
          <w:color w:val="auto"/>
          <w:sz w:val="24"/>
          <w:highlight w:val="none"/>
        </w:rPr>
        <w:t>3. 适用法律及约束力</w:t>
      </w:r>
      <w:bookmarkEnd w:id="15"/>
      <w:bookmarkEnd w:id="16"/>
      <w:bookmarkEnd w:id="17"/>
    </w:p>
    <w:p>
      <w:pPr>
        <w:shd w:val="clear" w:color="auto" w:fill="FFFFFF"/>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3.1 本次招标及由本次招标产生的合同受中华人民共和国的相关法律、法规制约和保护。供应商一旦领取了招标文件并参加本项目，即被认为接受了招标文件中的所有条件和规定。</w:t>
      </w:r>
    </w:p>
    <w:p>
      <w:pPr>
        <w:shd w:val="clear" w:color="auto" w:fill="FFFFFF"/>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3.2供应商应保证，在中华人民共和国境内使用投标成果、服务或其任何一部分时，不会产生因第三方提出侵犯其专利权或其它知识产权而引起的法律和经济纠纷。</w:t>
      </w:r>
    </w:p>
    <w:p>
      <w:pPr>
        <w:spacing w:line="440" w:lineRule="exact"/>
        <w:ind w:firstLine="482" w:firstLineChars="200"/>
        <w:rPr>
          <w:rFonts w:ascii="宋体" w:hAnsi="宋体" w:cs="宋体"/>
          <w:b/>
          <w:bCs/>
          <w:color w:val="auto"/>
          <w:sz w:val="24"/>
          <w:highlight w:val="none"/>
        </w:rPr>
      </w:pPr>
      <w:bookmarkStart w:id="18" w:name="_Toc18819"/>
      <w:bookmarkStart w:id="19" w:name="_Toc37090965"/>
      <w:bookmarkStart w:id="20" w:name="_Toc37090629"/>
      <w:r>
        <w:rPr>
          <w:rFonts w:hint="eastAsia" w:ascii="宋体" w:hAnsi="宋体" w:cs="宋体"/>
          <w:b/>
          <w:bCs/>
          <w:color w:val="auto"/>
          <w:sz w:val="24"/>
          <w:highlight w:val="none"/>
        </w:rPr>
        <w:t>4. 招标项目实施要求</w:t>
      </w:r>
      <w:bookmarkEnd w:id="18"/>
      <w:bookmarkEnd w:id="19"/>
      <w:bookmarkEnd w:id="20"/>
    </w:p>
    <w:p>
      <w:pPr>
        <w:shd w:val="clear" w:color="auto" w:fill="FFFFFF"/>
        <w:spacing w:line="44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4.1质量标准已通过“前附表”第3项所述，本招标项目的质量等级标准为合格（通过采购人及有关部门组织的项目验收）。</w:t>
      </w:r>
    </w:p>
    <w:p>
      <w:pPr>
        <w:shd w:val="clear" w:color="auto" w:fill="FFFFFF"/>
        <w:spacing w:line="440" w:lineRule="exact"/>
        <w:ind w:firstLine="480" w:firstLineChars="200"/>
        <w:rPr>
          <w:rFonts w:ascii="宋体" w:hAnsi="宋体" w:cs="宋体"/>
          <w:color w:val="auto"/>
          <w:kern w:val="0"/>
          <w:sz w:val="24"/>
          <w:highlight w:val="none"/>
        </w:rPr>
      </w:pPr>
      <w:r>
        <w:rPr>
          <w:rFonts w:hint="eastAsia" w:ascii="宋体" w:hAnsi="宋体" w:cs="宋体"/>
          <w:color w:val="auto"/>
          <w:sz w:val="24"/>
          <w:highlight w:val="none"/>
        </w:rPr>
        <w:t>4.2 供应方与采购人签订合同后，按照招标文件及合同相关的要求编制服务计划。</w:t>
      </w:r>
    </w:p>
    <w:p>
      <w:pPr>
        <w:spacing w:line="440" w:lineRule="exact"/>
        <w:ind w:firstLine="482" w:firstLineChars="200"/>
        <w:rPr>
          <w:rFonts w:ascii="宋体" w:hAnsi="宋体" w:cs="宋体"/>
          <w:b/>
          <w:bCs/>
          <w:color w:val="auto"/>
          <w:sz w:val="24"/>
          <w:highlight w:val="none"/>
        </w:rPr>
      </w:pPr>
      <w:bookmarkStart w:id="21" w:name="_Toc37090630"/>
      <w:bookmarkStart w:id="22" w:name="_Toc37090966"/>
      <w:bookmarkStart w:id="23" w:name="_Toc14650"/>
      <w:r>
        <w:rPr>
          <w:rFonts w:hint="eastAsia" w:ascii="宋体" w:hAnsi="宋体" w:cs="宋体"/>
          <w:b/>
          <w:bCs/>
          <w:color w:val="auto"/>
          <w:sz w:val="24"/>
          <w:highlight w:val="none"/>
        </w:rPr>
        <w:t>5. 服务期限及</w:t>
      </w:r>
      <w:bookmarkEnd w:id="21"/>
      <w:bookmarkEnd w:id="22"/>
      <w:bookmarkEnd w:id="23"/>
      <w:r>
        <w:rPr>
          <w:rFonts w:hint="eastAsia" w:ascii="宋体" w:hAnsi="宋体" w:cs="宋体"/>
          <w:b/>
          <w:bCs/>
          <w:color w:val="auto"/>
          <w:sz w:val="24"/>
          <w:highlight w:val="none"/>
        </w:rPr>
        <w:t>服务地点</w:t>
      </w:r>
    </w:p>
    <w:p>
      <w:pPr>
        <w:shd w:val="clear" w:color="auto" w:fill="FFFFFF"/>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5.1 服务期限已</w:t>
      </w:r>
      <w:r>
        <w:rPr>
          <w:rFonts w:hint="eastAsia" w:ascii="宋体" w:hAnsi="宋体" w:cs="宋体"/>
          <w:color w:val="auto"/>
          <w:kern w:val="0"/>
          <w:sz w:val="24"/>
          <w:highlight w:val="none"/>
        </w:rPr>
        <w:t>通过“前附表”所述，</w:t>
      </w:r>
      <w:r>
        <w:rPr>
          <w:rFonts w:hint="eastAsia" w:ascii="宋体" w:hAnsi="宋体" w:cs="宋体"/>
          <w:color w:val="auto"/>
          <w:sz w:val="24"/>
          <w:highlight w:val="none"/>
        </w:rPr>
        <w:t>是指完成本项目采购内容及配套服务工作、验收合格并移交采购人的时间；服务地点已</w:t>
      </w:r>
      <w:r>
        <w:rPr>
          <w:rFonts w:hint="eastAsia" w:ascii="宋体" w:hAnsi="宋体" w:cs="宋体"/>
          <w:color w:val="auto"/>
          <w:kern w:val="0"/>
          <w:sz w:val="24"/>
          <w:highlight w:val="none"/>
        </w:rPr>
        <w:t>通过“前附表”所述</w:t>
      </w:r>
      <w:r>
        <w:rPr>
          <w:rFonts w:hint="eastAsia" w:ascii="宋体" w:hAnsi="宋体" w:cs="宋体"/>
          <w:color w:val="auto"/>
          <w:sz w:val="24"/>
          <w:highlight w:val="none"/>
        </w:rPr>
        <w:t>。</w:t>
      </w:r>
    </w:p>
    <w:p>
      <w:pPr>
        <w:spacing w:line="440" w:lineRule="exact"/>
        <w:ind w:firstLine="482" w:firstLineChars="200"/>
        <w:rPr>
          <w:rFonts w:ascii="宋体" w:hAnsi="宋体" w:cs="宋体"/>
          <w:b/>
          <w:bCs/>
          <w:color w:val="auto"/>
          <w:sz w:val="24"/>
          <w:highlight w:val="none"/>
        </w:rPr>
      </w:pPr>
      <w:bookmarkStart w:id="24" w:name="_Toc37090631"/>
      <w:bookmarkStart w:id="25" w:name="_Toc37090967"/>
      <w:bookmarkStart w:id="26" w:name="_Toc4069"/>
      <w:r>
        <w:rPr>
          <w:rFonts w:hint="eastAsia" w:ascii="宋体" w:hAnsi="宋体" w:cs="宋体"/>
          <w:b/>
          <w:bCs/>
          <w:color w:val="auto"/>
          <w:sz w:val="24"/>
          <w:highlight w:val="none"/>
        </w:rPr>
        <w:t>6. 资金来源</w:t>
      </w:r>
      <w:bookmarkEnd w:id="24"/>
      <w:bookmarkEnd w:id="25"/>
      <w:bookmarkEnd w:id="26"/>
    </w:p>
    <w:p>
      <w:pPr>
        <w:shd w:val="clear" w:color="auto" w:fill="FFFFFF"/>
        <w:spacing w:line="440" w:lineRule="exact"/>
        <w:ind w:firstLine="480" w:firstLineChars="200"/>
        <w:rPr>
          <w:rFonts w:ascii="宋体" w:hAnsi="宋体" w:cs="宋体"/>
          <w:b/>
          <w:color w:val="auto"/>
          <w:kern w:val="0"/>
          <w:sz w:val="24"/>
          <w:highlight w:val="none"/>
        </w:rPr>
      </w:pPr>
      <w:r>
        <w:rPr>
          <w:rFonts w:hint="eastAsia" w:ascii="宋体" w:hAnsi="宋体" w:cs="宋体"/>
          <w:color w:val="auto"/>
          <w:kern w:val="0"/>
          <w:sz w:val="24"/>
          <w:highlight w:val="none"/>
        </w:rPr>
        <w:t>6.1采购单位的资金通过“前附表”第1项所述的方式获得，并将部分资金用于本项目合同下的合格支付。</w:t>
      </w:r>
    </w:p>
    <w:p>
      <w:pPr>
        <w:spacing w:line="440" w:lineRule="exact"/>
        <w:ind w:firstLine="482" w:firstLineChars="200"/>
        <w:rPr>
          <w:rFonts w:ascii="宋体" w:hAnsi="宋体" w:cs="宋体"/>
          <w:b/>
          <w:bCs/>
          <w:color w:val="auto"/>
          <w:sz w:val="24"/>
          <w:highlight w:val="none"/>
        </w:rPr>
      </w:pPr>
      <w:bookmarkStart w:id="27" w:name="_Toc37090632"/>
      <w:bookmarkStart w:id="28" w:name="_Toc19811"/>
      <w:bookmarkStart w:id="29" w:name="_Toc37090968"/>
      <w:r>
        <w:rPr>
          <w:rFonts w:hint="eastAsia" w:ascii="宋体" w:hAnsi="宋体" w:cs="宋体"/>
          <w:b/>
          <w:bCs/>
          <w:color w:val="auto"/>
          <w:sz w:val="24"/>
          <w:highlight w:val="none"/>
        </w:rPr>
        <w:t>7. 供应商资格要求</w:t>
      </w:r>
      <w:bookmarkEnd w:id="27"/>
      <w:bookmarkEnd w:id="28"/>
      <w:bookmarkEnd w:id="29"/>
    </w:p>
    <w:p>
      <w:pPr>
        <w:shd w:val="clear" w:color="auto" w:fill="FFFFFF"/>
        <w:spacing w:line="44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供应商资格要求须满足“前附表”第4项要求。</w:t>
      </w:r>
    </w:p>
    <w:p>
      <w:pPr>
        <w:spacing w:line="440" w:lineRule="exact"/>
        <w:ind w:firstLine="482" w:firstLineChars="200"/>
        <w:rPr>
          <w:rFonts w:ascii="宋体" w:hAnsi="宋体" w:cs="宋体"/>
          <w:b/>
          <w:bCs/>
          <w:color w:val="auto"/>
          <w:sz w:val="24"/>
          <w:highlight w:val="none"/>
        </w:rPr>
      </w:pPr>
      <w:bookmarkStart w:id="30" w:name="_Toc30617"/>
      <w:bookmarkStart w:id="31" w:name="_Toc37090633"/>
      <w:bookmarkStart w:id="32" w:name="_Toc37090969"/>
      <w:r>
        <w:rPr>
          <w:rFonts w:hint="eastAsia" w:ascii="宋体" w:hAnsi="宋体" w:cs="宋体"/>
          <w:b/>
          <w:bCs/>
          <w:color w:val="auto"/>
          <w:sz w:val="24"/>
          <w:highlight w:val="none"/>
        </w:rPr>
        <w:t>8. 投标费用</w:t>
      </w:r>
      <w:bookmarkEnd w:id="30"/>
      <w:bookmarkEnd w:id="31"/>
      <w:bookmarkEnd w:id="32"/>
    </w:p>
    <w:p>
      <w:pPr>
        <w:shd w:val="clear" w:color="auto" w:fill="FFFFFF"/>
        <w:spacing w:line="44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供应商应承担其编制投标文件与递交投标文件所涉及的一切费用，不论投标结果如何，采购人或采购代理机构均无义务和责任承担这些费用。</w:t>
      </w:r>
    </w:p>
    <w:p>
      <w:pPr>
        <w:pStyle w:val="320"/>
        <w:spacing w:line="440" w:lineRule="exact"/>
        <w:ind w:firstLine="482" w:firstLineChars="200"/>
        <w:rPr>
          <w:rFonts w:ascii="宋体" w:hAnsi="宋体" w:cs="宋体"/>
          <w:b/>
          <w:color w:val="auto"/>
          <w:sz w:val="24"/>
          <w:highlight w:val="none"/>
        </w:rPr>
      </w:pPr>
      <w:r>
        <w:rPr>
          <w:rFonts w:hint="eastAsia" w:ascii="宋体" w:hAnsi="宋体" w:cs="宋体"/>
          <w:b/>
          <w:color w:val="auto"/>
          <w:sz w:val="24"/>
          <w:highlight w:val="none"/>
        </w:rPr>
        <w:t>9.合格供应商的条件</w:t>
      </w:r>
    </w:p>
    <w:p>
      <w:pPr>
        <w:pStyle w:val="320"/>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9.1具有本项目实施能力，符合、承认并承诺履行本文件各项规定的国内法人、其他组织或自然人均可参加投标。</w:t>
      </w:r>
    </w:p>
    <w:p>
      <w:pPr>
        <w:pStyle w:val="320"/>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9.2 遵守有关的国家法律、法规和条例，具备《中华人民共和国政府采购法》和本文件中规定的条件：</w:t>
      </w:r>
    </w:p>
    <w:p>
      <w:pPr>
        <w:pStyle w:val="320"/>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9.2.1具有独立承担民事责任的能力； </w:t>
      </w:r>
    </w:p>
    <w:p>
      <w:pPr>
        <w:pStyle w:val="320"/>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9.2.2具有良好的商业信誉和健全的财务会计制度；</w:t>
      </w:r>
    </w:p>
    <w:p>
      <w:pPr>
        <w:pStyle w:val="320"/>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9.2.3具有履行合同所必需的设备和专业技术能力；</w:t>
      </w:r>
    </w:p>
    <w:p>
      <w:pPr>
        <w:pStyle w:val="320"/>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9.2.4具有依法缴纳税收和社会保障资金的良好记录；</w:t>
      </w:r>
    </w:p>
    <w:p>
      <w:pPr>
        <w:pStyle w:val="320"/>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9.2.5参加政府采购活动前三年内，在经营活动中没有重大违法记录；</w:t>
      </w:r>
    </w:p>
    <w:p>
      <w:pPr>
        <w:pStyle w:val="320"/>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9.2.6法律、行政法规规定的其他条件；</w:t>
      </w:r>
    </w:p>
    <w:p>
      <w:pPr>
        <w:pStyle w:val="320"/>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9.2.7具有本招标文件第二部分“投标须知前附表”中第4项规定的资格条件。</w:t>
      </w:r>
    </w:p>
    <w:p>
      <w:pPr>
        <w:pStyle w:val="320"/>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9.3供应商之间如果存在下列情形之一的，不得同时参加同一包（标段）或者不分包（标段）的同一项目投标：</w:t>
      </w:r>
    </w:p>
    <w:p>
      <w:pPr>
        <w:pStyle w:val="320"/>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9.3.1法定代表人或企业负责人为同一个人的两个及两个以上法人；</w:t>
      </w:r>
    </w:p>
    <w:p>
      <w:pPr>
        <w:pStyle w:val="320"/>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9.3.2母公司、全资子公司及其控股公司；</w:t>
      </w:r>
    </w:p>
    <w:p>
      <w:pPr>
        <w:pStyle w:val="320"/>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9.3.3参加投标的其他组织之间存在特殊的利害关系的；</w:t>
      </w:r>
    </w:p>
    <w:p>
      <w:pPr>
        <w:pStyle w:val="320"/>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9.3.4法律和行政法规规定的其他情形。</w:t>
      </w:r>
    </w:p>
    <w:p>
      <w:pPr>
        <w:pStyle w:val="320"/>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9.4供应商</w:t>
      </w:r>
      <w:r>
        <w:rPr>
          <w:rFonts w:hint="eastAsia" w:ascii="宋体" w:hAnsi="宋体" w:cs="宋体"/>
          <w:bCs/>
          <w:color w:val="auto"/>
          <w:kern w:val="0"/>
          <w:sz w:val="24"/>
          <w:szCs w:val="24"/>
          <w:highlight w:val="none"/>
        </w:rPr>
        <w:t>登录政采云平台https://www.zcygov.cn/，在</w:t>
      </w:r>
      <w:r>
        <w:rPr>
          <w:rFonts w:hint="eastAsia" w:ascii="宋体" w:hAnsi="宋体" w:cs="宋体"/>
          <w:color w:val="auto"/>
          <w:sz w:val="24"/>
          <w:highlight w:val="none"/>
        </w:rPr>
        <w:t>“项目采购”项下的“获取采购文件”自行领取招标文件。</w:t>
      </w:r>
    </w:p>
    <w:p>
      <w:pPr>
        <w:pStyle w:val="320"/>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9.5供应商按时足额交纳投标保证金。</w:t>
      </w:r>
    </w:p>
    <w:p>
      <w:pPr>
        <w:spacing w:line="440" w:lineRule="exact"/>
        <w:ind w:firstLine="482" w:firstLineChars="200"/>
        <w:rPr>
          <w:rFonts w:ascii="宋体" w:hAnsi="宋体" w:cs="宋体"/>
          <w:b/>
          <w:bCs/>
          <w:color w:val="auto"/>
          <w:sz w:val="24"/>
          <w:highlight w:val="none"/>
        </w:rPr>
      </w:pPr>
      <w:bookmarkStart w:id="33" w:name="_Toc6998"/>
      <w:bookmarkStart w:id="34" w:name="_Toc37090635"/>
      <w:bookmarkStart w:id="35" w:name="_Toc37090971"/>
      <w:r>
        <w:rPr>
          <w:rFonts w:hint="eastAsia" w:ascii="宋体" w:hAnsi="宋体" w:cs="宋体"/>
          <w:b/>
          <w:bCs/>
          <w:color w:val="auto"/>
          <w:sz w:val="24"/>
          <w:highlight w:val="none"/>
        </w:rPr>
        <w:t>10. 联合体投标</w:t>
      </w:r>
      <w:bookmarkEnd w:id="33"/>
      <w:bookmarkEnd w:id="34"/>
      <w:bookmarkEnd w:id="35"/>
    </w:p>
    <w:p>
      <w:pPr>
        <w:shd w:val="clear" w:color="auto" w:fill="FFFFFF"/>
        <w:spacing w:line="44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10.1投标须知前附表中接受联合体投标的，供应商可以联合体形式投标，否则联合体投标视为无效投标；接受联合体投标的，除应符合本章第7</w:t>
      </w:r>
      <w:r>
        <w:rPr>
          <w:rFonts w:hint="eastAsia" w:ascii="宋体" w:hAnsi="宋体" w:cs="宋体"/>
          <w:color w:val="auto"/>
          <w:kern w:val="0"/>
          <w:sz w:val="24"/>
          <w:highlight w:val="none"/>
          <w:lang w:val="zh-CN"/>
        </w:rPr>
        <w:t>款</w:t>
      </w:r>
      <w:r>
        <w:rPr>
          <w:rFonts w:hint="eastAsia" w:ascii="宋体" w:hAnsi="宋体" w:cs="宋体"/>
          <w:color w:val="auto"/>
          <w:kern w:val="0"/>
          <w:sz w:val="24"/>
          <w:highlight w:val="none"/>
        </w:rPr>
        <w:t xml:space="preserve">规定外，还应遵守以下规定： </w:t>
      </w:r>
    </w:p>
    <w:p>
      <w:pPr>
        <w:shd w:val="clear" w:color="auto" w:fill="FFFFFF"/>
        <w:spacing w:line="44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10.1.1联合体各方应按招标文件提供的格式签订</w:t>
      </w:r>
      <w:r>
        <w:rPr>
          <w:rFonts w:hint="eastAsia" w:ascii="宋体" w:hAnsi="宋体" w:cs="宋体"/>
          <w:color w:val="auto"/>
          <w:kern w:val="0"/>
          <w:sz w:val="24"/>
          <w:highlight w:val="none"/>
          <w:u w:val="single"/>
        </w:rPr>
        <w:t>联合体协议</w:t>
      </w:r>
      <w:r>
        <w:rPr>
          <w:rFonts w:hint="eastAsia" w:ascii="宋体" w:hAnsi="宋体" w:cs="宋体"/>
          <w:color w:val="auto"/>
          <w:kern w:val="0"/>
          <w:sz w:val="24"/>
          <w:highlight w:val="none"/>
        </w:rPr>
        <w:t>，明确联合体牵头人和各方的权利义务、合同工作量比例；</w:t>
      </w:r>
    </w:p>
    <w:p>
      <w:pPr>
        <w:shd w:val="clear" w:color="auto" w:fill="FFFFFF"/>
        <w:spacing w:line="44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10.1.2联合体各方签订联合体协议书后，不得再单独参加或者与其他供应商组成新的联合体参加同一项目的采购活动。</w:t>
      </w:r>
    </w:p>
    <w:p>
      <w:pPr>
        <w:shd w:val="clear" w:color="auto" w:fill="FFFFFF"/>
        <w:spacing w:line="440" w:lineRule="exact"/>
        <w:ind w:firstLine="482" w:firstLineChars="200"/>
        <w:rPr>
          <w:rFonts w:ascii="宋体" w:hAnsi="宋体" w:cs="宋体"/>
          <w:b/>
          <w:color w:val="auto"/>
          <w:kern w:val="0"/>
          <w:sz w:val="24"/>
          <w:highlight w:val="none"/>
        </w:rPr>
      </w:pPr>
      <w:r>
        <w:rPr>
          <w:rFonts w:hint="eastAsia" w:ascii="宋体" w:hAnsi="宋体" w:cs="宋体"/>
          <w:b/>
          <w:color w:val="auto"/>
          <w:kern w:val="0"/>
          <w:sz w:val="24"/>
          <w:highlight w:val="none"/>
        </w:rPr>
        <w:t>11.信用信息查询</w:t>
      </w:r>
    </w:p>
    <w:p>
      <w:pPr>
        <w:shd w:val="clear" w:color="auto" w:fill="FFFFFF"/>
        <w:spacing w:line="44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11.1查询渠道：“信用中国”网站（www.creditchina.gov.cn）、中国政府采购网（</w:t>
      </w: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"http://www.ccgp.gov.cn"</w:instrText>
      </w:r>
      <w:r>
        <w:rPr>
          <w:rFonts w:hint="eastAsia" w:ascii="宋体" w:hAnsi="宋体" w:cs="宋体"/>
          <w:color w:val="auto"/>
          <w:highlight w:val="none"/>
        </w:rPr>
        <w:fldChar w:fldCharType="separate"/>
      </w:r>
      <w:r>
        <w:rPr>
          <w:rStyle w:val="69"/>
          <w:rFonts w:hint="eastAsia" w:ascii="宋体" w:hAnsi="宋体" w:cs="宋体"/>
          <w:color w:val="auto"/>
          <w:kern w:val="0"/>
          <w:sz w:val="24"/>
          <w:highlight w:val="none"/>
          <w:u w:val="none"/>
        </w:rPr>
        <w:t>www.ccgp.gov.cn</w:t>
      </w:r>
      <w:r>
        <w:rPr>
          <w:rFonts w:hint="eastAsia" w:ascii="宋体" w:hAnsi="宋体" w:cs="宋体"/>
          <w:color w:val="auto"/>
          <w:kern w:val="0"/>
          <w:sz w:val="24"/>
          <w:highlight w:val="none"/>
        </w:rPr>
        <w:fldChar w:fldCharType="end"/>
      </w:r>
      <w:r>
        <w:rPr>
          <w:rFonts w:hint="eastAsia" w:ascii="宋体" w:hAnsi="宋体" w:cs="宋体"/>
          <w:color w:val="auto"/>
          <w:kern w:val="0"/>
          <w:sz w:val="24"/>
          <w:highlight w:val="none"/>
        </w:rPr>
        <w:t>）。</w:t>
      </w:r>
    </w:p>
    <w:p>
      <w:pPr>
        <w:shd w:val="clear" w:color="auto" w:fill="FFFFFF"/>
        <w:spacing w:line="44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11.2查询截止时间：</w:t>
      </w:r>
      <w:r>
        <w:rPr>
          <w:rFonts w:hint="eastAsia" w:ascii="宋体" w:hAnsi="宋体" w:cs="宋体"/>
          <w:color w:val="auto"/>
          <w:sz w:val="24"/>
          <w:highlight w:val="none"/>
          <w:lang w:eastAsia="zh-CN"/>
        </w:rPr>
        <w:t>同投标截止时间</w:t>
      </w:r>
      <w:r>
        <w:rPr>
          <w:rFonts w:hint="eastAsia" w:ascii="宋体" w:hAnsi="宋体" w:cs="宋体"/>
          <w:color w:val="auto"/>
          <w:sz w:val="24"/>
          <w:highlight w:val="none"/>
        </w:rPr>
        <w:t>。</w:t>
      </w:r>
    </w:p>
    <w:p>
      <w:pPr>
        <w:shd w:val="clear" w:color="auto" w:fill="FFFFFF"/>
        <w:spacing w:line="440" w:lineRule="exact"/>
        <w:ind w:firstLine="480" w:firstLineChars="200"/>
        <w:rPr>
          <w:rFonts w:ascii="宋体" w:hAnsi="宋体" w:cs="宋体"/>
          <w:color w:val="auto"/>
          <w:sz w:val="24"/>
          <w:highlight w:val="none"/>
        </w:rPr>
      </w:pPr>
      <w:r>
        <w:rPr>
          <w:rFonts w:hint="eastAsia" w:ascii="宋体" w:hAnsi="宋体" w:cs="宋体"/>
          <w:color w:val="auto"/>
          <w:kern w:val="0"/>
          <w:sz w:val="24"/>
          <w:highlight w:val="none"/>
        </w:rPr>
        <w:t>11.3根据《关于在政府采购活动中查询及使用信用记录有关问题的通知》(财库[2016]125号)的规定，对被列入“失信被执行人”、“重大税收违法案件当事人名单”、“政府采购严重违法失信行为记录名单”的供应商，拒绝参与本项目政府采购活动。</w:t>
      </w:r>
    </w:p>
    <w:p>
      <w:pPr>
        <w:shd w:val="clear" w:color="auto" w:fill="FFFFFF"/>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11.4信用信息查询由采购代理机构在开标后通过本须知11.1所述渠道进行网上查询，对存在本须知11.3所述情形的供应商，将对其查询结果的网页截图作为查询记录和证据留存。</w:t>
      </w:r>
    </w:p>
    <w:p>
      <w:pPr>
        <w:shd w:val="clear" w:color="auto" w:fill="FFFFFF"/>
        <w:spacing w:line="440" w:lineRule="exact"/>
        <w:ind w:firstLine="480" w:firstLineChars="200"/>
        <w:rPr>
          <w:rFonts w:ascii="宋体" w:hAnsi="宋体" w:cs="宋体"/>
          <w:color w:val="auto"/>
          <w:kern w:val="0"/>
          <w:sz w:val="24"/>
          <w:highlight w:val="none"/>
        </w:rPr>
      </w:pPr>
      <w:r>
        <w:rPr>
          <w:rFonts w:hint="eastAsia" w:ascii="宋体" w:hAnsi="宋体" w:cs="宋体"/>
          <w:color w:val="auto"/>
          <w:sz w:val="24"/>
          <w:highlight w:val="none"/>
        </w:rPr>
        <w:t>11.5两个以上的自然人、法人或者其他组织组成一个联合体，以一个供应商的身份共同参加政府采购活动的，将对所有联合体成员进行信用记录查询，联合体成员存在不良信用记录的，视同联合体存在不良信用记录。</w:t>
      </w:r>
    </w:p>
    <w:bookmarkEnd w:id="8"/>
    <w:p>
      <w:pPr>
        <w:spacing w:before="156" w:beforeLines="50" w:after="156" w:afterLines="50" w:line="440" w:lineRule="exact"/>
        <w:jc w:val="center"/>
        <w:rPr>
          <w:rFonts w:ascii="宋体" w:hAnsi="宋体" w:cs="宋体"/>
          <w:b/>
          <w:color w:val="auto"/>
          <w:kern w:val="0"/>
          <w:sz w:val="24"/>
          <w:highlight w:val="none"/>
          <w:lang w:val="zh-CN"/>
        </w:rPr>
      </w:pPr>
      <w:bookmarkStart w:id="36" w:name="_Toc37090972"/>
      <w:bookmarkStart w:id="37" w:name="_Toc37090636"/>
      <w:r>
        <w:rPr>
          <w:rFonts w:hint="eastAsia" w:ascii="宋体" w:hAnsi="宋体" w:cs="宋体"/>
          <w:b/>
          <w:color w:val="auto"/>
          <w:kern w:val="0"/>
          <w:sz w:val="24"/>
          <w:highlight w:val="none"/>
          <w:lang w:val="zh-CN"/>
        </w:rPr>
        <w:t>（二）招标文件</w:t>
      </w:r>
      <w:bookmarkEnd w:id="36"/>
      <w:bookmarkEnd w:id="37"/>
    </w:p>
    <w:p>
      <w:pPr>
        <w:spacing w:line="440" w:lineRule="exact"/>
        <w:ind w:firstLine="482" w:firstLineChars="200"/>
        <w:rPr>
          <w:rFonts w:ascii="宋体" w:hAnsi="宋体" w:cs="宋体"/>
          <w:b/>
          <w:bCs/>
          <w:color w:val="auto"/>
          <w:sz w:val="24"/>
          <w:highlight w:val="none"/>
        </w:rPr>
      </w:pPr>
      <w:bookmarkStart w:id="38" w:name="_Toc37090637"/>
      <w:bookmarkStart w:id="39" w:name="_Toc37090973"/>
      <w:bookmarkStart w:id="40" w:name="_Toc10669"/>
      <w:r>
        <w:rPr>
          <w:rFonts w:hint="eastAsia" w:ascii="宋体" w:hAnsi="宋体" w:cs="宋体"/>
          <w:b/>
          <w:bCs/>
          <w:color w:val="auto"/>
          <w:sz w:val="24"/>
          <w:highlight w:val="none"/>
        </w:rPr>
        <w:t>12. 招标文件的组成</w:t>
      </w:r>
      <w:bookmarkEnd w:id="38"/>
      <w:bookmarkEnd w:id="39"/>
      <w:bookmarkEnd w:id="40"/>
    </w:p>
    <w:p>
      <w:pPr>
        <w:shd w:val="clear" w:color="auto" w:fill="FFFFFF"/>
        <w:spacing w:line="44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12.1 招标文件包括下列内容</w:t>
      </w:r>
    </w:p>
    <w:p>
      <w:pPr>
        <w:shd w:val="clear" w:color="auto" w:fill="FFFFFF"/>
        <w:spacing w:line="440" w:lineRule="exact"/>
        <w:ind w:firstLine="480" w:firstLineChars="200"/>
        <w:rPr>
          <w:rFonts w:ascii="宋体" w:hAnsi="宋体"/>
          <w:color w:val="auto"/>
          <w:kern w:val="0"/>
          <w:sz w:val="24"/>
          <w:highlight w:val="none"/>
        </w:rPr>
      </w:pPr>
      <w:r>
        <w:rPr>
          <w:rFonts w:ascii="宋体" w:hAnsi="宋体"/>
          <w:color w:val="auto"/>
          <w:kern w:val="0"/>
          <w:sz w:val="24"/>
          <w:highlight w:val="none"/>
        </w:rPr>
        <w:t>第一章</w:t>
      </w:r>
      <w:r>
        <w:rPr>
          <w:rFonts w:hint="eastAsia" w:ascii="宋体" w:hAnsi="宋体"/>
          <w:color w:val="auto"/>
          <w:kern w:val="0"/>
          <w:sz w:val="24"/>
          <w:highlight w:val="none"/>
        </w:rPr>
        <w:t xml:space="preserve"> </w:t>
      </w:r>
      <w:r>
        <w:rPr>
          <w:rFonts w:ascii="宋体" w:hAnsi="宋体"/>
          <w:color w:val="auto"/>
          <w:kern w:val="0"/>
          <w:sz w:val="24"/>
          <w:highlight w:val="none"/>
        </w:rPr>
        <w:t>招标公告</w:t>
      </w:r>
    </w:p>
    <w:p>
      <w:pPr>
        <w:shd w:val="clear" w:color="auto" w:fill="FFFFFF"/>
        <w:spacing w:line="440" w:lineRule="exact"/>
        <w:ind w:firstLine="480" w:firstLineChars="200"/>
        <w:rPr>
          <w:rFonts w:ascii="宋体" w:hAnsi="宋体"/>
          <w:color w:val="auto"/>
          <w:kern w:val="0"/>
          <w:sz w:val="24"/>
          <w:highlight w:val="none"/>
        </w:rPr>
      </w:pPr>
      <w:r>
        <w:rPr>
          <w:rFonts w:ascii="宋体" w:hAnsi="宋体"/>
          <w:color w:val="auto"/>
          <w:kern w:val="0"/>
          <w:sz w:val="24"/>
          <w:highlight w:val="none"/>
        </w:rPr>
        <w:t>第二章</w:t>
      </w:r>
      <w:r>
        <w:rPr>
          <w:rFonts w:hint="eastAsia" w:ascii="宋体" w:hAnsi="宋体"/>
          <w:color w:val="auto"/>
          <w:kern w:val="0"/>
          <w:sz w:val="24"/>
          <w:highlight w:val="none"/>
        </w:rPr>
        <w:t xml:space="preserve"> </w:t>
      </w:r>
      <w:r>
        <w:rPr>
          <w:rFonts w:ascii="宋体" w:hAnsi="宋体"/>
          <w:color w:val="auto"/>
          <w:kern w:val="0"/>
          <w:sz w:val="24"/>
          <w:highlight w:val="none"/>
        </w:rPr>
        <w:t>投标须知前附表及投标须知</w:t>
      </w:r>
    </w:p>
    <w:p>
      <w:pPr>
        <w:shd w:val="clear" w:color="auto" w:fill="FFFFFF"/>
        <w:spacing w:line="44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第三章 采购需求</w:t>
      </w:r>
    </w:p>
    <w:p>
      <w:pPr>
        <w:shd w:val="clear" w:color="auto" w:fill="FFFFFF"/>
        <w:spacing w:line="44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第四章 合同条款</w:t>
      </w:r>
    </w:p>
    <w:p>
      <w:pPr>
        <w:shd w:val="clear" w:color="auto" w:fill="FFFFFF"/>
        <w:spacing w:line="44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第五章 评审办法</w:t>
      </w:r>
    </w:p>
    <w:p>
      <w:pPr>
        <w:shd w:val="clear" w:color="auto" w:fill="FFFFFF"/>
        <w:spacing w:line="440" w:lineRule="exact"/>
        <w:ind w:firstLine="480" w:firstLineChars="200"/>
        <w:rPr>
          <w:rFonts w:ascii="宋体" w:hAnsi="宋体"/>
          <w:color w:val="auto"/>
          <w:kern w:val="0"/>
          <w:sz w:val="24"/>
          <w:highlight w:val="none"/>
        </w:rPr>
      </w:pPr>
      <w:r>
        <w:rPr>
          <w:rFonts w:ascii="宋体" w:hAnsi="宋体"/>
          <w:color w:val="auto"/>
          <w:kern w:val="0"/>
          <w:sz w:val="24"/>
          <w:highlight w:val="none"/>
        </w:rPr>
        <w:t>第</w:t>
      </w:r>
      <w:r>
        <w:rPr>
          <w:rFonts w:hint="eastAsia" w:ascii="宋体" w:hAnsi="宋体"/>
          <w:color w:val="auto"/>
          <w:kern w:val="0"/>
          <w:sz w:val="24"/>
          <w:highlight w:val="none"/>
        </w:rPr>
        <w:t>六</w:t>
      </w:r>
      <w:r>
        <w:rPr>
          <w:rFonts w:ascii="宋体" w:hAnsi="宋体"/>
          <w:color w:val="auto"/>
          <w:kern w:val="0"/>
          <w:sz w:val="24"/>
          <w:highlight w:val="none"/>
        </w:rPr>
        <w:t>章</w:t>
      </w:r>
      <w:r>
        <w:rPr>
          <w:rFonts w:hint="eastAsia" w:ascii="宋体" w:hAnsi="宋体"/>
          <w:color w:val="auto"/>
          <w:kern w:val="0"/>
          <w:sz w:val="24"/>
          <w:highlight w:val="none"/>
        </w:rPr>
        <w:t xml:space="preserve"> </w:t>
      </w:r>
      <w:r>
        <w:rPr>
          <w:rFonts w:ascii="宋体" w:hAnsi="宋体"/>
          <w:color w:val="auto"/>
          <w:kern w:val="0"/>
          <w:sz w:val="24"/>
          <w:highlight w:val="none"/>
        </w:rPr>
        <w:t>投标文件格式</w:t>
      </w:r>
    </w:p>
    <w:p>
      <w:pPr>
        <w:shd w:val="clear" w:color="auto" w:fill="FFFFFF"/>
        <w:autoSpaceDE w:val="0"/>
        <w:autoSpaceDN w:val="0"/>
        <w:adjustRightInd w:val="0"/>
        <w:spacing w:line="440" w:lineRule="exact"/>
        <w:ind w:firstLine="480" w:firstLineChars="200"/>
        <w:rPr>
          <w:rFonts w:ascii="宋体" w:hAnsi="宋体" w:cs="宋体"/>
          <w:color w:val="auto"/>
          <w:sz w:val="24"/>
          <w:highlight w:val="none"/>
          <w:lang w:val="zh-CN"/>
        </w:rPr>
      </w:pPr>
      <w:r>
        <w:rPr>
          <w:rFonts w:hint="eastAsia" w:ascii="宋体" w:hAnsi="宋体" w:cs="宋体"/>
          <w:color w:val="auto"/>
          <w:sz w:val="24"/>
          <w:highlight w:val="none"/>
          <w:lang w:val="zh-CN"/>
        </w:rPr>
        <w:t xml:space="preserve">12.2 </w:t>
      </w:r>
      <w:r>
        <w:rPr>
          <w:rFonts w:hint="eastAsia" w:ascii="宋体" w:hAnsi="宋体" w:cs="宋体"/>
          <w:b/>
          <w:color w:val="auto"/>
          <w:sz w:val="24"/>
          <w:highlight w:val="none"/>
          <w:lang w:val="zh-CN"/>
        </w:rPr>
        <w:t>招标的最小单位是标项。招标文件未分标项的，供应商须对全部招标内容投标，不得部分投标；招标文件分标项的，供应商应当以标项为单位编制并提交投标文件</w:t>
      </w:r>
      <w:r>
        <w:rPr>
          <w:rFonts w:hint="eastAsia" w:ascii="宋体" w:hAnsi="宋体" w:cs="宋体"/>
          <w:color w:val="auto"/>
          <w:sz w:val="24"/>
          <w:highlight w:val="none"/>
          <w:lang w:val="zh-CN"/>
        </w:rPr>
        <w:t>。</w:t>
      </w:r>
    </w:p>
    <w:p>
      <w:pPr>
        <w:shd w:val="clear" w:color="auto" w:fill="FFFFFF"/>
        <w:spacing w:line="440" w:lineRule="exact"/>
        <w:ind w:firstLine="480" w:firstLineChars="200"/>
        <w:rPr>
          <w:rFonts w:ascii="宋体" w:hAnsi="宋体" w:cs="宋体"/>
          <w:color w:val="auto"/>
          <w:kern w:val="0"/>
          <w:sz w:val="24"/>
          <w:highlight w:val="none"/>
        </w:rPr>
      </w:pPr>
      <w:r>
        <w:rPr>
          <w:rFonts w:hint="eastAsia" w:ascii="宋体" w:hAnsi="宋体" w:cs="宋体"/>
          <w:color w:val="auto"/>
          <w:sz w:val="24"/>
          <w:highlight w:val="none"/>
          <w:lang w:val="zh-CN"/>
        </w:rPr>
        <w:t>12.3 招标文件如果要求供应商提交备选投标方案的，供应商可以提交备选方案；否则，备选方案将被拒绝。</w:t>
      </w:r>
    </w:p>
    <w:p>
      <w:pPr>
        <w:shd w:val="clear" w:color="auto" w:fill="FFFFFF"/>
        <w:spacing w:line="440" w:lineRule="exact"/>
        <w:ind w:firstLine="480" w:firstLineChars="200"/>
        <w:rPr>
          <w:rFonts w:ascii="宋体" w:hAnsi="宋体" w:cs="宋体"/>
          <w:color w:val="auto"/>
          <w:sz w:val="24"/>
          <w:highlight w:val="none"/>
          <w:lang w:val="zh-CN"/>
        </w:rPr>
      </w:pPr>
      <w:r>
        <w:rPr>
          <w:rFonts w:hint="eastAsia" w:ascii="宋体" w:hAnsi="宋体" w:cs="宋体"/>
          <w:color w:val="auto"/>
          <w:sz w:val="24"/>
          <w:highlight w:val="none"/>
          <w:lang w:val="zh-CN"/>
        </w:rPr>
        <w:t>12.4 招标文件由本文件及由采购人按招标文件有关规定发出的招标文件补充构成。</w:t>
      </w:r>
    </w:p>
    <w:p>
      <w:pPr>
        <w:shd w:val="clear" w:color="auto" w:fill="FFFFFF"/>
        <w:spacing w:line="440" w:lineRule="exact"/>
        <w:ind w:firstLine="480" w:firstLineChars="200"/>
        <w:rPr>
          <w:rFonts w:ascii="宋体" w:hAnsi="宋体" w:cs="宋体"/>
          <w:color w:val="auto"/>
          <w:sz w:val="24"/>
          <w:highlight w:val="none"/>
          <w:lang w:val="zh-CN"/>
        </w:rPr>
      </w:pPr>
      <w:r>
        <w:rPr>
          <w:rFonts w:hint="eastAsia" w:ascii="宋体" w:hAnsi="宋体" w:cs="宋体"/>
          <w:color w:val="auto"/>
          <w:sz w:val="24"/>
          <w:highlight w:val="none"/>
          <w:lang w:val="zh-CN"/>
        </w:rPr>
        <w:t>12.5 招标文件的澄清、修改、招标答疑会纪要等书面材料在本招标项目中均称招标文件补充。</w:t>
      </w:r>
    </w:p>
    <w:p>
      <w:pPr>
        <w:shd w:val="clear" w:color="auto" w:fill="FFFFFF"/>
        <w:spacing w:line="440" w:lineRule="exact"/>
        <w:ind w:firstLine="480" w:firstLineChars="200"/>
        <w:rPr>
          <w:rFonts w:ascii="宋体" w:hAnsi="宋体" w:cs="宋体"/>
          <w:color w:val="auto"/>
          <w:sz w:val="24"/>
          <w:highlight w:val="none"/>
          <w:lang w:val="zh-CN"/>
        </w:rPr>
      </w:pPr>
      <w:r>
        <w:rPr>
          <w:rFonts w:hint="eastAsia" w:ascii="宋体" w:hAnsi="宋体" w:cs="宋体"/>
          <w:color w:val="auto"/>
          <w:sz w:val="24"/>
          <w:highlight w:val="none"/>
          <w:lang w:val="zh-CN"/>
        </w:rPr>
        <w:t>12.6 招标文件补充作为招标文件的组成部分，对供应商起同等约束作用。如果招标文件补充内容与在此招标文件补充发出之前的招标文件等书面材料中相关内容相冲突，请供应商执行招标文件补充的相关内容，先前发出的招标文件等书面材料中相关内容自动废止。</w:t>
      </w:r>
    </w:p>
    <w:p>
      <w:pPr>
        <w:shd w:val="clear" w:color="auto" w:fill="FFFFFF"/>
        <w:spacing w:line="440" w:lineRule="exact"/>
        <w:ind w:firstLine="480" w:firstLineChars="200"/>
        <w:rPr>
          <w:rFonts w:ascii="宋体" w:hAnsi="宋体" w:cs="宋体"/>
          <w:color w:val="auto"/>
          <w:sz w:val="24"/>
          <w:highlight w:val="none"/>
          <w:lang w:val="zh-CN"/>
        </w:rPr>
      </w:pPr>
      <w:r>
        <w:rPr>
          <w:rFonts w:hint="eastAsia" w:ascii="宋体" w:hAnsi="宋体" w:cs="宋体"/>
          <w:color w:val="auto"/>
          <w:sz w:val="24"/>
          <w:highlight w:val="none"/>
          <w:lang w:val="zh-CN"/>
        </w:rPr>
        <w:t>12.7 供应商应认真审阅和理解招标文件所有内容，尤其注意可能引起“否决投标”、“拒绝评审”、“无效投标”、“评审不予通过”等的条款，按照招标文件要求编制投标文件。任何对招标文件的忽略或误解不能作为投标文件存在缺陷或瑕疵的理由，其风险由供应商承担。</w:t>
      </w:r>
    </w:p>
    <w:p>
      <w:pPr>
        <w:spacing w:line="440" w:lineRule="exact"/>
        <w:ind w:firstLine="482" w:firstLineChars="200"/>
        <w:rPr>
          <w:rFonts w:ascii="宋体" w:hAnsi="宋体" w:cs="宋体"/>
          <w:b/>
          <w:bCs/>
          <w:color w:val="auto"/>
          <w:sz w:val="24"/>
          <w:highlight w:val="none"/>
          <w:lang w:val="zh-CN"/>
        </w:rPr>
      </w:pPr>
      <w:bookmarkStart w:id="41" w:name="_Toc37090974"/>
      <w:bookmarkStart w:id="42" w:name="_Toc37090638"/>
      <w:bookmarkStart w:id="43" w:name="_Toc12268"/>
      <w:r>
        <w:rPr>
          <w:rFonts w:hint="eastAsia" w:ascii="宋体" w:hAnsi="宋体" w:cs="宋体"/>
          <w:b/>
          <w:bCs/>
          <w:color w:val="auto"/>
          <w:sz w:val="24"/>
          <w:highlight w:val="none"/>
          <w:lang w:val="zh-CN"/>
        </w:rPr>
        <w:t>13. 招标文件的获取</w:t>
      </w:r>
      <w:bookmarkEnd w:id="41"/>
      <w:bookmarkEnd w:id="42"/>
      <w:bookmarkEnd w:id="43"/>
    </w:p>
    <w:p>
      <w:pPr>
        <w:shd w:val="clear" w:color="auto" w:fill="FFFFFF"/>
        <w:spacing w:line="44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13.1招标文件的提供期限自开始发出之日起不得少于五个工作日。具体提供期限见</w:t>
      </w:r>
      <w:r>
        <w:rPr>
          <w:rFonts w:hint="eastAsia" w:ascii="宋体" w:hAnsi="宋体" w:cs="宋体"/>
          <w:b/>
          <w:color w:val="auto"/>
          <w:kern w:val="0"/>
          <w:sz w:val="24"/>
          <w:highlight w:val="none"/>
        </w:rPr>
        <w:t>招标公告</w:t>
      </w:r>
      <w:r>
        <w:rPr>
          <w:rFonts w:hint="eastAsia" w:ascii="宋体" w:hAnsi="宋体" w:cs="宋体"/>
          <w:color w:val="auto"/>
          <w:kern w:val="0"/>
          <w:sz w:val="24"/>
          <w:highlight w:val="none"/>
        </w:rPr>
        <w:t>。</w:t>
      </w:r>
    </w:p>
    <w:p>
      <w:pPr>
        <w:shd w:val="clear" w:color="auto" w:fill="FFFFFF"/>
        <w:spacing w:line="44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13.2凡符合资格要求并有意参加投标的供应商,登录政采云平台https://www.zcygov.cn/后进入“项目采购”应用，在获取采购文件菜单中选择项目，自行获取招标文件。</w:t>
      </w:r>
    </w:p>
    <w:p>
      <w:pPr>
        <w:spacing w:line="440" w:lineRule="exact"/>
        <w:ind w:firstLine="482" w:firstLineChars="200"/>
        <w:rPr>
          <w:rFonts w:ascii="宋体" w:hAnsi="宋体" w:cs="宋体"/>
          <w:b/>
          <w:bCs/>
          <w:color w:val="auto"/>
          <w:sz w:val="24"/>
          <w:highlight w:val="none"/>
          <w:lang w:val="zh-CN"/>
        </w:rPr>
      </w:pPr>
      <w:bookmarkStart w:id="44" w:name="_Toc37090639"/>
      <w:bookmarkStart w:id="45" w:name="_Toc28565"/>
      <w:bookmarkStart w:id="46" w:name="_Toc37090975"/>
      <w:r>
        <w:rPr>
          <w:rFonts w:hint="eastAsia" w:ascii="宋体" w:hAnsi="宋体" w:cs="宋体"/>
          <w:b/>
          <w:bCs/>
          <w:color w:val="auto"/>
          <w:sz w:val="24"/>
          <w:highlight w:val="none"/>
          <w:lang w:val="zh-CN"/>
        </w:rPr>
        <w:t>14. 招标文件的澄清或修改</w:t>
      </w:r>
      <w:bookmarkEnd w:id="44"/>
      <w:bookmarkEnd w:id="45"/>
      <w:bookmarkEnd w:id="46"/>
    </w:p>
    <w:p>
      <w:pPr>
        <w:shd w:val="clear" w:color="auto" w:fill="FFFFFF"/>
        <w:spacing w:line="44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14.1供应商若对招标文件有任何疑问，应当在获取招标文件或者招标文件公告期限届满之日起7个工作日内提出。本项目接受对招标文件质疑的截止时间见“前附表”第12项，供应商须在截止时间前一次性提出对招标文件质疑内容。供应商提出质疑应当提交质疑函和必要的证明材料。质疑函应当包括下列内容：</w:t>
      </w:r>
    </w:p>
    <w:p>
      <w:pPr>
        <w:shd w:val="clear" w:color="auto" w:fill="FFFFFF"/>
        <w:spacing w:line="44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14.1.1供应商的姓名或者名称、地址、邮编、联系人及联系电话；</w:t>
      </w:r>
    </w:p>
    <w:p>
      <w:pPr>
        <w:shd w:val="clear" w:color="auto" w:fill="FFFFFF"/>
        <w:spacing w:line="44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14.1.2质疑项目的名称、编号；</w:t>
      </w:r>
    </w:p>
    <w:p>
      <w:pPr>
        <w:shd w:val="clear" w:color="auto" w:fill="FFFFFF"/>
        <w:spacing w:line="44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14.1.3具体、明确的质疑事项和与质疑事项相关的请求；</w:t>
      </w:r>
    </w:p>
    <w:p>
      <w:pPr>
        <w:shd w:val="clear" w:color="auto" w:fill="FFFFFF"/>
        <w:spacing w:line="44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14.1.4事实依据；</w:t>
      </w:r>
    </w:p>
    <w:p>
      <w:pPr>
        <w:shd w:val="clear" w:color="auto" w:fill="FFFFFF"/>
        <w:spacing w:line="44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14.1.5必要的法律依据；</w:t>
      </w:r>
    </w:p>
    <w:p>
      <w:pPr>
        <w:shd w:val="clear" w:color="auto" w:fill="FFFFFF"/>
        <w:spacing w:line="44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14.1.6提出质疑的日期。</w:t>
      </w:r>
    </w:p>
    <w:p>
      <w:pPr>
        <w:shd w:val="clear" w:color="auto" w:fill="FFFFFF"/>
        <w:spacing w:line="440" w:lineRule="exact"/>
        <w:ind w:firstLine="480" w:firstLineChars="200"/>
        <w:rPr>
          <w:rFonts w:ascii="宋体" w:hAnsi="宋体" w:cs="宋体"/>
          <w:color w:val="auto"/>
          <w:kern w:val="0"/>
          <w:sz w:val="24"/>
          <w:highlight w:val="none"/>
        </w:rPr>
      </w:pPr>
      <w:r>
        <w:rPr>
          <w:rFonts w:hint="eastAsia" w:ascii="宋体" w:hAnsi="宋体" w:cs="宋体"/>
          <w:color w:val="auto"/>
          <w:sz w:val="24"/>
          <w:highlight w:val="none"/>
          <w:lang w:val="zh-CN"/>
        </w:rPr>
        <w:t>供应商为自然人的，应当由本人签字；供应商为法人或者其他组织的，应当由法定代表人或企业负责人、主要负责人，或者其授权代表签字或者盖章，并加盖投标单位公章。</w:t>
      </w:r>
    </w:p>
    <w:p>
      <w:pPr>
        <w:shd w:val="clear" w:color="auto" w:fill="FFFFFF"/>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lang w:val="zh-CN"/>
        </w:rPr>
        <w:t>供应商为自然人的，应当由本人签字；供应商为法人或者其他组织的，应当由法定代表人、主要负责人，或者其授权代表签字或者盖章，并加盖投标单位公章。</w:t>
      </w:r>
    </w:p>
    <w:p>
      <w:pPr>
        <w:shd w:val="clear" w:color="auto" w:fill="FFFFFF"/>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lang w:val="zh-CN"/>
        </w:rPr>
        <w:t>14.2</w:t>
      </w:r>
      <w:r>
        <w:rPr>
          <w:rFonts w:hint="eastAsia" w:ascii="宋体" w:hAnsi="宋体" w:cs="宋体"/>
          <w:color w:val="auto"/>
          <w:sz w:val="24"/>
          <w:highlight w:val="none"/>
        </w:rPr>
        <w:t xml:space="preserve"> 在响应文件递交截止期前的任何时候，无论出于何种原因，采购人均可主动地或在解答供应商提出的澄清问题时对投标文件进行修改。</w:t>
      </w:r>
    </w:p>
    <w:p>
      <w:pPr>
        <w:shd w:val="clear" w:color="auto" w:fill="FFFFFF"/>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14.3 投标文件的修改将以书面形式通知所有参与投标的供应商，并对其具有约束力，供应商应立即以传真形式回复采购人，确认已收到修改文件。</w:t>
      </w:r>
    </w:p>
    <w:p>
      <w:pPr>
        <w:shd w:val="clear" w:color="auto" w:fill="FFFFFF"/>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14.4为使供应商有充分的时间对投标文件的修改文件进行研究，采购人有权推迟投标时间，并将此变更书面通知所有参与投标的供应商。</w:t>
      </w:r>
    </w:p>
    <w:p>
      <w:pPr>
        <w:shd w:val="clear" w:color="auto" w:fill="FFFFFF"/>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14.5 在上述情况下，采购人与供应商响应文件递交截止日前的全部权利、责任和义务，将适用于延长后的响应文件递交截止期。</w:t>
      </w:r>
    </w:p>
    <w:p>
      <w:pPr>
        <w:shd w:val="clear" w:color="auto" w:fill="FFFFFF"/>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14.6 供应商领取招标文件后，应仔细检查招标文件的所有内容，如有残缺应在领到招标文件后5日内向采购代理机构提出，否则，由此引起的损失自负；供应商同时应认真审阅招标文件所有的事项、格式、条款和规范要求等，如果供应商没有按招标文件要求提交全部资料或者没有对招标文件做出实质性响应，其风险应由供应商自行承担。</w:t>
      </w:r>
    </w:p>
    <w:p>
      <w:pPr>
        <w:shd w:val="clear" w:color="auto" w:fill="FFFFFF"/>
        <w:spacing w:line="440" w:lineRule="exact"/>
        <w:ind w:firstLine="482" w:firstLineChars="200"/>
        <w:rPr>
          <w:rFonts w:ascii="宋体" w:hAnsi="宋体" w:cs="宋体"/>
          <w:b/>
          <w:bCs/>
          <w:color w:val="auto"/>
          <w:sz w:val="24"/>
          <w:highlight w:val="none"/>
          <w:u w:val="single"/>
        </w:rPr>
      </w:pPr>
      <w:r>
        <w:rPr>
          <w:rFonts w:hint="eastAsia" w:ascii="宋体" w:hAnsi="宋体" w:cs="宋体"/>
          <w:b/>
          <w:bCs/>
          <w:color w:val="auto"/>
          <w:kern w:val="0"/>
          <w:sz w:val="24"/>
          <w:highlight w:val="none"/>
        </w:rPr>
        <w:t>14.6投标文件递交截止时间前，供应商须随时关注本项目招标公告发布网站（新疆政府采购网（www.ccgp-xinjiang.gov.cn）上本项目的最新</w:t>
      </w:r>
      <w:r>
        <w:rPr>
          <w:rFonts w:hint="eastAsia" w:ascii="宋体" w:hAnsi="宋体" w:cs="宋体"/>
          <w:b/>
          <w:bCs/>
          <w:color w:val="auto"/>
          <w:sz w:val="24"/>
          <w:highlight w:val="none"/>
        </w:rPr>
        <w:t>的变更公告、更正公告、澄清公告等相关信息，并对上述查看行为自行承担责任；供应商对索取书面修改或者澄清文件或者查阅电子修改或者澄清文件的行为自行承担责任，在投标截止时间后递交的投标文件视为无效投标文件。</w:t>
      </w:r>
    </w:p>
    <w:p>
      <w:pPr>
        <w:spacing w:line="440" w:lineRule="exact"/>
        <w:ind w:firstLine="482" w:firstLineChars="200"/>
        <w:rPr>
          <w:rFonts w:ascii="宋体" w:hAnsi="宋体" w:cs="宋体"/>
          <w:b/>
          <w:bCs/>
          <w:color w:val="auto"/>
          <w:sz w:val="24"/>
          <w:highlight w:val="none"/>
          <w:lang w:val="zh-CN"/>
        </w:rPr>
      </w:pPr>
      <w:bookmarkStart w:id="47" w:name="_Toc37090640"/>
      <w:bookmarkStart w:id="48" w:name="_Toc18141"/>
      <w:bookmarkStart w:id="49" w:name="_Toc37090976"/>
      <w:r>
        <w:rPr>
          <w:rFonts w:hint="eastAsia" w:ascii="宋体" w:hAnsi="宋体" w:cs="宋体"/>
          <w:b/>
          <w:bCs/>
          <w:color w:val="auto"/>
          <w:sz w:val="24"/>
          <w:highlight w:val="none"/>
          <w:lang w:val="zh-CN"/>
        </w:rPr>
        <w:t>15. 投标报价</w:t>
      </w:r>
      <w:bookmarkEnd w:id="47"/>
      <w:bookmarkEnd w:id="48"/>
      <w:bookmarkEnd w:id="49"/>
    </w:p>
    <w:p>
      <w:pPr>
        <w:shd w:val="clear" w:color="auto" w:fill="FFFFFF"/>
        <w:spacing w:line="44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15.1 本招标项目使用的货币为</w:t>
      </w:r>
      <w:r>
        <w:rPr>
          <w:rFonts w:hint="eastAsia" w:ascii="宋体" w:hAnsi="宋体" w:cs="宋体"/>
          <w:color w:val="auto"/>
          <w:kern w:val="0"/>
          <w:sz w:val="24"/>
          <w:highlight w:val="none"/>
          <w:u w:val="single"/>
        </w:rPr>
        <w:t xml:space="preserve"> 人民币 </w:t>
      </w:r>
      <w:r>
        <w:rPr>
          <w:rFonts w:hint="eastAsia" w:ascii="宋体" w:hAnsi="宋体" w:cs="宋体"/>
          <w:color w:val="auto"/>
          <w:kern w:val="0"/>
          <w:sz w:val="24"/>
          <w:highlight w:val="none"/>
        </w:rPr>
        <w:t>，实施时亦以</w:t>
      </w:r>
      <w:r>
        <w:rPr>
          <w:rFonts w:hint="eastAsia" w:ascii="宋体" w:hAnsi="宋体" w:cs="宋体"/>
          <w:color w:val="auto"/>
          <w:kern w:val="0"/>
          <w:sz w:val="24"/>
          <w:highlight w:val="none"/>
          <w:u w:val="single"/>
        </w:rPr>
        <w:t xml:space="preserve"> 人民币 </w:t>
      </w:r>
      <w:r>
        <w:rPr>
          <w:rFonts w:hint="eastAsia" w:ascii="宋体" w:hAnsi="宋体" w:cs="宋体"/>
          <w:color w:val="auto"/>
          <w:kern w:val="0"/>
          <w:sz w:val="24"/>
          <w:highlight w:val="none"/>
        </w:rPr>
        <w:t>支付。</w:t>
      </w:r>
    </w:p>
    <w:p>
      <w:pPr>
        <w:shd w:val="clear" w:color="auto" w:fill="FFFFFF"/>
        <w:spacing w:line="440" w:lineRule="exact"/>
        <w:ind w:firstLine="480" w:firstLineChars="200"/>
        <w:rPr>
          <w:rFonts w:ascii="宋体" w:hAnsi="宋体" w:cs="宋体"/>
          <w:color w:val="auto"/>
          <w:sz w:val="24"/>
          <w:highlight w:val="none"/>
        </w:rPr>
      </w:pPr>
      <w:r>
        <w:rPr>
          <w:rFonts w:hint="eastAsia" w:ascii="宋体" w:hAnsi="宋体" w:cs="宋体"/>
          <w:color w:val="auto"/>
          <w:kern w:val="0"/>
          <w:sz w:val="24"/>
          <w:highlight w:val="none"/>
        </w:rPr>
        <w:t>15.2 投标报价为本招标文件所确定的招标范围内的全部工作内容的价格体现。任何有选</w:t>
      </w:r>
      <w:r>
        <w:rPr>
          <w:rFonts w:hint="eastAsia" w:ascii="宋体" w:hAnsi="宋体" w:cs="宋体"/>
          <w:color w:val="auto"/>
          <w:sz w:val="24"/>
          <w:highlight w:val="none"/>
        </w:rPr>
        <w:t>择的报价将不予接受（除非采购人另有约定），否则，在评标时将其视为无效投标。</w:t>
      </w:r>
    </w:p>
    <w:p>
      <w:pPr>
        <w:shd w:val="clear" w:color="auto" w:fill="FFFFFF"/>
        <w:adjustRightInd w:val="0"/>
        <w:snapToGrid w:val="0"/>
        <w:spacing w:line="44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15.3 投标价格应包括：价格部分是对投标服务价格构成的说明，每一项服务仅接受一个价格。投标报价包括供应商为实施本项目提供全部服务内容所包括的全部价格的体现。</w:t>
      </w:r>
    </w:p>
    <w:p>
      <w:pPr>
        <w:shd w:val="clear" w:color="auto" w:fill="FFFFFF"/>
        <w:adjustRightInd w:val="0"/>
        <w:snapToGrid w:val="0"/>
        <w:spacing w:line="44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15.3.1投标报价为含税价，应是完成招标文件及合同条款上所列招标范围的服务工作所需的全部费用。</w:t>
      </w:r>
    </w:p>
    <w:p>
      <w:pPr>
        <w:shd w:val="clear" w:color="auto" w:fill="FFFFFF"/>
        <w:adjustRightInd w:val="0"/>
        <w:snapToGrid w:val="0"/>
        <w:spacing w:line="44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15.3.2供应商的任何错漏、优惠、竞争性报价不得作为减轻责任、减少服务、增加收费、降低质量的理由。供应商必须自行考虑本项目在实施期间的一切可能产生的费用。在合同执行过程中，采购人将不再另行支付与本项目相关的任何费用（非本项目要求的其它内容除外）。</w:t>
      </w:r>
    </w:p>
    <w:p>
      <w:pPr>
        <w:shd w:val="clear" w:color="auto" w:fill="FFFFFF"/>
        <w:spacing w:line="440" w:lineRule="exact"/>
        <w:ind w:firstLine="482" w:firstLineChars="200"/>
        <w:rPr>
          <w:rFonts w:ascii="宋体" w:hAnsi="宋体" w:cs="宋体"/>
          <w:b/>
          <w:color w:val="auto"/>
          <w:kern w:val="0"/>
          <w:sz w:val="24"/>
          <w:highlight w:val="none"/>
        </w:rPr>
      </w:pPr>
      <w:r>
        <w:rPr>
          <w:rFonts w:hint="eastAsia" w:ascii="宋体" w:hAnsi="宋体" w:cs="宋体"/>
          <w:b/>
          <w:color w:val="auto"/>
          <w:kern w:val="0"/>
          <w:sz w:val="24"/>
          <w:highlight w:val="none"/>
        </w:rPr>
        <w:t>16.投标保证金</w:t>
      </w:r>
    </w:p>
    <w:p>
      <w:pPr>
        <w:shd w:val="clear" w:color="auto" w:fill="FFFFFF"/>
        <w:spacing w:line="44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16.1投标保证金是为了保护采购人和招标机构免遭因供应商的违规、违约行为而引起的风险，采购人/代理机构在受到损害时可根据本须知的有关规定没收供应商的投标保证金。中标人如未能按招标文件要求与采购人签署项目合同并提交建设履约保证金，视为供应商违约，则采购人有权提取中标人投标保证金。</w:t>
      </w:r>
    </w:p>
    <w:p>
      <w:pPr>
        <w:shd w:val="clear" w:color="auto" w:fill="FFFFFF"/>
        <w:spacing w:line="440" w:lineRule="exact"/>
        <w:ind w:firstLine="480" w:firstLineChars="200"/>
        <w:rPr>
          <w:rFonts w:ascii="宋体" w:hAnsi="宋体" w:cs="宋体"/>
          <w:b/>
          <w:bCs/>
          <w:color w:val="auto"/>
          <w:kern w:val="0"/>
          <w:sz w:val="24"/>
          <w:highlight w:val="none"/>
        </w:rPr>
      </w:pPr>
      <w:r>
        <w:rPr>
          <w:rFonts w:hint="eastAsia" w:ascii="宋体" w:hAnsi="宋体" w:cs="宋体"/>
          <w:color w:val="auto"/>
          <w:kern w:val="0"/>
          <w:sz w:val="24"/>
          <w:highlight w:val="none"/>
        </w:rPr>
        <w:t>16.2 供应商应提交投标保证金，并作为其投标的一部分。招标文件前附表规定交纳投标保证金的，供应商应按招标文件前附表规定的要求提交保证金，投标保证金有效期应与招标文件规定的投标有效期一致。</w:t>
      </w:r>
      <w:r>
        <w:rPr>
          <w:rFonts w:hint="eastAsia" w:ascii="宋体" w:hAnsi="宋体" w:cs="宋体"/>
          <w:b/>
          <w:bCs/>
          <w:color w:val="auto"/>
          <w:kern w:val="0"/>
          <w:sz w:val="24"/>
          <w:highlight w:val="none"/>
        </w:rPr>
        <w:t>供应商未按照招标文件要求提交投标保证金的，投标无效。</w:t>
      </w:r>
    </w:p>
    <w:p>
      <w:pPr>
        <w:shd w:val="clear" w:color="auto" w:fill="FFFFFF"/>
        <w:spacing w:line="44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16.3招标文件接受联合体投标的，可以由联合体中的一方或者共同提交投标保证金。以一方名义提交投标保证金的，对联合体各方均具有约束力。</w:t>
      </w:r>
    </w:p>
    <w:p>
      <w:pPr>
        <w:shd w:val="clear" w:color="auto" w:fill="FFFFFF"/>
        <w:spacing w:line="440" w:lineRule="exact"/>
        <w:ind w:firstLine="480" w:firstLineChars="200"/>
        <w:rPr>
          <w:rFonts w:ascii="宋体" w:hAnsi="宋体" w:cs="宋体"/>
          <w:b/>
          <w:color w:val="auto"/>
          <w:kern w:val="0"/>
          <w:sz w:val="24"/>
          <w:highlight w:val="none"/>
        </w:rPr>
      </w:pPr>
      <w:r>
        <w:rPr>
          <w:rFonts w:hint="eastAsia" w:ascii="宋体" w:hAnsi="宋体" w:cs="宋体"/>
          <w:color w:val="auto"/>
          <w:kern w:val="0"/>
          <w:sz w:val="24"/>
          <w:highlight w:val="none"/>
        </w:rPr>
        <w:t>16.4 未中标人的投标保证金，将在《中标通知书》发出5个工作日内退还。因违反规定被没收的投标保证金不予退回。</w:t>
      </w:r>
    </w:p>
    <w:p>
      <w:pPr>
        <w:shd w:val="clear" w:color="auto" w:fill="FFFFFF"/>
        <w:spacing w:line="44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16.5 中标人的投标保证金自采购合同签订之日起5个工作日内退还。</w:t>
      </w:r>
    </w:p>
    <w:p>
      <w:pPr>
        <w:shd w:val="clear" w:color="auto" w:fill="FFFFFF"/>
        <w:spacing w:line="44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 xml:space="preserve">16.6 </w:t>
      </w:r>
      <w:r>
        <w:rPr>
          <w:rFonts w:hint="eastAsia" w:ascii="宋体" w:hAnsi="宋体" w:cs="宋体"/>
          <w:b/>
          <w:color w:val="auto"/>
          <w:kern w:val="0"/>
          <w:sz w:val="24"/>
          <w:highlight w:val="none"/>
        </w:rPr>
        <w:t>下列任何情况发生时，投标保证金将可能被没收：</w:t>
      </w:r>
    </w:p>
    <w:p>
      <w:pPr>
        <w:shd w:val="clear" w:color="auto" w:fill="FFFFFF"/>
        <w:spacing w:line="44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16.6.1 供应商在规定的投标有效期内撤回其投标；</w:t>
      </w:r>
    </w:p>
    <w:p>
      <w:pPr>
        <w:shd w:val="clear" w:color="auto" w:fill="FFFFFF"/>
        <w:spacing w:line="44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16.6.2 中标人无正当理由拒绝按规定与采购人签订合同或未能在规定期限内签署合同的或未按招标文件要求提交履约保证金的；</w:t>
      </w:r>
    </w:p>
    <w:p>
      <w:pPr>
        <w:shd w:val="clear" w:color="auto" w:fill="FFFFFF"/>
        <w:spacing w:line="44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16.7 中标方须提供与采购人签订的已加盖中标方公章的合同全本复印件一份及PDF扫描件一份（代理机构存档备查）。</w:t>
      </w:r>
    </w:p>
    <w:p>
      <w:pPr>
        <w:shd w:val="clear" w:color="auto" w:fill="FFFFFF"/>
        <w:spacing w:line="440" w:lineRule="exact"/>
        <w:ind w:firstLine="482" w:firstLineChars="200"/>
        <w:rPr>
          <w:rFonts w:ascii="宋体" w:hAnsi="宋体" w:cs="宋体"/>
          <w:b/>
          <w:bCs/>
          <w:color w:val="auto"/>
          <w:kern w:val="0"/>
          <w:sz w:val="24"/>
          <w:highlight w:val="none"/>
        </w:rPr>
      </w:pPr>
      <w:r>
        <w:rPr>
          <w:rFonts w:hint="eastAsia" w:ascii="宋体" w:hAnsi="宋体" w:cs="宋体"/>
          <w:b/>
          <w:bCs/>
          <w:color w:val="auto"/>
          <w:kern w:val="0"/>
          <w:sz w:val="24"/>
          <w:highlight w:val="none"/>
        </w:rPr>
        <w:t>特殊说明：中标人须自项目验收合格后5个工作日内，将经采购人签章确认的《验收书》原件壹份（及复印件壹份加盖中标人公章）提交至采购代理机构。</w:t>
      </w:r>
    </w:p>
    <w:p>
      <w:pPr>
        <w:spacing w:line="440" w:lineRule="exact"/>
        <w:ind w:firstLine="482" w:firstLineChars="200"/>
        <w:rPr>
          <w:rFonts w:ascii="宋体" w:hAnsi="宋体" w:cs="宋体"/>
          <w:b/>
          <w:bCs/>
          <w:color w:val="auto"/>
          <w:sz w:val="24"/>
          <w:highlight w:val="none"/>
          <w:lang w:val="zh-CN"/>
        </w:rPr>
      </w:pPr>
      <w:bookmarkStart w:id="50" w:name="_Toc37090977"/>
      <w:bookmarkStart w:id="51" w:name="_Toc5612"/>
      <w:bookmarkStart w:id="52" w:name="_Toc37090641"/>
      <w:r>
        <w:rPr>
          <w:rFonts w:hint="eastAsia" w:ascii="宋体" w:hAnsi="宋体" w:cs="宋体"/>
          <w:b/>
          <w:bCs/>
          <w:color w:val="auto"/>
          <w:sz w:val="24"/>
          <w:highlight w:val="none"/>
          <w:lang w:val="zh-CN"/>
        </w:rPr>
        <w:t>17. 招标答疑会和现场踏勘</w:t>
      </w:r>
      <w:bookmarkEnd w:id="50"/>
      <w:bookmarkEnd w:id="51"/>
      <w:bookmarkEnd w:id="52"/>
    </w:p>
    <w:p>
      <w:pPr>
        <w:spacing w:line="440" w:lineRule="exact"/>
        <w:ind w:firstLine="480" w:firstLineChars="200"/>
        <w:rPr>
          <w:rFonts w:ascii="宋体" w:hAnsi="宋体" w:cs="宋体"/>
          <w:color w:val="auto"/>
          <w:sz w:val="24"/>
          <w:highlight w:val="none"/>
          <w:lang w:val="zh-CN"/>
        </w:rPr>
      </w:pPr>
      <w:bookmarkStart w:id="53" w:name="_Toc37090978"/>
      <w:bookmarkStart w:id="54" w:name="_Toc37090642"/>
      <w:bookmarkStart w:id="55" w:name="_Toc8947"/>
      <w:r>
        <w:rPr>
          <w:rFonts w:hint="eastAsia" w:ascii="宋体" w:hAnsi="宋体" w:cs="宋体"/>
          <w:color w:val="auto"/>
          <w:sz w:val="24"/>
          <w:highlight w:val="none"/>
        </w:rPr>
        <w:t>17.1</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投标</w:t>
      </w:r>
      <w:r>
        <w:rPr>
          <w:rFonts w:hint="eastAsia" w:ascii="宋体" w:hAnsi="宋体" w:cs="宋体"/>
          <w:color w:val="auto"/>
          <w:sz w:val="24"/>
          <w:highlight w:val="none"/>
          <w:lang w:val="zh-CN"/>
        </w:rPr>
        <w:t>须知前附表规定组织</w:t>
      </w:r>
      <w:r>
        <w:rPr>
          <w:rFonts w:hint="eastAsia" w:ascii="宋体" w:hAnsi="宋体" w:cs="宋体"/>
          <w:color w:val="auto"/>
          <w:sz w:val="24"/>
          <w:highlight w:val="none"/>
        </w:rPr>
        <w:t>招标</w:t>
      </w:r>
      <w:r>
        <w:rPr>
          <w:rFonts w:hint="eastAsia" w:ascii="宋体" w:hAnsi="宋体" w:cs="宋体"/>
          <w:color w:val="auto"/>
          <w:sz w:val="24"/>
          <w:highlight w:val="none"/>
          <w:lang w:val="zh-CN"/>
        </w:rPr>
        <w:t>答疑会和现场踏勘的，采购人按</w:t>
      </w:r>
      <w:r>
        <w:rPr>
          <w:rFonts w:hint="eastAsia" w:ascii="宋体" w:hAnsi="宋体" w:cs="宋体"/>
          <w:color w:val="auto"/>
          <w:sz w:val="24"/>
          <w:highlight w:val="none"/>
        </w:rPr>
        <w:t>投标</w:t>
      </w:r>
      <w:r>
        <w:rPr>
          <w:rFonts w:hint="eastAsia" w:ascii="宋体" w:hAnsi="宋体" w:cs="宋体"/>
          <w:color w:val="auto"/>
          <w:sz w:val="24"/>
          <w:highlight w:val="none"/>
          <w:lang w:val="zh-CN"/>
        </w:rPr>
        <w:t>须知前附表规定的时间、地点组织供应商</w:t>
      </w:r>
      <w:r>
        <w:rPr>
          <w:rFonts w:hint="eastAsia" w:ascii="宋体" w:hAnsi="宋体" w:cs="宋体"/>
          <w:color w:val="auto"/>
          <w:sz w:val="24"/>
          <w:highlight w:val="none"/>
        </w:rPr>
        <w:t>招标</w:t>
      </w:r>
      <w:r>
        <w:rPr>
          <w:rFonts w:hint="eastAsia" w:ascii="宋体" w:hAnsi="宋体" w:cs="宋体"/>
          <w:color w:val="auto"/>
          <w:sz w:val="24"/>
          <w:highlight w:val="none"/>
          <w:lang w:val="zh-CN"/>
        </w:rPr>
        <w:t>答疑会</w:t>
      </w:r>
      <w:r>
        <w:rPr>
          <w:rFonts w:hint="eastAsia" w:ascii="宋体" w:hAnsi="宋体" w:cs="宋体"/>
          <w:color w:val="auto"/>
          <w:sz w:val="24"/>
          <w:highlight w:val="none"/>
        </w:rPr>
        <w:t>及</w:t>
      </w:r>
      <w:r>
        <w:rPr>
          <w:rFonts w:hint="eastAsia" w:ascii="宋体" w:hAnsi="宋体" w:cs="宋体"/>
          <w:color w:val="auto"/>
          <w:sz w:val="24"/>
          <w:highlight w:val="none"/>
          <w:lang w:val="zh-CN"/>
        </w:rPr>
        <w:t xml:space="preserve">踏勘项目现场。 </w:t>
      </w:r>
    </w:p>
    <w:p>
      <w:pPr>
        <w:spacing w:line="440" w:lineRule="exact"/>
        <w:ind w:firstLine="480" w:firstLineChars="200"/>
        <w:rPr>
          <w:rFonts w:ascii="宋体" w:hAnsi="宋体" w:cs="宋体"/>
          <w:color w:val="auto"/>
          <w:sz w:val="24"/>
          <w:highlight w:val="none"/>
          <w:lang w:val="zh-CN"/>
        </w:rPr>
      </w:pPr>
      <w:r>
        <w:rPr>
          <w:rFonts w:hint="eastAsia" w:ascii="宋体" w:hAnsi="宋体" w:cs="宋体"/>
          <w:color w:val="auto"/>
          <w:sz w:val="24"/>
          <w:highlight w:val="none"/>
        </w:rPr>
        <w:t>17.2</w:t>
      </w:r>
      <w:r>
        <w:rPr>
          <w:rFonts w:hint="eastAsia" w:ascii="宋体" w:hAnsi="宋体" w:cs="宋体"/>
          <w:color w:val="auto"/>
          <w:sz w:val="24"/>
          <w:highlight w:val="none"/>
          <w:lang w:val="zh-CN"/>
        </w:rPr>
        <w:t xml:space="preserve"> 供应商踏勘现场发生的费用自理。</w:t>
      </w:r>
    </w:p>
    <w:p>
      <w:pPr>
        <w:spacing w:line="440" w:lineRule="exact"/>
        <w:ind w:firstLine="480" w:firstLineChars="200"/>
        <w:rPr>
          <w:rFonts w:ascii="宋体" w:hAnsi="宋体" w:cs="宋体"/>
          <w:color w:val="auto"/>
          <w:sz w:val="24"/>
          <w:highlight w:val="none"/>
          <w:lang w:val="zh-CN"/>
        </w:rPr>
      </w:pPr>
      <w:r>
        <w:rPr>
          <w:rFonts w:hint="eastAsia" w:ascii="宋体" w:hAnsi="宋体" w:cs="宋体"/>
          <w:color w:val="auto"/>
          <w:sz w:val="24"/>
          <w:highlight w:val="none"/>
        </w:rPr>
        <w:t>17.3</w:t>
      </w:r>
      <w:r>
        <w:rPr>
          <w:rFonts w:hint="eastAsia" w:ascii="宋体" w:hAnsi="宋体" w:cs="宋体"/>
          <w:color w:val="auto"/>
          <w:sz w:val="24"/>
          <w:highlight w:val="none"/>
          <w:lang w:val="zh-CN"/>
        </w:rPr>
        <w:t xml:space="preserve"> 除采购人的原因外，供应商自行负责在踏勘现场中所发生的人员伤亡和财产损失。</w:t>
      </w:r>
    </w:p>
    <w:p>
      <w:pPr>
        <w:spacing w:line="440" w:lineRule="exact"/>
        <w:ind w:firstLine="480" w:firstLineChars="200"/>
        <w:rPr>
          <w:rFonts w:ascii="宋体" w:hAnsi="宋体" w:cs="宋体"/>
          <w:b/>
          <w:bCs/>
          <w:color w:val="auto"/>
          <w:sz w:val="24"/>
          <w:highlight w:val="none"/>
          <w:lang w:val="zh-CN"/>
        </w:rPr>
      </w:pPr>
      <w:r>
        <w:rPr>
          <w:rFonts w:hint="eastAsia" w:ascii="宋体" w:hAnsi="宋体" w:cs="宋体"/>
          <w:color w:val="auto"/>
          <w:sz w:val="24"/>
          <w:highlight w:val="none"/>
        </w:rPr>
        <w:t>17.4</w:t>
      </w:r>
      <w:r>
        <w:rPr>
          <w:rFonts w:hint="eastAsia" w:ascii="宋体" w:hAnsi="宋体" w:cs="宋体"/>
          <w:color w:val="auto"/>
          <w:sz w:val="24"/>
          <w:highlight w:val="none"/>
          <w:lang w:val="zh-CN"/>
        </w:rPr>
        <w:t xml:space="preserve"> 采购人在踏勘现场中介绍的工程场地和相关的周边环境情况，供应商在编制投标文件时参考，采购人不对供应商据此作出的判断和决策负责</w:t>
      </w:r>
      <w:r>
        <w:rPr>
          <w:rFonts w:hint="eastAsia" w:ascii="宋体" w:hAnsi="宋体" w:cs="宋体"/>
          <w:b/>
          <w:bCs/>
          <w:color w:val="auto"/>
          <w:sz w:val="24"/>
          <w:highlight w:val="none"/>
          <w:lang w:val="zh-CN"/>
        </w:rPr>
        <w:t>。</w:t>
      </w:r>
    </w:p>
    <w:p>
      <w:pPr>
        <w:spacing w:line="440" w:lineRule="exact"/>
        <w:ind w:firstLine="482" w:firstLineChars="200"/>
        <w:rPr>
          <w:rFonts w:ascii="宋体" w:hAnsi="宋体" w:cs="宋体"/>
          <w:b/>
          <w:bCs/>
          <w:color w:val="auto"/>
          <w:sz w:val="24"/>
          <w:highlight w:val="none"/>
          <w:lang w:val="zh-CN"/>
        </w:rPr>
      </w:pPr>
      <w:r>
        <w:rPr>
          <w:rFonts w:hint="eastAsia" w:ascii="宋体" w:hAnsi="宋体" w:cs="宋体"/>
          <w:b/>
          <w:bCs/>
          <w:color w:val="auto"/>
          <w:sz w:val="24"/>
          <w:highlight w:val="none"/>
          <w:lang w:val="zh-CN"/>
        </w:rPr>
        <w:t>18. 投标有效期</w:t>
      </w:r>
      <w:bookmarkEnd w:id="53"/>
      <w:bookmarkEnd w:id="54"/>
      <w:bookmarkEnd w:id="55"/>
    </w:p>
    <w:p>
      <w:pPr>
        <w:shd w:val="clear" w:color="auto" w:fill="FFFFFF"/>
        <w:spacing w:line="44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18.1 投标有效期见本须知前附表所规定的期限，在此期限内，凡符合本招标文件要求的投标文件均保持有效。投标有效期不足的，在评标时将其视为无效投标。</w:t>
      </w:r>
    </w:p>
    <w:p>
      <w:pPr>
        <w:shd w:val="clear" w:color="auto" w:fill="FFFFFF"/>
        <w:spacing w:line="44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18.2 在特殊情况下，采购人在原定的投标有效期内，可以根据需要以书面形式向供应商提出延长投标有效期的要求，对此要求供应商须以书面形式予以答复。供应商拒绝延长的，其投标在原投标有效期期届满后将不再有效，但有权收回其投标保证金；同意延长投标有效期的供应商既不能要求也不允许修改或撤回其投标文件。</w:t>
      </w:r>
    </w:p>
    <w:p>
      <w:pPr>
        <w:spacing w:before="156" w:beforeLines="50" w:after="156" w:afterLines="50" w:line="440" w:lineRule="exact"/>
        <w:jc w:val="center"/>
        <w:rPr>
          <w:rFonts w:ascii="宋体" w:hAnsi="宋体" w:cs="宋体"/>
          <w:b/>
          <w:color w:val="auto"/>
          <w:kern w:val="0"/>
          <w:sz w:val="24"/>
          <w:highlight w:val="none"/>
        </w:rPr>
      </w:pPr>
      <w:bookmarkStart w:id="56" w:name="_Toc25205"/>
      <w:bookmarkStart w:id="57" w:name="_Toc37090643"/>
      <w:bookmarkStart w:id="58" w:name="_Toc37090979"/>
      <w:r>
        <w:rPr>
          <w:rFonts w:hint="eastAsia" w:ascii="宋体" w:hAnsi="宋体" w:cs="宋体"/>
          <w:b/>
          <w:color w:val="auto"/>
          <w:kern w:val="0"/>
          <w:sz w:val="24"/>
          <w:highlight w:val="none"/>
          <w:lang w:val="zh-CN"/>
        </w:rPr>
        <w:t>（</w:t>
      </w:r>
      <w:r>
        <w:rPr>
          <w:rFonts w:hint="eastAsia" w:ascii="宋体" w:hAnsi="宋体" w:cs="宋体"/>
          <w:b/>
          <w:color w:val="auto"/>
          <w:kern w:val="0"/>
          <w:sz w:val="24"/>
          <w:highlight w:val="none"/>
        </w:rPr>
        <w:t>三</w:t>
      </w:r>
      <w:r>
        <w:rPr>
          <w:rFonts w:hint="eastAsia" w:ascii="宋体" w:hAnsi="宋体" w:cs="宋体"/>
          <w:b/>
          <w:color w:val="auto"/>
          <w:kern w:val="0"/>
          <w:sz w:val="24"/>
          <w:highlight w:val="none"/>
          <w:lang w:val="zh-CN"/>
        </w:rPr>
        <w:t>）</w:t>
      </w:r>
      <w:r>
        <w:rPr>
          <w:rFonts w:hint="eastAsia" w:ascii="宋体" w:hAnsi="宋体" w:cs="宋体"/>
          <w:b/>
          <w:color w:val="auto"/>
          <w:kern w:val="0"/>
          <w:sz w:val="24"/>
          <w:highlight w:val="none"/>
        </w:rPr>
        <w:t>投标文件的编制</w:t>
      </w:r>
      <w:bookmarkEnd w:id="56"/>
    </w:p>
    <w:p>
      <w:pPr>
        <w:spacing w:line="440" w:lineRule="exact"/>
        <w:ind w:firstLine="482" w:firstLineChars="200"/>
        <w:rPr>
          <w:rFonts w:ascii="宋体" w:hAnsi="宋体" w:cs="宋体"/>
          <w:b/>
          <w:bCs/>
          <w:color w:val="auto"/>
          <w:sz w:val="24"/>
          <w:highlight w:val="none"/>
          <w:lang w:val="zh-CN"/>
        </w:rPr>
      </w:pPr>
      <w:bookmarkStart w:id="59" w:name="_Toc12448"/>
      <w:r>
        <w:rPr>
          <w:rFonts w:hint="eastAsia" w:ascii="宋体" w:hAnsi="宋体" w:cs="宋体"/>
          <w:b/>
          <w:bCs/>
          <w:color w:val="auto"/>
          <w:sz w:val="24"/>
          <w:highlight w:val="none"/>
          <w:lang w:val="zh-CN"/>
        </w:rPr>
        <w:t>19. 投标文件编制要求</w:t>
      </w:r>
      <w:bookmarkEnd w:id="57"/>
      <w:bookmarkEnd w:id="58"/>
      <w:bookmarkEnd w:id="59"/>
    </w:p>
    <w:p>
      <w:pPr>
        <w:shd w:val="clear" w:color="auto" w:fill="FFFFFF"/>
        <w:spacing w:line="44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19.1供应商提交的投标文件及供应商与采购代理机构就有关投标的所有来往函电均使用中文。</w:t>
      </w:r>
    </w:p>
    <w:p>
      <w:pPr>
        <w:spacing w:line="440" w:lineRule="exact"/>
        <w:ind w:firstLine="482" w:firstLineChars="200"/>
        <w:rPr>
          <w:rFonts w:ascii="宋体" w:hAnsi="宋体" w:cs="宋体"/>
          <w:b/>
          <w:bCs/>
          <w:color w:val="auto"/>
          <w:sz w:val="24"/>
          <w:highlight w:val="none"/>
          <w:lang w:val="zh-CN"/>
        </w:rPr>
      </w:pPr>
      <w:bookmarkStart w:id="60" w:name="_Toc37090980"/>
      <w:bookmarkStart w:id="61" w:name="_Toc7871"/>
      <w:bookmarkStart w:id="62" w:name="_Toc37090644"/>
      <w:r>
        <w:rPr>
          <w:rFonts w:hint="eastAsia" w:ascii="宋体" w:hAnsi="宋体" w:cs="宋体"/>
          <w:b/>
          <w:bCs/>
          <w:color w:val="auto"/>
          <w:sz w:val="24"/>
          <w:highlight w:val="none"/>
          <w:lang w:val="zh-CN"/>
        </w:rPr>
        <w:t>20. 投标文件编制的依据</w:t>
      </w:r>
      <w:bookmarkEnd w:id="60"/>
      <w:bookmarkEnd w:id="61"/>
      <w:bookmarkEnd w:id="62"/>
    </w:p>
    <w:p>
      <w:pPr>
        <w:shd w:val="clear" w:color="auto" w:fill="FFFFFF"/>
        <w:spacing w:line="44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20.1 采购人提供的采购需求及有关资料；</w:t>
      </w:r>
    </w:p>
    <w:p>
      <w:pPr>
        <w:shd w:val="clear" w:color="auto" w:fill="FFFFFF"/>
        <w:spacing w:line="44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20.2 本招标文件及招标文件的修改或者澄清；</w:t>
      </w:r>
    </w:p>
    <w:p>
      <w:pPr>
        <w:shd w:val="clear" w:color="auto" w:fill="FFFFFF"/>
        <w:spacing w:line="44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20.3 相关的法律、法规和规定。</w:t>
      </w:r>
    </w:p>
    <w:p>
      <w:pPr>
        <w:shd w:val="clear" w:color="auto" w:fill="FFFFFF"/>
        <w:spacing w:line="440" w:lineRule="exact"/>
        <w:ind w:firstLine="482" w:firstLineChars="200"/>
        <w:rPr>
          <w:rFonts w:ascii="宋体" w:hAnsi="宋体" w:cs="宋体"/>
          <w:b/>
          <w:color w:val="auto"/>
          <w:kern w:val="0"/>
          <w:sz w:val="24"/>
          <w:highlight w:val="none"/>
        </w:rPr>
      </w:pPr>
      <w:r>
        <w:rPr>
          <w:rFonts w:hint="eastAsia" w:ascii="宋体" w:hAnsi="宋体" w:cs="宋体"/>
          <w:b/>
          <w:color w:val="auto"/>
          <w:kern w:val="0"/>
          <w:sz w:val="24"/>
          <w:highlight w:val="none"/>
        </w:rPr>
        <w:t>21. 投标文件的组成：投标函、资格证明文件、商务部分、技术部分。</w:t>
      </w:r>
    </w:p>
    <w:p>
      <w:pPr>
        <w:shd w:val="clear" w:color="auto" w:fill="FFFFFF"/>
        <w:spacing w:line="440" w:lineRule="exact"/>
        <w:ind w:firstLine="482" w:firstLineChars="200"/>
        <w:rPr>
          <w:rFonts w:ascii="宋体" w:hAnsi="宋体" w:cs="宋体"/>
          <w:b/>
          <w:color w:val="auto"/>
          <w:kern w:val="0"/>
          <w:sz w:val="24"/>
          <w:highlight w:val="none"/>
        </w:rPr>
      </w:pPr>
      <w:r>
        <w:rPr>
          <w:rFonts w:hint="eastAsia" w:ascii="宋体" w:hAnsi="宋体" w:cs="宋体"/>
          <w:b/>
          <w:color w:val="auto"/>
          <w:kern w:val="0"/>
          <w:sz w:val="24"/>
          <w:highlight w:val="none"/>
        </w:rPr>
        <w:t>21.1投标函</w:t>
      </w:r>
    </w:p>
    <w:p>
      <w:pPr>
        <w:shd w:val="clear" w:color="auto" w:fill="FFFFFF"/>
        <w:spacing w:line="440" w:lineRule="exact"/>
        <w:ind w:firstLine="482" w:firstLineChars="200"/>
        <w:rPr>
          <w:rFonts w:ascii="宋体" w:hAnsi="宋体" w:cs="宋体"/>
          <w:b/>
          <w:color w:val="auto"/>
          <w:kern w:val="0"/>
          <w:sz w:val="24"/>
          <w:highlight w:val="none"/>
        </w:rPr>
      </w:pPr>
      <w:r>
        <w:rPr>
          <w:rFonts w:hint="eastAsia" w:ascii="宋体" w:hAnsi="宋体" w:cs="宋体"/>
          <w:b/>
          <w:color w:val="auto"/>
          <w:kern w:val="0"/>
          <w:sz w:val="24"/>
          <w:highlight w:val="none"/>
        </w:rPr>
        <w:t>21.2资格证明文件(以下文件必须在有效期内)</w:t>
      </w:r>
    </w:p>
    <w:p>
      <w:pPr>
        <w:shd w:val="clear" w:color="auto" w:fill="FFFFFF"/>
        <w:spacing w:line="440" w:lineRule="exact"/>
        <w:ind w:firstLine="482" w:firstLineChars="200"/>
        <w:rPr>
          <w:rFonts w:ascii="宋体" w:hAnsi="宋体" w:cs="宋体"/>
          <w:b/>
          <w:color w:val="auto"/>
          <w:sz w:val="24"/>
          <w:highlight w:val="none"/>
        </w:rPr>
      </w:pPr>
      <w:r>
        <w:rPr>
          <w:rFonts w:hint="eastAsia" w:ascii="宋体" w:hAnsi="宋体" w:cs="宋体"/>
          <w:b/>
          <w:color w:val="auto"/>
          <w:kern w:val="0"/>
          <w:sz w:val="24"/>
          <w:highlight w:val="none"/>
        </w:rPr>
        <w:t>(1) 符合《中华人民共和国政府采购法》第二十二条规定的证明文件（须加盖企业电子公章）</w:t>
      </w:r>
      <w:r>
        <w:rPr>
          <w:rFonts w:hint="eastAsia" w:ascii="宋体" w:hAnsi="宋体" w:cs="宋体"/>
          <w:b/>
          <w:color w:val="auto"/>
          <w:sz w:val="24"/>
          <w:highlight w:val="none"/>
        </w:rPr>
        <w:t>；</w:t>
      </w:r>
    </w:p>
    <w:p>
      <w:pPr>
        <w:pStyle w:val="207"/>
        <w:spacing w:line="440" w:lineRule="exact"/>
        <w:ind w:firstLine="482" w:firstLineChars="200"/>
        <w:jc w:val="both"/>
        <w:rPr>
          <w:rFonts w:ascii="宋体" w:hAnsi="宋体" w:cs="宋体"/>
          <w:b/>
          <w:color w:val="auto"/>
          <w:highlight w:val="none"/>
        </w:rPr>
      </w:pPr>
      <w:r>
        <w:rPr>
          <w:rFonts w:hint="eastAsia" w:ascii="宋体" w:hAnsi="宋体" w:cs="宋体"/>
          <w:b/>
          <w:color w:val="auto"/>
          <w:highlight w:val="none"/>
        </w:rPr>
        <w:t>(2) 法定代表人（或负责人）资格证明书及被授权人身份证扫描件。授权委托书应由法定代表（或负责人）电子签名（或签章）并加盖企业电子公章；</w:t>
      </w:r>
    </w:p>
    <w:p>
      <w:pPr>
        <w:pStyle w:val="389"/>
        <w:spacing w:line="440" w:lineRule="exact"/>
        <w:ind w:firstLine="482"/>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t xml:space="preserve">(3) </w:t>
      </w:r>
      <w:r>
        <w:rPr>
          <w:rFonts w:hint="eastAsia" w:ascii="宋体" w:hAnsi="宋体" w:eastAsia="宋体" w:cs="宋体"/>
          <w:b/>
          <w:color w:val="auto"/>
          <w:kern w:val="0"/>
          <w:sz w:val="24"/>
          <w:szCs w:val="24"/>
          <w:highlight w:val="none"/>
        </w:rPr>
        <w:t>不参与围标串标承诺书</w:t>
      </w:r>
      <w:r>
        <w:rPr>
          <w:rFonts w:hint="eastAsia" w:ascii="宋体" w:hAnsi="宋体" w:eastAsia="宋体" w:cs="宋体"/>
          <w:b/>
          <w:color w:val="auto"/>
          <w:sz w:val="24"/>
          <w:szCs w:val="24"/>
          <w:highlight w:val="none"/>
        </w:rPr>
        <w:t>；</w:t>
      </w:r>
    </w:p>
    <w:p>
      <w:pPr>
        <w:pStyle w:val="207"/>
        <w:spacing w:line="440" w:lineRule="exact"/>
        <w:ind w:firstLine="472" w:firstLineChars="196"/>
        <w:jc w:val="both"/>
        <w:rPr>
          <w:rFonts w:ascii="宋体" w:hAnsi="宋体" w:cs="宋体"/>
          <w:b/>
          <w:color w:val="auto"/>
          <w:highlight w:val="none"/>
        </w:rPr>
      </w:pPr>
      <w:r>
        <w:rPr>
          <w:rFonts w:hint="eastAsia" w:ascii="宋体" w:hAnsi="宋体" w:cs="宋体"/>
          <w:b/>
          <w:color w:val="auto"/>
          <w:highlight w:val="none"/>
        </w:rPr>
        <w:t>(4) 投标保证金（被采购代理机构认可的缴纳凭证）；</w:t>
      </w:r>
    </w:p>
    <w:p>
      <w:pPr>
        <w:pStyle w:val="207"/>
        <w:spacing w:line="440" w:lineRule="exact"/>
        <w:ind w:firstLine="472" w:firstLineChars="196"/>
        <w:jc w:val="both"/>
        <w:rPr>
          <w:rFonts w:ascii="宋体" w:hAnsi="宋体" w:cs="宋体"/>
          <w:b/>
          <w:color w:val="auto"/>
          <w:highlight w:val="none"/>
        </w:rPr>
      </w:pPr>
      <w:r>
        <w:rPr>
          <w:rFonts w:hint="eastAsia" w:ascii="宋体" w:hAnsi="宋体" w:cs="宋体"/>
          <w:b/>
          <w:color w:val="auto"/>
          <w:highlight w:val="none"/>
        </w:rPr>
        <w:t>(5) “信用中国”网站（www.creditchina.gov.cn）、中国政府采购网（www.ccgp.gov.cn）查询企业信用信息截图或打印扫描件或打印扫描件；</w:t>
      </w:r>
    </w:p>
    <w:p>
      <w:pPr>
        <w:pStyle w:val="207"/>
        <w:spacing w:line="440" w:lineRule="exact"/>
        <w:ind w:firstLine="472" w:firstLineChars="196"/>
        <w:jc w:val="both"/>
        <w:rPr>
          <w:rFonts w:ascii="宋体" w:hAnsi="宋体" w:cs="宋体"/>
          <w:b/>
          <w:color w:val="auto"/>
          <w:highlight w:val="none"/>
        </w:rPr>
      </w:pPr>
      <w:r>
        <w:rPr>
          <w:rFonts w:hint="eastAsia" w:ascii="宋体" w:hAnsi="宋体" w:cs="宋体"/>
          <w:b/>
          <w:color w:val="auto"/>
          <w:highlight w:val="none"/>
        </w:rPr>
        <w:t>注意：上述资格证明文件，供应商在制作投标文件时须为原件的扫描件。</w:t>
      </w:r>
    </w:p>
    <w:p>
      <w:pPr>
        <w:shd w:val="clear" w:color="auto" w:fill="FFFFFF"/>
        <w:spacing w:line="440" w:lineRule="exact"/>
        <w:ind w:firstLine="482" w:firstLineChars="200"/>
        <w:rPr>
          <w:rFonts w:ascii="宋体" w:hAnsi="宋体" w:cs="宋体"/>
          <w:b/>
          <w:color w:val="auto"/>
          <w:kern w:val="0"/>
          <w:sz w:val="24"/>
          <w:highlight w:val="none"/>
        </w:rPr>
      </w:pPr>
      <w:r>
        <w:rPr>
          <w:rFonts w:hint="eastAsia" w:ascii="宋体" w:hAnsi="宋体" w:cs="宋体"/>
          <w:b/>
          <w:color w:val="auto"/>
          <w:kern w:val="0"/>
          <w:sz w:val="24"/>
          <w:highlight w:val="none"/>
        </w:rPr>
        <w:t>21.3商务部分</w:t>
      </w:r>
    </w:p>
    <w:p>
      <w:pPr>
        <w:pStyle w:val="389"/>
        <w:ind w:firstLine="470"/>
        <w:rPr>
          <w:rFonts w:ascii="宋体" w:hAnsi="宋体" w:eastAsia="宋体" w:cs="宋体"/>
          <w:b/>
          <w:bCs/>
          <w:color w:val="auto"/>
          <w:spacing w:val="-3"/>
          <w:sz w:val="24"/>
          <w:highlight w:val="none"/>
        </w:rPr>
      </w:pPr>
      <w:r>
        <w:rPr>
          <w:rFonts w:hint="eastAsia" w:ascii="宋体" w:hAnsi="宋体" w:eastAsia="宋体" w:cs="宋体"/>
          <w:b/>
          <w:bCs/>
          <w:color w:val="auto"/>
          <w:spacing w:val="-3"/>
          <w:sz w:val="24"/>
          <w:highlight w:val="none"/>
        </w:rPr>
        <w:t>(1) 开标一览表</w:t>
      </w:r>
    </w:p>
    <w:p>
      <w:pPr>
        <w:pStyle w:val="389"/>
        <w:ind w:firstLine="470"/>
        <w:rPr>
          <w:rFonts w:ascii="宋体" w:hAnsi="宋体" w:eastAsia="宋体" w:cs="宋体"/>
          <w:b/>
          <w:bCs/>
          <w:color w:val="auto"/>
          <w:spacing w:val="-3"/>
          <w:sz w:val="24"/>
          <w:highlight w:val="none"/>
        </w:rPr>
      </w:pPr>
      <w:r>
        <w:rPr>
          <w:rFonts w:ascii="宋体" w:hAnsi="宋体" w:eastAsia="宋体" w:cs="宋体"/>
          <w:b/>
          <w:bCs/>
          <w:color w:val="auto"/>
          <w:spacing w:val="-3"/>
          <w:sz w:val="24"/>
          <w:highlight w:val="none"/>
        </w:rPr>
        <w:t>(</w:t>
      </w:r>
      <w:r>
        <w:rPr>
          <w:rFonts w:hint="eastAsia" w:ascii="宋体" w:hAnsi="宋体" w:eastAsia="宋体" w:cs="宋体"/>
          <w:b/>
          <w:bCs/>
          <w:color w:val="auto"/>
          <w:spacing w:val="-3"/>
          <w:sz w:val="24"/>
          <w:highlight w:val="none"/>
        </w:rPr>
        <w:t>2</w:t>
      </w:r>
      <w:r>
        <w:rPr>
          <w:rFonts w:ascii="宋体" w:hAnsi="宋体" w:eastAsia="宋体" w:cs="宋体"/>
          <w:b/>
          <w:bCs/>
          <w:color w:val="auto"/>
          <w:spacing w:val="-3"/>
          <w:sz w:val="24"/>
          <w:highlight w:val="none"/>
        </w:rPr>
        <w:t>)</w:t>
      </w:r>
      <w:r>
        <w:rPr>
          <w:rFonts w:hint="eastAsia" w:ascii="宋体" w:hAnsi="宋体" w:eastAsia="宋体" w:cs="宋体"/>
          <w:b/>
          <w:bCs/>
          <w:color w:val="auto"/>
          <w:spacing w:val="-3"/>
          <w:sz w:val="24"/>
          <w:highlight w:val="none"/>
        </w:rPr>
        <w:t xml:space="preserve"> 明细报价表</w:t>
      </w:r>
    </w:p>
    <w:p>
      <w:pPr>
        <w:pStyle w:val="389"/>
        <w:ind w:firstLine="470"/>
        <w:rPr>
          <w:rFonts w:ascii="宋体" w:hAnsi="宋体" w:eastAsia="宋体" w:cs="宋体"/>
          <w:b/>
          <w:bCs/>
          <w:color w:val="auto"/>
          <w:spacing w:val="-3"/>
          <w:sz w:val="24"/>
          <w:highlight w:val="none"/>
        </w:rPr>
      </w:pPr>
      <w:r>
        <w:rPr>
          <w:rFonts w:hint="eastAsia" w:ascii="宋体" w:hAnsi="宋体" w:eastAsia="宋体" w:cs="宋体"/>
          <w:b/>
          <w:bCs/>
          <w:color w:val="auto"/>
          <w:spacing w:val="-3"/>
          <w:sz w:val="24"/>
          <w:highlight w:val="none"/>
        </w:rPr>
        <w:t>(3) 商务条款偏离表</w:t>
      </w:r>
    </w:p>
    <w:p>
      <w:pPr>
        <w:pStyle w:val="389"/>
        <w:ind w:firstLine="480"/>
        <w:rPr>
          <w:rFonts w:hint="eastAsia" w:ascii="宋体" w:hAnsi="宋体" w:eastAsia="宋体" w:cs="宋体"/>
          <w:color w:val="auto"/>
          <w:sz w:val="24"/>
          <w:szCs w:val="24"/>
          <w:highlight w:val="none"/>
        </w:rPr>
      </w:pPr>
      <w:r>
        <w:rPr>
          <w:rFonts w:hint="eastAsia" w:ascii="宋体" w:hAnsi="宋体" w:eastAsia="宋体" w:cs="宋体"/>
          <w:color w:val="auto"/>
          <w:spacing w:val="-3"/>
          <w:sz w:val="24"/>
          <w:highlight w:val="none"/>
        </w:rPr>
        <w:t>(4) 同类</w:t>
      </w:r>
      <w:r>
        <w:rPr>
          <w:rFonts w:hint="eastAsia" w:ascii="宋体" w:hAnsi="宋体" w:eastAsia="宋体" w:cs="宋体"/>
          <w:color w:val="auto"/>
          <w:sz w:val="24"/>
          <w:szCs w:val="24"/>
          <w:highlight w:val="none"/>
        </w:rPr>
        <w:t>项目业绩（附合同或者中标/成交通知书等复印件）</w:t>
      </w:r>
    </w:p>
    <w:p>
      <w:pPr>
        <w:pStyle w:val="389"/>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 供应商服务能力证明文件（如有）</w:t>
      </w:r>
    </w:p>
    <w:p>
      <w:pPr>
        <w:pStyle w:val="389"/>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 中小微企业、残疾人福利性单位、监狱企业声明函（如有）</w:t>
      </w:r>
    </w:p>
    <w:p>
      <w:pPr>
        <w:pStyle w:val="389"/>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(7) </w:t>
      </w:r>
      <w:r>
        <w:rPr>
          <w:rFonts w:hint="eastAsia" w:ascii="宋体" w:hAnsi="宋体" w:eastAsia="宋体" w:cs="宋体"/>
          <w:color w:val="auto"/>
          <w:sz w:val="24"/>
          <w:szCs w:val="24"/>
          <w:highlight w:val="none"/>
          <w:lang w:eastAsia="zh-CN"/>
        </w:rPr>
        <w:t>售后服务承诺</w:t>
      </w:r>
    </w:p>
    <w:p>
      <w:pPr>
        <w:pStyle w:val="389"/>
        <w:spacing w:line="440" w:lineRule="exact"/>
        <w:ind w:firstLine="48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 供应商认为有必要提供的其他商务资料</w:t>
      </w:r>
    </w:p>
    <w:p>
      <w:pPr>
        <w:shd w:val="clear" w:color="auto" w:fill="FFFFFF"/>
        <w:spacing w:line="440" w:lineRule="exact"/>
        <w:ind w:firstLine="482" w:firstLineChars="200"/>
        <w:rPr>
          <w:rFonts w:ascii="宋体" w:hAnsi="宋体" w:cs="宋体"/>
          <w:b/>
          <w:color w:val="auto"/>
          <w:kern w:val="0"/>
          <w:sz w:val="24"/>
          <w:highlight w:val="none"/>
        </w:rPr>
      </w:pPr>
      <w:r>
        <w:rPr>
          <w:rFonts w:hint="eastAsia" w:ascii="宋体" w:hAnsi="宋体" w:cs="宋体"/>
          <w:b/>
          <w:color w:val="auto"/>
          <w:kern w:val="0"/>
          <w:sz w:val="24"/>
          <w:highlight w:val="none"/>
        </w:rPr>
        <w:t>21.4技术部分</w:t>
      </w:r>
      <w:r>
        <w:rPr>
          <w:rFonts w:hint="eastAsia" w:ascii="宋体" w:hAnsi="宋体" w:cs="宋体"/>
          <w:b/>
          <w:color w:val="auto"/>
          <w:kern w:val="0"/>
          <w:sz w:val="24"/>
          <w:highlight w:val="none"/>
        </w:rPr>
        <w:tab/>
      </w:r>
    </w:p>
    <w:p>
      <w:pPr>
        <w:numPr>
          <w:ilvl w:val="0"/>
          <w:numId w:val="13"/>
        </w:numPr>
        <w:shd w:val="clear" w:color="auto" w:fill="FFFFFF"/>
        <w:spacing w:line="440" w:lineRule="exact"/>
        <w:ind w:firstLine="482" w:firstLineChars="200"/>
        <w:rPr>
          <w:rFonts w:ascii="宋体" w:hAnsi="宋体" w:cs="宋体"/>
          <w:b/>
          <w:color w:val="auto"/>
          <w:kern w:val="0"/>
          <w:sz w:val="24"/>
          <w:highlight w:val="none"/>
        </w:rPr>
      </w:pPr>
      <w:r>
        <w:rPr>
          <w:rFonts w:hint="eastAsia" w:ascii="宋体" w:hAnsi="宋体" w:cs="宋体"/>
          <w:b/>
          <w:color w:val="auto"/>
          <w:kern w:val="0"/>
          <w:sz w:val="24"/>
          <w:highlight w:val="none"/>
          <w:lang w:eastAsia="zh-CN"/>
        </w:rPr>
        <w:t>技术条款偏离表</w:t>
      </w:r>
    </w:p>
    <w:p>
      <w:pPr>
        <w:numPr>
          <w:ilvl w:val="0"/>
          <w:numId w:val="13"/>
        </w:numPr>
        <w:shd w:val="clear" w:color="auto" w:fill="FFFFFF"/>
        <w:spacing w:line="440" w:lineRule="exact"/>
        <w:ind w:firstLine="480" w:firstLineChars="200"/>
        <w:rPr>
          <w:rFonts w:ascii="宋体" w:hAnsi="宋体" w:cs="宋体"/>
          <w:b w:val="0"/>
          <w:bCs/>
          <w:color w:val="auto"/>
          <w:kern w:val="0"/>
          <w:sz w:val="24"/>
          <w:highlight w:val="none"/>
        </w:rPr>
      </w:pPr>
      <w:r>
        <w:rPr>
          <w:rFonts w:hint="eastAsia" w:ascii="宋体" w:hAnsi="宋体" w:cs="宋体"/>
          <w:b w:val="0"/>
          <w:bCs/>
          <w:color w:val="auto"/>
          <w:kern w:val="0"/>
          <w:sz w:val="24"/>
          <w:highlight w:val="none"/>
        </w:rPr>
        <w:t>服务方案</w:t>
      </w:r>
    </w:p>
    <w:p>
      <w:pPr>
        <w:shd w:val="clear" w:color="auto" w:fill="FFFFFF"/>
        <w:spacing w:line="440" w:lineRule="exact"/>
        <w:ind w:firstLine="480" w:firstLineChars="200"/>
        <w:rPr>
          <w:rFonts w:ascii="宋体" w:hAnsi="宋体" w:cs="宋体"/>
          <w:bCs/>
          <w:color w:val="auto"/>
          <w:kern w:val="0"/>
          <w:sz w:val="24"/>
          <w:highlight w:val="none"/>
        </w:rPr>
      </w:pPr>
      <w:r>
        <w:rPr>
          <w:rFonts w:hint="eastAsia" w:ascii="宋体" w:hAnsi="宋体" w:cs="宋体"/>
          <w:bCs/>
          <w:color w:val="auto"/>
          <w:kern w:val="0"/>
          <w:sz w:val="24"/>
          <w:highlight w:val="none"/>
        </w:rPr>
        <w:t>(</w:t>
      </w:r>
      <w:r>
        <w:rPr>
          <w:rFonts w:hint="eastAsia" w:ascii="宋体" w:hAnsi="宋体" w:cs="宋体"/>
          <w:bCs/>
          <w:color w:val="auto"/>
          <w:kern w:val="0"/>
          <w:sz w:val="24"/>
          <w:highlight w:val="none"/>
          <w:lang w:val="en-US" w:eastAsia="zh-CN"/>
        </w:rPr>
        <w:t>3</w:t>
      </w:r>
      <w:r>
        <w:rPr>
          <w:rFonts w:hint="eastAsia" w:ascii="宋体" w:hAnsi="宋体" w:cs="宋体"/>
          <w:bCs/>
          <w:color w:val="auto"/>
          <w:kern w:val="0"/>
          <w:sz w:val="24"/>
          <w:highlight w:val="none"/>
        </w:rPr>
        <w:t>) 供应商认为有必要提供的声明及技术文件资料</w:t>
      </w:r>
    </w:p>
    <w:p>
      <w:pPr>
        <w:shd w:val="clear" w:color="auto" w:fill="FFFFFF"/>
        <w:spacing w:line="440" w:lineRule="exact"/>
        <w:ind w:firstLine="480" w:firstLineChars="200"/>
        <w:rPr>
          <w:rFonts w:ascii="宋体" w:hAnsi="宋体" w:cs="宋体"/>
          <w:bCs/>
          <w:color w:val="auto"/>
          <w:kern w:val="0"/>
          <w:sz w:val="24"/>
          <w:highlight w:val="none"/>
        </w:rPr>
      </w:pPr>
      <w:r>
        <w:rPr>
          <w:rFonts w:hint="eastAsia" w:ascii="宋体" w:hAnsi="宋体" w:cs="宋体"/>
          <w:bCs/>
          <w:color w:val="auto"/>
          <w:kern w:val="0"/>
          <w:sz w:val="24"/>
          <w:highlight w:val="none"/>
        </w:rPr>
        <w:t>21.5其他资料</w:t>
      </w:r>
    </w:p>
    <w:p>
      <w:pPr>
        <w:spacing w:line="440" w:lineRule="exact"/>
        <w:ind w:firstLine="482" w:firstLineChars="200"/>
        <w:rPr>
          <w:rFonts w:ascii="宋体" w:hAnsi="宋体" w:cs="宋体"/>
          <w:b/>
          <w:bCs/>
          <w:color w:val="auto"/>
          <w:sz w:val="24"/>
          <w:highlight w:val="none"/>
          <w:lang w:val="zh-CN"/>
        </w:rPr>
      </w:pPr>
      <w:bookmarkStart w:id="63" w:name="_Toc37090981"/>
      <w:bookmarkStart w:id="64" w:name="_Toc37090645"/>
      <w:bookmarkStart w:id="65" w:name="_Toc3695"/>
      <w:r>
        <w:rPr>
          <w:rFonts w:hint="eastAsia" w:ascii="宋体" w:hAnsi="宋体" w:cs="宋体"/>
          <w:b/>
          <w:bCs/>
          <w:color w:val="auto"/>
          <w:sz w:val="24"/>
          <w:highlight w:val="none"/>
          <w:lang w:val="zh-CN"/>
        </w:rPr>
        <w:t>22. 投标文件的编制及格式</w:t>
      </w:r>
      <w:bookmarkEnd w:id="63"/>
      <w:bookmarkEnd w:id="64"/>
      <w:bookmarkEnd w:id="65"/>
    </w:p>
    <w:p>
      <w:pPr>
        <w:shd w:val="clear" w:color="auto" w:fill="FFFFFF"/>
        <w:spacing w:line="440" w:lineRule="exact"/>
        <w:ind w:firstLine="482" w:firstLineChars="200"/>
        <w:rPr>
          <w:rFonts w:ascii="宋体" w:hAnsi="宋体" w:cs="宋体"/>
          <w:b/>
          <w:color w:val="auto"/>
          <w:sz w:val="24"/>
          <w:highlight w:val="none"/>
        </w:rPr>
      </w:pPr>
      <w:r>
        <w:rPr>
          <w:rFonts w:hint="eastAsia" w:ascii="宋体" w:hAnsi="宋体" w:cs="宋体"/>
          <w:b/>
          <w:color w:val="auto"/>
          <w:sz w:val="24"/>
          <w:highlight w:val="none"/>
        </w:rPr>
        <w:t>22.1 供应商提供的投标文件应按照本须知第21条规定的内容编制，其中，第21.1项、第21.2（1）—（5）、第21.3（1）—（3）、第21.4（1）为必备项，供应商在投标文件中必须提供有关材料，如果缺项，或不符合要求，将导致投标文件无效。</w:t>
      </w:r>
    </w:p>
    <w:p>
      <w:pPr>
        <w:shd w:val="clear" w:color="auto" w:fill="FFFFFF"/>
        <w:spacing w:line="440" w:lineRule="exact"/>
        <w:ind w:firstLine="480" w:firstLineChars="200"/>
        <w:rPr>
          <w:rFonts w:ascii="宋体" w:hAnsi="宋体" w:cs="宋体"/>
          <w:color w:val="auto"/>
          <w:kern w:val="0"/>
          <w:sz w:val="24"/>
          <w:highlight w:val="none"/>
        </w:rPr>
      </w:pPr>
      <w:r>
        <w:rPr>
          <w:rFonts w:hint="eastAsia" w:ascii="宋体" w:hAnsi="宋体" w:cs="宋体"/>
          <w:color w:val="auto"/>
          <w:sz w:val="24"/>
          <w:highlight w:val="none"/>
        </w:rPr>
        <w:t>22.2供应商提供的投标文件应当使用招标文件所提供投标文件格式（表格可按照同样格式扩展），并保证所提供的资料的真实性。未提供格式的，供应商可自行编制。</w:t>
      </w:r>
    </w:p>
    <w:p>
      <w:pPr>
        <w:shd w:val="clear" w:color="auto" w:fill="FFFFFF"/>
        <w:spacing w:line="44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22.3</w:t>
      </w:r>
      <w:r>
        <w:rPr>
          <w:rFonts w:hint="eastAsia" w:ascii="宋体" w:hAnsi="宋体" w:cs="宋体"/>
          <w:color w:val="auto"/>
          <w:sz w:val="24"/>
          <w:highlight w:val="none"/>
        </w:rPr>
        <w:t>本招标文件规定的投标文件编制中所需提交的证明材料须加盖供应商电子公章，且内容须清晰可辩</w:t>
      </w:r>
      <w:r>
        <w:rPr>
          <w:rFonts w:hint="eastAsia" w:ascii="宋体" w:hAnsi="宋体" w:cs="宋体"/>
          <w:b/>
          <w:color w:val="auto"/>
          <w:sz w:val="24"/>
          <w:highlight w:val="none"/>
        </w:rPr>
        <w:t>。</w:t>
      </w:r>
    </w:p>
    <w:p>
      <w:pPr>
        <w:shd w:val="clear" w:color="auto" w:fill="FFFFFF"/>
        <w:spacing w:line="440" w:lineRule="exact"/>
        <w:ind w:firstLine="480" w:firstLineChars="200"/>
        <w:rPr>
          <w:rFonts w:ascii="宋体" w:hAnsi="宋体" w:cs="宋体"/>
          <w:color w:val="auto"/>
          <w:sz w:val="24"/>
          <w:highlight w:val="none"/>
        </w:rPr>
      </w:pPr>
      <w:r>
        <w:rPr>
          <w:rFonts w:hint="eastAsia" w:ascii="宋体" w:hAnsi="宋体" w:cs="宋体"/>
          <w:color w:val="auto"/>
          <w:kern w:val="0"/>
          <w:sz w:val="24"/>
          <w:highlight w:val="none"/>
        </w:rPr>
        <w:t>22.4 投标文件严禁涂改或行间插字和增删。除非这些修改是根据采购人的指示进行的，或者是供应商造成的必须修改的错误，</w:t>
      </w:r>
      <w:r>
        <w:rPr>
          <w:rFonts w:hint="eastAsia" w:ascii="宋体" w:hAnsi="宋体" w:cs="宋体"/>
          <w:color w:val="auto"/>
          <w:sz w:val="24"/>
          <w:highlight w:val="none"/>
        </w:rPr>
        <w:t>必要的修改处必须有供应商法人代表或其授权代表人签字。</w:t>
      </w:r>
    </w:p>
    <w:p>
      <w:pPr>
        <w:shd w:val="clear" w:color="auto" w:fill="FFFFFF"/>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22.5 招标文件中分标项的，</w:t>
      </w:r>
      <w:r>
        <w:rPr>
          <w:rFonts w:hint="eastAsia" w:ascii="宋体" w:hAnsi="宋体" w:cs="宋体"/>
          <w:color w:val="auto"/>
          <w:sz w:val="24"/>
          <w:highlight w:val="none"/>
          <w:lang w:val="zh-CN"/>
        </w:rPr>
        <w:t>供应商须针对本单位所投标段分别编制投标文件并单独提交。</w:t>
      </w:r>
      <w:r>
        <w:rPr>
          <w:rFonts w:hint="eastAsia" w:ascii="宋体" w:hAnsi="宋体" w:cs="宋体"/>
          <w:color w:val="auto"/>
          <w:sz w:val="24"/>
          <w:highlight w:val="none"/>
        </w:rPr>
        <w:t>供应商应当按照招标文件的要求编制投标文件。投标文件应当对招标文件提出的要求和条件作出明确响应。</w:t>
      </w:r>
    </w:p>
    <w:p>
      <w:pPr>
        <w:pStyle w:val="320"/>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22.6电子投标文件制作时，按照招标文件中明确的投标文件目录和格式进行编制，保证目录清晰、内容完整。操作方法详见本须知前附表第24项。</w:t>
      </w:r>
    </w:p>
    <w:p>
      <w:pPr>
        <w:pStyle w:val="320"/>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22.7电子投标文件须使用供应商电子公章以及法定代表人或企业负责人的电子签名（或手写签名的扫描件）。</w:t>
      </w:r>
      <w:r>
        <w:rPr>
          <w:rFonts w:hint="eastAsia" w:ascii="宋体" w:hAnsi="宋体" w:cs="宋体"/>
          <w:b/>
          <w:color w:val="auto"/>
          <w:sz w:val="24"/>
          <w:highlight w:val="none"/>
        </w:rPr>
        <w:t>若无电子签章或手写签名，则视为无效投标。</w:t>
      </w:r>
    </w:p>
    <w:p>
      <w:pPr>
        <w:pStyle w:val="320"/>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22.8电子招投标文件具有法律效力，与其他形式的招投标文件在内容和格式上等同，若投标文件与招标文件要求不一致，其内容影响中标结果时，责任由供应商自行承担。</w:t>
      </w:r>
      <w:r>
        <w:rPr>
          <w:rFonts w:hint="eastAsia" w:ascii="宋体" w:hAnsi="宋体" w:cs="宋体"/>
          <w:b/>
          <w:color w:val="auto"/>
          <w:sz w:val="24"/>
          <w:highlight w:val="none"/>
        </w:rPr>
        <w:t>供应商递交的电子投标文件因供应商自身原因而导致无法导入电子辅助评标系统，该投标文件视为无效投标文件，将导致其投标被拒绝。</w:t>
      </w:r>
    </w:p>
    <w:p>
      <w:pPr>
        <w:spacing w:line="440" w:lineRule="exact"/>
        <w:ind w:firstLine="482" w:firstLineChars="200"/>
        <w:rPr>
          <w:rFonts w:ascii="宋体" w:hAnsi="宋体" w:cs="宋体"/>
          <w:b/>
          <w:bCs/>
          <w:color w:val="auto"/>
          <w:sz w:val="24"/>
          <w:highlight w:val="none"/>
          <w:lang w:val="zh-CN"/>
        </w:rPr>
      </w:pPr>
      <w:bookmarkStart w:id="66" w:name="_Toc37090646"/>
      <w:bookmarkStart w:id="67" w:name="_Toc1377"/>
      <w:bookmarkStart w:id="68" w:name="_Toc37090982"/>
      <w:r>
        <w:rPr>
          <w:rFonts w:hint="eastAsia" w:ascii="宋体" w:hAnsi="宋体" w:cs="宋体"/>
          <w:b/>
          <w:bCs/>
          <w:color w:val="auto"/>
          <w:sz w:val="24"/>
          <w:highlight w:val="none"/>
          <w:lang w:val="zh-CN"/>
        </w:rPr>
        <w:t>23. 投标文件的份数和签署</w:t>
      </w:r>
      <w:bookmarkEnd w:id="66"/>
      <w:bookmarkEnd w:id="67"/>
      <w:bookmarkEnd w:id="68"/>
    </w:p>
    <w:p>
      <w:pPr>
        <w:shd w:val="clear" w:color="auto" w:fill="FFFFFF"/>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lang w:val="zh-CN"/>
        </w:rPr>
        <w:t>23.1 供应商应当按照本须知前附表第</w:t>
      </w:r>
      <w:r>
        <w:rPr>
          <w:rFonts w:hint="eastAsia" w:ascii="宋体" w:hAnsi="宋体" w:cs="宋体"/>
          <w:color w:val="auto"/>
          <w:sz w:val="24"/>
          <w:highlight w:val="none"/>
        </w:rPr>
        <w:t>6</w:t>
      </w:r>
      <w:r>
        <w:rPr>
          <w:rFonts w:hint="eastAsia" w:ascii="宋体" w:hAnsi="宋体" w:cs="宋体"/>
          <w:color w:val="auto"/>
          <w:sz w:val="24"/>
          <w:highlight w:val="none"/>
          <w:lang w:val="zh-CN"/>
        </w:rPr>
        <w:t>项规定的</w:t>
      </w:r>
      <w:r>
        <w:rPr>
          <w:rFonts w:hint="eastAsia" w:ascii="宋体" w:hAnsi="宋体" w:cs="宋体"/>
          <w:color w:val="auto"/>
          <w:sz w:val="24"/>
          <w:highlight w:val="none"/>
        </w:rPr>
        <w:t>投标文件递交截止时间前</w:t>
      </w:r>
      <w:r>
        <w:rPr>
          <w:rFonts w:hint="eastAsia" w:ascii="宋体" w:hAnsi="宋体" w:cs="宋体"/>
          <w:b/>
          <w:color w:val="auto"/>
          <w:kern w:val="0"/>
          <w:sz w:val="24"/>
          <w:highlight w:val="none"/>
        </w:rPr>
        <w:t>登录政采云平台https://www.zcygov.cn/后，将加密</w:t>
      </w:r>
      <w:r>
        <w:rPr>
          <w:rFonts w:hint="eastAsia" w:ascii="宋体" w:hAnsi="宋体" w:cs="宋体"/>
          <w:b/>
          <w:color w:val="auto"/>
          <w:kern w:val="0"/>
          <w:sz w:val="24"/>
          <w:highlight w:val="none"/>
          <w:lang w:val="zh-CN"/>
        </w:rPr>
        <w:t>电子</w:t>
      </w:r>
      <w:r>
        <w:rPr>
          <w:rFonts w:hint="eastAsia" w:ascii="宋体" w:hAnsi="宋体" w:cs="宋体"/>
          <w:b/>
          <w:color w:val="auto"/>
          <w:kern w:val="0"/>
          <w:sz w:val="24"/>
          <w:highlight w:val="none"/>
        </w:rPr>
        <w:t>投标文件上</w:t>
      </w:r>
      <w:r>
        <w:rPr>
          <w:rFonts w:hint="eastAsia" w:ascii="宋体" w:hAnsi="宋体" w:cs="宋体"/>
          <w:b/>
          <w:color w:val="auto"/>
          <w:kern w:val="0"/>
          <w:sz w:val="24"/>
          <w:highlight w:val="none"/>
          <w:lang w:val="zh-CN"/>
        </w:rPr>
        <w:t>传到</w:t>
      </w:r>
      <w:r>
        <w:rPr>
          <w:rFonts w:hint="eastAsia" w:ascii="宋体" w:hAnsi="宋体" w:cs="宋体"/>
          <w:b/>
          <w:color w:val="auto"/>
          <w:kern w:val="0"/>
          <w:sz w:val="24"/>
          <w:highlight w:val="none"/>
        </w:rPr>
        <w:t>对应项目的的</w:t>
      </w:r>
      <w:r>
        <w:rPr>
          <w:rFonts w:hint="eastAsia" w:ascii="宋体" w:hAnsi="宋体" w:cs="宋体"/>
          <w:b/>
          <w:color w:val="auto"/>
          <w:kern w:val="0"/>
          <w:sz w:val="24"/>
          <w:highlight w:val="none"/>
          <w:lang w:val="zh-CN"/>
        </w:rPr>
        <w:t>指定</w:t>
      </w:r>
      <w:r>
        <w:rPr>
          <w:rFonts w:hint="eastAsia" w:ascii="宋体" w:hAnsi="宋体" w:cs="宋体"/>
          <w:b/>
          <w:color w:val="auto"/>
          <w:kern w:val="0"/>
          <w:sz w:val="24"/>
          <w:highlight w:val="none"/>
        </w:rPr>
        <w:t>位置。</w:t>
      </w:r>
    </w:p>
    <w:p>
      <w:pPr>
        <w:pStyle w:val="320"/>
        <w:spacing w:line="440" w:lineRule="exact"/>
        <w:ind w:firstLine="480" w:firstLineChars="200"/>
        <w:jc w:val="left"/>
        <w:rPr>
          <w:rFonts w:ascii="宋体" w:hAnsi="宋体" w:cs="宋体"/>
          <w:color w:val="auto"/>
          <w:sz w:val="24"/>
          <w:szCs w:val="24"/>
          <w:highlight w:val="none"/>
          <w:lang w:val="zh-CN"/>
        </w:rPr>
      </w:pPr>
      <w:r>
        <w:rPr>
          <w:rFonts w:hint="eastAsia" w:ascii="宋体" w:hAnsi="宋体" w:cs="宋体"/>
          <w:color w:val="auto"/>
          <w:sz w:val="24"/>
          <w:szCs w:val="24"/>
          <w:highlight w:val="none"/>
        </w:rPr>
        <w:t>23.2</w:t>
      </w:r>
      <w:r>
        <w:rPr>
          <w:rFonts w:hint="eastAsia" w:ascii="宋体" w:hAnsi="宋体" w:cs="宋体"/>
          <w:color w:val="auto"/>
          <w:sz w:val="24"/>
          <w:szCs w:val="24"/>
          <w:highlight w:val="none"/>
          <w:lang w:val="zh-CN"/>
        </w:rPr>
        <w:t>中标</w:t>
      </w:r>
      <w:r>
        <w:rPr>
          <w:rFonts w:hint="eastAsia" w:ascii="宋体" w:hAnsi="宋体" w:cs="宋体"/>
          <w:color w:val="auto"/>
          <w:sz w:val="24"/>
          <w:szCs w:val="24"/>
          <w:highlight w:val="none"/>
        </w:rPr>
        <w:t>的供应商</w:t>
      </w:r>
      <w:r>
        <w:rPr>
          <w:rFonts w:hint="eastAsia" w:ascii="宋体" w:hAnsi="宋体" w:cs="宋体"/>
          <w:color w:val="auto"/>
          <w:sz w:val="24"/>
          <w:szCs w:val="24"/>
          <w:highlight w:val="none"/>
          <w:lang w:val="zh-CN"/>
        </w:rPr>
        <w:t>在领取中标通知书时须向</w:t>
      </w:r>
      <w:r>
        <w:rPr>
          <w:rFonts w:hint="eastAsia" w:ascii="宋体" w:hAnsi="宋体" w:cs="宋体"/>
          <w:color w:val="auto"/>
          <w:sz w:val="24"/>
          <w:szCs w:val="24"/>
          <w:highlight w:val="none"/>
        </w:rPr>
        <w:t>采购</w:t>
      </w:r>
      <w:r>
        <w:rPr>
          <w:rFonts w:hint="eastAsia" w:ascii="宋体" w:hAnsi="宋体" w:cs="宋体"/>
          <w:color w:val="auto"/>
          <w:sz w:val="24"/>
          <w:szCs w:val="24"/>
          <w:highlight w:val="none"/>
          <w:lang w:val="zh-CN"/>
        </w:rPr>
        <w:t>代理机构递交纸质投标文件三份、格式为PDF的电子投标文件一份（U盘存储）。</w:t>
      </w:r>
    </w:p>
    <w:p>
      <w:pPr>
        <w:pStyle w:val="320"/>
        <w:spacing w:line="440" w:lineRule="exact"/>
        <w:ind w:firstLine="482" w:firstLineChars="200"/>
        <w:jc w:val="center"/>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（四） 投标文件的递交</w:t>
      </w:r>
    </w:p>
    <w:p>
      <w:pPr>
        <w:spacing w:line="440" w:lineRule="exact"/>
        <w:ind w:firstLine="482" w:firstLineChars="200"/>
        <w:rPr>
          <w:rFonts w:ascii="宋体" w:hAnsi="宋体" w:cs="宋体"/>
          <w:b/>
          <w:bCs/>
          <w:color w:val="auto"/>
          <w:sz w:val="24"/>
          <w:highlight w:val="none"/>
          <w:lang w:val="zh-CN"/>
        </w:rPr>
      </w:pPr>
      <w:bookmarkStart w:id="69" w:name="_Toc12789"/>
      <w:bookmarkStart w:id="70" w:name="_Toc37090648"/>
      <w:bookmarkStart w:id="71" w:name="_Toc37090984"/>
      <w:r>
        <w:rPr>
          <w:rFonts w:hint="eastAsia" w:ascii="宋体" w:hAnsi="宋体" w:cs="宋体"/>
          <w:b/>
          <w:bCs/>
          <w:color w:val="auto"/>
          <w:sz w:val="24"/>
          <w:highlight w:val="none"/>
        </w:rPr>
        <w:t>24</w:t>
      </w:r>
      <w:r>
        <w:rPr>
          <w:rFonts w:hint="eastAsia" w:ascii="宋体" w:hAnsi="宋体" w:cs="宋体"/>
          <w:b/>
          <w:bCs/>
          <w:color w:val="auto"/>
          <w:sz w:val="24"/>
          <w:highlight w:val="none"/>
          <w:lang w:val="zh-CN"/>
        </w:rPr>
        <w:t>. 投标文件的提交</w:t>
      </w:r>
      <w:bookmarkEnd w:id="69"/>
      <w:bookmarkEnd w:id="70"/>
      <w:bookmarkEnd w:id="71"/>
    </w:p>
    <w:p>
      <w:pPr>
        <w:shd w:val="clear" w:color="auto" w:fill="FFFFFF"/>
        <w:spacing w:line="440" w:lineRule="exact"/>
        <w:ind w:firstLine="480" w:firstLineChars="200"/>
        <w:rPr>
          <w:rFonts w:ascii="宋体" w:hAnsi="宋体" w:cs="宋体"/>
          <w:bCs/>
          <w:color w:val="auto"/>
          <w:kern w:val="0"/>
          <w:sz w:val="24"/>
          <w:highlight w:val="none"/>
        </w:rPr>
      </w:pPr>
      <w:bookmarkStart w:id="72" w:name="_Toc3502"/>
      <w:bookmarkStart w:id="73" w:name="_Toc37090649"/>
      <w:bookmarkStart w:id="74" w:name="_Toc37090985"/>
      <w:r>
        <w:rPr>
          <w:rFonts w:hint="eastAsia" w:ascii="宋体" w:hAnsi="宋体" w:cs="宋体"/>
          <w:color w:val="auto"/>
          <w:kern w:val="0"/>
          <w:sz w:val="24"/>
          <w:highlight w:val="none"/>
        </w:rPr>
        <w:t xml:space="preserve">24.1 </w:t>
      </w:r>
      <w:bookmarkEnd w:id="72"/>
      <w:r>
        <w:rPr>
          <w:rFonts w:hint="eastAsia" w:ascii="宋体" w:hAnsi="宋体" w:cs="宋体"/>
          <w:color w:val="auto"/>
          <w:kern w:val="0"/>
          <w:sz w:val="24"/>
          <w:highlight w:val="none"/>
        </w:rPr>
        <w:t>供应商在投标文件递交截至时间前</w:t>
      </w:r>
      <w:r>
        <w:rPr>
          <w:rFonts w:hint="eastAsia" w:ascii="宋体" w:hAnsi="宋体" w:cs="宋体"/>
          <w:bCs/>
          <w:color w:val="auto"/>
          <w:kern w:val="0"/>
          <w:sz w:val="24"/>
          <w:highlight w:val="none"/>
        </w:rPr>
        <w:t>登录政采云平台https://www.zcygov.cn/后，将加密</w:t>
      </w:r>
      <w:r>
        <w:rPr>
          <w:rFonts w:hint="eastAsia" w:ascii="宋体" w:hAnsi="宋体" w:cs="宋体"/>
          <w:bCs/>
          <w:color w:val="auto"/>
          <w:kern w:val="0"/>
          <w:sz w:val="24"/>
          <w:highlight w:val="none"/>
          <w:lang w:val="zh-CN"/>
        </w:rPr>
        <w:t>电子</w:t>
      </w:r>
      <w:r>
        <w:rPr>
          <w:rFonts w:hint="eastAsia" w:ascii="宋体" w:hAnsi="宋体" w:cs="宋体"/>
          <w:bCs/>
          <w:color w:val="auto"/>
          <w:kern w:val="0"/>
          <w:sz w:val="24"/>
          <w:highlight w:val="none"/>
        </w:rPr>
        <w:t>投标文件上</w:t>
      </w:r>
      <w:r>
        <w:rPr>
          <w:rFonts w:hint="eastAsia" w:ascii="宋体" w:hAnsi="宋体" w:cs="宋体"/>
          <w:bCs/>
          <w:color w:val="auto"/>
          <w:kern w:val="0"/>
          <w:sz w:val="24"/>
          <w:highlight w:val="none"/>
          <w:lang w:val="zh-CN"/>
        </w:rPr>
        <w:t>传到</w:t>
      </w:r>
      <w:r>
        <w:rPr>
          <w:rFonts w:hint="eastAsia" w:ascii="宋体" w:hAnsi="宋体" w:cs="宋体"/>
          <w:bCs/>
          <w:color w:val="auto"/>
          <w:kern w:val="0"/>
          <w:sz w:val="24"/>
          <w:highlight w:val="none"/>
        </w:rPr>
        <w:t>对应项目的的</w:t>
      </w:r>
      <w:r>
        <w:rPr>
          <w:rFonts w:hint="eastAsia" w:ascii="宋体" w:hAnsi="宋体" w:cs="宋体"/>
          <w:bCs/>
          <w:color w:val="auto"/>
          <w:kern w:val="0"/>
          <w:sz w:val="24"/>
          <w:highlight w:val="none"/>
          <w:lang w:val="zh-CN"/>
        </w:rPr>
        <w:t>指定</w:t>
      </w:r>
      <w:r>
        <w:rPr>
          <w:rFonts w:hint="eastAsia" w:ascii="宋体" w:hAnsi="宋体" w:cs="宋体"/>
          <w:bCs/>
          <w:color w:val="auto"/>
          <w:kern w:val="0"/>
          <w:sz w:val="24"/>
          <w:highlight w:val="none"/>
        </w:rPr>
        <w:t>位置。</w:t>
      </w:r>
    </w:p>
    <w:p>
      <w:pPr>
        <w:spacing w:line="440" w:lineRule="exact"/>
        <w:ind w:firstLine="482" w:firstLineChars="200"/>
        <w:rPr>
          <w:rFonts w:ascii="宋体" w:hAnsi="宋体" w:cs="宋体"/>
          <w:b/>
          <w:bCs/>
          <w:color w:val="auto"/>
          <w:sz w:val="24"/>
          <w:highlight w:val="none"/>
        </w:rPr>
      </w:pPr>
      <w:bookmarkStart w:id="75" w:name="_Toc21786"/>
      <w:r>
        <w:rPr>
          <w:rFonts w:hint="eastAsia" w:ascii="宋体" w:hAnsi="宋体" w:cs="宋体"/>
          <w:b/>
          <w:bCs/>
          <w:color w:val="auto"/>
          <w:sz w:val="24"/>
          <w:highlight w:val="none"/>
        </w:rPr>
        <w:t>25. 投标文件提交的截止时间</w:t>
      </w:r>
      <w:bookmarkEnd w:id="73"/>
      <w:bookmarkEnd w:id="74"/>
      <w:bookmarkEnd w:id="75"/>
    </w:p>
    <w:p>
      <w:pPr>
        <w:shd w:val="clear" w:color="auto" w:fill="FFFFFF"/>
        <w:spacing w:line="44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25.1 投标文件提交的截止时间详见本投标须知前附表规定。</w:t>
      </w:r>
    </w:p>
    <w:p>
      <w:pPr>
        <w:shd w:val="clear" w:color="auto" w:fill="FFFFFF"/>
        <w:spacing w:line="44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25.2 采购人可按本须知第14条规定以修改补充通知的方式，酌情延长提交投标书的截止时间。在上述情况下，采购人与供应商在原投标截止时间前的全部权力和义务，将适用于延长后新的投标截止时间。</w:t>
      </w:r>
    </w:p>
    <w:p>
      <w:pPr>
        <w:shd w:val="clear" w:color="auto" w:fill="FFFFFF"/>
        <w:spacing w:line="44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25.3 截至投标文件递交截止时间，采购人收到的投标文件少于3个的，采购人将依法重新组织招标。评标过程中有效供应商少于3个的，应终止评标，由采购人依法重新组织招标。</w:t>
      </w:r>
    </w:p>
    <w:p>
      <w:pPr>
        <w:spacing w:line="440" w:lineRule="exact"/>
        <w:ind w:firstLine="482" w:firstLineChars="200"/>
        <w:rPr>
          <w:rFonts w:ascii="宋体" w:hAnsi="宋体" w:cs="宋体"/>
          <w:b/>
          <w:bCs/>
          <w:color w:val="auto"/>
          <w:sz w:val="24"/>
          <w:highlight w:val="none"/>
        </w:rPr>
      </w:pPr>
      <w:bookmarkStart w:id="76" w:name="_Toc37090986"/>
      <w:bookmarkStart w:id="77" w:name="_Toc12863"/>
      <w:bookmarkStart w:id="78" w:name="_Toc37090650"/>
      <w:r>
        <w:rPr>
          <w:rFonts w:hint="eastAsia" w:ascii="宋体" w:hAnsi="宋体" w:cs="宋体"/>
          <w:b/>
          <w:bCs/>
          <w:color w:val="auto"/>
          <w:sz w:val="24"/>
          <w:highlight w:val="none"/>
        </w:rPr>
        <w:t>26. 迟交的投标文件</w:t>
      </w:r>
      <w:bookmarkEnd w:id="76"/>
      <w:bookmarkEnd w:id="77"/>
      <w:bookmarkEnd w:id="78"/>
    </w:p>
    <w:p>
      <w:pPr>
        <w:shd w:val="clear" w:color="auto" w:fill="FFFFFF"/>
        <w:spacing w:line="44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供应商在本投标须知前附表规定的投标截止时间以后送达的投标文件，“政采云平台”将拒绝接受，采购人对于逾期未上传到指定位置的投标文件不予受理。</w:t>
      </w:r>
    </w:p>
    <w:p>
      <w:pPr>
        <w:spacing w:line="440" w:lineRule="exact"/>
        <w:ind w:firstLine="482" w:firstLineChars="200"/>
        <w:rPr>
          <w:rFonts w:ascii="宋体" w:hAnsi="宋体" w:cs="宋体"/>
          <w:b/>
          <w:bCs/>
          <w:color w:val="auto"/>
          <w:sz w:val="24"/>
          <w:highlight w:val="none"/>
        </w:rPr>
      </w:pPr>
      <w:bookmarkStart w:id="79" w:name="_Toc30465"/>
      <w:r>
        <w:rPr>
          <w:rFonts w:hint="eastAsia" w:ascii="宋体" w:hAnsi="宋体" w:cs="宋体"/>
          <w:b/>
          <w:bCs/>
          <w:color w:val="auto"/>
          <w:sz w:val="24"/>
          <w:highlight w:val="none"/>
        </w:rPr>
        <w:t>27. 投标文件的补充、修改与撤回</w:t>
      </w:r>
      <w:bookmarkEnd w:id="79"/>
    </w:p>
    <w:p>
      <w:pPr>
        <w:shd w:val="clear" w:color="auto" w:fill="FFFFFF"/>
        <w:spacing w:line="44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27.1 供应商在投标须知前附表规定的投标截止时间之前，可在政采云平台上随时撤回已上传的电子投标文件，将修改好的电子投标文件在投标截止时间前重新上传到政采云平台的制定位置。</w:t>
      </w:r>
    </w:p>
    <w:p>
      <w:pPr>
        <w:shd w:val="clear" w:color="auto" w:fill="FFFFFF"/>
        <w:spacing w:before="156" w:beforeLines="50" w:after="156" w:afterLines="50" w:line="440" w:lineRule="exact"/>
        <w:jc w:val="center"/>
        <w:rPr>
          <w:rFonts w:ascii="宋体" w:hAnsi="宋体" w:cs="宋体"/>
          <w:b/>
          <w:color w:val="auto"/>
          <w:kern w:val="0"/>
          <w:sz w:val="24"/>
          <w:highlight w:val="none"/>
        </w:rPr>
      </w:pPr>
      <w:r>
        <w:rPr>
          <w:rFonts w:hint="eastAsia" w:ascii="宋体" w:hAnsi="宋体" w:cs="宋体"/>
          <w:b/>
          <w:color w:val="auto"/>
          <w:kern w:val="0"/>
          <w:sz w:val="24"/>
          <w:highlight w:val="none"/>
        </w:rPr>
        <w:t>（五） 开标</w:t>
      </w:r>
    </w:p>
    <w:p>
      <w:pPr>
        <w:spacing w:line="440" w:lineRule="exact"/>
        <w:ind w:firstLine="482" w:firstLineChars="200"/>
        <w:rPr>
          <w:rFonts w:ascii="宋体" w:hAnsi="宋体" w:cs="宋体"/>
          <w:b/>
          <w:bCs/>
          <w:color w:val="auto"/>
          <w:sz w:val="24"/>
          <w:highlight w:val="none"/>
        </w:rPr>
      </w:pPr>
      <w:bookmarkStart w:id="80" w:name="_Toc28893"/>
      <w:bookmarkStart w:id="81" w:name="_Toc37090652"/>
      <w:bookmarkStart w:id="82" w:name="_Toc37090988"/>
      <w:r>
        <w:rPr>
          <w:rFonts w:hint="eastAsia" w:ascii="宋体" w:hAnsi="宋体" w:cs="宋体"/>
          <w:b/>
          <w:bCs/>
          <w:color w:val="auto"/>
          <w:sz w:val="24"/>
          <w:highlight w:val="none"/>
        </w:rPr>
        <w:t>28.开标</w:t>
      </w:r>
      <w:bookmarkEnd w:id="80"/>
    </w:p>
    <w:p>
      <w:pPr>
        <w:shd w:val="clear" w:color="auto" w:fill="FFFFFF"/>
        <w:spacing w:line="440" w:lineRule="exact"/>
        <w:ind w:firstLine="480" w:firstLineChars="200"/>
        <w:rPr>
          <w:rFonts w:ascii="宋体" w:hAnsi="宋体" w:cs="宋体"/>
          <w:color w:val="auto"/>
          <w:sz w:val="24"/>
          <w:highlight w:val="none"/>
        </w:rPr>
      </w:pPr>
      <w:bookmarkStart w:id="83" w:name="_Toc21715"/>
      <w:r>
        <w:rPr>
          <w:rFonts w:hint="eastAsia" w:ascii="宋体" w:hAnsi="宋体" w:cs="宋体"/>
          <w:color w:val="auto"/>
          <w:sz w:val="24"/>
          <w:highlight w:val="none"/>
        </w:rPr>
        <w:t>28.1采购人在规定的投标截止时间（开标时间）和投标须知前附表规定的地点进行不见面远程开标。供应商的法定代表人或企业负责人或其委托代理人无需到达开标现场，仅需在任意地点</w:t>
      </w:r>
      <w:r>
        <w:rPr>
          <w:rFonts w:hint="eastAsia" w:ascii="宋体" w:hAnsi="宋体" w:cs="宋体"/>
          <w:bCs/>
          <w:color w:val="auto"/>
          <w:kern w:val="0"/>
          <w:sz w:val="24"/>
          <w:highlight w:val="none"/>
        </w:rPr>
        <w:t>登录政采云平台https://www.zcygov.cn/进入</w:t>
      </w:r>
      <w:r>
        <w:rPr>
          <w:rFonts w:hint="eastAsia" w:ascii="宋体" w:hAnsi="宋体" w:cs="宋体"/>
          <w:b/>
          <w:color w:val="auto"/>
          <w:kern w:val="0"/>
          <w:sz w:val="24"/>
          <w:highlight w:val="none"/>
        </w:rPr>
        <w:t>“</w:t>
      </w:r>
      <w:r>
        <w:rPr>
          <w:rFonts w:hint="eastAsia" w:ascii="宋体" w:hAnsi="宋体" w:cs="宋体"/>
          <w:color w:val="auto"/>
          <w:sz w:val="24"/>
          <w:highlight w:val="none"/>
        </w:rPr>
        <w:t>政采云远程开标大厅”参加开标会议，并使用CA密钥完成远程解密、提疑澄清、开标唱标、结果公布等交互环节。</w:t>
      </w:r>
      <w:bookmarkEnd w:id="83"/>
    </w:p>
    <w:p>
      <w:pPr>
        <w:shd w:val="clear" w:color="auto" w:fill="FFFFFF"/>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28.2开标时，各供应商应在规定的解密时间（20分钟）内对本单位加密的电子投标文件进行解密，如在规定的解密时间内仍有供应商未解密，采购代理机构将采取“异常处理”，开启该单位的备份标书。采购代理机构工作人员在监督人员或公证人员监督下开启投标文件。</w:t>
      </w:r>
    </w:p>
    <w:p>
      <w:pPr>
        <w:shd w:val="clear" w:color="auto" w:fill="FFFFFF"/>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28.3开标时，采购代理机构将通过</w:t>
      </w:r>
      <w:r>
        <w:rPr>
          <w:rFonts w:hint="eastAsia" w:ascii="宋体" w:hAnsi="宋体" w:cs="宋体"/>
          <w:bCs/>
          <w:color w:val="auto"/>
          <w:kern w:val="0"/>
          <w:sz w:val="24"/>
          <w:highlight w:val="none"/>
        </w:rPr>
        <w:t>“政采云远程开标大厅”</w:t>
      </w:r>
      <w:r>
        <w:rPr>
          <w:rFonts w:hint="eastAsia" w:ascii="宋体" w:hAnsi="宋体" w:cs="宋体"/>
          <w:color w:val="auto"/>
          <w:sz w:val="24"/>
          <w:highlight w:val="none"/>
        </w:rPr>
        <w:t>系统公布供应商名称、投标价格，以及采购代理机构认为合适的其它详细内容。供应商若有报价和优惠未被唱出，应在开标时及时声明或提请注意，否则采购代理机构对此不承担任何责任。</w:t>
      </w:r>
    </w:p>
    <w:p>
      <w:pPr>
        <w:shd w:val="clear" w:color="auto" w:fill="FFFFFF"/>
        <w:spacing w:line="440" w:lineRule="exact"/>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提示：开标时，请供应商随时关注政采云账号内的站内信；注册时留下的注册人的手机短息（系统会推送短信至注册联系人的手机），但此短信仅系友情提示，并不具有任何约束性和必要性，采购代理机构不承担供应商未收到短信而引起的一切后果和法律责任。</w:t>
      </w:r>
    </w:p>
    <w:p>
      <w:pPr>
        <w:shd w:val="clear" w:color="auto" w:fill="FFFFFF"/>
        <w:spacing w:line="44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28.4供应商不足3家的，不得开标；</w:t>
      </w:r>
    </w:p>
    <w:bookmarkEnd w:id="81"/>
    <w:bookmarkEnd w:id="82"/>
    <w:p>
      <w:pPr>
        <w:shd w:val="clear" w:color="auto" w:fill="FFFFFF"/>
        <w:spacing w:line="44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28.5 公开招标数额标准以上的采购项目，投标截止后供应商不足3家或者通过资格审查或符合性审查的供应商不足3家的，除采购任务取消情形外，可按照以下方式处理：</w:t>
      </w:r>
    </w:p>
    <w:p>
      <w:pPr>
        <w:shd w:val="clear" w:color="auto" w:fill="FFFFFF"/>
        <w:spacing w:line="44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（一）招标文件存在不合理条款或者招标程序不符合规定的，采购人、采购代理机构改正后依法重新招标；</w:t>
      </w:r>
    </w:p>
    <w:p>
      <w:pPr>
        <w:shd w:val="clear" w:color="auto" w:fill="FFFFFF"/>
        <w:spacing w:line="440" w:lineRule="exact"/>
        <w:ind w:firstLine="480" w:firstLineChars="200"/>
        <w:rPr>
          <w:rFonts w:ascii="宋体" w:hAnsi="宋体" w:cs="宋体"/>
          <w:color w:val="auto"/>
          <w:sz w:val="24"/>
          <w:highlight w:val="none"/>
        </w:rPr>
      </w:pPr>
      <w:r>
        <w:rPr>
          <w:rFonts w:hint="eastAsia" w:ascii="宋体" w:hAnsi="宋体" w:cs="宋体"/>
          <w:color w:val="auto"/>
          <w:kern w:val="0"/>
          <w:sz w:val="24"/>
          <w:highlight w:val="none"/>
        </w:rPr>
        <w:t>（二）招标文件没有不合理条款、招标程序符合规定，需要采用其他采购方式采购的，采购人应当依法报财政部门批准</w:t>
      </w:r>
      <w:r>
        <w:rPr>
          <w:rFonts w:hint="eastAsia" w:ascii="宋体" w:hAnsi="宋体" w:cs="宋体"/>
          <w:color w:val="auto"/>
          <w:sz w:val="24"/>
          <w:highlight w:val="none"/>
        </w:rPr>
        <w:t>。</w:t>
      </w:r>
    </w:p>
    <w:p>
      <w:pPr>
        <w:shd w:val="clear" w:color="auto" w:fill="FFFFFF"/>
        <w:spacing w:before="156" w:beforeLines="50" w:after="156" w:afterLines="50" w:line="440" w:lineRule="exact"/>
        <w:jc w:val="center"/>
        <w:rPr>
          <w:rFonts w:ascii="宋体" w:hAnsi="宋体" w:cs="宋体"/>
          <w:b/>
          <w:color w:val="auto"/>
          <w:kern w:val="0"/>
          <w:sz w:val="24"/>
          <w:highlight w:val="none"/>
        </w:rPr>
      </w:pPr>
      <w:r>
        <w:rPr>
          <w:rFonts w:hint="eastAsia" w:ascii="宋体" w:hAnsi="宋体" w:cs="宋体"/>
          <w:b/>
          <w:color w:val="auto"/>
          <w:kern w:val="0"/>
          <w:sz w:val="24"/>
          <w:highlight w:val="none"/>
        </w:rPr>
        <w:t>（六） 资格审查</w:t>
      </w:r>
    </w:p>
    <w:p>
      <w:pPr>
        <w:shd w:val="clear" w:color="auto" w:fill="FFFFFF"/>
        <w:spacing w:line="440" w:lineRule="exact"/>
        <w:ind w:firstLine="482" w:firstLineChars="200"/>
        <w:rPr>
          <w:rFonts w:ascii="宋体" w:hAnsi="宋体" w:cs="宋体"/>
          <w:b/>
          <w:color w:val="auto"/>
          <w:kern w:val="0"/>
          <w:sz w:val="24"/>
          <w:highlight w:val="none"/>
        </w:rPr>
      </w:pPr>
      <w:r>
        <w:rPr>
          <w:rFonts w:hint="eastAsia" w:ascii="宋体" w:hAnsi="宋体" w:cs="宋体"/>
          <w:b/>
          <w:color w:val="auto"/>
          <w:kern w:val="0"/>
          <w:sz w:val="24"/>
          <w:highlight w:val="none"/>
        </w:rPr>
        <w:t>29.资格审查</w:t>
      </w:r>
    </w:p>
    <w:p>
      <w:pPr>
        <w:shd w:val="clear" w:color="auto" w:fill="FFFFFF"/>
        <w:spacing w:line="440" w:lineRule="exact"/>
        <w:ind w:firstLine="482" w:firstLineChars="200"/>
        <w:rPr>
          <w:rFonts w:ascii="宋体" w:hAnsi="宋体" w:cs="宋体"/>
          <w:b/>
          <w:color w:val="auto"/>
          <w:kern w:val="0"/>
          <w:sz w:val="24"/>
          <w:highlight w:val="none"/>
        </w:rPr>
      </w:pPr>
      <w:r>
        <w:rPr>
          <w:rFonts w:hint="eastAsia" w:ascii="宋体" w:hAnsi="宋体" w:cs="宋体"/>
          <w:b/>
          <w:color w:val="auto"/>
          <w:kern w:val="0"/>
          <w:sz w:val="24"/>
          <w:highlight w:val="none"/>
        </w:rPr>
        <w:t>29.1开标结束后，采购代理机构按照第五章评审方法中资格审查内容对各供应商进行资格审查。资格审查不合格的，其投标无效。</w:t>
      </w:r>
    </w:p>
    <w:p>
      <w:pPr>
        <w:shd w:val="clear" w:color="auto" w:fill="FFFFFF"/>
        <w:spacing w:line="440" w:lineRule="exact"/>
        <w:ind w:firstLine="482" w:firstLineChars="200"/>
        <w:rPr>
          <w:rFonts w:ascii="宋体" w:hAnsi="宋体" w:cs="宋体"/>
          <w:b/>
          <w:color w:val="auto"/>
          <w:kern w:val="0"/>
          <w:sz w:val="24"/>
          <w:highlight w:val="none"/>
        </w:rPr>
      </w:pPr>
      <w:r>
        <w:rPr>
          <w:rFonts w:hint="eastAsia" w:ascii="宋体" w:hAnsi="宋体" w:cs="宋体"/>
          <w:b/>
          <w:color w:val="auto"/>
          <w:kern w:val="0"/>
          <w:sz w:val="24"/>
          <w:highlight w:val="none"/>
        </w:rPr>
        <w:t>29.2合格供应商不足三家的，不进行评标。</w:t>
      </w:r>
    </w:p>
    <w:p>
      <w:pPr>
        <w:shd w:val="clear" w:color="auto" w:fill="FFFFFF"/>
        <w:spacing w:before="156" w:beforeLines="50" w:after="156" w:afterLines="50" w:line="440" w:lineRule="exact"/>
        <w:jc w:val="center"/>
        <w:rPr>
          <w:rFonts w:ascii="宋体" w:hAnsi="宋体" w:cs="宋体"/>
          <w:b/>
          <w:color w:val="auto"/>
          <w:kern w:val="0"/>
          <w:sz w:val="24"/>
          <w:highlight w:val="none"/>
        </w:rPr>
      </w:pPr>
      <w:r>
        <w:rPr>
          <w:rFonts w:hint="eastAsia" w:ascii="宋体" w:hAnsi="宋体" w:cs="宋体"/>
          <w:b/>
          <w:color w:val="auto"/>
          <w:kern w:val="0"/>
          <w:sz w:val="24"/>
          <w:highlight w:val="none"/>
        </w:rPr>
        <w:t>（七） 评标委员会与评标</w:t>
      </w:r>
    </w:p>
    <w:p>
      <w:pPr>
        <w:shd w:val="clear" w:color="auto" w:fill="FFFFFF"/>
        <w:spacing w:line="44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30.评标工作由采购人依法组建的评标委员会负责。评标委员会的名单在评标结果公告前应当保密。</w:t>
      </w:r>
    </w:p>
    <w:p>
      <w:pPr>
        <w:shd w:val="clear" w:color="auto" w:fill="FFFFFF"/>
        <w:tabs>
          <w:tab w:val="left" w:pos="0"/>
        </w:tabs>
        <w:spacing w:line="440" w:lineRule="exact"/>
        <w:ind w:left="19" w:leftChars="9" w:firstLine="458" w:firstLineChars="191"/>
        <w:jc w:val="left"/>
        <w:rPr>
          <w:rFonts w:ascii="宋体" w:hAnsi="宋体" w:cs="宋体"/>
          <w:color w:val="auto"/>
          <w:kern w:val="0"/>
          <w:sz w:val="24"/>
          <w:highlight w:val="none"/>
        </w:rPr>
      </w:pPr>
      <w:r>
        <w:rPr>
          <w:rFonts w:hint="eastAsia" w:ascii="宋体" w:hAnsi="宋体" w:cs="宋体"/>
          <w:color w:val="auto"/>
          <w:kern w:val="0"/>
          <w:sz w:val="24"/>
          <w:highlight w:val="none"/>
        </w:rPr>
        <w:t xml:space="preserve">30.1本项目评标委员会由 </w:t>
      </w:r>
      <w:r>
        <w:rPr>
          <w:rFonts w:hint="eastAsia" w:ascii="宋体" w:hAnsi="宋体" w:cs="宋体"/>
          <w:color w:val="auto"/>
          <w:kern w:val="0"/>
          <w:sz w:val="24"/>
          <w:highlight w:val="none"/>
          <w:u w:val="single"/>
        </w:rPr>
        <w:t>5</w:t>
      </w:r>
      <w:r>
        <w:rPr>
          <w:rFonts w:hint="eastAsia" w:ascii="宋体" w:hAnsi="宋体" w:cs="宋体"/>
          <w:color w:val="auto"/>
          <w:kern w:val="0"/>
          <w:sz w:val="24"/>
          <w:highlight w:val="none"/>
        </w:rPr>
        <w:t>人组成，其中：专家库中随机抽取专家</w:t>
      </w:r>
      <w:r>
        <w:rPr>
          <w:rFonts w:hint="eastAsia" w:ascii="宋体" w:hAnsi="宋体" w:cs="宋体"/>
          <w:color w:val="auto"/>
          <w:kern w:val="0"/>
          <w:sz w:val="24"/>
          <w:highlight w:val="none"/>
          <w:u w:val="single"/>
        </w:rPr>
        <w:t>4</w:t>
      </w:r>
      <w:r>
        <w:rPr>
          <w:rFonts w:hint="eastAsia" w:ascii="宋体" w:hAnsi="宋体" w:cs="宋体"/>
          <w:color w:val="auto"/>
          <w:kern w:val="0"/>
          <w:sz w:val="24"/>
          <w:highlight w:val="none"/>
        </w:rPr>
        <w:t>人,采购人代表</w:t>
      </w:r>
      <w:r>
        <w:rPr>
          <w:rFonts w:hint="eastAsia" w:ascii="宋体" w:hAnsi="宋体" w:cs="宋体"/>
          <w:color w:val="auto"/>
          <w:kern w:val="0"/>
          <w:sz w:val="24"/>
          <w:highlight w:val="none"/>
          <w:u w:val="single"/>
        </w:rPr>
        <w:t>1</w:t>
      </w:r>
      <w:r>
        <w:rPr>
          <w:rFonts w:hint="eastAsia" w:ascii="宋体" w:hAnsi="宋体" w:cs="宋体"/>
          <w:color w:val="auto"/>
          <w:kern w:val="0"/>
          <w:sz w:val="24"/>
          <w:highlight w:val="none"/>
        </w:rPr>
        <w:t>人。</w:t>
      </w:r>
    </w:p>
    <w:p>
      <w:pPr>
        <w:shd w:val="clear" w:color="auto" w:fill="FFFFFF"/>
        <w:spacing w:line="44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30.2参与过本项目的论证专家不得作为评标专家参加评标，采购人不得以专家身份参与评标。</w:t>
      </w:r>
    </w:p>
    <w:p>
      <w:pPr>
        <w:shd w:val="clear" w:color="auto" w:fill="FFFFFF"/>
        <w:spacing w:line="44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30.3 评标委员会将对通过资格审查的合格供应商开始评标，评标采用保密方式进行。</w:t>
      </w:r>
    </w:p>
    <w:p>
      <w:pPr>
        <w:shd w:val="clear" w:color="auto" w:fill="FFFFFF"/>
        <w:spacing w:line="44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30.4 评标委员会主任由评标委员会成员推举产生，并与评标委员会其他成员有同等的权利和义务。采购人代表不得担任评标委员会组长。</w:t>
      </w:r>
    </w:p>
    <w:p>
      <w:pPr>
        <w:shd w:val="clear" w:color="auto" w:fill="FFFFFF"/>
        <w:spacing w:line="44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30.5 评标委员会成员应当客观、公正地履行职责，遵守职业道德，对所提出的评审意见承担个人责任。</w:t>
      </w:r>
    </w:p>
    <w:p>
      <w:pPr>
        <w:shd w:val="clear" w:color="auto" w:fill="FFFFFF"/>
        <w:spacing w:line="44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30.6 评标委员会根据招标文件确定的评比标准和方法，对投标文件进行系统地评审和比较。招标文件中没有规定的标准和方法不得作为评标的依据。</w:t>
      </w:r>
    </w:p>
    <w:p>
      <w:pPr>
        <w:shd w:val="clear" w:color="auto" w:fill="FFFFFF"/>
        <w:spacing w:line="440" w:lineRule="exact"/>
        <w:ind w:firstLine="480" w:firstLineChars="200"/>
        <w:rPr>
          <w:rFonts w:ascii="宋体" w:hAnsi="宋体" w:cs="宋体"/>
          <w:color w:val="auto"/>
          <w:kern w:val="0"/>
          <w:sz w:val="24"/>
          <w:highlight w:val="none"/>
          <w:u w:val="single"/>
        </w:rPr>
      </w:pPr>
      <w:r>
        <w:rPr>
          <w:rFonts w:hint="eastAsia" w:ascii="宋体" w:hAnsi="宋体" w:cs="宋体"/>
          <w:color w:val="auto"/>
          <w:kern w:val="0"/>
          <w:sz w:val="24"/>
          <w:highlight w:val="none"/>
        </w:rPr>
        <w:t>30.7在评标过程中，评标委员会发现有证据表明供应商以他人的名义投标、串通投标、以行贿手段谋取中标或者以其他弄虚作假方式投标的，该供应商的投标作无效标处理。并在评标报告中说明。</w:t>
      </w:r>
    </w:p>
    <w:p>
      <w:pPr>
        <w:shd w:val="clear" w:color="auto" w:fill="FFFFFF"/>
        <w:spacing w:before="156" w:beforeLines="50" w:after="156" w:afterLines="50" w:line="440" w:lineRule="exact"/>
        <w:jc w:val="center"/>
        <w:rPr>
          <w:rFonts w:ascii="宋体" w:hAnsi="宋体" w:cs="宋体"/>
          <w:b/>
          <w:color w:val="auto"/>
          <w:kern w:val="0"/>
          <w:sz w:val="24"/>
          <w:highlight w:val="none"/>
        </w:rPr>
      </w:pPr>
      <w:r>
        <w:rPr>
          <w:rFonts w:hint="eastAsia" w:ascii="宋体" w:hAnsi="宋体" w:cs="宋体"/>
          <w:b/>
          <w:color w:val="auto"/>
          <w:kern w:val="0"/>
          <w:sz w:val="24"/>
          <w:highlight w:val="none"/>
        </w:rPr>
        <w:t>（八） 授予合同</w:t>
      </w:r>
    </w:p>
    <w:p>
      <w:pPr>
        <w:spacing w:line="440" w:lineRule="exact"/>
        <w:ind w:firstLine="482" w:firstLineChars="200"/>
        <w:rPr>
          <w:rFonts w:ascii="宋体" w:hAnsi="宋体" w:cs="宋体"/>
          <w:b/>
          <w:bCs/>
          <w:color w:val="auto"/>
          <w:sz w:val="24"/>
          <w:highlight w:val="none"/>
        </w:rPr>
      </w:pPr>
      <w:bookmarkStart w:id="84" w:name="_Toc30338"/>
      <w:bookmarkStart w:id="85" w:name="_Toc37090997"/>
      <w:bookmarkStart w:id="86" w:name="_Toc37090661"/>
      <w:r>
        <w:rPr>
          <w:rFonts w:hint="eastAsia" w:ascii="宋体" w:hAnsi="宋体" w:cs="宋体"/>
          <w:b/>
          <w:bCs/>
          <w:color w:val="auto"/>
          <w:sz w:val="24"/>
          <w:highlight w:val="none"/>
        </w:rPr>
        <w:t>32. 确定中标人</w:t>
      </w:r>
      <w:bookmarkEnd w:id="84"/>
      <w:bookmarkEnd w:id="85"/>
      <w:bookmarkEnd w:id="86"/>
    </w:p>
    <w:p>
      <w:pPr>
        <w:shd w:val="clear" w:color="auto" w:fill="FFFFFF"/>
        <w:spacing w:line="440" w:lineRule="exact"/>
        <w:ind w:firstLine="484" w:firstLineChars="202"/>
        <w:rPr>
          <w:rFonts w:ascii="宋体" w:hAnsi="宋体" w:cs="宋体"/>
          <w:color w:val="auto"/>
          <w:kern w:val="0"/>
          <w:sz w:val="24"/>
          <w:highlight w:val="none"/>
        </w:rPr>
      </w:pPr>
      <w:r>
        <w:rPr>
          <w:rFonts w:hint="eastAsia" w:ascii="宋体" w:hAnsi="宋体" w:cs="宋体"/>
          <w:color w:val="auto"/>
          <w:kern w:val="0"/>
          <w:sz w:val="24"/>
          <w:highlight w:val="none"/>
        </w:rPr>
        <w:t>32.1 中标的标准</w:t>
      </w:r>
    </w:p>
    <w:p>
      <w:pPr>
        <w:shd w:val="clear" w:color="auto" w:fill="FFFFFF"/>
        <w:spacing w:line="440" w:lineRule="exact"/>
        <w:ind w:firstLine="484" w:firstLineChars="202"/>
        <w:rPr>
          <w:rFonts w:ascii="宋体" w:hAnsi="宋体" w:cs="宋体"/>
          <w:color w:val="auto"/>
          <w:kern w:val="0"/>
          <w:sz w:val="24"/>
          <w:highlight w:val="none"/>
        </w:rPr>
      </w:pPr>
      <w:r>
        <w:rPr>
          <w:rFonts w:hint="eastAsia" w:ascii="宋体" w:hAnsi="宋体" w:cs="宋体"/>
          <w:color w:val="auto"/>
          <w:kern w:val="0"/>
          <w:sz w:val="24"/>
          <w:highlight w:val="none"/>
        </w:rPr>
        <w:t>32.1.1 投标文件满足招标文件全部实质性要求；</w:t>
      </w:r>
    </w:p>
    <w:p>
      <w:pPr>
        <w:shd w:val="clear" w:color="auto" w:fill="FFFFFF"/>
        <w:spacing w:line="440" w:lineRule="exact"/>
        <w:ind w:firstLine="484" w:firstLineChars="202"/>
        <w:rPr>
          <w:rFonts w:ascii="宋体" w:hAnsi="宋体" w:cs="宋体"/>
          <w:color w:val="auto"/>
          <w:kern w:val="0"/>
          <w:sz w:val="24"/>
          <w:highlight w:val="none"/>
        </w:rPr>
      </w:pPr>
      <w:r>
        <w:rPr>
          <w:rFonts w:hint="eastAsia" w:ascii="宋体" w:hAnsi="宋体" w:cs="宋体"/>
          <w:color w:val="auto"/>
          <w:kern w:val="0"/>
          <w:sz w:val="24"/>
          <w:highlight w:val="none"/>
        </w:rPr>
        <w:t>32.1.2 具有良好的履行合同的能力和条件；</w:t>
      </w:r>
    </w:p>
    <w:p>
      <w:pPr>
        <w:shd w:val="clear" w:color="auto" w:fill="FFFFFF"/>
        <w:spacing w:line="440" w:lineRule="exact"/>
        <w:ind w:firstLine="484" w:firstLineChars="202"/>
        <w:rPr>
          <w:rFonts w:ascii="宋体" w:hAnsi="宋体" w:cs="宋体"/>
          <w:color w:val="auto"/>
          <w:kern w:val="0"/>
          <w:sz w:val="24"/>
          <w:highlight w:val="none"/>
        </w:rPr>
      </w:pPr>
      <w:r>
        <w:rPr>
          <w:rFonts w:hint="eastAsia" w:ascii="宋体" w:hAnsi="宋体" w:cs="宋体"/>
          <w:color w:val="auto"/>
          <w:kern w:val="0"/>
          <w:sz w:val="24"/>
          <w:highlight w:val="none"/>
        </w:rPr>
        <w:t>32.1.3 能够最大限度满足招标文件的各项要求；</w:t>
      </w:r>
    </w:p>
    <w:p>
      <w:pPr>
        <w:shd w:val="clear" w:color="auto" w:fill="FFFFFF"/>
        <w:spacing w:line="440" w:lineRule="exact"/>
        <w:ind w:firstLine="484" w:firstLineChars="202"/>
        <w:rPr>
          <w:rFonts w:ascii="宋体" w:hAnsi="宋体" w:cs="宋体"/>
          <w:color w:val="auto"/>
          <w:kern w:val="0"/>
          <w:sz w:val="24"/>
          <w:highlight w:val="none"/>
        </w:rPr>
      </w:pPr>
      <w:r>
        <w:rPr>
          <w:rFonts w:hint="eastAsia" w:ascii="宋体" w:hAnsi="宋体" w:cs="宋体"/>
          <w:color w:val="auto"/>
          <w:kern w:val="0"/>
          <w:sz w:val="24"/>
          <w:highlight w:val="none"/>
        </w:rPr>
        <w:t>32.2 采购人将确定资格合格的中标候选人为中标人。</w:t>
      </w:r>
    </w:p>
    <w:p>
      <w:pPr>
        <w:spacing w:line="440" w:lineRule="exact"/>
        <w:ind w:firstLine="480" w:firstLineChars="200"/>
        <w:rPr>
          <w:rFonts w:ascii="宋体" w:hAnsi="宋体" w:cs="宋体"/>
          <w:color w:val="auto"/>
          <w:sz w:val="24"/>
          <w:highlight w:val="none"/>
        </w:rPr>
      </w:pPr>
      <w:bookmarkStart w:id="87" w:name="_Toc8758"/>
      <w:bookmarkStart w:id="88" w:name="_Toc37090662"/>
      <w:bookmarkStart w:id="89" w:name="_Toc37090998"/>
      <w:r>
        <w:rPr>
          <w:rFonts w:hint="eastAsia" w:ascii="宋体" w:hAnsi="宋体" w:cs="宋体"/>
          <w:color w:val="auto"/>
          <w:sz w:val="24"/>
          <w:highlight w:val="none"/>
        </w:rPr>
        <w:t>32.3 授予合同的准则</w:t>
      </w:r>
      <w:bookmarkEnd w:id="87"/>
      <w:bookmarkEnd w:id="88"/>
      <w:bookmarkEnd w:id="89"/>
    </w:p>
    <w:p>
      <w:pPr>
        <w:shd w:val="clear" w:color="auto" w:fill="FFFFFF"/>
        <w:spacing w:line="440" w:lineRule="exact"/>
        <w:ind w:firstLine="484" w:firstLineChars="202"/>
        <w:rPr>
          <w:rFonts w:ascii="宋体" w:hAnsi="宋体" w:cs="宋体"/>
          <w:color w:val="auto"/>
          <w:kern w:val="0"/>
          <w:sz w:val="24"/>
          <w:highlight w:val="none"/>
        </w:rPr>
      </w:pPr>
      <w:r>
        <w:rPr>
          <w:rFonts w:hint="eastAsia" w:ascii="宋体" w:hAnsi="宋体" w:cs="宋体"/>
          <w:color w:val="auto"/>
          <w:kern w:val="0"/>
          <w:sz w:val="24"/>
          <w:highlight w:val="none"/>
        </w:rPr>
        <w:t>32.3.1 采购人将把合同授予经确认的中标人。</w:t>
      </w:r>
    </w:p>
    <w:p>
      <w:pPr>
        <w:shd w:val="clear" w:color="auto" w:fill="FFFFFF"/>
        <w:spacing w:before="156" w:beforeLines="50" w:after="156" w:afterLines="50" w:line="440" w:lineRule="exact"/>
        <w:jc w:val="center"/>
        <w:rPr>
          <w:rFonts w:ascii="宋体" w:hAnsi="宋体" w:cs="宋体"/>
          <w:b/>
          <w:color w:val="auto"/>
          <w:kern w:val="0"/>
          <w:sz w:val="24"/>
          <w:highlight w:val="none"/>
        </w:rPr>
      </w:pPr>
      <w:bookmarkStart w:id="90" w:name="_Toc37090999"/>
      <w:bookmarkStart w:id="91" w:name="_Toc16518"/>
      <w:bookmarkStart w:id="92" w:name="_Toc37090663"/>
      <w:r>
        <w:rPr>
          <w:rFonts w:hint="eastAsia" w:ascii="宋体" w:hAnsi="宋体" w:cs="宋体"/>
          <w:b/>
          <w:color w:val="auto"/>
          <w:kern w:val="0"/>
          <w:sz w:val="24"/>
          <w:highlight w:val="none"/>
        </w:rPr>
        <w:t>（九） 中标通知书</w:t>
      </w:r>
      <w:bookmarkEnd w:id="90"/>
      <w:bookmarkEnd w:id="91"/>
      <w:bookmarkEnd w:id="92"/>
    </w:p>
    <w:p>
      <w:pPr>
        <w:spacing w:line="440" w:lineRule="exact"/>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33.中标通知书</w:t>
      </w:r>
    </w:p>
    <w:p>
      <w:pPr>
        <w:shd w:val="clear" w:color="auto" w:fill="FFFFFF"/>
        <w:spacing w:line="440" w:lineRule="exact"/>
        <w:ind w:firstLine="484" w:firstLineChars="202"/>
        <w:rPr>
          <w:rFonts w:ascii="宋体" w:hAnsi="宋体" w:cs="宋体"/>
          <w:color w:val="auto"/>
          <w:sz w:val="24"/>
          <w:highlight w:val="none"/>
        </w:rPr>
      </w:pPr>
      <w:r>
        <w:rPr>
          <w:rFonts w:hint="eastAsia" w:ascii="宋体" w:hAnsi="宋体" w:cs="宋体"/>
          <w:color w:val="auto"/>
          <w:kern w:val="0"/>
          <w:sz w:val="24"/>
          <w:highlight w:val="none"/>
        </w:rPr>
        <w:t>33.1采购人依据评标委员会推荐的中标候选人排序确定排名第一的中标候选人为中标人后，采购代理机构将在新疆政府采购网（www.ccgp-xinjiang.gov.cn）上发布中标结果公告</w:t>
      </w:r>
      <w:r>
        <w:rPr>
          <w:rFonts w:hint="eastAsia" w:ascii="宋体" w:hAnsi="宋体" w:cs="宋体"/>
          <w:color w:val="auto"/>
          <w:sz w:val="24"/>
          <w:highlight w:val="none"/>
        </w:rPr>
        <w:t>，公告期限为1工作日，同时向中标人发出《中标通知书》。</w:t>
      </w:r>
    </w:p>
    <w:p>
      <w:pPr>
        <w:shd w:val="clear" w:color="auto" w:fill="FFFFFF"/>
        <w:spacing w:line="440" w:lineRule="exact"/>
        <w:ind w:firstLine="484" w:firstLineChars="202"/>
        <w:rPr>
          <w:rFonts w:ascii="宋体" w:hAnsi="宋体" w:cs="宋体"/>
          <w:color w:val="auto"/>
          <w:kern w:val="0"/>
          <w:sz w:val="24"/>
          <w:highlight w:val="none"/>
        </w:rPr>
      </w:pPr>
      <w:r>
        <w:rPr>
          <w:rFonts w:hint="eastAsia" w:ascii="宋体" w:hAnsi="宋体" w:cs="宋体"/>
          <w:color w:val="auto"/>
          <w:kern w:val="0"/>
          <w:sz w:val="24"/>
          <w:highlight w:val="none"/>
        </w:rPr>
        <w:t xml:space="preserve">33.2《中标通知书》对中标人和中标人具有法律约束力。《中标通知书》发出后，采购人不得违法改变中标结果，中标人无正当理由不得放弃中标。 </w:t>
      </w:r>
    </w:p>
    <w:p>
      <w:pPr>
        <w:shd w:val="clear" w:color="auto" w:fill="FFFFFF"/>
        <w:spacing w:before="156" w:beforeLines="50" w:after="156" w:afterLines="50" w:line="440" w:lineRule="exact"/>
        <w:jc w:val="center"/>
        <w:rPr>
          <w:rFonts w:ascii="宋体" w:hAnsi="宋体" w:cs="宋体"/>
          <w:b/>
          <w:color w:val="auto"/>
          <w:kern w:val="0"/>
          <w:sz w:val="24"/>
          <w:highlight w:val="none"/>
        </w:rPr>
      </w:pPr>
      <w:bookmarkStart w:id="93" w:name="_Toc17984"/>
      <w:bookmarkStart w:id="94" w:name="_Toc37091000"/>
      <w:bookmarkStart w:id="95" w:name="_Toc37090664"/>
      <w:r>
        <w:rPr>
          <w:rFonts w:hint="eastAsia" w:ascii="宋体" w:hAnsi="宋体" w:cs="宋体"/>
          <w:b/>
          <w:color w:val="auto"/>
          <w:kern w:val="0"/>
          <w:sz w:val="24"/>
          <w:highlight w:val="none"/>
        </w:rPr>
        <w:t>（十）合同的签订</w:t>
      </w:r>
      <w:bookmarkEnd w:id="93"/>
    </w:p>
    <w:p>
      <w:pPr>
        <w:spacing w:line="440" w:lineRule="exact"/>
        <w:ind w:firstLine="482" w:firstLineChars="200"/>
        <w:rPr>
          <w:rFonts w:ascii="宋体" w:hAnsi="宋体" w:cs="宋体"/>
          <w:b/>
          <w:bCs/>
          <w:color w:val="auto"/>
          <w:sz w:val="24"/>
          <w:highlight w:val="none"/>
        </w:rPr>
      </w:pPr>
      <w:bookmarkStart w:id="96" w:name="_Toc1090"/>
      <w:r>
        <w:rPr>
          <w:rFonts w:hint="eastAsia" w:ascii="宋体" w:hAnsi="宋体" w:cs="宋体"/>
          <w:b/>
          <w:bCs/>
          <w:color w:val="auto"/>
          <w:sz w:val="24"/>
          <w:highlight w:val="none"/>
        </w:rPr>
        <w:t>34. 合同的签订</w:t>
      </w:r>
      <w:bookmarkEnd w:id="94"/>
      <w:bookmarkEnd w:id="95"/>
      <w:bookmarkEnd w:id="96"/>
    </w:p>
    <w:p>
      <w:pPr>
        <w:shd w:val="clear" w:color="auto" w:fill="FFFFFF"/>
        <w:spacing w:line="440" w:lineRule="exact"/>
        <w:ind w:firstLine="484" w:firstLineChars="202"/>
        <w:rPr>
          <w:rFonts w:ascii="宋体" w:hAnsi="宋体" w:cs="宋体"/>
          <w:color w:val="auto"/>
          <w:kern w:val="0"/>
          <w:sz w:val="24"/>
          <w:highlight w:val="none"/>
        </w:rPr>
      </w:pPr>
      <w:r>
        <w:rPr>
          <w:rFonts w:hint="eastAsia" w:ascii="宋体" w:hAnsi="宋体" w:cs="宋体"/>
          <w:color w:val="auto"/>
          <w:kern w:val="0"/>
          <w:sz w:val="24"/>
          <w:highlight w:val="none"/>
        </w:rPr>
        <w:t>34.1采购人应当自《中标通知书》发出之日起30日内，按照招标文件和中标人投标文件的规定，与中标人签订书面合同。所签订的合同不得对招标文件确定的事项和中标人投标文件作实质性修改。</w:t>
      </w:r>
    </w:p>
    <w:p>
      <w:pPr>
        <w:shd w:val="clear" w:color="auto" w:fill="FFFFFF"/>
        <w:spacing w:line="440" w:lineRule="exact"/>
        <w:ind w:firstLine="484" w:firstLineChars="202"/>
        <w:rPr>
          <w:rFonts w:ascii="宋体" w:hAnsi="宋体" w:cs="宋体"/>
          <w:color w:val="auto"/>
          <w:kern w:val="0"/>
          <w:sz w:val="24"/>
          <w:highlight w:val="none"/>
        </w:rPr>
      </w:pPr>
      <w:r>
        <w:rPr>
          <w:rFonts w:hint="eastAsia" w:ascii="宋体" w:hAnsi="宋体" w:cs="宋体"/>
          <w:color w:val="auto"/>
          <w:kern w:val="0"/>
          <w:sz w:val="24"/>
          <w:highlight w:val="none"/>
        </w:rPr>
        <w:t>34.2 招标文件要求中标人提交履约保证金或者其他形式履约担保的，中标人应当提交；拒绝提交的，视为放弃中标项目。</w:t>
      </w:r>
    </w:p>
    <w:p>
      <w:pPr>
        <w:shd w:val="clear" w:color="auto" w:fill="FFFFFF"/>
        <w:spacing w:line="440" w:lineRule="exact"/>
        <w:ind w:firstLine="484" w:firstLineChars="202"/>
        <w:rPr>
          <w:rFonts w:ascii="宋体" w:hAnsi="宋体" w:cs="宋体"/>
          <w:color w:val="auto"/>
          <w:kern w:val="0"/>
          <w:sz w:val="24"/>
          <w:highlight w:val="none"/>
        </w:rPr>
      </w:pPr>
      <w:r>
        <w:rPr>
          <w:rFonts w:hint="eastAsia" w:ascii="宋体" w:hAnsi="宋体" w:cs="宋体"/>
          <w:color w:val="auto"/>
          <w:kern w:val="0"/>
          <w:sz w:val="24"/>
          <w:highlight w:val="none"/>
        </w:rPr>
        <w:t>34.3 招标文件和中标人的投标文件均是该书面合同的附件。</w:t>
      </w:r>
    </w:p>
    <w:p>
      <w:pPr>
        <w:shd w:val="clear" w:color="auto" w:fill="FFFFFF"/>
        <w:spacing w:line="440" w:lineRule="exact"/>
        <w:ind w:firstLine="484" w:firstLineChars="202"/>
        <w:rPr>
          <w:rFonts w:ascii="宋体" w:hAnsi="宋体" w:cs="宋体"/>
          <w:color w:val="auto"/>
          <w:kern w:val="0"/>
          <w:sz w:val="24"/>
          <w:highlight w:val="none"/>
        </w:rPr>
      </w:pPr>
      <w:r>
        <w:rPr>
          <w:rFonts w:hint="eastAsia" w:ascii="宋体" w:hAnsi="宋体" w:cs="宋体"/>
          <w:color w:val="auto"/>
          <w:kern w:val="0"/>
          <w:sz w:val="24"/>
          <w:highlight w:val="none"/>
        </w:rPr>
        <w:t>34.4 中标人因不可抗力或自身原因不能履行采购合同的，采购人可以与排位在中标人之后第一位的中标候选人签订采购合同，以此类推。或采购人重新组织招标。</w:t>
      </w:r>
    </w:p>
    <w:p>
      <w:pPr>
        <w:shd w:val="clear" w:color="auto" w:fill="FFFFFF"/>
        <w:spacing w:line="440" w:lineRule="exact"/>
        <w:ind w:firstLine="484" w:firstLineChars="202"/>
        <w:rPr>
          <w:rFonts w:ascii="宋体" w:hAnsi="宋体" w:cs="宋体"/>
          <w:color w:val="auto"/>
          <w:kern w:val="0"/>
          <w:sz w:val="24"/>
          <w:highlight w:val="none"/>
        </w:rPr>
      </w:pPr>
      <w:r>
        <w:rPr>
          <w:rFonts w:hint="eastAsia" w:ascii="宋体" w:hAnsi="宋体" w:cs="宋体"/>
          <w:color w:val="auto"/>
          <w:kern w:val="0"/>
          <w:sz w:val="24"/>
          <w:highlight w:val="none"/>
        </w:rPr>
        <w:t>34.5 政府采购项目的采购合同自签订之日起七个工作日内，采购人应当将合同副本报同级政府采购监督管理部门和有关部门备案。</w:t>
      </w:r>
    </w:p>
    <w:p>
      <w:pPr>
        <w:shd w:val="clear" w:color="auto" w:fill="FFFFFF"/>
        <w:spacing w:before="156" w:beforeLines="50" w:after="156" w:afterLines="50" w:line="440" w:lineRule="exact"/>
        <w:jc w:val="center"/>
        <w:rPr>
          <w:rFonts w:ascii="宋体" w:hAnsi="宋体" w:cs="宋体"/>
          <w:b/>
          <w:color w:val="auto"/>
          <w:kern w:val="0"/>
          <w:sz w:val="24"/>
          <w:highlight w:val="none"/>
        </w:rPr>
      </w:pPr>
      <w:r>
        <w:rPr>
          <w:rFonts w:hint="eastAsia" w:ascii="宋体" w:hAnsi="宋体" w:cs="宋体"/>
          <w:b/>
          <w:color w:val="auto"/>
          <w:kern w:val="0"/>
          <w:sz w:val="24"/>
          <w:highlight w:val="none"/>
        </w:rPr>
        <w:t>（十</w:t>
      </w:r>
      <w:r>
        <w:rPr>
          <w:rFonts w:hint="eastAsia" w:ascii="宋体" w:hAnsi="宋体" w:cs="宋体"/>
          <w:b/>
          <w:color w:val="auto"/>
          <w:kern w:val="0"/>
          <w:sz w:val="24"/>
          <w:highlight w:val="none"/>
          <w:lang w:eastAsia="zh-CN"/>
        </w:rPr>
        <w:t>一</w:t>
      </w:r>
      <w:r>
        <w:rPr>
          <w:rFonts w:hint="eastAsia" w:ascii="宋体" w:hAnsi="宋体" w:cs="宋体"/>
          <w:b/>
          <w:color w:val="auto"/>
          <w:kern w:val="0"/>
          <w:sz w:val="24"/>
          <w:highlight w:val="none"/>
        </w:rPr>
        <w:t>）质疑与投诉</w:t>
      </w:r>
    </w:p>
    <w:p>
      <w:pPr>
        <w:shd w:val="clear" w:color="auto" w:fill="FFFFFF"/>
        <w:spacing w:line="440" w:lineRule="exact"/>
        <w:ind w:firstLine="472" w:firstLineChars="196"/>
        <w:rPr>
          <w:rFonts w:ascii="宋体" w:hAnsi="宋体" w:cs="宋体"/>
          <w:b/>
          <w:color w:val="auto"/>
          <w:sz w:val="24"/>
          <w:highlight w:val="none"/>
        </w:rPr>
      </w:pPr>
      <w:r>
        <w:rPr>
          <w:rFonts w:hint="eastAsia" w:ascii="宋体" w:hAnsi="宋体" w:cs="宋体"/>
          <w:b/>
          <w:color w:val="auto"/>
          <w:sz w:val="24"/>
          <w:highlight w:val="none"/>
        </w:rPr>
        <w:t>3</w:t>
      </w:r>
      <w:r>
        <w:rPr>
          <w:rFonts w:hint="eastAsia" w:ascii="宋体" w:hAnsi="宋体" w:cs="宋体"/>
          <w:b/>
          <w:color w:val="auto"/>
          <w:sz w:val="24"/>
          <w:highlight w:val="none"/>
          <w:lang w:val="en-US" w:eastAsia="zh-CN"/>
        </w:rPr>
        <w:t>5</w:t>
      </w:r>
      <w:r>
        <w:rPr>
          <w:rFonts w:hint="eastAsia" w:ascii="宋体" w:hAnsi="宋体" w:cs="宋体"/>
          <w:b/>
          <w:color w:val="auto"/>
          <w:sz w:val="24"/>
          <w:highlight w:val="none"/>
        </w:rPr>
        <w:t>.质疑与投诉</w:t>
      </w:r>
    </w:p>
    <w:p>
      <w:pPr>
        <w:shd w:val="clear" w:color="auto" w:fill="FFFFFF"/>
        <w:spacing w:line="440" w:lineRule="exact"/>
        <w:ind w:firstLine="484" w:firstLineChars="202"/>
        <w:rPr>
          <w:rFonts w:ascii="宋体" w:hAnsi="宋体" w:cs="宋体"/>
          <w:color w:val="auto"/>
          <w:sz w:val="24"/>
          <w:highlight w:val="none"/>
        </w:rPr>
      </w:pPr>
      <w:r>
        <w:rPr>
          <w:rFonts w:hint="eastAsia" w:ascii="宋体" w:hAnsi="宋体" w:cs="宋体"/>
          <w:color w:val="auto"/>
          <w:sz w:val="24"/>
          <w:highlight w:val="none"/>
        </w:rPr>
        <w:t>3</w:t>
      </w:r>
      <w:r>
        <w:rPr>
          <w:rFonts w:hint="eastAsia" w:ascii="宋体" w:hAnsi="宋体" w:cs="宋体"/>
          <w:color w:val="auto"/>
          <w:sz w:val="24"/>
          <w:highlight w:val="none"/>
          <w:lang w:val="en-US" w:eastAsia="zh-CN"/>
        </w:rPr>
        <w:t>5</w:t>
      </w:r>
      <w:r>
        <w:rPr>
          <w:rFonts w:hint="eastAsia" w:ascii="宋体" w:hAnsi="宋体" w:cs="宋体"/>
          <w:color w:val="auto"/>
          <w:sz w:val="24"/>
          <w:highlight w:val="none"/>
        </w:rPr>
        <w:t>.1供应商认为招标文件、采购过程、中标或者成交结果使自己的权益受到损害的，可以在知道或者应知其权益受到损害之日起七个工作日内，向采购人、采购代理机构提出质疑。供应商须在法定质疑期内一次性提出针对同一采购程序环节的质疑。</w:t>
      </w:r>
    </w:p>
    <w:p>
      <w:pPr>
        <w:shd w:val="clear" w:color="auto" w:fill="FFFFFF"/>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w:t>
      </w:r>
      <w:r>
        <w:rPr>
          <w:rFonts w:hint="eastAsia" w:ascii="宋体" w:hAnsi="宋体" w:cs="宋体"/>
          <w:color w:val="auto"/>
          <w:sz w:val="24"/>
          <w:highlight w:val="none"/>
          <w:lang w:val="en-US" w:eastAsia="zh-CN"/>
        </w:rPr>
        <w:t>5</w:t>
      </w:r>
      <w:r>
        <w:rPr>
          <w:rFonts w:hint="eastAsia" w:ascii="宋体" w:hAnsi="宋体" w:cs="宋体"/>
          <w:color w:val="auto"/>
          <w:sz w:val="24"/>
          <w:highlight w:val="none"/>
        </w:rPr>
        <w:t>.2质疑函的必备内容</w:t>
      </w:r>
    </w:p>
    <w:p>
      <w:pPr>
        <w:shd w:val="clear" w:color="auto" w:fill="FFFFFF"/>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w:t>
      </w:r>
      <w:r>
        <w:rPr>
          <w:rFonts w:hint="eastAsia" w:ascii="宋体" w:hAnsi="宋体" w:cs="宋体"/>
          <w:color w:val="auto"/>
          <w:sz w:val="24"/>
          <w:highlight w:val="none"/>
          <w:lang w:val="en-US" w:eastAsia="zh-CN"/>
        </w:rPr>
        <w:t>5</w:t>
      </w:r>
      <w:r>
        <w:rPr>
          <w:rFonts w:hint="eastAsia" w:ascii="宋体" w:hAnsi="宋体" w:cs="宋体"/>
          <w:color w:val="auto"/>
          <w:sz w:val="24"/>
          <w:highlight w:val="none"/>
        </w:rPr>
        <w:t>.2.1供应商提交的质疑函必须注明单位名称、地址、邮编、可供查询的单位和法定代表人或企业负责人的电话号码、联系人电话；</w:t>
      </w:r>
    </w:p>
    <w:p>
      <w:pPr>
        <w:shd w:val="clear" w:color="auto" w:fill="FFFFFF"/>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w:t>
      </w:r>
      <w:r>
        <w:rPr>
          <w:rFonts w:hint="eastAsia" w:ascii="宋体" w:hAnsi="宋体" w:cs="宋体"/>
          <w:color w:val="auto"/>
          <w:sz w:val="24"/>
          <w:highlight w:val="none"/>
          <w:lang w:val="en-US" w:eastAsia="zh-CN"/>
        </w:rPr>
        <w:t>5</w:t>
      </w:r>
      <w:r>
        <w:rPr>
          <w:rFonts w:hint="eastAsia" w:ascii="宋体" w:hAnsi="宋体" w:cs="宋体"/>
          <w:color w:val="auto"/>
          <w:sz w:val="24"/>
          <w:highlight w:val="none"/>
        </w:rPr>
        <w:t>.2.2质疑项目的名称、编号；</w:t>
      </w:r>
    </w:p>
    <w:p>
      <w:pPr>
        <w:shd w:val="clear" w:color="auto" w:fill="FFFFFF"/>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w:t>
      </w:r>
      <w:r>
        <w:rPr>
          <w:rFonts w:hint="eastAsia" w:ascii="宋体" w:hAnsi="宋体" w:cs="宋体"/>
          <w:color w:val="auto"/>
          <w:sz w:val="24"/>
          <w:highlight w:val="none"/>
          <w:lang w:val="en-US" w:eastAsia="zh-CN"/>
        </w:rPr>
        <w:t>5</w:t>
      </w:r>
      <w:r>
        <w:rPr>
          <w:rFonts w:hint="eastAsia" w:ascii="宋体" w:hAnsi="宋体" w:cs="宋体"/>
          <w:color w:val="auto"/>
          <w:sz w:val="24"/>
          <w:highlight w:val="none"/>
        </w:rPr>
        <w:t>.2.3具体质疑事项和与质疑事项相关的请求；</w:t>
      </w:r>
    </w:p>
    <w:p>
      <w:pPr>
        <w:shd w:val="clear" w:color="auto" w:fill="FFFFFF"/>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w:t>
      </w:r>
      <w:r>
        <w:rPr>
          <w:rFonts w:hint="eastAsia" w:ascii="宋体" w:hAnsi="宋体" w:cs="宋体"/>
          <w:color w:val="auto"/>
          <w:sz w:val="24"/>
          <w:highlight w:val="none"/>
          <w:lang w:val="en-US" w:eastAsia="zh-CN"/>
        </w:rPr>
        <w:t>5</w:t>
      </w:r>
      <w:r>
        <w:rPr>
          <w:rFonts w:hint="eastAsia" w:ascii="宋体" w:hAnsi="宋体" w:cs="宋体"/>
          <w:color w:val="auto"/>
          <w:sz w:val="24"/>
          <w:highlight w:val="none"/>
        </w:rPr>
        <w:t>.2.4事实依据；</w:t>
      </w:r>
    </w:p>
    <w:p>
      <w:pPr>
        <w:shd w:val="clear" w:color="auto" w:fill="FFFFFF"/>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w:t>
      </w:r>
      <w:r>
        <w:rPr>
          <w:rFonts w:hint="eastAsia" w:ascii="宋体" w:hAnsi="宋体" w:cs="宋体"/>
          <w:color w:val="auto"/>
          <w:sz w:val="24"/>
          <w:highlight w:val="none"/>
          <w:lang w:val="en-US" w:eastAsia="zh-CN"/>
        </w:rPr>
        <w:t>5</w:t>
      </w:r>
      <w:r>
        <w:rPr>
          <w:rFonts w:hint="eastAsia" w:ascii="宋体" w:hAnsi="宋体" w:cs="宋体"/>
          <w:color w:val="auto"/>
          <w:sz w:val="24"/>
          <w:highlight w:val="none"/>
        </w:rPr>
        <w:t>.2.5提起质疑的日期；</w:t>
      </w:r>
    </w:p>
    <w:p>
      <w:pPr>
        <w:shd w:val="clear" w:color="auto" w:fill="FFFFFF"/>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w:t>
      </w:r>
      <w:r>
        <w:rPr>
          <w:rFonts w:hint="eastAsia" w:ascii="宋体" w:hAnsi="宋体" w:cs="宋体"/>
          <w:color w:val="auto"/>
          <w:sz w:val="24"/>
          <w:highlight w:val="none"/>
          <w:lang w:val="en-US" w:eastAsia="zh-CN"/>
        </w:rPr>
        <w:t>5</w:t>
      </w:r>
      <w:r>
        <w:rPr>
          <w:rFonts w:hint="eastAsia" w:ascii="宋体" w:hAnsi="宋体" w:cs="宋体"/>
          <w:color w:val="auto"/>
          <w:sz w:val="24"/>
          <w:highlight w:val="none"/>
        </w:rPr>
        <w:t>.2.6质疑函须加盖单位公章，由法定代表人或企业负责人签章。</w:t>
      </w:r>
    </w:p>
    <w:p>
      <w:pPr>
        <w:shd w:val="clear" w:color="auto" w:fill="FFFFFF"/>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w:t>
      </w:r>
      <w:r>
        <w:rPr>
          <w:rFonts w:hint="eastAsia" w:ascii="宋体" w:hAnsi="宋体" w:cs="宋体"/>
          <w:color w:val="auto"/>
          <w:sz w:val="24"/>
          <w:highlight w:val="none"/>
          <w:lang w:val="en-US" w:eastAsia="zh-CN"/>
        </w:rPr>
        <w:t>5</w:t>
      </w:r>
      <w:r>
        <w:rPr>
          <w:rFonts w:hint="eastAsia" w:ascii="宋体" w:hAnsi="宋体" w:cs="宋体"/>
          <w:color w:val="auto"/>
          <w:sz w:val="24"/>
          <w:highlight w:val="none"/>
        </w:rPr>
        <w:t>.2.7委托代理人递交质疑函的，还须提交委托质疑事项的授权委托书（附法定代表人或企业负责人和被授权人的身份证正反面），加盖单位公章和法定代表人或企业负责人签章和被授权人签字，同时出示被授权人身份证。</w:t>
      </w:r>
    </w:p>
    <w:p>
      <w:pPr>
        <w:shd w:val="clear" w:color="auto" w:fill="FFFFFF"/>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w:t>
      </w:r>
      <w:r>
        <w:rPr>
          <w:rFonts w:hint="eastAsia" w:ascii="宋体" w:hAnsi="宋体" w:cs="宋体"/>
          <w:color w:val="auto"/>
          <w:sz w:val="24"/>
          <w:highlight w:val="none"/>
          <w:lang w:val="en-US" w:eastAsia="zh-CN"/>
        </w:rPr>
        <w:t>5</w:t>
      </w:r>
      <w:r>
        <w:rPr>
          <w:rFonts w:hint="eastAsia" w:ascii="宋体" w:hAnsi="宋体" w:cs="宋体"/>
          <w:color w:val="auto"/>
          <w:sz w:val="24"/>
          <w:highlight w:val="none"/>
        </w:rPr>
        <w:t>.3质疑应符合下列条件：</w:t>
      </w:r>
    </w:p>
    <w:p>
      <w:pPr>
        <w:shd w:val="clear" w:color="auto" w:fill="FFFFFF"/>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w:t>
      </w:r>
      <w:r>
        <w:rPr>
          <w:rFonts w:hint="eastAsia" w:ascii="宋体" w:hAnsi="宋体" w:cs="宋体"/>
          <w:color w:val="auto"/>
          <w:sz w:val="24"/>
          <w:highlight w:val="none"/>
          <w:lang w:val="en-US" w:eastAsia="zh-CN"/>
        </w:rPr>
        <w:t>5</w:t>
      </w:r>
      <w:r>
        <w:rPr>
          <w:rFonts w:hint="eastAsia" w:ascii="宋体" w:hAnsi="宋体" w:cs="宋体"/>
          <w:color w:val="auto"/>
          <w:sz w:val="24"/>
          <w:highlight w:val="none"/>
        </w:rPr>
        <w:t>.3.1质疑人是参与所质疑项目的采购活动的供应商；</w:t>
      </w:r>
    </w:p>
    <w:p>
      <w:pPr>
        <w:shd w:val="clear" w:color="auto" w:fill="FFFFFF"/>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w:t>
      </w:r>
      <w:r>
        <w:rPr>
          <w:rFonts w:hint="eastAsia" w:ascii="宋体" w:hAnsi="宋体" w:cs="宋体"/>
          <w:color w:val="auto"/>
          <w:sz w:val="24"/>
          <w:highlight w:val="none"/>
          <w:lang w:val="en-US" w:eastAsia="zh-CN"/>
        </w:rPr>
        <w:t>5</w:t>
      </w:r>
      <w:r>
        <w:rPr>
          <w:rFonts w:hint="eastAsia" w:ascii="宋体" w:hAnsi="宋体" w:cs="宋体"/>
          <w:color w:val="auto"/>
          <w:sz w:val="24"/>
          <w:highlight w:val="none"/>
        </w:rPr>
        <w:t>.3.2质疑函内容符合相关的规定；</w:t>
      </w:r>
    </w:p>
    <w:p>
      <w:pPr>
        <w:shd w:val="clear" w:color="auto" w:fill="FFFFFF"/>
        <w:tabs>
          <w:tab w:val="left" w:pos="929"/>
        </w:tabs>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w:t>
      </w:r>
      <w:r>
        <w:rPr>
          <w:rFonts w:hint="eastAsia" w:ascii="宋体" w:hAnsi="宋体" w:cs="宋体"/>
          <w:color w:val="auto"/>
          <w:sz w:val="24"/>
          <w:highlight w:val="none"/>
          <w:lang w:val="en-US" w:eastAsia="zh-CN"/>
        </w:rPr>
        <w:t>5</w:t>
      </w:r>
      <w:r>
        <w:rPr>
          <w:rFonts w:hint="eastAsia" w:ascii="宋体" w:hAnsi="宋体" w:cs="宋体"/>
          <w:color w:val="auto"/>
          <w:sz w:val="24"/>
          <w:highlight w:val="none"/>
        </w:rPr>
        <w:t>.3.3在规定的有效期限内提起质疑；</w:t>
      </w:r>
    </w:p>
    <w:p>
      <w:pPr>
        <w:shd w:val="clear" w:color="auto" w:fill="FFFFFF"/>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w:t>
      </w:r>
      <w:r>
        <w:rPr>
          <w:rFonts w:hint="eastAsia" w:ascii="宋体" w:hAnsi="宋体" w:cs="宋体"/>
          <w:color w:val="auto"/>
          <w:sz w:val="24"/>
          <w:highlight w:val="none"/>
          <w:lang w:val="en-US" w:eastAsia="zh-CN"/>
        </w:rPr>
        <w:t>5</w:t>
      </w:r>
      <w:r>
        <w:rPr>
          <w:rFonts w:hint="eastAsia" w:ascii="宋体" w:hAnsi="宋体" w:cs="宋体"/>
          <w:color w:val="auto"/>
          <w:sz w:val="24"/>
          <w:highlight w:val="none"/>
        </w:rPr>
        <w:t>.3.4招投标监管部门规定的其他条件。</w:t>
      </w:r>
    </w:p>
    <w:p>
      <w:pPr>
        <w:shd w:val="clear" w:color="auto" w:fill="FFFFFF"/>
        <w:spacing w:line="440" w:lineRule="exact"/>
        <w:ind w:firstLine="484" w:firstLineChars="202"/>
        <w:rPr>
          <w:rFonts w:ascii="宋体" w:hAnsi="宋体" w:cs="宋体"/>
          <w:color w:val="auto"/>
          <w:sz w:val="24"/>
          <w:highlight w:val="none"/>
        </w:rPr>
      </w:pPr>
      <w:r>
        <w:rPr>
          <w:rFonts w:hint="eastAsia" w:ascii="宋体" w:hAnsi="宋体" w:cs="宋体"/>
          <w:color w:val="auto"/>
          <w:sz w:val="24"/>
          <w:highlight w:val="none"/>
        </w:rPr>
        <w:t>3</w:t>
      </w:r>
      <w:r>
        <w:rPr>
          <w:rFonts w:hint="eastAsia" w:ascii="宋体" w:hAnsi="宋体" w:cs="宋体"/>
          <w:color w:val="auto"/>
          <w:sz w:val="24"/>
          <w:highlight w:val="none"/>
          <w:lang w:val="en-US" w:eastAsia="zh-CN"/>
        </w:rPr>
        <w:t>5</w:t>
      </w:r>
      <w:r>
        <w:rPr>
          <w:rFonts w:hint="eastAsia" w:ascii="宋体" w:hAnsi="宋体" w:cs="宋体"/>
          <w:color w:val="auto"/>
          <w:sz w:val="24"/>
          <w:highlight w:val="none"/>
        </w:rPr>
        <w:t>.4采购人在收到供应商的书面质疑后七个工作日内作出答复，并以书面形式通知质疑供应商和其他有关供应商，但答复的内容不涉及商业秘密。作出答复前，将暂停招标投标活动。</w:t>
      </w:r>
    </w:p>
    <w:p>
      <w:pPr>
        <w:shd w:val="clear" w:color="auto" w:fill="FFFFFF"/>
        <w:adjustRightInd w:val="0"/>
        <w:snapToGrid w:val="0"/>
        <w:spacing w:line="440" w:lineRule="exact"/>
        <w:ind w:firstLine="480" w:firstLineChars="200"/>
        <w:rPr>
          <w:rFonts w:ascii="宋体" w:hAnsi="宋体" w:cs="宋体"/>
          <w:color w:val="auto"/>
          <w:kern w:val="0"/>
          <w:sz w:val="24"/>
          <w:highlight w:val="none"/>
        </w:rPr>
      </w:pPr>
      <w:r>
        <w:rPr>
          <w:rFonts w:hint="eastAsia" w:ascii="宋体" w:hAnsi="宋体" w:cs="宋体"/>
          <w:color w:val="auto"/>
          <w:sz w:val="24"/>
          <w:highlight w:val="none"/>
        </w:rPr>
        <w:t>3</w:t>
      </w:r>
      <w:r>
        <w:rPr>
          <w:rFonts w:hint="eastAsia" w:ascii="宋体" w:hAnsi="宋体" w:cs="宋体"/>
          <w:color w:val="auto"/>
          <w:sz w:val="24"/>
          <w:highlight w:val="none"/>
          <w:lang w:val="en-US" w:eastAsia="zh-CN"/>
        </w:rPr>
        <w:t>5</w:t>
      </w:r>
      <w:r>
        <w:rPr>
          <w:rFonts w:hint="eastAsia" w:ascii="宋体" w:hAnsi="宋体" w:cs="宋体"/>
          <w:color w:val="auto"/>
          <w:sz w:val="24"/>
          <w:highlight w:val="none"/>
        </w:rPr>
        <w:t>.5提出质疑的供应商对答复不满意的，可以在答复期满后十五个工作日内向同级政府招标监督管理部门投诉。政府招标监督管理部门应当在收到投诉三十个工作日内，对投诉事项作出处理决定，并以书面形式通知投诉人和与投诉事项相关的当事人。</w:t>
      </w:r>
    </w:p>
    <w:p>
      <w:pPr>
        <w:shd w:val="clear" w:color="auto" w:fill="FFFFFF"/>
        <w:spacing w:before="156" w:beforeLines="50" w:after="156" w:afterLines="50" w:line="440" w:lineRule="exact"/>
        <w:jc w:val="center"/>
        <w:rPr>
          <w:rFonts w:ascii="宋体" w:hAnsi="宋体" w:cs="宋体"/>
          <w:b/>
          <w:color w:val="auto"/>
          <w:kern w:val="0"/>
          <w:sz w:val="24"/>
          <w:highlight w:val="none"/>
        </w:rPr>
      </w:pPr>
      <w:bookmarkStart w:id="97" w:name="_Toc37091001"/>
      <w:bookmarkStart w:id="98" w:name="_Toc37090665"/>
      <w:r>
        <w:rPr>
          <w:rFonts w:hint="eastAsia" w:ascii="宋体" w:hAnsi="宋体" w:cs="宋体"/>
          <w:b/>
          <w:color w:val="auto"/>
          <w:kern w:val="0"/>
          <w:sz w:val="24"/>
          <w:highlight w:val="none"/>
        </w:rPr>
        <w:t>（十</w:t>
      </w:r>
      <w:r>
        <w:rPr>
          <w:rFonts w:hint="eastAsia" w:ascii="宋体" w:hAnsi="宋体" w:cs="宋体"/>
          <w:b/>
          <w:color w:val="auto"/>
          <w:kern w:val="0"/>
          <w:sz w:val="24"/>
          <w:highlight w:val="none"/>
          <w:lang w:eastAsia="zh-CN"/>
        </w:rPr>
        <w:t>二</w:t>
      </w:r>
      <w:r>
        <w:rPr>
          <w:rFonts w:hint="eastAsia" w:ascii="宋体" w:hAnsi="宋体" w:cs="宋体"/>
          <w:b/>
          <w:color w:val="auto"/>
          <w:kern w:val="0"/>
          <w:sz w:val="24"/>
          <w:highlight w:val="none"/>
        </w:rPr>
        <w:t>）履约担保（本项目不适用）</w:t>
      </w:r>
    </w:p>
    <w:p>
      <w:pPr>
        <w:spacing w:line="440" w:lineRule="exact"/>
        <w:ind w:firstLine="482" w:firstLineChars="200"/>
        <w:rPr>
          <w:rFonts w:ascii="宋体" w:hAnsi="宋体" w:cs="宋体"/>
          <w:b/>
          <w:bCs/>
          <w:color w:val="auto"/>
          <w:sz w:val="24"/>
          <w:highlight w:val="none"/>
        </w:rPr>
      </w:pPr>
      <w:bookmarkStart w:id="99" w:name="_Toc18714"/>
      <w:r>
        <w:rPr>
          <w:rFonts w:hint="eastAsia" w:ascii="宋体" w:hAnsi="宋体" w:cs="宋体"/>
          <w:b/>
          <w:bCs/>
          <w:color w:val="auto"/>
          <w:sz w:val="24"/>
          <w:highlight w:val="none"/>
        </w:rPr>
        <w:t>3</w:t>
      </w:r>
      <w:r>
        <w:rPr>
          <w:rFonts w:hint="eastAsia" w:ascii="宋体" w:hAnsi="宋体" w:cs="宋体"/>
          <w:b/>
          <w:bCs/>
          <w:color w:val="auto"/>
          <w:sz w:val="24"/>
          <w:highlight w:val="none"/>
          <w:lang w:val="en-US" w:eastAsia="zh-CN"/>
        </w:rPr>
        <w:t>6</w:t>
      </w:r>
      <w:r>
        <w:rPr>
          <w:rFonts w:hint="eastAsia" w:ascii="宋体" w:hAnsi="宋体" w:cs="宋体"/>
          <w:b/>
          <w:bCs/>
          <w:color w:val="auto"/>
          <w:sz w:val="24"/>
          <w:highlight w:val="none"/>
        </w:rPr>
        <w:t>. 履约担保</w:t>
      </w:r>
      <w:bookmarkEnd w:id="97"/>
      <w:bookmarkEnd w:id="98"/>
      <w:bookmarkEnd w:id="99"/>
    </w:p>
    <w:p>
      <w:pPr>
        <w:shd w:val="clear" w:color="auto" w:fill="FFFFFF"/>
        <w:adjustRightInd w:val="0"/>
        <w:snapToGrid w:val="0"/>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w:t>
      </w:r>
      <w:r>
        <w:rPr>
          <w:rFonts w:hint="eastAsia" w:ascii="宋体" w:hAnsi="宋体" w:cs="宋体"/>
          <w:color w:val="auto"/>
          <w:sz w:val="24"/>
          <w:highlight w:val="none"/>
          <w:lang w:val="en-US" w:eastAsia="zh-CN"/>
        </w:rPr>
        <w:t>6</w:t>
      </w:r>
      <w:r>
        <w:rPr>
          <w:rFonts w:hint="eastAsia" w:ascii="宋体" w:hAnsi="宋体" w:cs="宋体"/>
          <w:color w:val="auto"/>
          <w:sz w:val="24"/>
          <w:highlight w:val="none"/>
        </w:rPr>
        <w:t>.1 中标人须在与采购人签署合同前按招标文件有关要求提交履约担保。中标人应按照下列规定的方式和金额向采购人提交履约担保。</w:t>
      </w:r>
    </w:p>
    <w:p>
      <w:pPr>
        <w:shd w:val="clear" w:color="auto" w:fill="FFFFFF"/>
        <w:adjustRightInd w:val="0"/>
        <w:snapToGrid w:val="0"/>
        <w:spacing w:line="440" w:lineRule="exact"/>
        <w:ind w:firstLine="480" w:firstLineChars="200"/>
        <w:rPr>
          <w:rFonts w:ascii="宋体" w:hAnsi="宋体" w:cs="宋体"/>
          <w:color w:val="auto"/>
          <w:sz w:val="24"/>
          <w:highlight w:val="none"/>
        </w:rPr>
      </w:pPr>
      <w:bookmarkStart w:id="100" w:name="_Toc37091002"/>
      <w:bookmarkStart w:id="101" w:name="_Toc30886"/>
      <w:bookmarkStart w:id="102" w:name="_Toc37090666"/>
      <w:r>
        <w:rPr>
          <w:rFonts w:hint="eastAsia" w:ascii="宋体" w:hAnsi="宋体" w:cs="宋体"/>
          <w:color w:val="auto"/>
          <w:sz w:val="24"/>
          <w:highlight w:val="none"/>
        </w:rPr>
        <w:t>3</w:t>
      </w:r>
      <w:r>
        <w:rPr>
          <w:rFonts w:hint="eastAsia" w:ascii="宋体" w:hAnsi="宋体" w:cs="宋体"/>
          <w:color w:val="auto"/>
          <w:sz w:val="24"/>
          <w:highlight w:val="none"/>
          <w:lang w:val="en-US" w:eastAsia="zh-CN"/>
        </w:rPr>
        <w:t>6</w:t>
      </w:r>
      <w:r>
        <w:rPr>
          <w:rFonts w:hint="eastAsia" w:ascii="宋体" w:hAnsi="宋体" w:cs="宋体"/>
          <w:color w:val="auto"/>
          <w:sz w:val="24"/>
          <w:highlight w:val="none"/>
        </w:rPr>
        <w:t>.2 履约担保采用下列</w:t>
      </w:r>
      <w:r>
        <w:rPr>
          <w:rFonts w:hint="eastAsia" w:ascii="宋体" w:hAnsi="宋体" w:cs="宋体"/>
          <w:color w:val="auto"/>
          <w:sz w:val="24"/>
          <w:highlight w:val="none"/>
          <w:u w:val="single"/>
        </w:rPr>
        <w:t xml:space="preserve">  /  </w:t>
      </w:r>
      <w:r>
        <w:rPr>
          <w:rFonts w:hint="eastAsia" w:ascii="宋体" w:hAnsi="宋体" w:cs="宋体"/>
          <w:color w:val="auto"/>
          <w:sz w:val="24"/>
          <w:highlight w:val="none"/>
        </w:rPr>
        <w:t>方式</w:t>
      </w:r>
      <w:bookmarkEnd w:id="100"/>
      <w:bookmarkEnd w:id="101"/>
      <w:bookmarkEnd w:id="102"/>
    </w:p>
    <w:p>
      <w:pPr>
        <w:shd w:val="clear" w:color="auto" w:fill="FFFFFF"/>
        <w:adjustRightInd w:val="0"/>
        <w:snapToGrid w:val="0"/>
        <w:spacing w:line="44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3</w:t>
      </w:r>
      <w:r>
        <w:rPr>
          <w:rFonts w:hint="eastAsia" w:ascii="宋体" w:hAnsi="宋体" w:cs="宋体"/>
          <w:color w:val="auto"/>
          <w:sz w:val="24"/>
          <w:highlight w:val="none"/>
          <w:lang w:val="en-US" w:eastAsia="zh-CN"/>
        </w:rPr>
        <w:t>6</w:t>
      </w:r>
      <w:r>
        <w:rPr>
          <w:rFonts w:hint="eastAsia" w:ascii="宋体" w:hAnsi="宋体" w:cs="宋体"/>
          <w:color w:val="auto"/>
          <w:sz w:val="24"/>
          <w:highlight w:val="none"/>
        </w:rPr>
        <w:t>.2.1 履约保证金担保方式：</w:t>
      </w:r>
      <w:r>
        <w:rPr>
          <w:rFonts w:hint="eastAsia" w:ascii="宋体" w:hAnsi="宋体" w:cs="宋体"/>
          <w:color w:val="auto"/>
          <w:sz w:val="24"/>
          <w:highlight w:val="none"/>
          <w:u w:val="single"/>
        </w:rPr>
        <w:t xml:space="preserve"> / </w:t>
      </w:r>
    </w:p>
    <w:p>
      <w:pPr>
        <w:shd w:val="clear" w:color="auto" w:fill="FFFFFF"/>
        <w:spacing w:line="440" w:lineRule="exact"/>
        <w:ind w:firstLine="480" w:firstLineChars="200"/>
        <w:rPr>
          <w:rFonts w:ascii="宋体" w:hAnsi="宋体" w:cs="宋体"/>
          <w:color w:val="auto"/>
          <w:kern w:val="0"/>
          <w:sz w:val="24"/>
          <w:highlight w:val="none"/>
        </w:rPr>
      </w:pPr>
      <w:r>
        <w:rPr>
          <w:rFonts w:hint="eastAsia" w:ascii="宋体" w:hAnsi="宋体" w:cs="宋体"/>
          <w:color w:val="auto"/>
          <w:sz w:val="24"/>
          <w:highlight w:val="none"/>
        </w:rPr>
        <w:t>1） 银行汇票；2） 支票；</w:t>
      </w:r>
      <w:r>
        <w:rPr>
          <w:rFonts w:hint="eastAsia" w:ascii="宋体" w:hAnsi="宋体" w:cs="宋体"/>
          <w:color w:val="auto"/>
          <w:kern w:val="0"/>
          <w:sz w:val="24"/>
          <w:highlight w:val="none"/>
        </w:rPr>
        <w:t>3）银行转账；4）担保公司担保；</w:t>
      </w:r>
      <w:r>
        <w:rPr>
          <w:rFonts w:hint="eastAsia" w:ascii="宋体" w:hAnsi="宋体" w:cs="宋体"/>
          <w:color w:val="auto"/>
          <w:sz w:val="24"/>
          <w:highlight w:val="none"/>
        </w:rPr>
        <w:t>5）采购人与供应商协商确定的其他担保方式。</w:t>
      </w:r>
    </w:p>
    <w:p>
      <w:pPr>
        <w:shd w:val="clear" w:color="auto" w:fill="FFFFFF"/>
        <w:spacing w:line="440" w:lineRule="exact"/>
        <w:ind w:firstLine="484" w:firstLineChars="202"/>
        <w:rPr>
          <w:rFonts w:ascii="宋体" w:hAnsi="宋体" w:cs="宋体"/>
          <w:color w:val="auto"/>
          <w:kern w:val="0"/>
          <w:sz w:val="24"/>
          <w:highlight w:val="none"/>
        </w:rPr>
      </w:pPr>
      <w:r>
        <w:rPr>
          <w:rFonts w:hint="eastAsia" w:ascii="宋体" w:hAnsi="宋体" w:cs="宋体"/>
          <w:color w:val="auto"/>
          <w:kern w:val="0"/>
          <w:sz w:val="24"/>
          <w:highlight w:val="none"/>
        </w:rPr>
        <w:t>3</w:t>
      </w:r>
      <w:r>
        <w:rPr>
          <w:rFonts w:hint="eastAsia" w:ascii="宋体" w:hAnsi="宋体" w:cs="宋体"/>
          <w:color w:val="auto"/>
          <w:kern w:val="0"/>
          <w:sz w:val="24"/>
          <w:highlight w:val="none"/>
          <w:lang w:val="en-US" w:eastAsia="zh-CN"/>
        </w:rPr>
        <w:t>6</w:t>
      </w:r>
      <w:r>
        <w:rPr>
          <w:rFonts w:hint="eastAsia" w:ascii="宋体" w:hAnsi="宋体" w:cs="宋体"/>
          <w:color w:val="auto"/>
          <w:kern w:val="0"/>
          <w:sz w:val="24"/>
          <w:highlight w:val="none"/>
        </w:rPr>
        <w:t>.2.3 如中标人不能按照投标须知第35条的规定执行，采购人将视为中标人放弃中标项目；已经订立合同的，采购人有充分理由解除合同，给采购人造成损失的，放弃中标项目的中标人应当赔偿。</w:t>
      </w:r>
    </w:p>
    <w:p>
      <w:pPr>
        <w:shd w:val="clear" w:color="auto" w:fill="FFFFFF"/>
        <w:spacing w:before="156" w:beforeLines="50" w:after="156" w:afterLines="50" w:line="440" w:lineRule="exact"/>
        <w:jc w:val="center"/>
        <w:rPr>
          <w:rFonts w:ascii="宋体" w:hAnsi="宋体" w:cs="宋体"/>
          <w:b/>
          <w:color w:val="auto"/>
          <w:kern w:val="0"/>
          <w:sz w:val="24"/>
          <w:highlight w:val="none"/>
        </w:rPr>
      </w:pPr>
      <w:bookmarkStart w:id="103" w:name="_Toc228180139"/>
      <w:r>
        <w:rPr>
          <w:rFonts w:hint="eastAsia" w:ascii="宋体" w:hAnsi="宋体" w:cs="宋体"/>
          <w:b/>
          <w:color w:val="auto"/>
          <w:kern w:val="0"/>
          <w:sz w:val="24"/>
          <w:highlight w:val="none"/>
        </w:rPr>
        <w:t>（十</w:t>
      </w:r>
      <w:r>
        <w:rPr>
          <w:rFonts w:hint="eastAsia" w:ascii="宋体" w:hAnsi="宋体" w:cs="宋体"/>
          <w:b/>
          <w:color w:val="auto"/>
          <w:kern w:val="0"/>
          <w:sz w:val="24"/>
          <w:highlight w:val="none"/>
          <w:lang w:eastAsia="zh-CN"/>
        </w:rPr>
        <w:t>三</w:t>
      </w:r>
      <w:r>
        <w:rPr>
          <w:rFonts w:hint="eastAsia" w:ascii="宋体" w:hAnsi="宋体" w:cs="宋体"/>
          <w:b/>
          <w:color w:val="auto"/>
          <w:kern w:val="0"/>
          <w:sz w:val="24"/>
          <w:highlight w:val="none"/>
        </w:rPr>
        <w:t>）其他</w:t>
      </w:r>
    </w:p>
    <w:p>
      <w:pPr>
        <w:shd w:val="clear" w:color="auto" w:fill="FFFFFF"/>
        <w:spacing w:line="440" w:lineRule="exact"/>
        <w:ind w:firstLine="487" w:firstLineChars="202"/>
        <w:rPr>
          <w:rFonts w:ascii="宋体" w:hAnsi="宋体" w:cs="宋体"/>
          <w:b/>
          <w:color w:val="auto"/>
          <w:kern w:val="0"/>
          <w:sz w:val="24"/>
          <w:highlight w:val="none"/>
        </w:rPr>
      </w:pPr>
      <w:r>
        <w:rPr>
          <w:rFonts w:hint="eastAsia" w:ascii="宋体" w:hAnsi="宋体" w:cs="宋体"/>
          <w:b/>
          <w:color w:val="auto"/>
          <w:kern w:val="0"/>
          <w:sz w:val="24"/>
          <w:highlight w:val="none"/>
        </w:rPr>
        <w:t>3</w:t>
      </w:r>
      <w:r>
        <w:rPr>
          <w:rFonts w:hint="eastAsia" w:ascii="宋体" w:hAnsi="宋体" w:cs="宋体"/>
          <w:b/>
          <w:color w:val="auto"/>
          <w:kern w:val="0"/>
          <w:sz w:val="24"/>
          <w:highlight w:val="none"/>
          <w:lang w:val="en-US" w:eastAsia="zh-CN"/>
        </w:rPr>
        <w:t>7</w:t>
      </w:r>
      <w:r>
        <w:rPr>
          <w:rFonts w:hint="eastAsia" w:ascii="宋体" w:hAnsi="宋体" w:cs="宋体"/>
          <w:b/>
          <w:color w:val="auto"/>
          <w:kern w:val="0"/>
          <w:sz w:val="24"/>
          <w:highlight w:val="none"/>
        </w:rPr>
        <w:t>.</w:t>
      </w:r>
      <w:bookmarkEnd w:id="103"/>
      <w:r>
        <w:rPr>
          <w:rFonts w:hint="eastAsia" w:ascii="宋体" w:hAnsi="宋体" w:cs="宋体"/>
          <w:b/>
          <w:color w:val="auto"/>
          <w:kern w:val="0"/>
          <w:sz w:val="24"/>
          <w:highlight w:val="none"/>
        </w:rPr>
        <w:t>中标服务费</w:t>
      </w:r>
    </w:p>
    <w:p>
      <w:pPr>
        <w:shd w:val="clear" w:color="auto" w:fill="FFFFFF"/>
        <w:spacing w:line="440" w:lineRule="exact"/>
        <w:ind w:firstLine="484" w:firstLineChars="202"/>
        <w:rPr>
          <w:rFonts w:ascii="宋体" w:hAnsi="宋体" w:cs="宋体"/>
          <w:color w:val="auto"/>
          <w:kern w:val="0"/>
          <w:sz w:val="24"/>
          <w:highlight w:val="none"/>
        </w:rPr>
      </w:pPr>
      <w:r>
        <w:rPr>
          <w:rFonts w:hint="eastAsia" w:ascii="宋体" w:hAnsi="宋体" w:cs="宋体"/>
          <w:color w:val="auto"/>
          <w:kern w:val="0"/>
          <w:sz w:val="24"/>
          <w:highlight w:val="none"/>
        </w:rPr>
        <w:t>3</w:t>
      </w:r>
      <w:r>
        <w:rPr>
          <w:rFonts w:hint="eastAsia" w:ascii="宋体" w:hAnsi="宋体" w:cs="宋体"/>
          <w:color w:val="auto"/>
          <w:kern w:val="0"/>
          <w:sz w:val="24"/>
          <w:highlight w:val="none"/>
          <w:lang w:val="en-US" w:eastAsia="zh-CN"/>
        </w:rPr>
        <w:t>7</w:t>
      </w:r>
      <w:r>
        <w:rPr>
          <w:rFonts w:hint="eastAsia" w:ascii="宋体" w:hAnsi="宋体" w:cs="宋体"/>
          <w:color w:val="auto"/>
          <w:kern w:val="0"/>
          <w:sz w:val="24"/>
          <w:highlight w:val="none"/>
        </w:rPr>
        <w:t>.1 中标人应按本招标文件的规定，在领取《中标通知书》时向采购代理机构一次性支付中标服务费。其计算标准和方法</w:t>
      </w:r>
      <w:r>
        <w:rPr>
          <w:rFonts w:hint="eastAsia" w:ascii="宋体" w:hAnsi="宋体" w:cs="宋体"/>
          <w:color w:val="auto"/>
          <w:sz w:val="24"/>
          <w:highlight w:val="none"/>
        </w:rPr>
        <w:t>参照发改价格[2011]534号文件规定标准</w:t>
      </w:r>
      <w:r>
        <w:rPr>
          <w:rFonts w:hint="eastAsia" w:ascii="宋体" w:hAnsi="宋体" w:cs="宋体"/>
          <w:color w:val="auto"/>
          <w:kern w:val="0"/>
          <w:sz w:val="24"/>
          <w:highlight w:val="none"/>
        </w:rPr>
        <w:t>执行。</w:t>
      </w:r>
    </w:p>
    <w:p>
      <w:pPr>
        <w:shd w:val="clear" w:color="auto" w:fill="FFFFFF"/>
        <w:spacing w:line="440" w:lineRule="exact"/>
        <w:ind w:firstLine="487" w:firstLineChars="202"/>
        <w:rPr>
          <w:rFonts w:ascii="宋体" w:hAnsi="宋体" w:cs="宋体"/>
          <w:b/>
          <w:color w:val="auto"/>
          <w:kern w:val="0"/>
          <w:sz w:val="24"/>
          <w:highlight w:val="none"/>
        </w:rPr>
      </w:pPr>
      <w:r>
        <w:rPr>
          <w:rFonts w:hint="eastAsia" w:ascii="宋体" w:hAnsi="宋体" w:cs="宋体"/>
          <w:b/>
          <w:color w:val="auto"/>
          <w:kern w:val="0"/>
          <w:sz w:val="24"/>
          <w:highlight w:val="none"/>
        </w:rPr>
        <w:t>3</w:t>
      </w:r>
      <w:r>
        <w:rPr>
          <w:rFonts w:hint="eastAsia" w:ascii="宋体" w:hAnsi="宋体" w:cs="宋体"/>
          <w:b/>
          <w:color w:val="auto"/>
          <w:kern w:val="0"/>
          <w:sz w:val="24"/>
          <w:highlight w:val="none"/>
          <w:lang w:val="en-US" w:eastAsia="zh-CN"/>
        </w:rPr>
        <w:t>7</w:t>
      </w:r>
      <w:r>
        <w:rPr>
          <w:rFonts w:hint="eastAsia" w:ascii="宋体" w:hAnsi="宋体" w:cs="宋体"/>
          <w:b/>
          <w:color w:val="auto"/>
          <w:kern w:val="0"/>
          <w:sz w:val="24"/>
          <w:highlight w:val="none"/>
        </w:rPr>
        <w:t>.2 中标服务费的计算基数是中标人投标报价的总金额，即中标通知书中载明的中标金额。</w:t>
      </w:r>
    </w:p>
    <w:p>
      <w:pPr>
        <w:spacing w:line="440" w:lineRule="exact"/>
        <w:ind w:firstLine="482" w:firstLineChars="200"/>
        <w:rPr>
          <w:rFonts w:ascii="宋体" w:hAnsi="宋体" w:cs="宋体"/>
          <w:b/>
          <w:bCs/>
          <w:color w:val="auto"/>
          <w:sz w:val="24"/>
          <w:highlight w:val="none"/>
        </w:rPr>
      </w:pPr>
      <w:bookmarkStart w:id="104" w:name="_Toc37090668"/>
      <w:bookmarkStart w:id="105" w:name="_Toc37091004"/>
      <w:bookmarkStart w:id="106" w:name="_Toc16311"/>
      <w:r>
        <w:rPr>
          <w:rFonts w:hint="eastAsia" w:ascii="宋体" w:hAnsi="宋体" w:cs="宋体"/>
          <w:b/>
          <w:bCs/>
          <w:color w:val="auto"/>
          <w:sz w:val="24"/>
          <w:highlight w:val="none"/>
        </w:rPr>
        <w:t>3</w:t>
      </w:r>
      <w:r>
        <w:rPr>
          <w:rFonts w:hint="eastAsia" w:ascii="宋体" w:hAnsi="宋体" w:cs="宋体"/>
          <w:b/>
          <w:bCs/>
          <w:color w:val="auto"/>
          <w:sz w:val="24"/>
          <w:highlight w:val="none"/>
          <w:lang w:val="en-US" w:eastAsia="zh-CN"/>
        </w:rPr>
        <w:t>8</w:t>
      </w:r>
      <w:r>
        <w:rPr>
          <w:rFonts w:hint="eastAsia" w:ascii="宋体" w:hAnsi="宋体" w:cs="宋体"/>
          <w:b/>
          <w:bCs/>
          <w:color w:val="auto"/>
          <w:sz w:val="24"/>
          <w:highlight w:val="none"/>
        </w:rPr>
        <w:t xml:space="preserve">. </w:t>
      </w:r>
      <w:bookmarkEnd w:id="104"/>
      <w:bookmarkEnd w:id="105"/>
      <w:r>
        <w:rPr>
          <w:rFonts w:hint="eastAsia" w:ascii="宋体" w:hAnsi="宋体" w:cs="宋体"/>
          <w:b/>
          <w:bCs/>
          <w:color w:val="auto"/>
          <w:sz w:val="24"/>
          <w:highlight w:val="none"/>
        </w:rPr>
        <w:t>招标文件的解释权</w:t>
      </w:r>
      <w:bookmarkEnd w:id="106"/>
    </w:p>
    <w:p>
      <w:pPr>
        <w:shd w:val="clear" w:color="auto" w:fill="FFFFFF"/>
        <w:spacing w:line="440" w:lineRule="exact"/>
        <w:ind w:firstLine="484" w:firstLineChars="202"/>
        <w:rPr>
          <w:rFonts w:ascii="宋体" w:hAnsi="宋体" w:cs="宋体"/>
          <w:color w:val="auto"/>
          <w:kern w:val="0"/>
          <w:sz w:val="24"/>
          <w:highlight w:val="none"/>
        </w:rPr>
      </w:pPr>
      <w:r>
        <w:rPr>
          <w:rFonts w:hint="eastAsia" w:ascii="宋体" w:hAnsi="宋体" w:cs="宋体"/>
          <w:color w:val="auto"/>
          <w:kern w:val="0"/>
          <w:sz w:val="24"/>
          <w:highlight w:val="none"/>
        </w:rPr>
        <w:t>本招标文件是根据《中华人民共和国政府采购法》及其实施条例（658号令）及《政府采购服务和服务招标投标管理办法》（87号令）规定编制的，解释权属新疆东南项目管理有限公司。</w:t>
      </w:r>
    </w:p>
    <w:p>
      <w:pPr>
        <w:shd w:val="clear" w:color="auto" w:fill="auto"/>
        <w:spacing w:before="101" w:line="224" w:lineRule="auto"/>
        <w:outlineLvl w:val="2"/>
        <w:rPr>
          <w:rFonts w:hint="eastAsia" w:ascii="宋体" w:hAnsi="宋体" w:eastAsia="宋体" w:cs="宋体"/>
          <w:color w:val="auto"/>
          <w:sz w:val="24"/>
          <w:highlight w:val="none"/>
        </w:rPr>
      </w:pPr>
      <w:r>
        <w:rPr>
          <w:rFonts w:ascii="宋体" w:hAnsi="宋体"/>
          <w:color w:val="auto"/>
          <w:sz w:val="18"/>
          <w:szCs w:val="18"/>
          <w:highlight w:val="none"/>
        </w:rPr>
        <w:br w:type="page"/>
      </w:r>
      <w:bookmarkStart w:id="107" w:name="_Toc110010424"/>
      <w:bookmarkStart w:id="108" w:name="_Toc21178"/>
      <w:bookmarkStart w:id="109" w:name="_Toc1224"/>
      <w:bookmarkStart w:id="110" w:name="_Hlk519787567"/>
      <w:r>
        <w:rPr>
          <w:rFonts w:hint="eastAsia" w:ascii="宋体" w:hAnsi="宋体" w:eastAsia="宋体" w:cs="宋体"/>
          <w:color w:val="auto"/>
          <w:spacing w:val="8"/>
          <w:sz w:val="24"/>
          <w:highlight w:val="none"/>
        </w:rPr>
        <w:t>附</w:t>
      </w:r>
      <w:r>
        <w:rPr>
          <w:rFonts w:hint="eastAsia" w:ascii="宋体" w:hAnsi="宋体" w:eastAsia="宋体" w:cs="宋体"/>
          <w:color w:val="auto"/>
          <w:spacing w:val="6"/>
          <w:sz w:val="24"/>
          <w:highlight w:val="none"/>
        </w:rPr>
        <w:t>件：质疑函范本</w:t>
      </w:r>
      <w:bookmarkEnd w:id="107"/>
      <w:bookmarkEnd w:id="108"/>
      <w:bookmarkEnd w:id="109"/>
    </w:p>
    <w:p>
      <w:pPr>
        <w:shd w:val="clear" w:color="auto" w:fill="auto"/>
        <w:spacing w:line="249" w:lineRule="auto"/>
        <w:rPr>
          <w:rFonts w:hint="eastAsia" w:ascii="宋体" w:hAnsi="宋体" w:eastAsia="宋体" w:cs="宋体"/>
          <w:color w:val="auto"/>
          <w:sz w:val="24"/>
          <w:highlight w:val="none"/>
        </w:rPr>
      </w:pPr>
    </w:p>
    <w:p>
      <w:pPr>
        <w:shd w:val="clear" w:color="auto" w:fill="auto"/>
        <w:spacing w:before="101" w:line="225" w:lineRule="auto"/>
        <w:ind w:left="3656"/>
        <w:rPr>
          <w:rFonts w:hint="eastAsia" w:ascii="宋体" w:hAnsi="宋体" w:eastAsia="宋体" w:cs="宋体"/>
          <w:color w:val="auto"/>
          <w:sz w:val="24"/>
          <w:highlight w:val="none"/>
        </w:rPr>
      </w:pPr>
      <w:r>
        <w:rPr>
          <w:rFonts w:hint="eastAsia" w:ascii="宋体" w:hAnsi="宋体" w:eastAsia="宋体" w:cs="宋体"/>
          <w:color w:val="auto"/>
          <w:spacing w:val="25"/>
          <w:sz w:val="24"/>
          <w:highlight w:val="none"/>
        </w:rPr>
        <w:t>质</w:t>
      </w:r>
      <w:r>
        <w:rPr>
          <w:rFonts w:hint="eastAsia" w:ascii="宋体" w:hAnsi="宋体" w:eastAsia="宋体" w:cs="宋体"/>
          <w:color w:val="auto"/>
          <w:spacing w:val="24"/>
          <w:sz w:val="24"/>
          <w:highlight w:val="none"/>
        </w:rPr>
        <w:t>疑函</w:t>
      </w:r>
    </w:p>
    <w:p>
      <w:pPr>
        <w:shd w:val="clear" w:color="auto" w:fill="auto"/>
        <w:spacing w:before="237" w:line="468" w:lineRule="exact"/>
        <w:ind w:left="27"/>
        <w:outlineLvl w:val="2"/>
        <w:rPr>
          <w:rFonts w:hint="eastAsia" w:ascii="宋体" w:hAnsi="宋体" w:eastAsia="宋体" w:cs="宋体"/>
          <w:color w:val="auto"/>
          <w:sz w:val="24"/>
          <w:highlight w:val="none"/>
        </w:rPr>
      </w:pPr>
      <w:bookmarkStart w:id="111" w:name="_Toc110010425"/>
      <w:bookmarkStart w:id="112" w:name="_Toc1299"/>
      <w:bookmarkStart w:id="113" w:name="_Toc5896"/>
      <w:bookmarkStart w:id="114" w:name="_Toc25739"/>
      <w:r>
        <w:rPr>
          <w:rFonts w:hint="eastAsia" w:ascii="宋体" w:hAnsi="宋体" w:eastAsia="宋体" w:cs="宋体"/>
          <w:color w:val="auto"/>
          <w:spacing w:val="-2"/>
          <w:position w:val="2"/>
          <w:sz w:val="24"/>
          <w:highlight w:val="none"/>
        </w:rPr>
        <w:t>一、质</w:t>
      </w:r>
      <w:r>
        <w:rPr>
          <w:rFonts w:hint="eastAsia" w:ascii="宋体" w:hAnsi="宋体" w:eastAsia="宋体" w:cs="宋体"/>
          <w:color w:val="auto"/>
          <w:spacing w:val="-1"/>
          <w:position w:val="2"/>
          <w:sz w:val="24"/>
          <w:highlight w:val="none"/>
        </w:rPr>
        <w:t>疑供应商基本信息</w:t>
      </w:r>
      <w:bookmarkEnd w:id="111"/>
      <w:bookmarkEnd w:id="112"/>
      <w:bookmarkEnd w:id="113"/>
      <w:bookmarkEnd w:id="114"/>
    </w:p>
    <w:p>
      <w:pPr>
        <w:shd w:val="clear" w:color="auto" w:fill="auto"/>
        <w:spacing w:before="77" w:line="219" w:lineRule="auto"/>
        <w:ind w:left="506"/>
        <w:rPr>
          <w:rFonts w:hint="eastAsia" w:ascii="宋体" w:hAnsi="宋体" w:eastAsia="宋体" w:cs="宋体"/>
          <w:color w:val="auto"/>
          <w:sz w:val="24"/>
          <w:highlight w:val="none"/>
        </w:rPr>
      </w:pPr>
      <w:r>
        <w:rPr>
          <w:rFonts w:hint="eastAsia" w:ascii="宋体" w:hAnsi="宋体" w:eastAsia="宋体" w:cs="宋体"/>
          <w:color w:val="auto"/>
          <w:spacing w:val="-3"/>
          <w:sz w:val="24"/>
          <w:highlight w:val="none"/>
        </w:rPr>
        <w:t>质</w:t>
      </w:r>
      <w:r>
        <w:rPr>
          <w:rFonts w:hint="eastAsia" w:ascii="宋体" w:hAnsi="宋体" w:eastAsia="宋体" w:cs="宋体"/>
          <w:color w:val="auto"/>
          <w:spacing w:val="-2"/>
          <w:sz w:val="24"/>
          <w:highlight w:val="none"/>
        </w:rPr>
        <w:t>疑供应商：</w:t>
      </w:r>
      <w:r>
        <w:rPr>
          <w:rFonts w:hint="eastAsia" w:ascii="宋体" w:hAnsi="宋体" w:eastAsia="宋体" w:cs="宋体"/>
          <w:color w:val="auto"/>
          <w:sz w:val="24"/>
          <w:highlight w:val="none"/>
          <w:u w:val="dotted"/>
        </w:rPr>
        <w:t xml:space="preserve">                                       </w:t>
      </w:r>
    </w:p>
    <w:p>
      <w:pPr>
        <w:shd w:val="clear" w:color="auto" w:fill="auto"/>
        <w:spacing w:before="212" w:line="220" w:lineRule="auto"/>
        <w:ind w:left="505"/>
        <w:rPr>
          <w:rFonts w:hint="eastAsia" w:ascii="宋体" w:hAnsi="宋体" w:eastAsia="宋体" w:cs="宋体"/>
          <w:color w:val="auto"/>
          <w:sz w:val="24"/>
          <w:highlight w:val="none"/>
        </w:rPr>
      </w:pPr>
      <w:r>
        <w:rPr>
          <w:rFonts w:hint="eastAsia" w:ascii="宋体" w:hAnsi="宋体" w:eastAsia="宋体" w:cs="宋体"/>
          <w:color w:val="auto"/>
          <w:spacing w:val="-8"/>
          <w:sz w:val="24"/>
          <w:highlight w:val="none"/>
        </w:rPr>
        <w:t>地址：</w:t>
      </w:r>
      <w:r>
        <w:rPr>
          <w:rFonts w:hint="eastAsia" w:ascii="宋体" w:hAnsi="宋体" w:eastAsia="宋体" w:cs="宋体"/>
          <w:color w:val="auto"/>
          <w:spacing w:val="-8"/>
          <w:sz w:val="24"/>
          <w:highlight w:val="none"/>
          <w:u w:val="dotted"/>
        </w:rPr>
        <w:t xml:space="preserve">  </w:t>
      </w:r>
      <w:r>
        <w:rPr>
          <w:rFonts w:hint="eastAsia" w:ascii="宋体" w:hAnsi="宋体" w:eastAsia="宋体" w:cs="宋体"/>
          <w:color w:val="auto"/>
          <w:spacing w:val="-5"/>
          <w:sz w:val="24"/>
          <w:highlight w:val="none"/>
          <w:u w:val="dotted"/>
        </w:rPr>
        <w:t xml:space="preserve"> </w:t>
      </w:r>
      <w:r>
        <w:rPr>
          <w:rFonts w:hint="eastAsia" w:ascii="宋体" w:hAnsi="宋体" w:eastAsia="宋体" w:cs="宋体"/>
          <w:color w:val="auto"/>
          <w:spacing w:val="-4"/>
          <w:sz w:val="24"/>
          <w:highlight w:val="none"/>
          <w:u w:val="dotted"/>
        </w:rPr>
        <w:t xml:space="preserve">                        </w:t>
      </w:r>
      <w:r>
        <w:rPr>
          <w:rFonts w:hint="eastAsia" w:ascii="宋体" w:hAnsi="宋体" w:eastAsia="宋体" w:cs="宋体"/>
          <w:color w:val="auto"/>
          <w:spacing w:val="-4"/>
          <w:sz w:val="24"/>
          <w:highlight w:val="none"/>
        </w:rPr>
        <w:t>邮编：</w:t>
      </w:r>
      <w:r>
        <w:rPr>
          <w:rFonts w:hint="eastAsia" w:ascii="宋体" w:hAnsi="宋体" w:eastAsia="宋体" w:cs="宋体"/>
          <w:color w:val="auto"/>
          <w:sz w:val="24"/>
          <w:highlight w:val="none"/>
          <w:u w:val="dotted"/>
        </w:rPr>
        <w:t xml:space="preserve">                   </w:t>
      </w:r>
    </w:p>
    <w:p>
      <w:pPr>
        <w:shd w:val="clear" w:color="auto" w:fill="auto"/>
        <w:spacing w:before="211" w:line="222" w:lineRule="auto"/>
        <w:ind w:left="506"/>
        <w:rPr>
          <w:rFonts w:hint="eastAsia" w:ascii="宋体" w:hAnsi="宋体" w:eastAsia="宋体" w:cs="宋体"/>
          <w:color w:val="auto"/>
          <w:sz w:val="24"/>
          <w:highlight w:val="none"/>
        </w:rPr>
      </w:pPr>
      <w:r>
        <w:rPr>
          <w:rFonts w:hint="eastAsia" w:ascii="宋体" w:hAnsi="宋体" w:eastAsia="宋体" w:cs="宋体"/>
          <w:color w:val="auto"/>
          <w:spacing w:val="-8"/>
          <w:sz w:val="24"/>
          <w:highlight w:val="none"/>
        </w:rPr>
        <w:t>联系人：</w:t>
      </w:r>
      <w:r>
        <w:rPr>
          <w:rFonts w:hint="eastAsia" w:ascii="宋体" w:hAnsi="宋体" w:eastAsia="宋体" w:cs="宋体"/>
          <w:color w:val="auto"/>
          <w:spacing w:val="-8"/>
          <w:sz w:val="24"/>
          <w:highlight w:val="none"/>
          <w:u w:val="dotted"/>
        </w:rPr>
        <w:t xml:space="preserve">  </w:t>
      </w:r>
      <w:r>
        <w:rPr>
          <w:rFonts w:hint="eastAsia" w:ascii="宋体" w:hAnsi="宋体" w:eastAsia="宋体" w:cs="宋体"/>
          <w:color w:val="auto"/>
          <w:spacing w:val="-4"/>
          <w:sz w:val="24"/>
          <w:highlight w:val="none"/>
          <w:u w:val="dotted"/>
        </w:rPr>
        <w:t xml:space="preserve">                     </w:t>
      </w:r>
      <w:r>
        <w:rPr>
          <w:rFonts w:hint="eastAsia" w:ascii="宋体" w:hAnsi="宋体" w:eastAsia="宋体" w:cs="宋体"/>
          <w:color w:val="auto"/>
          <w:spacing w:val="-4"/>
          <w:sz w:val="24"/>
          <w:highlight w:val="none"/>
        </w:rPr>
        <w:t>联系电话：</w:t>
      </w:r>
      <w:r>
        <w:rPr>
          <w:rFonts w:hint="eastAsia" w:ascii="宋体" w:hAnsi="宋体" w:eastAsia="宋体" w:cs="宋体"/>
          <w:color w:val="auto"/>
          <w:sz w:val="24"/>
          <w:highlight w:val="none"/>
          <w:u w:val="dotted"/>
        </w:rPr>
        <w:t xml:space="preserve">                 </w:t>
      </w:r>
    </w:p>
    <w:p>
      <w:pPr>
        <w:shd w:val="clear" w:color="auto" w:fill="auto"/>
        <w:spacing w:before="205" w:line="220" w:lineRule="auto"/>
        <w:ind w:left="503"/>
        <w:rPr>
          <w:rFonts w:hint="eastAsia" w:ascii="宋体" w:hAnsi="宋体" w:eastAsia="宋体" w:cs="宋体"/>
          <w:color w:val="auto"/>
          <w:sz w:val="24"/>
          <w:highlight w:val="none"/>
        </w:rPr>
      </w:pPr>
      <w:r>
        <w:rPr>
          <w:rFonts w:hint="eastAsia" w:ascii="宋体" w:hAnsi="宋体" w:eastAsia="宋体" w:cs="宋体"/>
          <w:color w:val="auto"/>
          <w:spacing w:val="-3"/>
          <w:sz w:val="24"/>
          <w:highlight w:val="none"/>
        </w:rPr>
        <w:t>授</w:t>
      </w:r>
      <w:r>
        <w:rPr>
          <w:rFonts w:hint="eastAsia" w:ascii="宋体" w:hAnsi="宋体" w:eastAsia="宋体" w:cs="宋体"/>
          <w:color w:val="auto"/>
          <w:spacing w:val="-2"/>
          <w:sz w:val="24"/>
          <w:highlight w:val="none"/>
        </w:rPr>
        <w:t>权代表：</w:t>
      </w:r>
      <w:r>
        <w:rPr>
          <w:rFonts w:hint="eastAsia" w:ascii="宋体" w:hAnsi="宋体" w:eastAsia="宋体" w:cs="宋体"/>
          <w:color w:val="auto"/>
          <w:sz w:val="24"/>
          <w:highlight w:val="none"/>
          <w:u w:val="dotted"/>
        </w:rPr>
        <w:t xml:space="preserve">                                         </w:t>
      </w:r>
    </w:p>
    <w:p>
      <w:pPr>
        <w:shd w:val="clear" w:color="auto" w:fill="auto"/>
        <w:spacing w:before="214" w:line="222" w:lineRule="auto"/>
        <w:ind w:left="506"/>
        <w:rPr>
          <w:rFonts w:hint="eastAsia" w:ascii="宋体" w:hAnsi="宋体" w:eastAsia="宋体" w:cs="宋体"/>
          <w:color w:val="auto"/>
          <w:sz w:val="24"/>
          <w:highlight w:val="none"/>
        </w:rPr>
      </w:pPr>
      <w:r>
        <w:rPr>
          <w:rFonts w:hint="eastAsia" w:ascii="宋体" w:hAnsi="宋体" w:eastAsia="宋体" w:cs="宋体"/>
          <w:color w:val="auto"/>
          <w:spacing w:val="-4"/>
          <w:sz w:val="24"/>
          <w:highlight w:val="none"/>
        </w:rPr>
        <w:t>联系</w:t>
      </w:r>
      <w:r>
        <w:rPr>
          <w:rFonts w:hint="eastAsia" w:ascii="宋体" w:hAnsi="宋体" w:eastAsia="宋体" w:cs="宋体"/>
          <w:color w:val="auto"/>
          <w:spacing w:val="-2"/>
          <w:sz w:val="24"/>
          <w:highlight w:val="none"/>
        </w:rPr>
        <w:t>电话：</w:t>
      </w:r>
      <w:r>
        <w:rPr>
          <w:rFonts w:hint="eastAsia" w:ascii="宋体" w:hAnsi="宋体" w:eastAsia="宋体" w:cs="宋体"/>
          <w:color w:val="auto"/>
          <w:sz w:val="24"/>
          <w:highlight w:val="none"/>
          <w:u w:val="dotted"/>
        </w:rPr>
        <w:t xml:space="preserve">                                          </w:t>
      </w:r>
    </w:p>
    <w:p>
      <w:pPr>
        <w:shd w:val="clear" w:color="auto" w:fill="auto"/>
        <w:spacing w:before="208" w:line="220" w:lineRule="auto"/>
        <w:ind w:left="505"/>
        <w:rPr>
          <w:rFonts w:hint="eastAsia" w:ascii="宋体" w:hAnsi="宋体" w:eastAsia="宋体" w:cs="宋体"/>
          <w:color w:val="auto"/>
          <w:sz w:val="24"/>
          <w:highlight w:val="none"/>
        </w:rPr>
      </w:pPr>
      <w:r>
        <w:rPr>
          <w:rFonts w:hint="eastAsia" w:ascii="宋体" w:hAnsi="宋体" w:eastAsia="宋体" w:cs="宋体"/>
          <w:color w:val="auto"/>
          <w:spacing w:val="-8"/>
          <w:sz w:val="24"/>
          <w:highlight w:val="none"/>
        </w:rPr>
        <w:t>地址：</w:t>
      </w:r>
      <w:r>
        <w:rPr>
          <w:rFonts w:hint="eastAsia" w:ascii="宋体" w:hAnsi="宋体" w:eastAsia="宋体" w:cs="宋体"/>
          <w:color w:val="auto"/>
          <w:spacing w:val="-8"/>
          <w:sz w:val="24"/>
          <w:highlight w:val="none"/>
          <w:u w:val="dotted"/>
        </w:rPr>
        <w:t xml:space="preserve">   </w:t>
      </w:r>
      <w:r>
        <w:rPr>
          <w:rFonts w:hint="eastAsia" w:ascii="宋体" w:hAnsi="宋体" w:eastAsia="宋体" w:cs="宋体"/>
          <w:color w:val="auto"/>
          <w:spacing w:val="-5"/>
          <w:sz w:val="24"/>
          <w:highlight w:val="none"/>
          <w:u w:val="dotted"/>
        </w:rPr>
        <w:t xml:space="preserve"> </w:t>
      </w:r>
      <w:r>
        <w:rPr>
          <w:rFonts w:hint="eastAsia" w:ascii="宋体" w:hAnsi="宋体" w:eastAsia="宋体" w:cs="宋体"/>
          <w:color w:val="auto"/>
          <w:spacing w:val="-4"/>
          <w:sz w:val="24"/>
          <w:highlight w:val="none"/>
          <w:u w:val="dotted"/>
        </w:rPr>
        <w:t xml:space="preserve">                      </w:t>
      </w:r>
      <w:r>
        <w:rPr>
          <w:rFonts w:hint="eastAsia" w:ascii="宋体" w:hAnsi="宋体" w:eastAsia="宋体" w:cs="宋体"/>
          <w:color w:val="auto"/>
          <w:spacing w:val="-4"/>
          <w:sz w:val="24"/>
          <w:highlight w:val="none"/>
        </w:rPr>
        <w:t>邮编：</w:t>
      </w:r>
      <w:r>
        <w:rPr>
          <w:rFonts w:hint="eastAsia" w:ascii="宋体" w:hAnsi="宋体" w:eastAsia="宋体" w:cs="宋体"/>
          <w:color w:val="auto"/>
          <w:sz w:val="24"/>
          <w:highlight w:val="none"/>
          <w:u w:val="dotted"/>
        </w:rPr>
        <w:t xml:space="preserve">                    </w:t>
      </w:r>
    </w:p>
    <w:p>
      <w:pPr>
        <w:shd w:val="clear" w:color="auto" w:fill="auto"/>
        <w:spacing w:before="209" w:line="371" w:lineRule="exact"/>
        <w:ind w:left="27"/>
        <w:outlineLvl w:val="2"/>
        <w:rPr>
          <w:rFonts w:hint="eastAsia" w:ascii="宋体" w:hAnsi="宋体" w:eastAsia="宋体" w:cs="宋体"/>
          <w:color w:val="auto"/>
          <w:sz w:val="24"/>
          <w:highlight w:val="none"/>
        </w:rPr>
      </w:pPr>
      <w:bookmarkStart w:id="115" w:name="_Toc1061"/>
      <w:bookmarkStart w:id="116" w:name="_Toc110010426"/>
      <w:bookmarkStart w:id="117" w:name="_Toc3585"/>
      <w:bookmarkStart w:id="118" w:name="_Toc15098"/>
      <w:r>
        <w:rPr>
          <w:rFonts w:hint="eastAsia" w:ascii="宋体" w:hAnsi="宋体" w:eastAsia="宋体" w:cs="宋体"/>
          <w:color w:val="auto"/>
          <w:spacing w:val="-2"/>
          <w:position w:val="1"/>
          <w:sz w:val="24"/>
          <w:highlight w:val="none"/>
        </w:rPr>
        <w:t>二、质疑项</w:t>
      </w:r>
      <w:r>
        <w:rPr>
          <w:rFonts w:hint="eastAsia" w:ascii="宋体" w:hAnsi="宋体" w:eastAsia="宋体" w:cs="宋体"/>
          <w:color w:val="auto"/>
          <w:spacing w:val="-1"/>
          <w:position w:val="1"/>
          <w:sz w:val="24"/>
          <w:highlight w:val="none"/>
        </w:rPr>
        <w:t>目基本情况</w:t>
      </w:r>
      <w:bookmarkEnd w:id="115"/>
      <w:bookmarkEnd w:id="116"/>
      <w:bookmarkEnd w:id="117"/>
      <w:bookmarkEnd w:id="118"/>
    </w:p>
    <w:p>
      <w:pPr>
        <w:shd w:val="clear" w:color="auto" w:fill="auto"/>
        <w:spacing w:before="173" w:line="221" w:lineRule="auto"/>
        <w:ind w:left="506"/>
        <w:rPr>
          <w:rFonts w:hint="eastAsia" w:ascii="宋体" w:hAnsi="宋体" w:eastAsia="宋体" w:cs="宋体"/>
          <w:color w:val="auto"/>
          <w:sz w:val="24"/>
          <w:highlight w:val="none"/>
        </w:rPr>
      </w:pPr>
      <w:r>
        <w:rPr>
          <w:rFonts w:hint="eastAsia" w:ascii="宋体" w:hAnsi="宋体" w:eastAsia="宋体" w:cs="宋体"/>
          <w:color w:val="auto"/>
          <w:spacing w:val="-2"/>
          <w:sz w:val="24"/>
          <w:highlight w:val="none"/>
        </w:rPr>
        <w:t>质疑项目</w:t>
      </w:r>
      <w:r>
        <w:rPr>
          <w:rFonts w:hint="eastAsia" w:ascii="宋体" w:hAnsi="宋体" w:eastAsia="宋体" w:cs="宋体"/>
          <w:color w:val="auto"/>
          <w:spacing w:val="-1"/>
          <w:sz w:val="24"/>
          <w:highlight w:val="none"/>
        </w:rPr>
        <w:t>的名称：</w:t>
      </w:r>
      <w:r>
        <w:rPr>
          <w:rFonts w:hint="eastAsia" w:ascii="宋体" w:hAnsi="宋体" w:eastAsia="宋体" w:cs="宋体"/>
          <w:color w:val="auto"/>
          <w:sz w:val="24"/>
          <w:highlight w:val="none"/>
          <w:u w:val="dotted"/>
        </w:rPr>
        <w:t xml:space="preserve">                                         </w:t>
      </w:r>
    </w:p>
    <w:p>
      <w:pPr>
        <w:shd w:val="clear" w:color="auto" w:fill="auto"/>
        <w:spacing w:before="210" w:line="220" w:lineRule="auto"/>
        <w:ind w:left="506"/>
        <w:rPr>
          <w:rFonts w:hint="eastAsia" w:ascii="宋体" w:hAnsi="宋体" w:eastAsia="宋体" w:cs="宋体"/>
          <w:color w:val="auto"/>
          <w:sz w:val="24"/>
          <w:highlight w:val="none"/>
        </w:rPr>
      </w:pPr>
      <w:r>
        <w:rPr>
          <w:rFonts w:hint="eastAsia" w:ascii="宋体" w:hAnsi="宋体" w:eastAsia="宋体" w:cs="宋体"/>
          <w:color w:val="auto"/>
          <w:spacing w:val="-10"/>
          <w:sz w:val="24"/>
          <w:highlight w:val="none"/>
        </w:rPr>
        <w:t>质疑项</w:t>
      </w:r>
      <w:r>
        <w:rPr>
          <w:rFonts w:hint="eastAsia" w:ascii="宋体" w:hAnsi="宋体" w:eastAsia="宋体" w:cs="宋体"/>
          <w:color w:val="auto"/>
          <w:spacing w:val="-9"/>
          <w:sz w:val="24"/>
          <w:highlight w:val="none"/>
        </w:rPr>
        <w:t>目</w:t>
      </w:r>
      <w:r>
        <w:rPr>
          <w:rFonts w:hint="eastAsia" w:ascii="宋体" w:hAnsi="宋体" w:eastAsia="宋体" w:cs="宋体"/>
          <w:color w:val="auto"/>
          <w:spacing w:val="-5"/>
          <w:sz w:val="24"/>
          <w:highlight w:val="none"/>
        </w:rPr>
        <w:t>的编号：</w:t>
      </w:r>
      <w:r>
        <w:rPr>
          <w:rFonts w:hint="eastAsia" w:ascii="宋体" w:hAnsi="宋体" w:eastAsia="宋体" w:cs="宋体"/>
          <w:color w:val="auto"/>
          <w:spacing w:val="-5"/>
          <w:sz w:val="24"/>
          <w:highlight w:val="none"/>
          <w:u w:val="dotted"/>
        </w:rPr>
        <w:t xml:space="preserve">                </w:t>
      </w:r>
      <w:r>
        <w:rPr>
          <w:rFonts w:hint="eastAsia" w:ascii="宋体" w:hAnsi="宋体" w:eastAsia="宋体" w:cs="宋体"/>
          <w:color w:val="auto"/>
          <w:spacing w:val="-5"/>
          <w:sz w:val="24"/>
          <w:highlight w:val="none"/>
        </w:rPr>
        <w:t>包号：</w:t>
      </w:r>
      <w:r>
        <w:rPr>
          <w:rFonts w:hint="eastAsia" w:ascii="宋体" w:hAnsi="宋体" w:eastAsia="宋体" w:cs="宋体"/>
          <w:color w:val="auto"/>
          <w:sz w:val="24"/>
          <w:highlight w:val="none"/>
          <w:u w:val="dotted"/>
        </w:rPr>
        <w:t xml:space="preserve">                    </w:t>
      </w:r>
    </w:p>
    <w:p>
      <w:pPr>
        <w:shd w:val="clear" w:color="auto" w:fill="auto"/>
        <w:spacing w:before="212" w:line="219" w:lineRule="auto"/>
        <w:ind w:left="503"/>
        <w:rPr>
          <w:rFonts w:hint="eastAsia" w:ascii="宋体" w:hAnsi="宋体" w:eastAsia="宋体" w:cs="宋体"/>
          <w:color w:val="auto"/>
          <w:sz w:val="24"/>
          <w:highlight w:val="none"/>
        </w:rPr>
      </w:pPr>
      <w:r>
        <w:rPr>
          <w:rFonts w:hint="eastAsia" w:ascii="宋体" w:hAnsi="宋体" w:eastAsia="宋体" w:cs="宋体"/>
          <w:color w:val="auto"/>
          <w:spacing w:val="-2"/>
          <w:sz w:val="24"/>
          <w:highlight w:val="none"/>
        </w:rPr>
        <w:t>采购人名</w:t>
      </w:r>
      <w:r>
        <w:rPr>
          <w:rFonts w:hint="eastAsia" w:ascii="宋体" w:hAnsi="宋体" w:eastAsia="宋体" w:cs="宋体"/>
          <w:color w:val="auto"/>
          <w:spacing w:val="-1"/>
          <w:sz w:val="24"/>
          <w:highlight w:val="none"/>
        </w:rPr>
        <w:t>称：</w:t>
      </w:r>
      <w:r>
        <w:rPr>
          <w:rFonts w:hint="eastAsia" w:ascii="宋体" w:hAnsi="宋体" w:eastAsia="宋体" w:cs="宋体"/>
          <w:color w:val="auto"/>
          <w:sz w:val="24"/>
          <w:highlight w:val="none"/>
          <w:u w:val="dotted"/>
        </w:rPr>
        <w:t xml:space="preserve">                                           </w:t>
      </w:r>
    </w:p>
    <w:p>
      <w:pPr>
        <w:shd w:val="clear" w:color="auto" w:fill="auto"/>
        <w:spacing w:before="212" w:line="219" w:lineRule="auto"/>
        <w:ind w:left="503"/>
        <w:rPr>
          <w:rFonts w:hint="eastAsia" w:ascii="宋体" w:hAnsi="宋体" w:eastAsia="宋体" w:cs="宋体"/>
          <w:color w:val="auto"/>
          <w:sz w:val="24"/>
          <w:highlight w:val="none"/>
        </w:rPr>
      </w:pPr>
      <w:r>
        <w:rPr>
          <w:rFonts w:hint="eastAsia" w:ascii="宋体" w:hAnsi="宋体" w:eastAsia="宋体" w:cs="宋体"/>
          <w:color w:val="auto"/>
          <w:spacing w:val="-2"/>
          <w:sz w:val="24"/>
          <w:highlight w:val="none"/>
        </w:rPr>
        <w:t>采购</w:t>
      </w:r>
      <w:r>
        <w:rPr>
          <w:rFonts w:hint="eastAsia" w:ascii="宋体" w:hAnsi="宋体" w:eastAsia="宋体" w:cs="宋体"/>
          <w:color w:val="auto"/>
          <w:spacing w:val="-1"/>
          <w:sz w:val="24"/>
          <w:highlight w:val="none"/>
        </w:rPr>
        <w:t>文件获取日期：</w:t>
      </w:r>
      <w:r>
        <w:rPr>
          <w:rFonts w:hint="eastAsia" w:ascii="宋体" w:hAnsi="宋体" w:eastAsia="宋体" w:cs="宋体"/>
          <w:color w:val="auto"/>
          <w:sz w:val="24"/>
          <w:highlight w:val="none"/>
          <w:u w:val="dotted"/>
        </w:rPr>
        <w:t xml:space="preserve">                                       </w:t>
      </w:r>
    </w:p>
    <w:p>
      <w:pPr>
        <w:shd w:val="clear" w:color="auto" w:fill="auto"/>
        <w:spacing w:before="213" w:line="237" w:lineRule="auto"/>
        <w:ind w:left="22"/>
        <w:outlineLvl w:val="2"/>
        <w:rPr>
          <w:rFonts w:hint="eastAsia" w:ascii="宋体" w:hAnsi="宋体" w:eastAsia="宋体" w:cs="宋体"/>
          <w:color w:val="auto"/>
          <w:sz w:val="24"/>
          <w:highlight w:val="none"/>
        </w:rPr>
      </w:pPr>
      <w:bookmarkStart w:id="119" w:name="_Toc32569"/>
      <w:bookmarkStart w:id="120" w:name="_Toc110010427"/>
      <w:bookmarkStart w:id="121" w:name="_Toc14686"/>
      <w:bookmarkStart w:id="122" w:name="_Toc22496"/>
      <w:r>
        <w:rPr>
          <w:rFonts w:hint="eastAsia" w:ascii="宋体" w:hAnsi="宋体" w:eastAsia="宋体" w:cs="宋体"/>
          <w:color w:val="auto"/>
          <w:spacing w:val="-2"/>
          <w:sz w:val="24"/>
          <w:highlight w:val="none"/>
        </w:rPr>
        <w:t>三</w:t>
      </w:r>
      <w:r>
        <w:rPr>
          <w:rFonts w:hint="eastAsia" w:ascii="宋体" w:hAnsi="宋体" w:eastAsia="宋体" w:cs="宋体"/>
          <w:color w:val="auto"/>
          <w:spacing w:val="-1"/>
          <w:sz w:val="24"/>
          <w:highlight w:val="none"/>
        </w:rPr>
        <w:t>、质疑事项具体内容</w:t>
      </w:r>
      <w:bookmarkEnd w:id="119"/>
      <w:bookmarkEnd w:id="120"/>
      <w:bookmarkEnd w:id="121"/>
      <w:bookmarkEnd w:id="122"/>
    </w:p>
    <w:p>
      <w:pPr>
        <w:shd w:val="clear" w:color="auto" w:fill="auto"/>
        <w:spacing w:before="184" w:line="221" w:lineRule="auto"/>
        <w:ind w:left="506"/>
        <w:rPr>
          <w:rFonts w:hint="eastAsia" w:ascii="宋体" w:hAnsi="宋体" w:eastAsia="宋体" w:cs="宋体"/>
          <w:color w:val="auto"/>
          <w:sz w:val="24"/>
          <w:highlight w:val="none"/>
        </w:rPr>
      </w:pPr>
      <w:r>
        <w:rPr>
          <w:rFonts w:hint="eastAsia" w:ascii="宋体" w:hAnsi="宋体" w:eastAsia="宋体" w:cs="宋体"/>
          <w:color w:val="auto"/>
          <w:spacing w:val="-17"/>
          <w:sz w:val="24"/>
          <w:highlight w:val="none"/>
        </w:rPr>
        <w:t>质</w:t>
      </w:r>
      <w:r>
        <w:rPr>
          <w:rFonts w:hint="eastAsia" w:ascii="宋体" w:hAnsi="宋体" w:eastAsia="宋体" w:cs="宋体"/>
          <w:color w:val="auto"/>
          <w:spacing w:val="-11"/>
          <w:sz w:val="24"/>
          <w:highlight w:val="none"/>
        </w:rPr>
        <w:t>疑事项 1：</w:t>
      </w:r>
      <w:r>
        <w:rPr>
          <w:rFonts w:hint="eastAsia" w:ascii="宋体" w:hAnsi="宋体" w:eastAsia="宋体" w:cs="宋体"/>
          <w:color w:val="auto"/>
          <w:sz w:val="24"/>
          <w:highlight w:val="none"/>
          <w:u w:val="dotted"/>
        </w:rPr>
        <w:t xml:space="preserve">                                             </w:t>
      </w:r>
    </w:p>
    <w:p>
      <w:pPr>
        <w:shd w:val="clear" w:color="auto" w:fill="auto"/>
        <w:spacing w:before="211" w:line="219" w:lineRule="auto"/>
        <w:ind w:left="505"/>
        <w:rPr>
          <w:rFonts w:hint="eastAsia" w:ascii="宋体" w:hAnsi="宋体" w:eastAsia="宋体" w:cs="宋体"/>
          <w:color w:val="auto"/>
          <w:sz w:val="24"/>
          <w:highlight w:val="none"/>
        </w:rPr>
      </w:pPr>
      <w:r>
        <w:rPr>
          <w:rFonts w:hint="eastAsia" w:ascii="宋体" w:hAnsi="宋体" w:eastAsia="宋体" w:cs="宋体"/>
          <w:color w:val="auto"/>
          <w:spacing w:val="-4"/>
          <w:sz w:val="24"/>
          <w:highlight w:val="none"/>
        </w:rPr>
        <w:t>事</w:t>
      </w:r>
      <w:r>
        <w:rPr>
          <w:rFonts w:hint="eastAsia" w:ascii="宋体" w:hAnsi="宋体" w:eastAsia="宋体" w:cs="宋体"/>
          <w:color w:val="auto"/>
          <w:spacing w:val="-2"/>
          <w:sz w:val="24"/>
          <w:highlight w:val="none"/>
        </w:rPr>
        <w:t>实依据：</w:t>
      </w:r>
      <w:r>
        <w:rPr>
          <w:rFonts w:hint="eastAsia" w:ascii="宋体" w:hAnsi="宋体" w:eastAsia="宋体" w:cs="宋体"/>
          <w:color w:val="auto"/>
          <w:sz w:val="24"/>
          <w:highlight w:val="none"/>
          <w:u w:val="dotted"/>
        </w:rPr>
        <w:t xml:space="preserve">                                             </w:t>
      </w:r>
    </w:p>
    <w:p>
      <w:pPr>
        <w:shd w:val="clear" w:color="auto" w:fill="auto"/>
        <w:tabs>
          <w:tab w:val="left" w:pos="8322"/>
        </w:tabs>
        <w:spacing w:before="286" w:line="241" w:lineRule="exact"/>
        <w:ind w:left="494"/>
        <w:rPr>
          <w:rFonts w:hint="eastAsia" w:ascii="宋体" w:hAnsi="宋体" w:eastAsia="宋体" w:cs="宋体"/>
          <w:color w:val="auto"/>
          <w:sz w:val="24"/>
          <w:highlight w:val="none"/>
        </w:rPr>
      </w:pPr>
      <w:r>
        <w:rPr>
          <w:rFonts w:hint="eastAsia" w:ascii="宋体" w:hAnsi="宋体" w:eastAsia="宋体" w:cs="宋体"/>
          <w:color w:val="auto"/>
          <w:sz w:val="24"/>
          <w:highlight w:val="none"/>
          <w:u w:val="single"/>
        </w:rPr>
        <w:tab/>
      </w:r>
    </w:p>
    <w:p>
      <w:pPr>
        <w:shd w:val="clear" w:color="auto" w:fill="auto"/>
        <w:spacing w:before="230" w:line="219" w:lineRule="auto"/>
        <w:ind w:left="506"/>
        <w:rPr>
          <w:rFonts w:hint="eastAsia" w:ascii="宋体" w:hAnsi="宋体" w:eastAsia="宋体" w:cs="宋体"/>
          <w:color w:val="auto"/>
          <w:sz w:val="24"/>
          <w:highlight w:val="none"/>
        </w:rPr>
      </w:pPr>
      <w:r>
        <w:rPr>
          <w:rFonts w:hint="eastAsia" w:ascii="宋体" w:hAnsi="宋体" w:eastAsia="宋体" w:cs="宋体"/>
          <w:color w:val="auto"/>
          <w:spacing w:val="-4"/>
          <w:sz w:val="24"/>
          <w:highlight w:val="none"/>
        </w:rPr>
        <w:t>法律</w:t>
      </w:r>
      <w:r>
        <w:rPr>
          <w:rFonts w:hint="eastAsia" w:ascii="宋体" w:hAnsi="宋体" w:eastAsia="宋体" w:cs="宋体"/>
          <w:color w:val="auto"/>
          <w:spacing w:val="-2"/>
          <w:sz w:val="24"/>
          <w:highlight w:val="none"/>
        </w:rPr>
        <w:t>依据：</w:t>
      </w:r>
      <w:r>
        <w:rPr>
          <w:rFonts w:hint="eastAsia" w:ascii="宋体" w:hAnsi="宋体" w:eastAsia="宋体" w:cs="宋体"/>
          <w:color w:val="auto"/>
          <w:sz w:val="24"/>
          <w:highlight w:val="none"/>
          <w:u w:val="dotted"/>
        </w:rPr>
        <w:t xml:space="preserve">                                             </w:t>
      </w:r>
    </w:p>
    <w:p>
      <w:pPr>
        <w:shd w:val="clear" w:color="auto" w:fill="auto"/>
        <w:tabs>
          <w:tab w:val="left" w:pos="8322"/>
        </w:tabs>
        <w:spacing w:before="289" w:line="241" w:lineRule="exact"/>
        <w:ind w:left="494"/>
        <w:rPr>
          <w:rFonts w:hint="eastAsia" w:ascii="宋体" w:hAnsi="宋体" w:eastAsia="宋体" w:cs="宋体"/>
          <w:color w:val="auto"/>
          <w:sz w:val="24"/>
          <w:highlight w:val="none"/>
        </w:rPr>
      </w:pPr>
      <w:r>
        <w:rPr>
          <w:rFonts w:hint="eastAsia" w:ascii="宋体" w:hAnsi="宋体" w:eastAsia="宋体" w:cs="宋体"/>
          <w:color w:val="auto"/>
          <w:sz w:val="24"/>
          <w:highlight w:val="none"/>
          <w:u w:val="single"/>
        </w:rPr>
        <w:tab/>
      </w:r>
    </w:p>
    <w:p>
      <w:pPr>
        <w:shd w:val="clear" w:color="auto" w:fill="auto"/>
        <w:spacing w:before="227" w:line="545" w:lineRule="exact"/>
        <w:ind w:left="506"/>
        <w:rPr>
          <w:rFonts w:hint="eastAsia" w:ascii="宋体" w:hAnsi="宋体" w:eastAsia="宋体" w:cs="宋体"/>
          <w:color w:val="auto"/>
          <w:sz w:val="24"/>
          <w:highlight w:val="none"/>
        </w:rPr>
      </w:pPr>
      <w:r>
        <w:rPr>
          <w:rFonts w:hint="eastAsia" w:ascii="宋体" w:hAnsi="宋体" w:eastAsia="宋体" w:cs="宋体"/>
          <w:color w:val="auto"/>
          <w:spacing w:val="-15"/>
          <w:position w:val="19"/>
          <w:sz w:val="24"/>
          <w:highlight w:val="none"/>
        </w:rPr>
        <w:t>质</w:t>
      </w:r>
      <w:r>
        <w:rPr>
          <w:rFonts w:hint="eastAsia" w:ascii="宋体" w:hAnsi="宋体" w:eastAsia="宋体" w:cs="宋体"/>
          <w:color w:val="auto"/>
          <w:spacing w:val="-11"/>
          <w:position w:val="19"/>
          <w:sz w:val="24"/>
          <w:highlight w:val="none"/>
        </w:rPr>
        <w:t>疑事项 2</w:t>
      </w:r>
    </w:p>
    <w:p>
      <w:pPr>
        <w:shd w:val="clear" w:color="auto" w:fill="auto"/>
        <w:spacing w:line="442" w:lineRule="exact"/>
        <w:ind w:left="522"/>
        <w:rPr>
          <w:rFonts w:hint="eastAsia" w:ascii="宋体" w:hAnsi="宋体" w:eastAsia="宋体" w:cs="宋体"/>
          <w:color w:val="auto"/>
          <w:sz w:val="24"/>
          <w:highlight w:val="none"/>
        </w:rPr>
      </w:pPr>
      <w:r>
        <w:rPr>
          <w:rFonts w:hint="eastAsia" w:ascii="宋体" w:hAnsi="宋体" w:eastAsia="宋体" w:cs="宋体"/>
          <w:color w:val="auto"/>
          <w:position w:val="3"/>
          <w:sz w:val="24"/>
          <w:highlight w:val="none"/>
        </w:rPr>
        <w:t>……</w:t>
      </w:r>
    </w:p>
    <w:p>
      <w:pPr>
        <w:shd w:val="clear" w:color="auto" w:fill="auto"/>
        <w:jc w:val="center"/>
        <w:rPr>
          <w:rFonts w:hint="eastAsia" w:ascii="宋体" w:hAnsi="宋体" w:eastAsia="宋体" w:cs="宋体"/>
          <w:color w:val="auto"/>
          <w:sz w:val="24"/>
          <w:highlight w:val="none"/>
        </w:rPr>
      </w:pPr>
    </w:p>
    <w:p>
      <w:pPr>
        <w:shd w:val="clear" w:color="auto" w:fill="auto"/>
        <w:spacing w:line="442" w:lineRule="exact"/>
        <w:ind w:left="522"/>
        <w:rPr>
          <w:rFonts w:hint="eastAsia" w:ascii="宋体" w:hAnsi="宋体" w:eastAsia="宋体" w:cs="宋体"/>
          <w:color w:val="auto"/>
          <w:position w:val="3"/>
          <w:sz w:val="24"/>
          <w:highlight w:val="none"/>
        </w:rPr>
      </w:pPr>
      <w:r>
        <w:rPr>
          <w:rFonts w:hint="eastAsia" w:ascii="宋体" w:hAnsi="宋体" w:eastAsia="宋体" w:cs="宋体"/>
          <w:color w:val="auto"/>
          <w:position w:val="3"/>
          <w:sz w:val="24"/>
          <w:highlight w:val="none"/>
        </w:rPr>
        <w:t>签字(签章)：                          日期：</w:t>
      </w:r>
    </w:p>
    <w:p>
      <w:pPr>
        <w:shd w:val="clear" w:color="auto" w:fill="auto"/>
        <w:ind w:left="0" w:leftChars="0" w:firstLine="0" w:firstLineChars="0"/>
        <w:rPr>
          <w:rFonts w:hint="eastAsia" w:ascii="宋体" w:hAnsi="宋体" w:eastAsia="宋体" w:cs="宋体"/>
          <w:color w:val="auto"/>
          <w:sz w:val="24"/>
          <w:highlight w:val="none"/>
        </w:rPr>
      </w:pPr>
    </w:p>
    <w:p>
      <w:pPr>
        <w:pStyle w:val="2"/>
        <w:rPr>
          <w:rFonts w:hint="eastAsia"/>
        </w:rPr>
        <w:sectPr>
          <w:headerReference r:id="rId9" w:type="default"/>
          <w:footerReference r:id="rId10" w:type="default"/>
          <w:pgSz w:w="11905" w:h="16838"/>
          <w:pgMar w:top="1304" w:right="964" w:bottom="1020" w:left="1191" w:header="567" w:footer="454" w:gutter="0"/>
          <w:pgNumType w:fmt="decimal"/>
          <w:cols w:space="720" w:num="1"/>
          <w:rtlGutter w:val="0"/>
          <w:docGrid w:type="lines" w:linePitch="317" w:charSpace="0"/>
        </w:sectPr>
      </w:pPr>
    </w:p>
    <w:p>
      <w:pPr>
        <w:shd w:val="clear" w:color="auto" w:fill="auto"/>
        <w:spacing w:line="478" w:lineRule="auto"/>
        <w:rPr>
          <w:rFonts w:hint="eastAsia" w:ascii="宋体" w:hAnsi="宋体" w:eastAsia="宋体" w:cs="宋体"/>
          <w:color w:val="auto"/>
          <w:sz w:val="24"/>
          <w:highlight w:val="none"/>
        </w:rPr>
      </w:pPr>
    </w:p>
    <w:p>
      <w:pPr>
        <w:shd w:val="clear" w:color="auto" w:fill="auto"/>
        <w:spacing w:before="91" w:line="220" w:lineRule="auto"/>
        <w:ind w:left="506"/>
        <w:rPr>
          <w:rFonts w:hint="eastAsia" w:ascii="宋体" w:hAnsi="宋体" w:eastAsia="宋体" w:cs="宋体"/>
          <w:color w:val="auto"/>
          <w:sz w:val="24"/>
          <w:highlight w:val="none"/>
        </w:rPr>
      </w:pPr>
      <w:r>
        <w:rPr>
          <w:rFonts w:hint="eastAsia" w:ascii="宋体" w:hAnsi="宋体" w:eastAsia="宋体" w:cs="宋体"/>
          <w:color w:val="auto"/>
          <w:spacing w:val="-2"/>
          <w:sz w:val="24"/>
          <w:highlight w:val="none"/>
        </w:rPr>
        <w:t>质疑函制</w:t>
      </w:r>
      <w:r>
        <w:rPr>
          <w:rFonts w:hint="eastAsia" w:ascii="宋体" w:hAnsi="宋体" w:eastAsia="宋体" w:cs="宋体"/>
          <w:color w:val="auto"/>
          <w:spacing w:val="-1"/>
          <w:sz w:val="24"/>
          <w:highlight w:val="none"/>
        </w:rPr>
        <w:t>作说明：</w:t>
      </w:r>
    </w:p>
    <w:p>
      <w:pPr>
        <w:shd w:val="clear" w:color="auto" w:fill="auto"/>
        <w:spacing w:before="31" w:line="239" w:lineRule="auto"/>
        <w:ind w:left="525"/>
        <w:rPr>
          <w:rFonts w:hint="eastAsia" w:ascii="宋体" w:hAnsi="宋体" w:eastAsia="宋体" w:cs="宋体"/>
          <w:color w:val="auto"/>
          <w:spacing w:val="-2"/>
          <w:sz w:val="24"/>
          <w:highlight w:val="none"/>
        </w:rPr>
      </w:pPr>
      <w:r>
        <w:rPr>
          <w:rFonts w:hint="eastAsia" w:ascii="宋体" w:hAnsi="宋体" w:eastAsia="宋体" w:cs="宋体"/>
          <w:color w:val="auto"/>
          <w:spacing w:val="-2"/>
          <w:sz w:val="24"/>
          <w:highlight w:val="none"/>
        </w:rPr>
        <w:t>1.供应商提出质疑时，应提交质疑函和必要的证明材料。</w:t>
      </w:r>
    </w:p>
    <w:p>
      <w:pPr>
        <w:shd w:val="clear" w:color="auto" w:fill="auto"/>
        <w:spacing w:before="31" w:line="239" w:lineRule="auto"/>
        <w:ind w:left="525"/>
        <w:rPr>
          <w:rFonts w:hint="eastAsia" w:ascii="宋体" w:hAnsi="宋体" w:eastAsia="宋体" w:cs="宋体"/>
          <w:color w:val="auto"/>
          <w:spacing w:val="-2"/>
          <w:sz w:val="24"/>
          <w:highlight w:val="none"/>
        </w:rPr>
      </w:pPr>
      <w:r>
        <w:rPr>
          <w:rFonts w:hint="eastAsia" w:ascii="宋体" w:hAnsi="宋体" w:eastAsia="宋体" w:cs="宋体"/>
          <w:color w:val="auto"/>
          <w:spacing w:val="-2"/>
          <w:sz w:val="24"/>
          <w:highlight w:val="none"/>
        </w:rPr>
        <w:t>2.质疑供应商若委托代理人进行质疑的，质疑函应按要求列明“授权代表”的有关内容，并在附件中提交由质疑供应商签署的授权 委托书。授权委托书应载明代理人的姓名或者名称、代理事项、具体 权限、期限和相关事项。</w:t>
      </w:r>
    </w:p>
    <w:p>
      <w:pPr>
        <w:shd w:val="clear" w:color="auto" w:fill="auto"/>
        <w:spacing w:before="31" w:line="239" w:lineRule="auto"/>
        <w:ind w:left="525"/>
        <w:rPr>
          <w:rFonts w:hint="eastAsia" w:ascii="宋体" w:hAnsi="宋体" w:eastAsia="宋体" w:cs="宋体"/>
          <w:color w:val="auto"/>
          <w:spacing w:val="-2"/>
          <w:sz w:val="24"/>
          <w:highlight w:val="none"/>
        </w:rPr>
      </w:pPr>
      <w:r>
        <w:rPr>
          <w:rFonts w:hint="eastAsia" w:ascii="宋体" w:hAnsi="宋体" w:eastAsia="宋体" w:cs="宋体"/>
          <w:color w:val="auto"/>
          <w:spacing w:val="-2"/>
          <w:sz w:val="24"/>
          <w:highlight w:val="none"/>
        </w:rPr>
        <w:t>3.质疑供应商若对项目的某一分包进行质疑，质疑函中应列明具体分包号。</w:t>
      </w:r>
    </w:p>
    <w:p>
      <w:pPr>
        <w:shd w:val="clear" w:color="auto" w:fill="auto"/>
        <w:spacing w:before="31" w:line="239" w:lineRule="auto"/>
        <w:ind w:left="525"/>
        <w:rPr>
          <w:rFonts w:hint="eastAsia" w:ascii="宋体" w:hAnsi="宋体" w:eastAsia="宋体" w:cs="宋体"/>
          <w:color w:val="auto"/>
          <w:spacing w:val="-2"/>
          <w:sz w:val="24"/>
          <w:highlight w:val="none"/>
        </w:rPr>
      </w:pPr>
      <w:r>
        <w:rPr>
          <w:rFonts w:hint="eastAsia" w:ascii="宋体" w:hAnsi="宋体" w:eastAsia="宋体" w:cs="宋体"/>
          <w:color w:val="auto"/>
          <w:spacing w:val="-2"/>
          <w:sz w:val="24"/>
          <w:highlight w:val="none"/>
        </w:rPr>
        <w:t>4.质疑函的质疑事项应具体、明确，并有必要的事实依据和法律依据。</w:t>
      </w:r>
    </w:p>
    <w:p>
      <w:pPr>
        <w:shd w:val="clear" w:color="auto" w:fill="auto"/>
        <w:spacing w:before="31" w:line="239" w:lineRule="auto"/>
        <w:ind w:left="525"/>
        <w:rPr>
          <w:rFonts w:hint="eastAsia" w:ascii="宋体" w:hAnsi="宋体" w:eastAsia="宋体" w:cs="宋体"/>
          <w:color w:val="auto"/>
          <w:spacing w:val="-2"/>
          <w:sz w:val="24"/>
          <w:highlight w:val="none"/>
        </w:rPr>
      </w:pPr>
      <w:r>
        <w:rPr>
          <w:rFonts w:hint="eastAsia" w:ascii="宋体" w:hAnsi="宋体" w:eastAsia="宋体" w:cs="宋体"/>
          <w:color w:val="auto"/>
          <w:spacing w:val="-2"/>
          <w:sz w:val="24"/>
          <w:highlight w:val="none"/>
        </w:rPr>
        <w:t>5.质疑函的质疑请求应与质疑事项相关。</w:t>
      </w:r>
    </w:p>
    <w:p>
      <w:pPr>
        <w:shd w:val="clear" w:color="auto" w:fill="auto"/>
        <w:spacing w:before="31" w:line="239" w:lineRule="auto"/>
        <w:ind w:left="525"/>
        <w:rPr>
          <w:rFonts w:hint="eastAsia" w:ascii="宋体" w:hAnsi="宋体" w:eastAsia="宋体" w:cs="宋体"/>
          <w:color w:val="auto"/>
          <w:spacing w:val="-2"/>
          <w:sz w:val="24"/>
          <w:highlight w:val="none"/>
        </w:rPr>
      </w:pPr>
      <w:r>
        <w:rPr>
          <w:rFonts w:hint="eastAsia" w:ascii="宋体" w:hAnsi="宋体" w:eastAsia="宋体" w:cs="宋体"/>
          <w:color w:val="auto"/>
          <w:spacing w:val="-2"/>
          <w:sz w:val="24"/>
          <w:highlight w:val="none"/>
        </w:rPr>
        <w:t>6.质疑供应商为自然人的，质疑函应由本人签字；质疑供应商为 法人或者其他组织的，质疑函应由法定代表人、主要负责人，或者其 授权代表签字或者盖章，并加盖公章。</w:t>
      </w:r>
    </w:p>
    <w:p>
      <w:pPr>
        <w:shd w:val="clear" w:color="auto" w:fill="auto"/>
        <w:spacing w:line="360" w:lineRule="auto"/>
        <w:jc w:val="center"/>
        <w:rPr>
          <w:rFonts w:hint="eastAsia" w:ascii="宋体" w:hAnsi="宋体" w:eastAsia="宋体" w:cs="宋体"/>
          <w:color w:val="auto"/>
          <w:kern w:val="0"/>
          <w:sz w:val="24"/>
          <w:highlight w:val="none"/>
        </w:rPr>
      </w:pPr>
    </w:p>
    <w:p>
      <w:pPr>
        <w:shd w:val="clear" w:color="auto" w:fill="auto"/>
        <w:spacing w:before="101" w:line="224" w:lineRule="auto"/>
        <w:ind w:left="49"/>
        <w:outlineLvl w:val="2"/>
        <w:rPr>
          <w:rFonts w:hint="eastAsia" w:ascii="宋体" w:hAnsi="宋体" w:eastAsia="宋体" w:cs="宋体"/>
          <w:color w:val="auto"/>
          <w:sz w:val="24"/>
          <w:highlight w:val="none"/>
        </w:rPr>
      </w:pPr>
      <w:r>
        <w:rPr>
          <w:rFonts w:hint="eastAsia" w:ascii="宋体" w:hAnsi="宋体" w:eastAsia="宋体" w:cs="宋体"/>
          <w:b/>
          <w:bCs/>
          <w:color w:val="auto"/>
          <w:kern w:val="0"/>
          <w:sz w:val="24"/>
          <w:highlight w:val="none"/>
        </w:rPr>
        <w:br w:type="page"/>
      </w:r>
      <w:bookmarkStart w:id="123" w:name="_Toc110010428"/>
      <w:bookmarkStart w:id="124" w:name="_Toc22150"/>
      <w:bookmarkStart w:id="125" w:name="_Toc31259"/>
      <w:bookmarkStart w:id="126" w:name="_Toc23110"/>
      <w:r>
        <w:rPr>
          <w:rFonts w:hint="eastAsia" w:ascii="宋体" w:hAnsi="宋体" w:eastAsia="宋体" w:cs="宋体"/>
          <w:color w:val="auto"/>
          <w:spacing w:val="8"/>
          <w:sz w:val="24"/>
          <w:highlight w:val="none"/>
        </w:rPr>
        <w:t>附</w:t>
      </w:r>
      <w:r>
        <w:rPr>
          <w:rFonts w:hint="eastAsia" w:ascii="宋体" w:hAnsi="宋体" w:eastAsia="宋体" w:cs="宋体"/>
          <w:color w:val="auto"/>
          <w:spacing w:val="6"/>
          <w:sz w:val="24"/>
          <w:highlight w:val="none"/>
        </w:rPr>
        <w:t>件：投诉书范本</w:t>
      </w:r>
      <w:bookmarkEnd w:id="123"/>
      <w:bookmarkEnd w:id="124"/>
      <w:bookmarkEnd w:id="125"/>
      <w:bookmarkEnd w:id="126"/>
    </w:p>
    <w:p>
      <w:pPr>
        <w:shd w:val="clear" w:color="auto" w:fill="auto"/>
        <w:spacing w:line="393" w:lineRule="auto"/>
        <w:rPr>
          <w:rFonts w:hint="eastAsia" w:ascii="宋体" w:hAnsi="宋体" w:eastAsia="宋体" w:cs="宋体"/>
          <w:color w:val="auto"/>
          <w:sz w:val="24"/>
          <w:highlight w:val="none"/>
        </w:rPr>
      </w:pPr>
    </w:p>
    <w:p>
      <w:pPr>
        <w:shd w:val="clear" w:color="auto" w:fill="auto"/>
        <w:spacing w:before="115" w:line="224" w:lineRule="auto"/>
        <w:jc w:val="center"/>
        <w:rPr>
          <w:rFonts w:hint="eastAsia" w:ascii="宋体" w:hAnsi="宋体" w:eastAsia="宋体" w:cs="宋体"/>
          <w:color w:val="auto"/>
          <w:sz w:val="24"/>
          <w:highlight w:val="none"/>
        </w:rPr>
      </w:pPr>
      <w:r>
        <w:rPr>
          <w:rFonts w:hint="eastAsia" w:ascii="宋体" w:hAnsi="宋体" w:eastAsia="宋体" w:cs="宋体"/>
          <w:color w:val="auto"/>
          <w:spacing w:val="24"/>
          <w:sz w:val="24"/>
          <w:highlight w:val="none"/>
        </w:rPr>
        <w:t>投诉</w:t>
      </w:r>
      <w:r>
        <w:rPr>
          <w:rFonts w:hint="eastAsia" w:ascii="宋体" w:hAnsi="宋体" w:eastAsia="宋体" w:cs="宋体"/>
          <w:color w:val="auto"/>
          <w:spacing w:val="23"/>
          <w:sz w:val="24"/>
          <w:highlight w:val="none"/>
        </w:rPr>
        <w:t>书</w:t>
      </w:r>
    </w:p>
    <w:p>
      <w:pPr>
        <w:shd w:val="clear" w:color="auto" w:fill="auto"/>
        <w:spacing w:before="265" w:line="434" w:lineRule="exact"/>
        <w:ind w:left="27"/>
        <w:outlineLvl w:val="2"/>
        <w:rPr>
          <w:rFonts w:hint="eastAsia" w:ascii="宋体" w:hAnsi="宋体" w:eastAsia="宋体" w:cs="宋体"/>
          <w:color w:val="auto"/>
          <w:sz w:val="24"/>
          <w:highlight w:val="none"/>
        </w:rPr>
      </w:pPr>
      <w:bookmarkStart w:id="127" w:name="_Toc110010429"/>
      <w:bookmarkStart w:id="128" w:name="_Toc26371"/>
      <w:bookmarkStart w:id="129" w:name="_Toc21592"/>
      <w:bookmarkStart w:id="130" w:name="_Toc5746"/>
      <w:r>
        <w:rPr>
          <w:rFonts w:hint="eastAsia" w:ascii="宋体" w:hAnsi="宋体" w:eastAsia="宋体" w:cs="宋体"/>
          <w:color w:val="auto"/>
          <w:spacing w:val="-2"/>
          <w:position w:val="1"/>
          <w:sz w:val="24"/>
          <w:highlight w:val="none"/>
        </w:rPr>
        <w:t>一、投诉</w:t>
      </w:r>
      <w:r>
        <w:rPr>
          <w:rFonts w:hint="eastAsia" w:ascii="宋体" w:hAnsi="宋体" w:eastAsia="宋体" w:cs="宋体"/>
          <w:color w:val="auto"/>
          <w:spacing w:val="-1"/>
          <w:position w:val="1"/>
          <w:sz w:val="24"/>
          <w:highlight w:val="none"/>
        </w:rPr>
        <w:t>相关主体基本情况</w:t>
      </w:r>
      <w:bookmarkEnd w:id="127"/>
      <w:bookmarkEnd w:id="128"/>
      <w:bookmarkEnd w:id="129"/>
      <w:bookmarkEnd w:id="130"/>
    </w:p>
    <w:p>
      <w:pPr>
        <w:shd w:val="clear" w:color="auto" w:fill="auto"/>
        <w:spacing w:before="1" w:line="220" w:lineRule="auto"/>
        <w:ind w:left="508"/>
        <w:rPr>
          <w:rFonts w:hint="eastAsia" w:ascii="宋体" w:hAnsi="宋体" w:eastAsia="宋体" w:cs="宋体"/>
          <w:color w:val="auto"/>
          <w:sz w:val="24"/>
          <w:highlight w:val="none"/>
        </w:rPr>
      </w:pPr>
      <w:r>
        <w:rPr>
          <w:rFonts w:hint="eastAsia" w:ascii="宋体" w:hAnsi="宋体" w:eastAsia="宋体" w:cs="宋体"/>
          <w:color w:val="auto"/>
          <w:spacing w:val="-6"/>
          <w:sz w:val="24"/>
          <w:highlight w:val="none"/>
        </w:rPr>
        <w:t>投</w:t>
      </w:r>
      <w:r>
        <w:rPr>
          <w:rFonts w:hint="eastAsia" w:ascii="宋体" w:hAnsi="宋体" w:eastAsia="宋体" w:cs="宋体"/>
          <w:color w:val="auto"/>
          <w:spacing w:val="-3"/>
          <w:sz w:val="24"/>
          <w:highlight w:val="none"/>
        </w:rPr>
        <w:t>诉人：</w:t>
      </w:r>
      <w:r>
        <w:rPr>
          <w:rFonts w:hint="eastAsia" w:ascii="宋体" w:hAnsi="宋体" w:eastAsia="宋体" w:cs="宋体"/>
          <w:color w:val="auto"/>
          <w:sz w:val="24"/>
          <w:highlight w:val="none"/>
          <w:u w:val="dotted"/>
        </w:rPr>
        <w:t xml:space="preserve">                                                 </w:t>
      </w:r>
    </w:p>
    <w:p>
      <w:pPr>
        <w:shd w:val="clear" w:color="auto" w:fill="auto"/>
        <w:spacing w:before="102" w:line="220" w:lineRule="auto"/>
        <w:ind w:left="505"/>
        <w:rPr>
          <w:rFonts w:hint="eastAsia" w:ascii="宋体" w:hAnsi="宋体" w:eastAsia="宋体" w:cs="宋体"/>
          <w:color w:val="auto"/>
          <w:sz w:val="24"/>
          <w:highlight w:val="none"/>
        </w:rPr>
      </w:pPr>
      <w:r>
        <w:rPr>
          <w:rFonts w:hint="eastAsia" w:ascii="宋体" w:hAnsi="宋体" w:eastAsia="宋体" w:cs="宋体"/>
          <w:color w:val="auto"/>
          <w:spacing w:val="-8"/>
          <w:sz w:val="24"/>
          <w:highlight w:val="none"/>
        </w:rPr>
        <w:t>地址：</w:t>
      </w:r>
      <w:r>
        <w:rPr>
          <w:rFonts w:hint="eastAsia" w:ascii="宋体" w:hAnsi="宋体" w:eastAsia="宋体" w:cs="宋体"/>
          <w:color w:val="auto"/>
          <w:spacing w:val="-8"/>
          <w:sz w:val="24"/>
          <w:highlight w:val="none"/>
          <w:u w:val="dotted"/>
        </w:rPr>
        <w:t xml:space="preserve">  </w:t>
      </w:r>
      <w:r>
        <w:rPr>
          <w:rFonts w:hint="eastAsia" w:ascii="宋体" w:hAnsi="宋体" w:eastAsia="宋体" w:cs="宋体"/>
          <w:color w:val="auto"/>
          <w:spacing w:val="-5"/>
          <w:sz w:val="24"/>
          <w:highlight w:val="none"/>
          <w:u w:val="dotted"/>
        </w:rPr>
        <w:t xml:space="preserve"> </w:t>
      </w:r>
      <w:r>
        <w:rPr>
          <w:rFonts w:hint="eastAsia" w:ascii="宋体" w:hAnsi="宋体" w:eastAsia="宋体" w:cs="宋体"/>
          <w:color w:val="auto"/>
          <w:spacing w:val="-4"/>
          <w:sz w:val="24"/>
          <w:highlight w:val="none"/>
          <w:u w:val="dotted"/>
        </w:rPr>
        <w:t xml:space="preserve">                        </w:t>
      </w:r>
      <w:r>
        <w:rPr>
          <w:rFonts w:hint="eastAsia" w:ascii="宋体" w:hAnsi="宋体" w:eastAsia="宋体" w:cs="宋体"/>
          <w:color w:val="auto"/>
          <w:spacing w:val="-4"/>
          <w:sz w:val="24"/>
          <w:highlight w:val="none"/>
        </w:rPr>
        <w:t>邮编：</w:t>
      </w:r>
      <w:r>
        <w:rPr>
          <w:rFonts w:hint="eastAsia" w:ascii="宋体" w:hAnsi="宋体" w:eastAsia="宋体" w:cs="宋体"/>
          <w:color w:val="auto"/>
          <w:sz w:val="24"/>
          <w:highlight w:val="none"/>
          <w:u w:val="dotted"/>
        </w:rPr>
        <w:t xml:space="preserve">                   </w:t>
      </w:r>
    </w:p>
    <w:p>
      <w:pPr>
        <w:shd w:val="clear" w:color="auto" w:fill="auto"/>
        <w:spacing w:before="101" w:line="220" w:lineRule="auto"/>
        <w:ind w:left="506"/>
        <w:rPr>
          <w:rFonts w:hint="eastAsia" w:ascii="宋体" w:hAnsi="宋体" w:eastAsia="宋体" w:cs="宋体"/>
          <w:color w:val="auto"/>
          <w:sz w:val="24"/>
          <w:highlight w:val="none"/>
        </w:rPr>
      </w:pPr>
      <w:r>
        <w:rPr>
          <w:rFonts w:hint="eastAsia" w:ascii="宋体" w:hAnsi="宋体" w:eastAsia="宋体" w:cs="宋体"/>
          <w:color w:val="auto"/>
          <w:spacing w:val="-2"/>
          <w:sz w:val="24"/>
          <w:highlight w:val="none"/>
        </w:rPr>
        <w:t>法定代</w:t>
      </w:r>
      <w:r>
        <w:rPr>
          <w:rFonts w:hint="eastAsia" w:ascii="宋体" w:hAnsi="宋体" w:eastAsia="宋体" w:cs="宋体"/>
          <w:color w:val="auto"/>
          <w:spacing w:val="-1"/>
          <w:sz w:val="24"/>
          <w:highlight w:val="none"/>
        </w:rPr>
        <w:t>表人/主要负责人：</w:t>
      </w:r>
      <w:r>
        <w:rPr>
          <w:rFonts w:hint="eastAsia" w:ascii="宋体" w:hAnsi="宋体" w:eastAsia="宋体" w:cs="宋体"/>
          <w:color w:val="auto"/>
          <w:sz w:val="24"/>
          <w:highlight w:val="none"/>
          <w:u w:val="dotted"/>
        </w:rPr>
        <w:t xml:space="preserve">                                  </w:t>
      </w:r>
    </w:p>
    <w:p>
      <w:pPr>
        <w:shd w:val="clear" w:color="auto" w:fill="auto"/>
        <w:spacing w:before="104" w:line="222" w:lineRule="auto"/>
        <w:ind w:left="506"/>
        <w:rPr>
          <w:rFonts w:hint="eastAsia" w:ascii="宋体" w:hAnsi="宋体" w:eastAsia="宋体" w:cs="宋体"/>
          <w:color w:val="auto"/>
          <w:sz w:val="24"/>
          <w:highlight w:val="none"/>
        </w:rPr>
      </w:pPr>
      <w:r>
        <w:rPr>
          <w:rFonts w:hint="eastAsia" w:ascii="宋体" w:hAnsi="宋体" w:eastAsia="宋体" w:cs="宋体"/>
          <w:color w:val="auto"/>
          <w:spacing w:val="-4"/>
          <w:sz w:val="24"/>
          <w:highlight w:val="none"/>
        </w:rPr>
        <w:t>联系</w:t>
      </w:r>
      <w:r>
        <w:rPr>
          <w:rFonts w:hint="eastAsia" w:ascii="宋体" w:hAnsi="宋体" w:eastAsia="宋体" w:cs="宋体"/>
          <w:color w:val="auto"/>
          <w:spacing w:val="-2"/>
          <w:sz w:val="24"/>
          <w:highlight w:val="none"/>
        </w:rPr>
        <w:t>电话：</w:t>
      </w:r>
      <w:r>
        <w:rPr>
          <w:rFonts w:hint="eastAsia" w:ascii="宋体" w:hAnsi="宋体" w:eastAsia="宋体" w:cs="宋体"/>
          <w:color w:val="auto"/>
          <w:sz w:val="24"/>
          <w:highlight w:val="none"/>
          <w:u w:val="dotted"/>
        </w:rPr>
        <w:t xml:space="preserve">                                             </w:t>
      </w:r>
    </w:p>
    <w:p>
      <w:pPr>
        <w:shd w:val="clear" w:color="auto" w:fill="auto"/>
        <w:spacing w:before="99" w:line="220" w:lineRule="auto"/>
        <w:ind w:left="503"/>
        <w:rPr>
          <w:rFonts w:hint="eastAsia" w:ascii="宋体" w:hAnsi="宋体" w:eastAsia="宋体" w:cs="宋体"/>
          <w:color w:val="auto"/>
          <w:sz w:val="24"/>
          <w:highlight w:val="none"/>
        </w:rPr>
      </w:pPr>
      <w:r>
        <w:rPr>
          <w:rFonts w:hint="eastAsia" w:ascii="宋体" w:hAnsi="宋体" w:eastAsia="宋体" w:cs="宋体"/>
          <w:color w:val="auto"/>
          <w:spacing w:val="-8"/>
          <w:sz w:val="24"/>
          <w:highlight w:val="none"/>
        </w:rPr>
        <w:t>授权代表：</w:t>
      </w:r>
      <w:r>
        <w:rPr>
          <w:rFonts w:hint="eastAsia" w:ascii="宋体" w:hAnsi="宋体" w:eastAsia="宋体" w:cs="宋体"/>
          <w:color w:val="auto"/>
          <w:spacing w:val="-6"/>
          <w:sz w:val="24"/>
          <w:highlight w:val="none"/>
          <w:u w:val="dotted"/>
        </w:rPr>
        <w:t xml:space="preserve"> </w:t>
      </w:r>
      <w:r>
        <w:rPr>
          <w:rFonts w:hint="eastAsia" w:ascii="宋体" w:hAnsi="宋体" w:eastAsia="宋体" w:cs="宋体"/>
          <w:color w:val="auto"/>
          <w:spacing w:val="-4"/>
          <w:sz w:val="24"/>
          <w:highlight w:val="none"/>
          <w:u w:val="dotted"/>
        </w:rPr>
        <w:t xml:space="preserve">                   </w:t>
      </w:r>
      <w:r>
        <w:rPr>
          <w:rFonts w:hint="eastAsia" w:ascii="宋体" w:hAnsi="宋体" w:eastAsia="宋体" w:cs="宋体"/>
          <w:color w:val="auto"/>
          <w:spacing w:val="-4"/>
          <w:sz w:val="24"/>
          <w:highlight w:val="none"/>
          <w:u w:val="dotted"/>
          <w:lang w:val="en-US" w:eastAsia="zh-CN"/>
        </w:rPr>
        <w:t xml:space="preserve"> </w:t>
      </w:r>
      <w:r>
        <w:rPr>
          <w:rFonts w:hint="eastAsia" w:ascii="宋体" w:hAnsi="宋体" w:eastAsia="宋体" w:cs="宋体"/>
          <w:color w:val="auto"/>
          <w:spacing w:val="-4"/>
          <w:sz w:val="24"/>
          <w:highlight w:val="none"/>
          <w:u w:val="dotted"/>
        </w:rPr>
        <w:t xml:space="preserve">  </w:t>
      </w:r>
      <w:r>
        <w:rPr>
          <w:rFonts w:hint="eastAsia" w:ascii="宋体" w:hAnsi="宋体" w:eastAsia="宋体" w:cs="宋体"/>
          <w:color w:val="auto"/>
          <w:spacing w:val="-4"/>
          <w:sz w:val="24"/>
          <w:highlight w:val="none"/>
        </w:rPr>
        <w:t>联系电话：</w:t>
      </w:r>
      <w:r>
        <w:rPr>
          <w:rFonts w:hint="eastAsia" w:ascii="宋体" w:hAnsi="宋体" w:eastAsia="宋体" w:cs="宋体"/>
          <w:color w:val="auto"/>
          <w:sz w:val="24"/>
          <w:highlight w:val="none"/>
          <w:u w:val="dotted"/>
        </w:rPr>
        <w:t xml:space="preserve">                </w:t>
      </w:r>
    </w:p>
    <w:p>
      <w:pPr>
        <w:shd w:val="clear" w:color="auto" w:fill="auto"/>
        <w:spacing w:before="101" w:line="220" w:lineRule="auto"/>
        <w:ind w:left="505"/>
        <w:rPr>
          <w:rFonts w:hint="eastAsia" w:ascii="宋体" w:hAnsi="宋体" w:eastAsia="宋体" w:cs="宋体"/>
          <w:color w:val="auto"/>
          <w:sz w:val="24"/>
          <w:highlight w:val="none"/>
        </w:rPr>
      </w:pPr>
      <w:r>
        <w:rPr>
          <w:rFonts w:hint="eastAsia" w:ascii="宋体" w:hAnsi="宋体" w:eastAsia="宋体" w:cs="宋体"/>
          <w:color w:val="auto"/>
          <w:spacing w:val="-8"/>
          <w:sz w:val="24"/>
          <w:highlight w:val="none"/>
        </w:rPr>
        <w:t>地址：</w:t>
      </w:r>
      <w:r>
        <w:rPr>
          <w:rFonts w:hint="eastAsia" w:ascii="宋体" w:hAnsi="宋体" w:eastAsia="宋体" w:cs="宋体"/>
          <w:color w:val="auto"/>
          <w:spacing w:val="-8"/>
          <w:sz w:val="24"/>
          <w:highlight w:val="none"/>
          <w:u w:val="dotted"/>
        </w:rPr>
        <w:t xml:space="preserve">   </w:t>
      </w:r>
      <w:r>
        <w:rPr>
          <w:rFonts w:hint="eastAsia" w:ascii="宋体" w:hAnsi="宋体" w:eastAsia="宋体" w:cs="宋体"/>
          <w:color w:val="auto"/>
          <w:spacing w:val="-5"/>
          <w:sz w:val="24"/>
          <w:highlight w:val="none"/>
          <w:u w:val="dotted"/>
        </w:rPr>
        <w:t xml:space="preserve"> </w:t>
      </w:r>
      <w:r>
        <w:rPr>
          <w:rFonts w:hint="eastAsia" w:ascii="宋体" w:hAnsi="宋体" w:eastAsia="宋体" w:cs="宋体"/>
          <w:color w:val="auto"/>
          <w:spacing w:val="-4"/>
          <w:sz w:val="24"/>
          <w:highlight w:val="none"/>
          <w:u w:val="dotted"/>
        </w:rPr>
        <w:t xml:space="preserve">                   </w:t>
      </w:r>
      <w:r>
        <w:rPr>
          <w:rFonts w:hint="eastAsia" w:ascii="宋体" w:hAnsi="宋体" w:eastAsia="宋体" w:cs="宋体"/>
          <w:color w:val="auto"/>
          <w:spacing w:val="-4"/>
          <w:sz w:val="24"/>
          <w:highlight w:val="none"/>
          <w:u w:val="dotted"/>
          <w:lang w:val="en-US" w:eastAsia="zh-CN"/>
        </w:rPr>
        <w:t xml:space="preserve"> </w:t>
      </w:r>
      <w:r>
        <w:rPr>
          <w:rFonts w:hint="eastAsia" w:ascii="宋体" w:hAnsi="宋体" w:eastAsia="宋体" w:cs="宋体"/>
          <w:color w:val="auto"/>
          <w:spacing w:val="-4"/>
          <w:sz w:val="24"/>
          <w:highlight w:val="none"/>
          <w:u w:val="dotted"/>
        </w:rPr>
        <w:t xml:space="preserve">   </w:t>
      </w:r>
      <w:r>
        <w:rPr>
          <w:rFonts w:hint="eastAsia" w:ascii="宋体" w:hAnsi="宋体" w:eastAsia="宋体" w:cs="宋体"/>
          <w:color w:val="auto"/>
          <w:spacing w:val="-4"/>
          <w:sz w:val="24"/>
          <w:highlight w:val="none"/>
        </w:rPr>
        <w:t>邮编：</w:t>
      </w:r>
      <w:r>
        <w:rPr>
          <w:rFonts w:hint="eastAsia" w:ascii="宋体" w:hAnsi="宋体" w:eastAsia="宋体" w:cs="宋体"/>
          <w:color w:val="auto"/>
          <w:sz w:val="24"/>
          <w:highlight w:val="none"/>
          <w:u w:val="dotted"/>
        </w:rPr>
        <w:t xml:space="preserve">                    </w:t>
      </w:r>
    </w:p>
    <w:p>
      <w:pPr>
        <w:shd w:val="clear" w:color="auto" w:fill="auto"/>
        <w:spacing w:before="103" w:line="220" w:lineRule="auto"/>
        <w:ind w:left="505"/>
        <w:rPr>
          <w:rFonts w:hint="eastAsia" w:ascii="宋体" w:hAnsi="宋体" w:eastAsia="宋体" w:cs="宋体"/>
          <w:color w:val="auto"/>
          <w:sz w:val="24"/>
          <w:highlight w:val="none"/>
        </w:rPr>
      </w:pPr>
      <w:r>
        <w:rPr>
          <w:rFonts w:hint="eastAsia" w:ascii="宋体" w:hAnsi="宋体" w:eastAsia="宋体" w:cs="宋体"/>
          <w:color w:val="auto"/>
          <w:spacing w:val="-17"/>
          <w:sz w:val="24"/>
          <w:highlight w:val="none"/>
        </w:rPr>
        <w:t>被</w:t>
      </w:r>
      <w:r>
        <w:rPr>
          <w:rFonts w:hint="eastAsia" w:ascii="宋体" w:hAnsi="宋体" w:eastAsia="宋体" w:cs="宋体"/>
          <w:color w:val="auto"/>
          <w:spacing w:val="-11"/>
          <w:sz w:val="24"/>
          <w:highlight w:val="none"/>
        </w:rPr>
        <w:t>投诉人 1：</w:t>
      </w:r>
    </w:p>
    <w:p>
      <w:pPr>
        <w:shd w:val="clear" w:color="auto" w:fill="auto"/>
        <w:spacing w:before="101" w:line="185" w:lineRule="auto"/>
        <w:ind w:left="505"/>
        <w:rPr>
          <w:rFonts w:hint="eastAsia" w:ascii="宋体" w:hAnsi="宋体" w:eastAsia="宋体" w:cs="宋体"/>
          <w:color w:val="auto"/>
          <w:sz w:val="24"/>
          <w:highlight w:val="none"/>
        </w:rPr>
      </w:pPr>
      <w:r>
        <w:rPr>
          <w:rFonts w:hint="eastAsia" w:ascii="宋体" w:hAnsi="宋体" w:eastAsia="宋体" w:cs="宋体"/>
          <w:color w:val="auto"/>
          <w:spacing w:val="-8"/>
          <w:sz w:val="24"/>
          <w:highlight w:val="none"/>
        </w:rPr>
        <w:t>地址：</w:t>
      </w:r>
      <w:r>
        <w:rPr>
          <w:rFonts w:hint="eastAsia" w:ascii="宋体" w:hAnsi="宋体" w:eastAsia="宋体" w:cs="宋体"/>
          <w:color w:val="auto"/>
          <w:spacing w:val="-8"/>
          <w:sz w:val="24"/>
          <w:highlight w:val="none"/>
          <w:u w:val="dotted"/>
        </w:rPr>
        <w:t xml:space="preserve">   </w:t>
      </w:r>
      <w:r>
        <w:rPr>
          <w:rFonts w:hint="eastAsia" w:ascii="宋体" w:hAnsi="宋体" w:eastAsia="宋体" w:cs="宋体"/>
          <w:color w:val="auto"/>
          <w:spacing w:val="-5"/>
          <w:sz w:val="24"/>
          <w:highlight w:val="none"/>
          <w:u w:val="dotted"/>
        </w:rPr>
        <w:t xml:space="preserve"> </w:t>
      </w:r>
      <w:r>
        <w:rPr>
          <w:rFonts w:hint="eastAsia" w:ascii="宋体" w:hAnsi="宋体" w:eastAsia="宋体" w:cs="宋体"/>
          <w:color w:val="auto"/>
          <w:spacing w:val="-4"/>
          <w:sz w:val="24"/>
          <w:highlight w:val="none"/>
          <w:u w:val="dotted"/>
        </w:rPr>
        <w:t xml:space="preserve">                      </w:t>
      </w:r>
      <w:r>
        <w:rPr>
          <w:rFonts w:hint="eastAsia" w:ascii="宋体" w:hAnsi="宋体" w:eastAsia="宋体" w:cs="宋体"/>
          <w:color w:val="auto"/>
          <w:spacing w:val="-4"/>
          <w:sz w:val="24"/>
          <w:highlight w:val="none"/>
          <w:u w:val="dotted"/>
          <w:lang w:val="en-US" w:eastAsia="zh-CN"/>
        </w:rPr>
        <w:t xml:space="preserve"> </w:t>
      </w:r>
      <w:r>
        <w:rPr>
          <w:rFonts w:hint="eastAsia" w:ascii="宋体" w:hAnsi="宋体" w:eastAsia="宋体" w:cs="宋体"/>
          <w:color w:val="auto"/>
          <w:spacing w:val="-4"/>
          <w:sz w:val="24"/>
          <w:highlight w:val="none"/>
        </w:rPr>
        <w:t>邮编：</w:t>
      </w:r>
      <w:r>
        <w:rPr>
          <w:rFonts w:hint="eastAsia" w:ascii="宋体" w:hAnsi="宋体" w:eastAsia="宋体" w:cs="宋体"/>
          <w:color w:val="auto"/>
          <w:sz w:val="24"/>
          <w:highlight w:val="none"/>
          <w:u w:val="dotted"/>
        </w:rPr>
        <w:t xml:space="preserve">                    </w:t>
      </w:r>
    </w:p>
    <w:p>
      <w:pPr>
        <w:shd w:val="clear" w:color="auto" w:fill="auto"/>
        <w:rPr>
          <w:rFonts w:hint="eastAsia" w:ascii="宋体" w:hAnsi="宋体" w:eastAsia="宋体" w:cs="宋体"/>
          <w:color w:val="auto"/>
          <w:sz w:val="24"/>
          <w:highlight w:val="none"/>
        </w:rPr>
      </w:pPr>
    </w:p>
    <w:p>
      <w:pPr>
        <w:shd w:val="clear" w:color="auto" w:fill="auto"/>
        <w:spacing w:before="103" w:line="220" w:lineRule="auto"/>
        <w:ind w:left="505"/>
        <w:rPr>
          <w:rFonts w:hint="eastAsia" w:ascii="宋体" w:hAnsi="宋体" w:eastAsia="宋体" w:cs="宋体"/>
          <w:color w:val="auto"/>
          <w:spacing w:val="-17"/>
          <w:sz w:val="24"/>
          <w:highlight w:val="none"/>
        </w:rPr>
      </w:pPr>
      <w:r>
        <w:rPr>
          <w:rFonts w:hint="eastAsia" w:ascii="宋体" w:hAnsi="宋体" w:eastAsia="宋体" w:cs="宋体"/>
          <w:color w:val="auto"/>
          <w:spacing w:val="-17"/>
          <w:sz w:val="24"/>
          <w:highlight w:val="none"/>
        </w:rPr>
        <w:t>联系人：</w:t>
      </w:r>
      <w:r>
        <w:rPr>
          <w:rFonts w:hint="eastAsia" w:ascii="宋体" w:hAnsi="宋体" w:eastAsia="宋体" w:cs="宋体"/>
          <w:color w:val="auto"/>
          <w:spacing w:val="-8"/>
          <w:sz w:val="24"/>
          <w:highlight w:val="none"/>
          <w:u w:val="dotted"/>
        </w:rPr>
        <w:t xml:space="preserve">   </w:t>
      </w:r>
      <w:r>
        <w:rPr>
          <w:rFonts w:hint="eastAsia" w:ascii="宋体" w:hAnsi="宋体" w:eastAsia="宋体" w:cs="宋体"/>
          <w:color w:val="auto"/>
          <w:spacing w:val="-5"/>
          <w:sz w:val="24"/>
          <w:highlight w:val="none"/>
          <w:u w:val="dotted"/>
        </w:rPr>
        <w:t xml:space="preserve"> </w:t>
      </w:r>
      <w:r>
        <w:rPr>
          <w:rFonts w:hint="eastAsia" w:ascii="宋体" w:hAnsi="宋体" w:eastAsia="宋体" w:cs="宋体"/>
          <w:color w:val="auto"/>
          <w:spacing w:val="-4"/>
          <w:sz w:val="24"/>
          <w:highlight w:val="none"/>
          <w:u w:val="dotted"/>
        </w:rPr>
        <w:t xml:space="preserve">                      </w:t>
      </w:r>
      <w:r>
        <w:rPr>
          <w:rFonts w:hint="eastAsia" w:ascii="宋体" w:hAnsi="宋体" w:eastAsia="宋体" w:cs="宋体"/>
          <w:color w:val="auto"/>
          <w:spacing w:val="-17"/>
          <w:sz w:val="24"/>
          <w:highlight w:val="none"/>
        </w:rPr>
        <w:t xml:space="preserve">联系电话：                </w:t>
      </w:r>
    </w:p>
    <w:p>
      <w:pPr>
        <w:shd w:val="clear" w:color="auto" w:fill="auto"/>
        <w:spacing w:before="103" w:line="220" w:lineRule="auto"/>
        <w:ind w:left="505"/>
        <w:rPr>
          <w:rFonts w:hint="eastAsia" w:ascii="宋体" w:hAnsi="宋体" w:eastAsia="宋体" w:cs="宋体"/>
          <w:color w:val="auto"/>
          <w:sz w:val="24"/>
          <w:highlight w:val="none"/>
        </w:rPr>
      </w:pPr>
      <w:r>
        <w:rPr>
          <w:rFonts w:hint="eastAsia" w:ascii="宋体" w:hAnsi="宋体" w:eastAsia="宋体" w:cs="宋体"/>
          <w:color w:val="auto"/>
          <w:spacing w:val="-17"/>
          <w:sz w:val="24"/>
          <w:highlight w:val="none"/>
        </w:rPr>
        <w:t>联系人：</w:t>
      </w:r>
      <w:r>
        <w:rPr>
          <w:rFonts w:hint="eastAsia" w:ascii="宋体" w:hAnsi="宋体" w:eastAsia="宋体" w:cs="宋体"/>
          <w:color w:val="auto"/>
          <w:spacing w:val="-8"/>
          <w:sz w:val="24"/>
          <w:highlight w:val="none"/>
          <w:u w:val="dotted"/>
        </w:rPr>
        <w:t xml:space="preserve">   </w:t>
      </w:r>
      <w:r>
        <w:rPr>
          <w:rFonts w:hint="eastAsia" w:ascii="宋体" w:hAnsi="宋体" w:eastAsia="宋体" w:cs="宋体"/>
          <w:color w:val="auto"/>
          <w:spacing w:val="-5"/>
          <w:sz w:val="24"/>
          <w:highlight w:val="none"/>
          <w:u w:val="dotted"/>
        </w:rPr>
        <w:t xml:space="preserve"> </w:t>
      </w:r>
      <w:r>
        <w:rPr>
          <w:rFonts w:hint="eastAsia" w:ascii="宋体" w:hAnsi="宋体" w:eastAsia="宋体" w:cs="宋体"/>
          <w:color w:val="auto"/>
          <w:spacing w:val="-4"/>
          <w:sz w:val="24"/>
          <w:highlight w:val="none"/>
          <w:u w:val="dotted"/>
        </w:rPr>
        <w:t xml:space="preserve">                      </w:t>
      </w:r>
      <w:r>
        <w:rPr>
          <w:rFonts w:hint="eastAsia" w:ascii="宋体" w:hAnsi="宋体" w:eastAsia="宋体" w:cs="宋体"/>
          <w:color w:val="auto"/>
          <w:spacing w:val="-17"/>
          <w:sz w:val="24"/>
          <w:highlight w:val="none"/>
        </w:rPr>
        <w:t xml:space="preserve">联系电话：     </w:t>
      </w:r>
      <w:r>
        <w:rPr>
          <w:rFonts w:hint="eastAsia" w:ascii="宋体" w:hAnsi="宋体" w:eastAsia="宋体" w:cs="宋体"/>
          <w:color w:val="auto"/>
          <w:sz w:val="24"/>
          <w:highlight w:val="none"/>
          <w:u w:val="dotted"/>
        </w:rPr>
        <w:t xml:space="preserve">           </w:t>
      </w:r>
    </w:p>
    <w:p>
      <w:pPr>
        <w:shd w:val="clear" w:color="auto" w:fill="auto"/>
        <w:spacing w:before="100" w:line="371" w:lineRule="exact"/>
        <w:ind w:left="27"/>
        <w:outlineLvl w:val="2"/>
        <w:rPr>
          <w:rFonts w:hint="eastAsia" w:ascii="宋体" w:hAnsi="宋体" w:eastAsia="宋体" w:cs="宋体"/>
          <w:color w:val="auto"/>
          <w:sz w:val="24"/>
          <w:highlight w:val="none"/>
        </w:rPr>
      </w:pPr>
      <w:bookmarkStart w:id="131" w:name="_Toc27620"/>
      <w:bookmarkStart w:id="132" w:name="_Toc110010430"/>
      <w:bookmarkStart w:id="133" w:name="_Toc25199"/>
      <w:bookmarkStart w:id="134" w:name="_Toc377"/>
      <w:r>
        <w:rPr>
          <w:rFonts w:hint="eastAsia" w:ascii="宋体" w:hAnsi="宋体" w:eastAsia="宋体" w:cs="宋体"/>
          <w:color w:val="auto"/>
          <w:spacing w:val="-2"/>
          <w:position w:val="1"/>
          <w:sz w:val="24"/>
          <w:highlight w:val="none"/>
        </w:rPr>
        <w:t>二、投诉项目</w:t>
      </w:r>
      <w:r>
        <w:rPr>
          <w:rFonts w:hint="eastAsia" w:ascii="宋体" w:hAnsi="宋体" w:eastAsia="宋体" w:cs="宋体"/>
          <w:color w:val="auto"/>
          <w:spacing w:val="-1"/>
          <w:position w:val="1"/>
          <w:sz w:val="24"/>
          <w:highlight w:val="none"/>
        </w:rPr>
        <w:t>基本情况</w:t>
      </w:r>
      <w:bookmarkEnd w:id="131"/>
      <w:bookmarkEnd w:id="132"/>
      <w:bookmarkEnd w:id="133"/>
      <w:bookmarkEnd w:id="134"/>
    </w:p>
    <w:p>
      <w:pPr>
        <w:shd w:val="clear" w:color="auto" w:fill="auto"/>
        <w:spacing w:before="64" w:line="219" w:lineRule="auto"/>
        <w:ind w:left="503"/>
        <w:rPr>
          <w:rFonts w:hint="eastAsia" w:ascii="宋体" w:hAnsi="宋体" w:eastAsia="宋体" w:cs="宋体"/>
          <w:color w:val="auto"/>
          <w:sz w:val="24"/>
          <w:highlight w:val="none"/>
        </w:rPr>
      </w:pPr>
      <w:r>
        <w:rPr>
          <w:rFonts w:hint="eastAsia" w:ascii="宋体" w:hAnsi="宋体" w:eastAsia="宋体" w:cs="宋体"/>
          <w:color w:val="auto"/>
          <w:spacing w:val="-2"/>
          <w:sz w:val="24"/>
          <w:highlight w:val="none"/>
        </w:rPr>
        <w:t>采购项</w:t>
      </w:r>
      <w:r>
        <w:rPr>
          <w:rFonts w:hint="eastAsia" w:ascii="宋体" w:hAnsi="宋体" w:eastAsia="宋体" w:cs="宋体"/>
          <w:color w:val="auto"/>
          <w:spacing w:val="-1"/>
          <w:sz w:val="24"/>
          <w:highlight w:val="none"/>
        </w:rPr>
        <w:t>目名称：</w:t>
      </w:r>
      <w:r>
        <w:rPr>
          <w:rFonts w:hint="eastAsia" w:ascii="宋体" w:hAnsi="宋体" w:eastAsia="宋体" w:cs="宋体"/>
          <w:color w:val="auto"/>
          <w:sz w:val="24"/>
          <w:highlight w:val="none"/>
          <w:u w:val="dotted"/>
        </w:rPr>
        <w:t xml:space="preserve">                                           </w:t>
      </w:r>
    </w:p>
    <w:p>
      <w:pPr>
        <w:shd w:val="clear" w:color="auto" w:fill="auto"/>
        <w:spacing w:before="104" w:line="219" w:lineRule="auto"/>
        <w:ind w:left="503"/>
        <w:rPr>
          <w:rFonts w:hint="eastAsia" w:ascii="宋体" w:hAnsi="宋体" w:eastAsia="宋体" w:cs="宋体"/>
          <w:color w:val="auto"/>
          <w:sz w:val="24"/>
          <w:highlight w:val="none"/>
        </w:rPr>
      </w:pPr>
      <w:r>
        <w:rPr>
          <w:rFonts w:hint="eastAsia" w:ascii="宋体" w:hAnsi="宋体" w:eastAsia="宋体" w:cs="宋体"/>
          <w:color w:val="auto"/>
          <w:spacing w:val="-8"/>
          <w:sz w:val="24"/>
          <w:highlight w:val="none"/>
        </w:rPr>
        <w:t>采购项目</w:t>
      </w:r>
      <w:r>
        <w:rPr>
          <w:rFonts w:hint="eastAsia" w:ascii="宋体" w:hAnsi="宋体" w:eastAsia="宋体" w:cs="宋体"/>
          <w:color w:val="auto"/>
          <w:spacing w:val="-4"/>
          <w:sz w:val="24"/>
          <w:highlight w:val="none"/>
        </w:rPr>
        <w:t>编号：</w:t>
      </w:r>
      <w:r>
        <w:rPr>
          <w:rFonts w:hint="eastAsia" w:ascii="宋体" w:hAnsi="宋体" w:eastAsia="宋体" w:cs="宋体"/>
          <w:color w:val="auto"/>
          <w:spacing w:val="-4"/>
          <w:sz w:val="24"/>
          <w:highlight w:val="none"/>
          <w:u w:val="dotted"/>
        </w:rPr>
        <w:t xml:space="preserve">                        </w:t>
      </w:r>
      <w:r>
        <w:rPr>
          <w:rFonts w:hint="eastAsia" w:ascii="宋体" w:hAnsi="宋体" w:eastAsia="宋体" w:cs="宋体"/>
          <w:color w:val="auto"/>
          <w:spacing w:val="-4"/>
          <w:sz w:val="24"/>
          <w:highlight w:val="none"/>
        </w:rPr>
        <w:t>包号：</w:t>
      </w:r>
      <w:r>
        <w:rPr>
          <w:rFonts w:hint="eastAsia" w:ascii="宋体" w:hAnsi="宋体" w:eastAsia="宋体" w:cs="宋体"/>
          <w:color w:val="auto"/>
          <w:sz w:val="24"/>
          <w:highlight w:val="none"/>
          <w:u w:val="dotted"/>
        </w:rPr>
        <w:t xml:space="preserve">              </w:t>
      </w:r>
    </w:p>
    <w:p>
      <w:pPr>
        <w:shd w:val="clear" w:color="auto" w:fill="auto"/>
        <w:spacing w:before="102" w:line="219" w:lineRule="auto"/>
        <w:ind w:left="503"/>
        <w:rPr>
          <w:rFonts w:hint="eastAsia" w:ascii="宋体" w:hAnsi="宋体" w:eastAsia="宋体" w:cs="宋体"/>
          <w:color w:val="auto"/>
          <w:sz w:val="24"/>
          <w:highlight w:val="none"/>
        </w:rPr>
      </w:pPr>
      <w:r>
        <w:rPr>
          <w:rFonts w:hint="eastAsia" w:ascii="宋体" w:hAnsi="宋体" w:eastAsia="宋体" w:cs="宋体"/>
          <w:color w:val="auto"/>
          <w:spacing w:val="-2"/>
          <w:sz w:val="24"/>
          <w:highlight w:val="none"/>
        </w:rPr>
        <w:t>采购人名</w:t>
      </w:r>
      <w:r>
        <w:rPr>
          <w:rFonts w:hint="eastAsia" w:ascii="宋体" w:hAnsi="宋体" w:eastAsia="宋体" w:cs="宋体"/>
          <w:color w:val="auto"/>
          <w:spacing w:val="-1"/>
          <w:sz w:val="24"/>
          <w:highlight w:val="none"/>
        </w:rPr>
        <w:t>称：</w:t>
      </w:r>
      <w:r>
        <w:rPr>
          <w:rFonts w:hint="eastAsia" w:ascii="宋体" w:hAnsi="宋体" w:eastAsia="宋体" w:cs="宋体"/>
          <w:color w:val="auto"/>
          <w:sz w:val="24"/>
          <w:highlight w:val="none"/>
          <w:u w:val="dotted"/>
        </w:rPr>
        <w:t xml:space="preserve">                                           </w:t>
      </w:r>
    </w:p>
    <w:p>
      <w:pPr>
        <w:shd w:val="clear" w:color="auto" w:fill="auto"/>
        <w:spacing w:before="105" w:line="219" w:lineRule="auto"/>
        <w:ind w:left="503"/>
        <w:rPr>
          <w:rFonts w:hint="eastAsia" w:ascii="宋体" w:hAnsi="宋体" w:eastAsia="宋体" w:cs="宋体"/>
          <w:color w:val="auto"/>
          <w:sz w:val="24"/>
          <w:highlight w:val="none"/>
        </w:rPr>
      </w:pPr>
      <w:r>
        <w:rPr>
          <w:rFonts w:hint="eastAsia" w:ascii="宋体" w:hAnsi="宋体" w:eastAsia="宋体" w:cs="宋体"/>
          <w:color w:val="auto"/>
          <w:spacing w:val="-2"/>
          <w:sz w:val="24"/>
          <w:highlight w:val="none"/>
        </w:rPr>
        <w:t>代理机构名</w:t>
      </w:r>
      <w:r>
        <w:rPr>
          <w:rFonts w:hint="eastAsia" w:ascii="宋体" w:hAnsi="宋体" w:eastAsia="宋体" w:cs="宋体"/>
          <w:color w:val="auto"/>
          <w:spacing w:val="-1"/>
          <w:sz w:val="24"/>
          <w:highlight w:val="none"/>
        </w:rPr>
        <w:t>称：</w:t>
      </w:r>
      <w:r>
        <w:rPr>
          <w:rFonts w:hint="eastAsia" w:ascii="宋体" w:hAnsi="宋体" w:eastAsia="宋体" w:cs="宋体"/>
          <w:color w:val="auto"/>
          <w:sz w:val="24"/>
          <w:highlight w:val="none"/>
          <w:u w:val="dotted"/>
        </w:rPr>
        <w:t xml:space="preserve">                                           </w:t>
      </w:r>
    </w:p>
    <w:p>
      <w:pPr>
        <w:shd w:val="clear" w:color="auto" w:fill="auto"/>
        <w:spacing w:before="104" w:line="219" w:lineRule="auto"/>
        <w:ind w:left="503"/>
        <w:rPr>
          <w:rFonts w:hint="eastAsia" w:ascii="宋体" w:hAnsi="宋体" w:eastAsia="宋体" w:cs="宋体"/>
          <w:color w:val="auto"/>
          <w:sz w:val="24"/>
          <w:highlight w:val="none"/>
        </w:rPr>
      </w:pPr>
      <w:r>
        <w:rPr>
          <w:rFonts w:hint="eastAsia" w:ascii="宋体" w:hAnsi="宋体" w:eastAsia="宋体" w:cs="宋体"/>
          <w:color w:val="auto"/>
          <w:spacing w:val="7"/>
          <w:sz w:val="24"/>
          <w:highlight w:val="none"/>
        </w:rPr>
        <w:t>采购文件公告:</w:t>
      </w:r>
      <w:r>
        <w:rPr>
          <w:rFonts w:hint="eastAsia" w:ascii="宋体" w:hAnsi="宋体" w:eastAsia="宋体" w:cs="宋体"/>
          <w:color w:val="auto"/>
          <w:spacing w:val="7"/>
          <w:sz w:val="24"/>
          <w:highlight w:val="none"/>
          <w:u w:val="single"/>
        </w:rPr>
        <w:t xml:space="preserve">  是/否 </w:t>
      </w:r>
      <w:r>
        <w:rPr>
          <w:rFonts w:hint="eastAsia" w:ascii="宋体" w:hAnsi="宋体" w:eastAsia="宋体" w:cs="宋体"/>
          <w:color w:val="auto"/>
          <w:spacing w:val="7"/>
          <w:sz w:val="24"/>
          <w:highlight w:val="none"/>
        </w:rPr>
        <w:t xml:space="preserve"> 公告期限</w:t>
      </w:r>
      <w:r>
        <w:rPr>
          <w:rFonts w:hint="eastAsia" w:ascii="宋体" w:hAnsi="宋体" w:eastAsia="宋体" w:cs="宋体"/>
          <w:color w:val="auto"/>
          <w:spacing w:val="3"/>
          <w:sz w:val="24"/>
          <w:highlight w:val="none"/>
        </w:rPr>
        <w:t>：</w:t>
      </w:r>
      <w:r>
        <w:rPr>
          <w:rFonts w:hint="eastAsia" w:ascii="宋体" w:hAnsi="宋体" w:eastAsia="宋体" w:cs="宋体"/>
          <w:color w:val="auto"/>
          <w:sz w:val="24"/>
          <w:highlight w:val="none"/>
          <w:u w:val="dotted"/>
        </w:rPr>
        <w:t xml:space="preserve">                        </w:t>
      </w:r>
    </w:p>
    <w:p>
      <w:pPr>
        <w:shd w:val="clear" w:color="auto" w:fill="auto"/>
        <w:spacing w:before="103" w:line="287" w:lineRule="auto"/>
        <w:ind w:left="22" w:right="12" w:firstLine="481"/>
        <w:rPr>
          <w:rFonts w:hint="eastAsia" w:ascii="宋体" w:hAnsi="宋体" w:eastAsia="宋体" w:cs="宋体"/>
          <w:color w:val="auto"/>
          <w:sz w:val="24"/>
          <w:highlight w:val="none"/>
        </w:rPr>
      </w:pPr>
      <w:r>
        <w:rPr>
          <w:rFonts w:hint="eastAsia" w:ascii="宋体" w:hAnsi="宋体" w:eastAsia="宋体" w:cs="宋体"/>
          <w:color w:val="auto"/>
          <w:spacing w:val="-1"/>
          <w:sz w:val="24"/>
          <w:highlight w:val="none"/>
        </w:rPr>
        <w:t>采购结果公告：</w:t>
      </w:r>
      <w:r>
        <w:rPr>
          <w:rFonts w:hint="eastAsia" w:ascii="宋体" w:hAnsi="宋体" w:eastAsia="宋体" w:cs="宋体"/>
          <w:color w:val="auto"/>
          <w:spacing w:val="-1"/>
          <w:sz w:val="24"/>
          <w:highlight w:val="none"/>
          <w:u w:val="single"/>
        </w:rPr>
        <w:t xml:space="preserve">  是/否 </w:t>
      </w:r>
      <w:r>
        <w:rPr>
          <w:rFonts w:hint="eastAsia" w:ascii="宋体" w:hAnsi="宋体" w:eastAsia="宋体" w:cs="宋体"/>
          <w:color w:val="auto"/>
          <w:spacing w:val="-1"/>
          <w:sz w:val="24"/>
          <w:highlight w:val="none"/>
        </w:rPr>
        <w:t xml:space="preserve"> 公告期限：</w:t>
      </w:r>
      <w:r>
        <w:rPr>
          <w:rFonts w:hint="eastAsia" w:ascii="宋体" w:hAnsi="宋体" w:eastAsia="宋体" w:cs="宋体"/>
          <w:color w:val="auto"/>
          <w:spacing w:val="-1"/>
          <w:sz w:val="24"/>
          <w:highlight w:val="none"/>
          <w:u w:val="dotted"/>
        </w:rPr>
        <w:t xml:space="preserve">   </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 xml:space="preserve"> </w:t>
      </w:r>
    </w:p>
    <w:p>
      <w:pPr>
        <w:shd w:val="clear" w:color="auto" w:fill="auto"/>
        <w:spacing w:before="100" w:line="371" w:lineRule="exact"/>
        <w:ind w:left="27" w:right="0" w:firstLine="0"/>
        <w:outlineLvl w:val="2"/>
        <w:rPr>
          <w:rFonts w:hint="eastAsia" w:ascii="宋体" w:hAnsi="宋体" w:eastAsia="宋体" w:cs="宋体"/>
          <w:color w:val="auto"/>
          <w:spacing w:val="-2"/>
          <w:position w:val="1"/>
          <w:sz w:val="24"/>
          <w:highlight w:val="none"/>
        </w:rPr>
      </w:pPr>
      <w:r>
        <w:rPr>
          <w:rFonts w:hint="eastAsia" w:ascii="宋体" w:hAnsi="宋体" w:eastAsia="宋体" w:cs="宋体"/>
          <w:color w:val="auto"/>
          <w:spacing w:val="-2"/>
          <w:position w:val="1"/>
          <w:sz w:val="24"/>
          <w:highlight w:val="none"/>
        </w:rPr>
        <w:t>三、质疑基本情况</w:t>
      </w:r>
    </w:p>
    <w:p>
      <w:pPr>
        <w:shd w:val="clear" w:color="auto" w:fill="auto"/>
        <w:spacing w:before="1" w:line="287" w:lineRule="auto"/>
        <w:ind w:left="23" w:right="11" w:firstLine="484"/>
        <w:rPr>
          <w:rFonts w:hint="eastAsia" w:ascii="宋体" w:hAnsi="宋体" w:eastAsia="宋体" w:cs="宋体"/>
          <w:color w:val="auto"/>
          <w:sz w:val="24"/>
          <w:highlight w:val="none"/>
        </w:rPr>
      </w:pPr>
      <w:r>
        <w:rPr>
          <w:rFonts w:hint="eastAsia" w:ascii="宋体" w:hAnsi="宋体" w:eastAsia="宋体" w:cs="宋体"/>
          <w:color w:val="auto"/>
          <w:spacing w:val="-12"/>
          <w:sz w:val="24"/>
          <w:highlight w:val="none"/>
        </w:rPr>
        <w:t>投</w:t>
      </w:r>
      <w:r>
        <w:rPr>
          <w:rFonts w:hint="eastAsia" w:ascii="宋体" w:hAnsi="宋体" w:eastAsia="宋体" w:cs="宋体"/>
          <w:color w:val="auto"/>
          <w:spacing w:val="-6"/>
          <w:sz w:val="24"/>
          <w:highlight w:val="none"/>
        </w:rPr>
        <w:t>诉人于</w:t>
      </w:r>
      <w:r>
        <w:rPr>
          <w:rFonts w:hint="eastAsia" w:ascii="宋体" w:hAnsi="宋体" w:eastAsia="宋体" w:cs="宋体"/>
          <w:color w:val="auto"/>
          <w:spacing w:val="-6"/>
          <w:sz w:val="24"/>
          <w:highlight w:val="none"/>
          <w:u w:val="dotted"/>
        </w:rPr>
        <w:t xml:space="preserve">           </w:t>
      </w:r>
      <w:r>
        <w:rPr>
          <w:rFonts w:hint="eastAsia" w:ascii="宋体" w:hAnsi="宋体" w:eastAsia="宋体" w:cs="宋体"/>
          <w:color w:val="auto"/>
          <w:spacing w:val="-6"/>
          <w:sz w:val="24"/>
          <w:highlight w:val="none"/>
        </w:rPr>
        <w:t>年</w:t>
      </w:r>
      <w:r>
        <w:rPr>
          <w:rFonts w:hint="eastAsia" w:ascii="宋体" w:hAnsi="宋体" w:eastAsia="宋体" w:cs="宋体"/>
          <w:color w:val="auto"/>
          <w:spacing w:val="-6"/>
          <w:sz w:val="24"/>
          <w:highlight w:val="none"/>
          <w:u w:val="dotted"/>
        </w:rPr>
        <w:t xml:space="preserve">           </w:t>
      </w:r>
      <w:r>
        <w:rPr>
          <w:rFonts w:hint="eastAsia" w:ascii="宋体" w:hAnsi="宋体" w:eastAsia="宋体" w:cs="宋体"/>
          <w:color w:val="auto"/>
          <w:spacing w:val="-6"/>
          <w:sz w:val="24"/>
          <w:highlight w:val="none"/>
        </w:rPr>
        <w:t>月</w:t>
      </w:r>
      <w:r>
        <w:rPr>
          <w:rFonts w:hint="eastAsia" w:ascii="宋体" w:hAnsi="宋体" w:eastAsia="宋体" w:cs="宋体"/>
          <w:color w:val="auto"/>
          <w:spacing w:val="-6"/>
          <w:sz w:val="24"/>
          <w:highlight w:val="none"/>
          <w:u w:val="dotted"/>
        </w:rPr>
        <w:t xml:space="preserve">            </w:t>
      </w:r>
      <w:r>
        <w:rPr>
          <w:rFonts w:hint="eastAsia" w:ascii="宋体" w:hAnsi="宋体" w:eastAsia="宋体" w:cs="宋体"/>
          <w:color w:val="auto"/>
          <w:spacing w:val="-6"/>
          <w:sz w:val="24"/>
          <w:highlight w:val="none"/>
        </w:rPr>
        <w:t>日 ，向</w:t>
      </w:r>
      <w:r>
        <w:rPr>
          <w:rFonts w:hint="eastAsia" w:ascii="宋体" w:hAnsi="宋体" w:eastAsia="宋体" w:cs="宋体"/>
          <w:color w:val="auto"/>
          <w:spacing w:val="-4"/>
          <w:sz w:val="24"/>
          <w:highlight w:val="none"/>
        </w:rPr>
        <w:t>提</w:t>
      </w:r>
      <w:r>
        <w:rPr>
          <w:rFonts w:hint="eastAsia" w:ascii="宋体" w:hAnsi="宋体" w:eastAsia="宋体" w:cs="宋体"/>
          <w:color w:val="auto"/>
          <w:spacing w:val="-2"/>
          <w:sz w:val="24"/>
          <w:highlight w:val="none"/>
        </w:rPr>
        <w:t>出质疑，</w:t>
      </w:r>
    </w:p>
    <w:p>
      <w:pPr>
        <w:shd w:val="clear" w:color="auto" w:fill="auto"/>
        <w:spacing w:before="1" w:line="220" w:lineRule="auto"/>
        <w:ind w:left="506"/>
        <w:rPr>
          <w:rFonts w:hint="eastAsia" w:ascii="宋体" w:hAnsi="宋体" w:eastAsia="宋体" w:cs="宋体"/>
          <w:color w:val="auto"/>
          <w:sz w:val="24"/>
          <w:highlight w:val="none"/>
        </w:rPr>
      </w:pPr>
      <w:r>
        <w:rPr>
          <w:rFonts w:hint="eastAsia" w:ascii="宋体" w:hAnsi="宋体" w:eastAsia="宋体" w:cs="宋体"/>
          <w:color w:val="auto"/>
          <w:spacing w:val="-3"/>
          <w:sz w:val="24"/>
          <w:highlight w:val="none"/>
        </w:rPr>
        <w:t>质</w:t>
      </w:r>
      <w:r>
        <w:rPr>
          <w:rFonts w:hint="eastAsia" w:ascii="宋体" w:hAnsi="宋体" w:eastAsia="宋体" w:cs="宋体"/>
          <w:color w:val="auto"/>
          <w:spacing w:val="-2"/>
          <w:sz w:val="24"/>
          <w:highlight w:val="none"/>
        </w:rPr>
        <w:t>疑事项为：</w:t>
      </w:r>
      <w:r>
        <w:rPr>
          <w:rFonts w:hint="eastAsia" w:ascii="宋体" w:hAnsi="宋体" w:eastAsia="宋体" w:cs="宋体"/>
          <w:color w:val="auto"/>
          <w:sz w:val="24"/>
          <w:highlight w:val="none"/>
          <w:u w:val="dotted"/>
        </w:rPr>
        <w:t xml:space="preserve">                                           </w:t>
      </w:r>
    </w:p>
    <w:p>
      <w:pPr>
        <w:shd w:val="clear" w:color="auto" w:fill="auto"/>
        <w:spacing w:before="103" w:line="287" w:lineRule="auto"/>
        <w:ind w:left="459" w:right="11" w:firstLine="109"/>
        <w:rPr>
          <w:rFonts w:hint="eastAsia" w:ascii="宋体" w:hAnsi="宋体" w:eastAsia="宋体" w:cs="宋体"/>
          <w:color w:val="auto"/>
          <w:sz w:val="24"/>
          <w:highlight w:val="none"/>
        </w:rPr>
      </w:pPr>
      <w:r>
        <w:rPr>
          <w:rFonts w:hint="eastAsia" w:ascii="宋体" w:hAnsi="宋体" w:eastAsia="宋体" w:cs="宋体"/>
          <w:color w:val="auto"/>
          <w:spacing w:val="-4"/>
          <w:sz w:val="24"/>
          <w:highlight w:val="none"/>
        </w:rPr>
        <w:t>采购人/</w:t>
      </w:r>
      <w:r>
        <w:rPr>
          <w:rFonts w:hint="eastAsia" w:ascii="宋体" w:hAnsi="宋体" w:eastAsia="宋体" w:cs="宋体"/>
          <w:color w:val="auto"/>
          <w:spacing w:val="-2"/>
          <w:sz w:val="24"/>
          <w:highlight w:val="none"/>
        </w:rPr>
        <w:t>采购代理机构于</w:t>
      </w:r>
      <w:r>
        <w:rPr>
          <w:rFonts w:hint="eastAsia" w:ascii="宋体" w:hAnsi="宋体" w:eastAsia="宋体" w:cs="宋体"/>
          <w:color w:val="auto"/>
          <w:spacing w:val="-2"/>
          <w:sz w:val="24"/>
          <w:highlight w:val="none"/>
          <w:u w:val="dotted"/>
        </w:rPr>
        <w:t xml:space="preserve">      </w:t>
      </w:r>
      <w:r>
        <w:rPr>
          <w:rFonts w:hint="eastAsia" w:ascii="宋体" w:hAnsi="宋体" w:eastAsia="宋体" w:cs="宋体"/>
          <w:color w:val="auto"/>
          <w:spacing w:val="-2"/>
          <w:sz w:val="24"/>
          <w:highlight w:val="none"/>
        </w:rPr>
        <w:t xml:space="preserve"> 年</w:t>
      </w:r>
      <w:r>
        <w:rPr>
          <w:rFonts w:hint="eastAsia" w:ascii="宋体" w:hAnsi="宋体" w:eastAsia="宋体" w:cs="宋体"/>
          <w:color w:val="auto"/>
          <w:spacing w:val="-2"/>
          <w:sz w:val="24"/>
          <w:highlight w:val="none"/>
          <w:u w:val="dotted"/>
        </w:rPr>
        <w:t xml:space="preserve">      </w:t>
      </w:r>
      <w:r>
        <w:rPr>
          <w:rFonts w:hint="eastAsia" w:ascii="宋体" w:hAnsi="宋体" w:eastAsia="宋体" w:cs="宋体"/>
          <w:color w:val="auto"/>
          <w:spacing w:val="-2"/>
          <w:sz w:val="24"/>
          <w:highlight w:val="none"/>
        </w:rPr>
        <w:t xml:space="preserve"> 月</w:t>
      </w:r>
      <w:r>
        <w:rPr>
          <w:rFonts w:hint="eastAsia" w:ascii="宋体" w:hAnsi="宋体" w:eastAsia="宋体" w:cs="宋体"/>
          <w:color w:val="auto"/>
          <w:spacing w:val="-2"/>
          <w:sz w:val="24"/>
          <w:highlight w:val="none"/>
          <w:u w:val="dotted"/>
        </w:rPr>
        <w:t xml:space="preserve">      </w:t>
      </w:r>
      <w:r>
        <w:rPr>
          <w:rFonts w:hint="eastAsia" w:ascii="宋体" w:hAnsi="宋体" w:eastAsia="宋体" w:cs="宋体"/>
          <w:color w:val="auto"/>
          <w:spacing w:val="-2"/>
          <w:sz w:val="24"/>
          <w:highlight w:val="none"/>
        </w:rPr>
        <w:t xml:space="preserve"> 日，就质疑</w:t>
      </w:r>
      <w:r>
        <w:rPr>
          <w:rFonts w:hint="eastAsia" w:ascii="宋体" w:hAnsi="宋体" w:eastAsia="宋体" w:cs="宋体"/>
          <w:color w:val="auto"/>
          <w:sz w:val="24"/>
          <w:highlight w:val="none"/>
        </w:rPr>
        <w:t xml:space="preserve"> </w:t>
      </w:r>
      <w:r>
        <w:rPr>
          <w:rFonts w:hint="eastAsia" w:ascii="宋体" w:hAnsi="宋体" w:eastAsia="宋体" w:cs="宋体"/>
          <w:color w:val="auto"/>
          <w:spacing w:val="-1"/>
          <w:sz w:val="24"/>
          <w:highlight w:val="none"/>
        </w:rPr>
        <w:t>事项做出了答复/没有在</w:t>
      </w:r>
      <w:r>
        <w:rPr>
          <w:rFonts w:hint="eastAsia" w:ascii="宋体" w:hAnsi="宋体" w:eastAsia="宋体" w:cs="宋体"/>
          <w:color w:val="auto"/>
          <w:sz w:val="24"/>
          <w:highlight w:val="none"/>
        </w:rPr>
        <w:t>法定期限内做出答复。</w:t>
      </w:r>
    </w:p>
    <w:p>
      <w:pPr>
        <w:shd w:val="clear" w:color="auto" w:fill="auto"/>
        <w:spacing w:before="100" w:line="371" w:lineRule="exact"/>
        <w:ind w:left="27"/>
        <w:outlineLvl w:val="2"/>
        <w:rPr>
          <w:rFonts w:hint="eastAsia" w:ascii="宋体" w:hAnsi="宋体" w:eastAsia="宋体" w:cs="宋体"/>
          <w:color w:val="auto"/>
          <w:spacing w:val="-2"/>
          <w:position w:val="1"/>
          <w:sz w:val="24"/>
          <w:highlight w:val="none"/>
        </w:rPr>
      </w:pPr>
      <w:r>
        <w:rPr>
          <w:rFonts w:hint="eastAsia" w:ascii="宋体" w:hAnsi="宋体" w:eastAsia="宋体" w:cs="宋体"/>
          <w:color w:val="auto"/>
          <w:spacing w:val="-2"/>
          <w:position w:val="1"/>
          <w:sz w:val="24"/>
          <w:highlight w:val="none"/>
          <w:lang w:val="en-US" w:eastAsia="zh-CN"/>
        </w:rPr>
        <w:t>四</w:t>
      </w:r>
      <w:r>
        <w:rPr>
          <w:rFonts w:hint="eastAsia" w:ascii="宋体" w:hAnsi="宋体" w:eastAsia="宋体" w:cs="宋体"/>
          <w:color w:val="auto"/>
          <w:spacing w:val="-2"/>
          <w:position w:val="1"/>
          <w:sz w:val="24"/>
          <w:highlight w:val="none"/>
        </w:rPr>
        <w:t>、投诉事项具体内容</w:t>
      </w:r>
    </w:p>
    <w:p>
      <w:pPr>
        <w:shd w:val="clear" w:color="auto" w:fill="auto"/>
        <w:spacing w:before="98" w:line="221" w:lineRule="auto"/>
        <w:ind w:left="508"/>
        <w:rPr>
          <w:rFonts w:hint="eastAsia" w:ascii="宋体" w:hAnsi="宋体" w:eastAsia="宋体" w:cs="宋体"/>
          <w:color w:val="auto"/>
          <w:sz w:val="24"/>
          <w:highlight w:val="none"/>
        </w:rPr>
      </w:pPr>
      <w:r>
        <w:rPr>
          <w:rFonts w:hint="eastAsia" w:ascii="宋体" w:hAnsi="宋体" w:eastAsia="宋体" w:cs="宋体"/>
          <w:color w:val="auto"/>
          <w:spacing w:val="-16"/>
          <w:sz w:val="24"/>
          <w:highlight w:val="none"/>
        </w:rPr>
        <w:t>投</w:t>
      </w:r>
      <w:r>
        <w:rPr>
          <w:rFonts w:hint="eastAsia" w:ascii="宋体" w:hAnsi="宋体" w:eastAsia="宋体" w:cs="宋体"/>
          <w:color w:val="auto"/>
          <w:spacing w:val="-10"/>
          <w:sz w:val="24"/>
          <w:highlight w:val="none"/>
        </w:rPr>
        <w:t>诉事项 1 ：</w:t>
      </w:r>
      <w:r>
        <w:rPr>
          <w:rFonts w:hint="eastAsia" w:ascii="宋体" w:hAnsi="宋体" w:eastAsia="宋体" w:cs="宋体"/>
          <w:color w:val="auto"/>
          <w:sz w:val="24"/>
          <w:highlight w:val="none"/>
          <w:u w:val="dotted"/>
        </w:rPr>
        <w:t xml:space="preserve">                                            </w:t>
      </w:r>
    </w:p>
    <w:p>
      <w:pPr>
        <w:shd w:val="clear" w:color="auto" w:fill="auto"/>
        <w:spacing w:before="100" w:line="219" w:lineRule="auto"/>
        <w:ind w:left="505"/>
        <w:rPr>
          <w:rFonts w:hint="eastAsia" w:ascii="宋体" w:hAnsi="宋体" w:eastAsia="宋体" w:cs="宋体"/>
          <w:color w:val="auto"/>
          <w:sz w:val="24"/>
          <w:highlight w:val="none"/>
        </w:rPr>
      </w:pPr>
      <w:r>
        <w:rPr>
          <w:rFonts w:hint="eastAsia" w:ascii="宋体" w:hAnsi="宋体" w:eastAsia="宋体" w:cs="宋体"/>
          <w:color w:val="auto"/>
          <w:spacing w:val="-4"/>
          <w:sz w:val="24"/>
          <w:highlight w:val="none"/>
        </w:rPr>
        <w:t>事</w:t>
      </w:r>
      <w:r>
        <w:rPr>
          <w:rFonts w:hint="eastAsia" w:ascii="宋体" w:hAnsi="宋体" w:eastAsia="宋体" w:cs="宋体"/>
          <w:color w:val="auto"/>
          <w:spacing w:val="-2"/>
          <w:sz w:val="24"/>
          <w:highlight w:val="none"/>
        </w:rPr>
        <w:t>实依据：</w:t>
      </w:r>
      <w:r>
        <w:rPr>
          <w:rFonts w:hint="eastAsia" w:ascii="宋体" w:hAnsi="宋体" w:eastAsia="宋体" w:cs="宋体"/>
          <w:color w:val="auto"/>
          <w:sz w:val="24"/>
          <w:highlight w:val="none"/>
          <w:u w:val="dotted"/>
        </w:rPr>
        <w:t xml:space="preserve">                                             </w:t>
      </w:r>
    </w:p>
    <w:p>
      <w:pPr>
        <w:shd w:val="clear" w:color="auto" w:fill="auto"/>
        <w:tabs>
          <w:tab w:val="left" w:pos="8322"/>
        </w:tabs>
        <w:spacing w:before="179" w:line="242" w:lineRule="exact"/>
        <w:ind w:left="494"/>
        <w:rPr>
          <w:rFonts w:hint="eastAsia" w:ascii="宋体" w:hAnsi="宋体" w:eastAsia="宋体" w:cs="宋体"/>
          <w:color w:val="auto"/>
          <w:sz w:val="24"/>
          <w:highlight w:val="none"/>
        </w:rPr>
      </w:pPr>
      <w:r>
        <w:rPr>
          <w:rFonts w:hint="eastAsia" w:ascii="宋体" w:hAnsi="宋体" w:eastAsia="宋体" w:cs="宋体"/>
          <w:color w:val="auto"/>
          <w:sz w:val="24"/>
          <w:highlight w:val="none"/>
          <w:u w:val="single"/>
        </w:rPr>
        <w:tab/>
      </w:r>
    </w:p>
    <w:p>
      <w:pPr>
        <w:shd w:val="clear" w:color="auto" w:fill="auto"/>
        <w:spacing w:before="118" w:line="219" w:lineRule="auto"/>
        <w:ind w:left="506"/>
        <w:rPr>
          <w:rFonts w:hint="eastAsia" w:ascii="宋体" w:hAnsi="宋体" w:eastAsia="宋体" w:cs="宋体"/>
          <w:color w:val="auto"/>
          <w:sz w:val="24"/>
          <w:highlight w:val="none"/>
        </w:rPr>
      </w:pPr>
      <w:r>
        <w:rPr>
          <w:rFonts w:hint="eastAsia" w:ascii="宋体" w:hAnsi="宋体" w:eastAsia="宋体" w:cs="宋体"/>
          <w:color w:val="auto"/>
          <w:spacing w:val="-4"/>
          <w:sz w:val="24"/>
          <w:highlight w:val="none"/>
        </w:rPr>
        <w:t>法律</w:t>
      </w:r>
      <w:r>
        <w:rPr>
          <w:rFonts w:hint="eastAsia" w:ascii="宋体" w:hAnsi="宋体" w:eastAsia="宋体" w:cs="宋体"/>
          <w:color w:val="auto"/>
          <w:spacing w:val="-2"/>
          <w:sz w:val="24"/>
          <w:highlight w:val="none"/>
        </w:rPr>
        <w:t>依据：</w:t>
      </w:r>
      <w:r>
        <w:rPr>
          <w:rFonts w:hint="eastAsia" w:ascii="宋体" w:hAnsi="宋体" w:eastAsia="宋体" w:cs="宋体"/>
          <w:color w:val="auto"/>
          <w:sz w:val="24"/>
          <w:highlight w:val="none"/>
          <w:u w:val="dotted"/>
        </w:rPr>
        <w:t xml:space="preserve">                                             </w:t>
      </w:r>
    </w:p>
    <w:p>
      <w:pPr>
        <w:shd w:val="clear" w:color="auto" w:fill="auto"/>
        <w:tabs>
          <w:tab w:val="left" w:pos="8322"/>
        </w:tabs>
        <w:spacing w:before="179" w:line="242" w:lineRule="exact"/>
        <w:ind w:left="494"/>
        <w:rPr>
          <w:rFonts w:hint="eastAsia" w:ascii="宋体" w:hAnsi="宋体" w:eastAsia="宋体" w:cs="宋体"/>
          <w:color w:val="auto"/>
          <w:sz w:val="24"/>
          <w:highlight w:val="none"/>
        </w:rPr>
      </w:pPr>
      <w:r>
        <w:rPr>
          <w:rFonts w:hint="eastAsia" w:ascii="宋体" w:hAnsi="宋体" w:eastAsia="宋体" w:cs="宋体"/>
          <w:color w:val="auto"/>
          <w:sz w:val="24"/>
          <w:highlight w:val="none"/>
          <w:u w:val="single"/>
        </w:rPr>
        <w:tab/>
      </w:r>
    </w:p>
    <w:p>
      <w:pPr>
        <w:shd w:val="clear" w:color="auto" w:fill="auto"/>
        <w:spacing w:before="118" w:line="437" w:lineRule="exact"/>
        <w:ind w:left="508"/>
        <w:rPr>
          <w:rFonts w:hint="eastAsia" w:ascii="宋体" w:hAnsi="宋体" w:eastAsia="宋体" w:cs="宋体"/>
          <w:color w:val="auto"/>
          <w:sz w:val="24"/>
          <w:highlight w:val="none"/>
        </w:rPr>
      </w:pPr>
      <w:r>
        <w:rPr>
          <w:rFonts w:hint="eastAsia" w:ascii="宋体" w:hAnsi="宋体" w:eastAsia="宋体" w:cs="宋体"/>
          <w:color w:val="auto"/>
          <w:spacing w:val="-13"/>
          <w:position w:val="11"/>
          <w:sz w:val="24"/>
          <w:highlight w:val="none"/>
        </w:rPr>
        <w:t>投</w:t>
      </w:r>
      <w:r>
        <w:rPr>
          <w:rFonts w:hint="eastAsia" w:ascii="宋体" w:hAnsi="宋体" w:eastAsia="宋体" w:cs="宋体"/>
          <w:color w:val="auto"/>
          <w:spacing w:val="-12"/>
          <w:position w:val="11"/>
          <w:sz w:val="24"/>
          <w:highlight w:val="none"/>
        </w:rPr>
        <w:t>诉事项 2</w:t>
      </w:r>
    </w:p>
    <w:p>
      <w:pPr>
        <w:shd w:val="clear" w:color="auto" w:fill="auto"/>
        <w:spacing w:line="437" w:lineRule="exact"/>
        <w:ind w:left="522"/>
        <w:rPr>
          <w:rFonts w:hint="eastAsia" w:ascii="宋体" w:hAnsi="宋体" w:eastAsia="宋体" w:cs="宋体"/>
          <w:color w:val="auto"/>
          <w:sz w:val="24"/>
          <w:highlight w:val="none"/>
        </w:rPr>
      </w:pPr>
      <w:r>
        <w:rPr>
          <w:rFonts w:hint="eastAsia" w:ascii="宋体" w:hAnsi="宋体" w:eastAsia="宋体" w:cs="宋体"/>
          <w:color w:val="auto"/>
          <w:position w:val="3"/>
          <w:sz w:val="24"/>
          <w:highlight w:val="none"/>
        </w:rPr>
        <w:t>……</w:t>
      </w:r>
    </w:p>
    <w:p>
      <w:pPr>
        <w:shd w:val="clear" w:color="auto" w:fill="auto"/>
        <w:spacing w:line="239" w:lineRule="exact"/>
        <w:rPr>
          <w:rFonts w:hint="eastAsia" w:ascii="宋体" w:hAnsi="宋体" w:eastAsia="宋体" w:cs="宋体"/>
          <w:color w:val="auto"/>
          <w:sz w:val="24"/>
          <w:highlight w:val="none"/>
        </w:rPr>
      </w:pPr>
    </w:p>
    <w:p>
      <w:pPr>
        <w:shd w:val="clear" w:color="auto" w:fill="auto"/>
        <w:spacing w:before="56" w:line="437" w:lineRule="exact"/>
        <w:ind w:left="505"/>
        <w:rPr>
          <w:rFonts w:hint="eastAsia" w:ascii="宋体" w:hAnsi="宋体" w:eastAsia="宋体" w:cs="宋体"/>
          <w:color w:val="auto"/>
          <w:spacing w:val="-1"/>
          <w:position w:val="11"/>
          <w:sz w:val="24"/>
          <w:highlight w:val="none"/>
        </w:rPr>
      </w:pPr>
      <w:r>
        <w:rPr>
          <w:rFonts w:hint="eastAsia" w:ascii="宋体" w:hAnsi="宋体" w:eastAsia="宋体" w:cs="宋体"/>
          <w:color w:val="auto"/>
          <w:spacing w:val="-2"/>
          <w:position w:val="11"/>
          <w:sz w:val="24"/>
          <w:highlight w:val="none"/>
        </w:rPr>
        <w:t>签字(签</w:t>
      </w:r>
      <w:r>
        <w:rPr>
          <w:rFonts w:hint="eastAsia" w:ascii="宋体" w:hAnsi="宋体" w:eastAsia="宋体" w:cs="宋体"/>
          <w:color w:val="auto"/>
          <w:spacing w:val="-1"/>
          <w:position w:val="11"/>
          <w:sz w:val="24"/>
          <w:highlight w:val="none"/>
        </w:rPr>
        <w:t xml:space="preserve">章)： </w:t>
      </w:r>
    </w:p>
    <w:p>
      <w:pPr>
        <w:shd w:val="clear" w:color="auto" w:fill="auto"/>
        <w:spacing w:before="56" w:line="437" w:lineRule="exact"/>
        <w:ind w:left="505"/>
        <w:rPr>
          <w:rFonts w:hint="eastAsia" w:ascii="宋体" w:hAnsi="宋体" w:eastAsia="宋体" w:cs="宋体"/>
          <w:color w:val="auto"/>
          <w:spacing w:val="-1"/>
          <w:position w:val="11"/>
          <w:sz w:val="24"/>
          <w:highlight w:val="none"/>
        </w:rPr>
      </w:pPr>
      <w:r>
        <w:rPr>
          <w:rFonts w:hint="eastAsia" w:ascii="宋体" w:hAnsi="宋体" w:eastAsia="宋体" w:cs="宋体"/>
          <w:color w:val="auto"/>
          <w:spacing w:val="-20"/>
          <w:sz w:val="24"/>
          <w:highlight w:val="none"/>
        </w:rPr>
        <w:t>日</w:t>
      </w:r>
      <w:r>
        <w:rPr>
          <w:rFonts w:hint="eastAsia" w:ascii="宋体" w:hAnsi="宋体" w:eastAsia="宋体" w:cs="宋体"/>
          <w:color w:val="auto"/>
          <w:spacing w:val="-19"/>
          <w:sz w:val="24"/>
          <w:highlight w:val="none"/>
        </w:rPr>
        <w:t>期：</w:t>
      </w:r>
      <w:r>
        <w:rPr>
          <w:rFonts w:hint="eastAsia" w:ascii="宋体" w:hAnsi="宋体" w:eastAsia="宋体" w:cs="宋体"/>
          <w:color w:val="auto"/>
          <w:spacing w:val="-1"/>
          <w:position w:val="11"/>
          <w:sz w:val="24"/>
          <w:highlight w:val="none"/>
        </w:rPr>
        <w:t xml:space="preserve"> </w:t>
      </w:r>
    </w:p>
    <w:p>
      <w:pPr>
        <w:shd w:val="clear" w:color="auto" w:fill="auto"/>
        <w:spacing w:line="392" w:lineRule="auto"/>
        <w:rPr>
          <w:rFonts w:hint="eastAsia" w:ascii="宋体" w:hAnsi="宋体" w:eastAsia="宋体" w:cs="宋体"/>
          <w:color w:val="auto"/>
          <w:sz w:val="24"/>
          <w:highlight w:val="none"/>
        </w:rPr>
      </w:pPr>
    </w:p>
    <w:p>
      <w:pPr>
        <w:shd w:val="clear" w:color="auto" w:fill="auto"/>
        <w:spacing w:before="91" w:line="219" w:lineRule="auto"/>
        <w:ind w:left="508"/>
        <w:rPr>
          <w:rFonts w:hint="eastAsia" w:ascii="宋体" w:hAnsi="宋体" w:eastAsia="宋体" w:cs="宋体"/>
          <w:color w:val="auto"/>
          <w:sz w:val="24"/>
          <w:highlight w:val="none"/>
        </w:rPr>
      </w:pPr>
      <w:r>
        <w:rPr>
          <w:rFonts w:hint="eastAsia" w:ascii="宋体" w:hAnsi="宋体" w:eastAsia="宋体" w:cs="宋体"/>
          <w:color w:val="auto"/>
          <w:spacing w:val="-2"/>
          <w:sz w:val="24"/>
          <w:highlight w:val="none"/>
        </w:rPr>
        <w:t>投诉书制作说</w:t>
      </w:r>
      <w:r>
        <w:rPr>
          <w:rFonts w:hint="eastAsia" w:ascii="宋体" w:hAnsi="宋体" w:eastAsia="宋体" w:cs="宋体"/>
          <w:color w:val="auto"/>
          <w:spacing w:val="-1"/>
          <w:sz w:val="24"/>
          <w:highlight w:val="none"/>
        </w:rPr>
        <w:t>明：</w:t>
      </w:r>
    </w:p>
    <w:p>
      <w:pPr>
        <w:shd w:val="clear" w:color="auto" w:fill="auto"/>
        <w:spacing w:before="31" w:line="239" w:lineRule="auto"/>
        <w:ind w:left="525"/>
        <w:rPr>
          <w:rFonts w:hint="eastAsia" w:ascii="宋体" w:hAnsi="宋体" w:eastAsia="宋体" w:cs="宋体"/>
          <w:color w:val="auto"/>
          <w:spacing w:val="-2"/>
          <w:sz w:val="24"/>
          <w:highlight w:val="none"/>
        </w:rPr>
      </w:pPr>
      <w:r>
        <w:rPr>
          <w:rFonts w:hint="eastAsia" w:ascii="宋体" w:hAnsi="宋体" w:eastAsia="宋体" w:cs="宋体"/>
          <w:color w:val="auto"/>
          <w:spacing w:val="-2"/>
          <w:sz w:val="24"/>
          <w:highlight w:val="none"/>
        </w:rPr>
        <w:t>1.投诉人提起投诉时，应当提交投诉书和必要的证明材料，并按 照被投诉人和与投诉事项有关的供应商数量提供投诉书副本。</w:t>
      </w:r>
    </w:p>
    <w:p>
      <w:pPr>
        <w:shd w:val="clear" w:color="auto" w:fill="auto"/>
        <w:spacing w:before="31" w:line="239" w:lineRule="auto"/>
        <w:ind w:left="525"/>
        <w:rPr>
          <w:rFonts w:hint="eastAsia" w:ascii="宋体" w:hAnsi="宋体" w:eastAsia="宋体" w:cs="宋体"/>
          <w:color w:val="auto"/>
          <w:spacing w:val="-2"/>
          <w:sz w:val="24"/>
          <w:highlight w:val="none"/>
        </w:rPr>
      </w:pPr>
      <w:r>
        <w:rPr>
          <w:rFonts w:hint="eastAsia" w:ascii="宋体" w:hAnsi="宋体" w:eastAsia="宋体" w:cs="宋体"/>
          <w:color w:val="auto"/>
          <w:spacing w:val="-2"/>
          <w:sz w:val="24"/>
          <w:highlight w:val="none"/>
        </w:rPr>
        <w:t>2.投诉人若委托代理人进行投诉的，投诉书应按要求列明“授权 代表”的有关内容，并在附件中提交由投诉人签署的授权委托书。授 权委托书应载明代理人的姓名或者名称、代理事项、具体权限、期限 和相关事项。</w:t>
      </w:r>
    </w:p>
    <w:p>
      <w:pPr>
        <w:shd w:val="clear" w:color="auto" w:fill="auto"/>
        <w:spacing w:before="31" w:line="239" w:lineRule="auto"/>
        <w:ind w:left="525"/>
        <w:rPr>
          <w:rFonts w:hint="eastAsia" w:ascii="宋体" w:hAnsi="宋体" w:eastAsia="宋体" w:cs="宋体"/>
          <w:color w:val="auto"/>
          <w:spacing w:val="-2"/>
          <w:sz w:val="24"/>
          <w:highlight w:val="none"/>
        </w:rPr>
      </w:pPr>
      <w:r>
        <w:rPr>
          <w:rFonts w:hint="eastAsia" w:ascii="宋体" w:hAnsi="宋体" w:eastAsia="宋体" w:cs="宋体"/>
          <w:color w:val="auto"/>
          <w:spacing w:val="-2"/>
          <w:sz w:val="24"/>
          <w:highlight w:val="none"/>
        </w:rPr>
        <w:t>3.投诉人若对项目的某一分包进行投诉，投诉书中应列明具体分 包号。</w:t>
      </w:r>
    </w:p>
    <w:p>
      <w:pPr>
        <w:shd w:val="clear" w:color="auto" w:fill="auto"/>
        <w:spacing w:before="31" w:line="239" w:lineRule="auto"/>
        <w:ind w:left="525"/>
        <w:rPr>
          <w:rFonts w:hint="eastAsia" w:ascii="宋体" w:hAnsi="宋体" w:eastAsia="宋体" w:cs="宋体"/>
          <w:color w:val="auto"/>
          <w:spacing w:val="-2"/>
          <w:sz w:val="24"/>
          <w:highlight w:val="none"/>
        </w:rPr>
      </w:pPr>
      <w:r>
        <w:rPr>
          <w:rFonts w:hint="eastAsia" w:ascii="宋体" w:hAnsi="宋体" w:eastAsia="宋体" w:cs="宋体"/>
          <w:color w:val="auto"/>
          <w:spacing w:val="-2"/>
          <w:sz w:val="24"/>
          <w:highlight w:val="none"/>
        </w:rPr>
        <w:t>4.投诉书应简要列明质疑事项，质疑函、质疑答复等作为附件材 料提供。</w:t>
      </w:r>
    </w:p>
    <w:p>
      <w:pPr>
        <w:shd w:val="clear" w:color="auto" w:fill="auto"/>
        <w:spacing w:before="31" w:line="239" w:lineRule="auto"/>
        <w:ind w:left="525"/>
        <w:rPr>
          <w:rFonts w:hint="eastAsia" w:ascii="宋体" w:hAnsi="宋体" w:eastAsia="宋体" w:cs="宋体"/>
          <w:color w:val="auto"/>
          <w:spacing w:val="-2"/>
          <w:sz w:val="24"/>
          <w:highlight w:val="none"/>
        </w:rPr>
      </w:pPr>
      <w:r>
        <w:rPr>
          <w:rFonts w:hint="eastAsia" w:ascii="宋体" w:hAnsi="宋体" w:eastAsia="宋体" w:cs="宋体"/>
          <w:color w:val="auto"/>
          <w:spacing w:val="-2"/>
          <w:sz w:val="24"/>
          <w:highlight w:val="none"/>
        </w:rPr>
        <w:t>5.投诉书的投诉事项应具体、明确，并有必要的事实依据和法律 依据。</w:t>
      </w:r>
    </w:p>
    <w:p>
      <w:pPr>
        <w:shd w:val="clear" w:color="auto" w:fill="auto"/>
        <w:spacing w:before="31" w:line="239" w:lineRule="auto"/>
        <w:ind w:left="525"/>
        <w:rPr>
          <w:rFonts w:hint="eastAsia" w:ascii="宋体" w:hAnsi="宋体" w:eastAsia="宋体" w:cs="宋体"/>
          <w:color w:val="auto"/>
          <w:spacing w:val="-2"/>
          <w:sz w:val="24"/>
          <w:highlight w:val="none"/>
        </w:rPr>
      </w:pPr>
      <w:r>
        <w:rPr>
          <w:rFonts w:hint="eastAsia" w:ascii="宋体" w:hAnsi="宋体" w:eastAsia="宋体" w:cs="宋体"/>
          <w:color w:val="auto"/>
          <w:spacing w:val="-2"/>
          <w:sz w:val="24"/>
          <w:highlight w:val="none"/>
        </w:rPr>
        <w:t>6.投诉书的投诉请求应与投诉事项相关。</w:t>
      </w:r>
    </w:p>
    <w:p>
      <w:pPr>
        <w:shd w:val="clear" w:color="auto" w:fill="auto"/>
        <w:spacing w:before="31" w:line="239" w:lineRule="auto"/>
        <w:ind w:left="525"/>
        <w:rPr>
          <w:rFonts w:hint="eastAsia" w:ascii="宋体" w:hAnsi="宋体" w:eastAsia="宋体" w:cs="宋体"/>
          <w:color w:val="auto"/>
          <w:spacing w:val="-2"/>
          <w:sz w:val="24"/>
          <w:highlight w:val="none"/>
        </w:rPr>
      </w:pPr>
      <w:r>
        <w:rPr>
          <w:rFonts w:hint="eastAsia" w:ascii="宋体" w:hAnsi="宋体" w:eastAsia="宋体" w:cs="宋体"/>
          <w:color w:val="auto"/>
          <w:spacing w:val="-2"/>
          <w:sz w:val="24"/>
          <w:highlight w:val="none"/>
        </w:rPr>
        <w:t>7.投诉人为自然人的，投诉书应由本人签字；投诉人为法人或者 其他组织的，投诉书应当由法定代表人、主要负责人，或者其授权代 表签字或者盖章，并加盖公章。</w:t>
      </w:r>
    </w:p>
    <w:p>
      <w:pPr>
        <w:rPr>
          <w:rFonts w:ascii="宋体" w:hAnsi="宋体"/>
          <w:color w:val="auto"/>
          <w:sz w:val="18"/>
          <w:szCs w:val="18"/>
          <w:highlight w:val="none"/>
        </w:rPr>
      </w:pPr>
      <w:r>
        <w:rPr>
          <w:rFonts w:ascii="宋体" w:hAnsi="宋体"/>
          <w:color w:val="auto"/>
          <w:sz w:val="18"/>
          <w:szCs w:val="18"/>
          <w:highlight w:val="none"/>
        </w:rPr>
        <w:br w:type="page"/>
      </w:r>
    </w:p>
    <w:p>
      <w:pPr>
        <w:pStyle w:val="57"/>
        <w:numPr>
          <w:ilvl w:val="0"/>
          <w:numId w:val="14"/>
        </w:numPr>
        <w:rPr>
          <w:color w:val="auto"/>
          <w:highlight w:val="none"/>
        </w:rPr>
      </w:pPr>
      <w:bookmarkStart w:id="135" w:name="_Toc23710"/>
      <w:r>
        <w:rPr>
          <w:color w:val="auto"/>
          <w:highlight w:val="none"/>
        </w:rPr>
        <w:t xml:space="preserve"> </w:t>
      </w:r>
      <w:bookmarkEnd w:id="110"/>
      <w:bookmarkEnd w:id="135"/>
      <w:r>
        <w:rPr>
          <w:rFonts w:hint="eastAsia"/>
          <w:color w:val="auto"/>
          <w:highlight w:val="none"/>
        </w:rPr>
        <w:t>采购需求</w:t>
      </w:r>
    </w:p>
    <w:p>
      <w:pPr>
        <w:widowControl/>
        <w:jc w:val="center"/>
        <w:outlineLvl w:val="1"/>
        <w:rPr>
          <w:rFonts w:ascii="宋体" w:hAnsi="宋体"/>
          <w:b/>
          <w:bCs/>
          <w:color w:val="auto"/>
          <w:kern w:val="0"/>
          <w:sz w:val="28"/>
          <w:szCs w:val="28"/>
          <w:highlight w:val="none"/>
        </w:rPr>
      </w:pPr>
      <w:r>
        <w:rPr>
          <w:rFonts w:ascii="宋体" w:hAnsi="宋体"/>
          <w:b/>
          <w:bCs/>
          <w:color w:val="auto"/>
          <w:kern w:val="0"/>
          <w:sz w:val="28"/>
          <w:szCs w:val="28"/>
          <w:highlight w:val="none"/>
        </w:rPr>
        <w:t>一、</w:t>
      </w:r>
      <w:r>
        <w:rPr>
          <w:rFonts w:hint="eastAsia" w:ascii="宋体" w:hAnsi="宋体"/>
          <w:b/>
          <w:bCs/>
          <w:color w:val="auto"/>
          <w:kern w:val="0"/>
          <w:sz w:val="28"/>
          <w:szCs w:val="28"/>
          <w:highlight w:val="none"/>
        </w:rPr>
        <w:t>项目分包情况附表</w:t>
      </w:r>
    </w:p>
    <w:tbl>
      <w:tblPr>
        <w:tblStyle w:val="62"/>
        <w:tblW w:w="8619" w:type="dxa"/>
        <w:tblInd w:w="4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06"/>
        <w:gridCol w:w="4111"/>
        <w:gridCol w:w="1701"/>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106" w:type="dxa"/>
            <w:vAlign w:val="center"/>
          </w:tcPr>
          <w:p>
            <w:pPr>
              <w:pStyle w:val="60"/>
              <w:ind w:left="0" w:leftChars="0" w:firstLine="0" w:firstLineChars="0"/>
              <w:jc w:val="center"/>
              <w:rPr>
                <w:color w:val="auto"/>
                <w:highlight w:val="none"/>
              </w:rPr>
            </w:pPr>
            <w:r>
              <w:rPr>
                <w:rFonts w:hint="eastAsia"/>
                <w:b/>
                <w:bCs/>
                <w:color w:val="auto"/>
                <w:highlight w:val="none"/>
              </w:rPr>
              <w:t>序号</w:t>
            </w:r>
          </w:p>
        </w:tc>
        <w:tc>
          <w:tcPr>
            <w:tcW w:w="4111" w:type="dxa"/>
            <w:vAlign w:val="center"/>
          </w:tcPr>
          <w:p>
            <w:pPr>
              <w:pStyle w:val="60"/>
              <w:ind w:left="0" w:leftChars="0" w:firstLine="0" w:firstLineChars="0"/>
              <w:jc w:val="center"/>
              <w:rPr>
                <w:color w:val="auto"/>
                <w:highlight w:val="none"/>
              </w:rPr>
            </w:pPr>
            <w:r>
              <w:rPr>
                <w:rFonts w:hint="eastAsia"/>
                <w:b/>
                <w:bCs/>
                <w:color w:val="auto"/>
                <w:highlight w:val="none"/>
              </w:rPr>
              <w:t>仪器名称</w:t>
            </w:r>
          </w:p>
        </w:tc>
        <w:tc>
          <w:tcPr>
            <w:tcW w:w="1701" w:type="dxa"/>
            <w:vAlign w:val="center"/>
          </w:tcPr>
          <w:p>
            <w:pPr>
              <w:pStyle w:val="60"/>
              <w:ind w:left="0" w:leftChars="0" w:firstLine="0" w:firstLineChars="0"/>
              <w:jc w:val="center"/>
              <w:rPr>
                <w:color w:val="auto"/>
                <w:highlight w:val="none"/>
              </w:rPr>
            </w:pPr>
            <w:r>
              <w:rPr>
                <w:rFonts w:hint="eastAsia"/>
                <w:b/>
                <w:bCs/>
                <w:color w:val="auto"/>
                <w:highlight w:val="none"/>
              </w:rPr>
              <w:t>数量</w:t>
            </w:r>
          </w:p>
        </w:tc>
        <w:tc>
          <w:tcPr>
            <w:tcW w:w="1701" w:type="dxa"/>
            <w:vAlign w:val="center"/>
          </w:tcPr>
          <w:p>
            <w:pPr>
              <w:pStyle w:val="60"/>
              <w:ind w:left="0" w:leftChars="0" w:firstLine="0" w:firstLineChars="0"/>
              <w:jc w:val="center"/>
              <w:rPr>
                <w:color w:val="auto"/>
                <w:highlight w:val="none"/>
              </w:rPr>
            </w:pPr>
            <w:r>
              <w:rPr>
                <w:rFonts w:hint="eastAsia"/>
                <w:b/>
                <w:bCs/>
                <w:color w:val="auto"/>
                <w:highlight w:val="none"/>
              </w:rPr>
              <w:t>金额（万元）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5217" w:type="dxa"/>
            <w:gridSpan w:val="2"/>
            <w:vAlign w:val="center"/>
          </w:tcPr>
          <w:p>
            <w:pPr>
              <w:pStyle w:val="60"/>
              <w:ind w:left="0" w:leftChars="0" w:firstLine="0" w:firstLineChars="0"/>
              <w:jc w:val="center"/>
              <w:rPr>
                <w:color w:val="auto"/>
                <w:highlight w:val="none"/>
              </w:rPr>
            </w:pPr>
            <w:r>
              <w:rPr>
                <w:rFonts w:hint="eastAsia"/>
                <w:b/>
                <w:bCs/>
                <w:color w:val="auto"/>
                <w:highlight w:val="none"/>
              </w:rPr>
              <w:t>总计</w:t>
            </w:r>
          </w:p>
        </w:tc>
        <w:tc>
          <w:tcPr>
            <w:tcW w:w="1701" w:type="dxa"/>
            <w:vAlign w:val="center"/>
          </w:tcPr>
          <w:p>
            <w:pPr>
              <w:pStyle w:val="60"/>
              <w:ind w:left="0" w:leftChars="0" w:firstLine="0" w:firstLineChars="0"/>
              <w:jc w:val="center"/>
              <w:rPr>
                <w:color w:val="auto"/>
                <w:highlight w:val="none"/>
              </w:rPr>
            </w:pPr>
            <w:r>
              <w:rPr>
                <w:rFonts w:hint="eastAsia"/>
                <w:b/>
                <w:bCs/>
                <w:color w:val="auto"/>
                <w:highlight w:val="none"/>
              </w:rPr>
              <w:t>2</w:t>
            </w:r>
            <w:r>
              <w:rPr>
                <w:b/>
                <w:bCs/>
                <w:color w:val="auto"/>
                <w:highlight w:val="none"/>
              </w:rPr>
              <w:t>2</w:t>
            </w:r>
          </w:p>
        </w:tc>
        <w:tc>
          <w:tcPr>
            <w:tcW w:w="1701" w:type="dxa"/>
            <w:vAlign w:val="center"/>
          </w:tcPr>
          <w:p>
            <w:pPr>
              <w:pStyle w:val="60"/>
              <w:ind w:left="0" w:leftChars="0" w:firstLine="0" w:firstLineChars="0"/>
              <w:jc w:val="center"/>
              <w:rPr>
                <w:color w:val="auto"/>
                <w:highlight w:val="none"/>
              </w:rPr>
            </w:pPr>
            <w:r>
              <w:rPr>
                <w:rFonts w:hint="eastAsia"/>
                <w:b/>
                <w:bCs/>
                <w:color w:val="auto"/>
                <w:highlight w:val="none"/>
              </w:rPr>
              <w:t>550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5217" w:type="dxa"/>
            <w:gridSpan w:val="2"/>
            <w:vAlign w:val="center"/>
          </w:tcPr>
          <w:p>
            <w:pPr>
              <w:pStyle w:val="60"/>
              <w:ind w:left="0" w:leftChars="0" w:firstLine="0" w:firstLineChars="0"/>
              <w:jc w:val="center"/>
              <w:rPr>
                <w:color w:val="auto"/>
                <w:highlight w:val="none"/>
              </w:rPr>
            </w:pPr>
            <w:r>
              <w:rPr>
                <w:rFonts w:hint="eastAsia"/>
                <w:b/>
                <w:bCs/>
                <w:color w:val="auto"/>
                <w:highlight w:val="none"/>
              </w:rPr>
              <w:t>第一包</w:t>
            </w:r>
          </w:p>
        </w:tc>
        <w:tc>
          <w:tcPr>
            <w:tcW w:w="1701" w:type="dxa"/>
            <w:vAlign w:val="center"/>
          </w:tcPr>
          <w:p>
            <w:pPr>
              <w:pStyle w:val="60"/>
              <w:ind w:left="0" w:leftChars="0" w:firstLine="0" w:firstLineChars="0"/>
              <w:jc w:val="center"/>
              <w:rPr>
                <w:color w:val="auto"/>
                <w:highlight w:val="none"/>
              </w:rPr>
            </w:pPr>
            <w:r>
              <w:rPr>
                <w:b/>
                <w:bCs/>
                <w:color w:val="auto"/>
                <w:highlight w:val="none"/>
              </w:rPr>
              <w:t>10</w:t>
            </w:r>
          </w:p>
        </w:tc>
        <w:tc>
          <w:tcPr>
            <w:tcW w:w="1701" w:type="dxa"/>
            <w:vAlign w:val="center"/>
          </w:tcPr>
          <w:p>
            <w:pPr>
              <w:pStyle w:val="60"/>
              <w:ind w:left="0" w:leftChars="0" w:firstLine="0" w:firstLineChars="0"/>
              <w:jc w:val="center"/>
              <w:rPr>
                <w:color w:val="auto"/>
                <w:highlight w:val="none"/>
              </w:rPr>
            </w:pPr>
            <w:r>
              <w:rPr>
                <w:rFonts w:hint="eastAsia"/>
                <w:b/>
                <w:bCs/>
                <w:color w:val="auto"/>
                <w:highlight w:val="none"/>
              </w:rPr>
              <w:t>2</w:t>
            </w:r>
            <w:r>
              <w:rPr>
                <w:b/>
                <w:bCs/>
                <w:color w:val="auto"/>
                <w:highlight w:val="none"/>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106" w:type="dxa"/>
            <w:vAlign w:val="center"/>
          </w:tcPr>
          <w:p>
            <w:pPr>
              <w:pStyle w:val="60"/>
              <w:ind w:left="0" w:leftChars="0" w:firstLine="0" w:firstLineChars="0"/>
              <w:jc w:val="center"/>
              <w:rPr>
                <w:color w:val="auto"/>
                <w:highlight w:val="none"/>
              </w:rPr>
            </w:pPr>
            <w:r>
              <w:rPr>
                <w:rFonts w:hint="eastAsia"/>
                <w:color w:val="auto"/>
                <w:highlight w:val="none"/>
              </w:rPr>
              <w:t>1</w:t>
            </w:r>
          </w:p>
        </w:tc>
        <w:tc>
          <w:tcPr>
            <w:tcW w:w="4111" w:type="dxa"/>
            <w:vAlign w:val="center"/>
          </w:tcPr>
          <w:p>
            <w:pPr>
              <w:pStyle w:val="60"/>
              <w:ind w:left="0" w:leftChars="0" w:firstLine="0" w:firstLineChars="0"/>
              <w:jc w:val="center"/>
              <w:rPr>
                <w:color w:val="auto"/>
                <w:highlight w:val="none"/>
              </w:rPr>
            </w:pPr>
            <w:r>
              <w:rPr>
                <w:rFonts w:hint="eastAsia"/>
                <w:color w:val="auto"/>
                <w:highlight w:val="none"/>
              </w:rPr>
              <w:t>电感耦合等离子体发射光谱仪</w:t>
            </w:r>
          </w:p>
        </w:tc>
        <w:tc>
          <w:tcPr>
            <w:tcW w:w="1701" w:type="dxa"/>
            <w:vAlign w:val="center"/>
          </w:tcPr>
          <w:p>
            <w:pPr>
              <w:pStyle w:val="60"/>
              <w:ind w:left="0" w:leftChars="0" w:firstLine="0" w:firstLineChars="0"/>
              <w:jc w:val="center"/>
              <w:rPr>
                <w:color w:val="auto"/>
                <w:highlight w:val="none"/>
              </w:rPr>
            </w:pPr>
            <w:r>
              <w:rPr>
                <w:rFonts w:hint="eastAsia"/>
                <w:color w:val="auto"/>
                <w:highlight w:val="none"/>
              </w:rPr>
              <w:t>1</w:t>
            </w:r>
          </w:p>
        </w:tc>
        <w:tc>
          <w:tcPr>
            <w:tcW w:w="1701" w:type="dxa"/>
            <w:vAlign w:val="center"/>
          </w:tcPr>
          <w:p>
            <w:pPr>
              <w:pStyle w:val="60"/>
              <w:ind w:left="0" w:leftChars="0" w:firstLine="0" w:firstLineChars="0"/>
              <w:jc w:val="center"/>
              <w:rPr>
                <w:color w:val="auto"/>
                <w:highlight w:val="none"/>
              </w:rPr>
            </w:pPr>
            <w:r>
              <w:rPr>
                <w:rFonts w:hint="eastAsia"/>
                <w:color w:val="auto"/>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106" w:type="dxa"/>
            <w:vAlign w:val="center"/>
          </w:tcPr>
          <w:p>
            <w:pPr>
              <w:pStyle w:val="60"/>
              <w:ind w:left="0" w:leftChars="0" w:firstLine="0" w:firstLineChars="0"/>
              <w:jc w:val="center"/>
              <w:rPr>
                <w:color w:val="auto"/>
                <w:highlight w:val="none"/>
              </w:rPr>
            </w:pPr>
            <w:r>
              <w:rPr>
                <w:rFonts w:hint="eastAsia"/>
                <w:color w:val="auto"/>
                <w:highlight w:val="none"/>
              </w:rPr>
              <w:t>2</w:t>
            </w:r>
          </w:p>
        </w:tc>
        <w:tc>
          <w:tcPr>
            <w:tcW w:w="4111" w:type="dxa"/>
            <w:vAlign w:val="center"/>
          </w:tcPr>
          <w:p>
            <w:pPr>
              <w:pStyle w:val="60"/>
              <w:ind w:left="0" w:leftChars="0" w:firstLine="0" w:firstLineChars="0"/>
              <w:jc w:val="center"/>
              <w:rPr>
                <w:color w:val="auto"/>
                <w:highlight w:val="none"/>
              </w:rPr>
            </w:pPr>
            <w:r>
              <w:rPr>
                <w:rFonts w:hint="eastAsia"/>
                <w:color w:val="auto"/>
                <w:highlight w:val="none"/>
              </w:rPr>
              <w:t>火焰原子吸收分光光度计</w:t>
            </w:r>
          </w:p>
        </w:tc>
        <w:tc>
          <w:tcPr>
            <w:tcW w:w="1701" w:type="dxa"/>
            <w:vAlign w:val="center"/>
          </w:tcPr>
          <w:p>
            <w:pPr>
              <w:pStyle w:val="60"/>
              <w:ind w:left="0" w:leftChars="0" w:firstLine="0" w:firstLineChars="0"/>
              <w:jc w:val="center"/>
              <w:rPr>
                <w:color w:val="auto"/>
                <w:highlight w:val="none"/>
              </w:rPr>
            </w:pPr>
            <w:r>
              <w:rPr>
                <w:rFonts w:hint="eastAsia"/>
                <w:color w:val="auto"/>
                <w:highlight w:val="none"/>
              </w:rPr>
              <w:t>1</w:t>
            </w:r>
          </w:p>
        </w:tc>
        <w:tc>
          <w:tcPr>
            <w:tcW w:w="1701" w:type="dxa"/>
            <w:vAlign w:val="center"/>
          </w:tcPr>
          <w:p>
            <w:pPr>
              <w:pStyle w:val="60"/>
              <w:ind w:left="0" w:leftChars="0" w:firstLine="0" w:firstLineChars="0"/>
              <w:jc w:val="center"/>
              <w:rPr>
                <w:color w:val="auto"/>
                <w:highlight w:val="none"/>
              </w:rPr>
            </w:pPr>
            <w:r>
              <w:rPr>
                <w:rFonts w:hint="eastAsia"/>
                <w:color w:val="auto"/>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106" w:type="dxa"/>
            <w:vAlign w:val="center"/>
          </w:tcPr>
          <w:p>
            <w:pPr>
              <w:pStyle w:val="60"/>
              <w:ind w:left="0" w:leftChars="0" w:firstLine="0" w:firstLineChars="0"/>
              <w:jc w:val="center"/>
              <w:rPr>
                <w:color w:val="auto"/>
                <w:highlight w:val="none"/>
              </w:rPr>
            </w:pPr>
            <w:r>
              <w:rPr>
                <w:rFonts w:hint="eastAsia"/>
                <w:color w:val="auto"/>
                <w:highlight w:val="none"/>
              </w:rPr>
              <w:t>3</w:t>
            </w:r>
          </w:p>
        </w:tc>
        <w:tc>
          <w:tcPr>
            <w:tcW w:w="4111" w:type="dxa"/>
            <w:vAlign w:val="center"/>
          </w:tcPr>
          <w:p>
            <w:pPr>
              <w:pStyle w:val="60"/>
              <w:ind w:left="0" w:leftChars="0" w:firstLine="0" w:firstLineChars="0"/>
              <w:jc w:val="center"/>
              <w:rPr>
                <w:color w:val="auto"/>
                <w:highlight w:val="none"/>
              </w:rPr>
            </w:pPr>
            <w:r>
              <w:rPr>
                <w:rFonts w:hint="eastAsia"/>
                <w:color w:val="auto"/>
                <w:highlight w:val="none"/>
              </w:rPr>
              <w:t>原子荧光分光光度计</w:t>
            </w:r>
          </w:p>
        </w:tc>
        <w:tc>
          <w:tcPr>
            <w:tcW w:w="1701" w:type="dxa"/>
            <w:vAlign w:val="center"/>
          </w:tcPr>
          <w:p>
            <w:pPr>
              <w:pStyle w:val="60"/>
              <w:ind w:left="0" w:leftChars="0" w:firstLine="0" w:firstLineChars="0"/>
              <w:jc w:val="center"/>
              <w:rPr>
                <w:color w:val="auto"/>
                <w:highlight w:val="none"/>
              </w:rPr>
            </w:pPr>
            <w:r>
              <w:rPr>
                <w:rFonts w:hint="eastAsia"/>
                <w:color w:val="auto"/>
                <w:highlight w:val="none"/>
              </w:rPr>
              <w:t>1</w:t>
            </w:r>
          </w:p>
        </w:tc>
        <w:tc>
          <w:tcPr>
            <w:tcW w:w="1701" w:type="dxa"/>
            <w:vAlign w:val="center"/>
          </w:tcPr>
          <w:p>
            <w:pPr>
              <w:pStyle w:val="60"/>
              <w:ind w:left="0" w:leftChars="0" w:firstLine="0" w:firstLineChars="0"/>
              <w:jc w:val="center"/>
              <w:rPr>
                <w:color w:val="auto"/>
                <w:highlight w:val="none"/>
              </w:rPr>
            </w:pPr>
            <w:r>
              <w:rPr>
                <w:rFonts w:hint="eastAsia"/>
                <w:color w:val="auto"/>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106" w:type="dxa"/>
            <w:vAlign w:val="center"/>
          </w:tcPr>
          <w:p>
            <w:pPr>
              <w:pStyle w:val="60"/>
              <w:ind w:left="0" w:leftChars="0" w:firstLine="0" w:firstLineChars="0"/>
              <w:jc w:val="center"/>
              <w:rPr>
                <w:color w:val="auto"/>
                <w:highlight w:val="none"/>
              </w:rPr>
            </w:pPr>
            <w:r>
              <w:rPr>
                <w:rFonts w:hint="eastAsia"/>
                <w:color w:val="auto"/>
                <w:highlight w:val="none"/>
              </w:rPr>
              <w:t>4</w:t>
            </w:r>
          </w:p>
        </w:tc>
        <w:tc>
          <w:tcPr>
            <w:tcW w:w="4111" w:type="dxa"/>
            <w:vAlign w:val="center"/>
          </w:tcPr>
          <w:p>
            <w:pPr>
              <w:pStyle w:val="60"/>
              <w:ind w:left="0" w:leftChars="0" w:firstLine="0" w:firstLineChars="0"/>
              <w:jc w:val="center"/>
              <w:rPr>
                <w:color w:val="auto"/>
                <w:highlight w:val="none"/>
              </w:rPr>
            </w:pPr>
            <w:r>
              <w:rPr>
                <w:rFonts w:hint="eastAsia"/>
                <w:color w:val="auto"/>
                <w:highlight w:val="none"/>
              </w:rPr>
              <w:t>全自动凯氏定氮仪</w:t>
            </w:r>
          </w:p>
        </w:tc>
        <w:tc>
          <w:tcPr>
            <w:tcW w:w="1701" w:type="dxa"/>
            <w:vAlign w:val="center"/>
          </w:tcPr>
          <w:p>
            <w:pPr>
              <w:pStyle w:val="60"/>
              <w:ind w:left="0" w:leftChars="0" w:firstLine="0" w:firstLineChars="0"/>
              <w:jc w:val="center"/>
              <w:rPr>
                <w:color w:val="auto"/>
                <w:highlight w:val="none"/>
              </w:rPr>
            </w:pPr>
            <w:r>
              <w:rPr>
                <w:rFonts w:hint="eastAsia"/>
                <w:color w:val="auto"/>
                <w:highlight w:val="none"/>
              </w:rPr>
              <w:t>1</w:t>
            </w:r>
          </w:p>
        </w:tc>
        <w:tc>
          <w:tcPr>
            <w:tcW w:w="1701" w:type="dxa"/>
            <w:vAlign w:val="center"/>
          </w:tcPr>
          <w:p>
            <w:pPr>
              <w:pStyle w:val="60"/>
              <w:ind w:left="0" w:leftChars="0" w:firstLine="0" w:firstLineChars="0"/>
              <w:jc w:val="center"/>
              <w:rPr>
                <w:color w:val="auto"/>
                <w:highlight w:val="none"/>
              </w:rPr>
            </w:pPr>
            <w:r>
              <w:rPr>
                <w:rFonts w:hint="eastAsia"/>
                <w:color w:val="auto"/>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106" w:type="dxa"/>
            <w:vAlign w:val="center"/>
          </w:tcPr>
          <w:p>
            <w:pPr>
              <w:pStyle w:val="60"/>
              <w:ind w:left="0" w:leftChars="0" w:firstLine="0" w:firstLineChars="0"/>
              <w:jc w:val="center"/>
              <w:rPr>
                <w:color w:val="auto"/>
                <w:highlight w:val="none"/>
              </w:rPr>
            </w:pPr>
            <w:r>
              <w:rPr>
                <w:rFonts w:hint="eastAsia"/>
                <w:color w:val="auto"/>
                <w:highlight w:val="none"/>
              </w:rPr>
              <w:t>5</w:t>
            </w:r>
          </w:p>
        </w:tc>
        <w:tc>
          <w:tcPr>
            <w:tcW w:w="4111" w:type="dxa"/>
            <w:vAlign w:val="center"/>
          </w:tcPr>
          <w:p>
            <w:pPr>
              <w:pStyle w:val="60"/>
              <w:ind w:left="0" w:leftChars="0" w:firstLine="0" w:firstLineChars="0"/>
              <w:jc w:val="center"/>
              <w:rPr>
                <w:color w:val="auto"/>
                <w:highlight w:val="none"/>
              </w:rPr>
            </w:pPr>
            <w:r>
              <w:rPr>
                <w:rFonts w:hint="eastAsia"/>
                <w:color w:val="auto"/>
                <w:highlight w:val="none"/>
              </w:rPr>
              <w:t>全自动土壤有机质分析仪</w:t>
            </w:r>
          </w:p>
        </w:tc>
        <w:tc>
          <w:tcPr>
            <w:tcW w:w="1701" w:type="dxa"/>
            <w:vAlign w:val="center"/>
          </w:tcPr>
          <w:p>
            <w:pPr>
              <w:pStyle w:val="60"/>
              <w:ind w:left="0" w:leftChars="0" w:firstLine="0" w:firstLineChars="0"/>
              <w:jc w:val="center"/>
              <w:rPr>
                <w:color w:val="auto"/>
                <w:highlight w:val="none"/>
              </w:rPr>
            </w:pPr>
            <w:r>
              <w:rPr>
                <w:rFonts w:hint="eastAsia"/>
                <w:color w:val="auto"/>
                <w:highlight w:val="none"/>
              </w:rPr>
              <w:t>1</w:t>
            </w:r>
          </w:p>
        </w:tc>
        <w:tc>
          <w:tcPr>
            <w:tcW w:w="1701" w:type="dxa"/>
            <w:vAlign w:val="center"/>
          </w:tcPr>
          <w:p>
            <w:pPr>
              <w:pStyle w:val="60"/>
              <w:ind w:left="0" w:leftChars="0" w:firstLine="0" w:firstLineChars="0"/>
              <w:jc w:val="center"/>
              <w:rPr>
                <w:color w:val="auto"/>
                <w:highlight w:val="none"/>
              </w:rPr>
            </w:pPr>
            <w:r>
              <w:rPr>
                <w:rFonts w:hint="eastAsia"/>
                <w:color w:val="auto"/>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106" w:type="dxa"/>
            <w:vAlign w:val="center"/>
          </w:tcPr>
          <w:p>
            <w:pPr>
              <w:pStyle w:val="60"/>
              <w:ind w:left="0" w:leftChars="0" w:firstLine="0" w:firstLineChars="0"/>
              <w:jc w:val="center"/>
              <w:rPr>
                <w:color w:val="auto"/>
                <w:highlight w:val="none"/>
              </w:rPr>
            </w:pPr>
            <w:r>
              <w:rPr>
                <w:rFonts w:hint="eastAsia"/>
                <w:color w:val="auto"/>
                <w:highlight w:val="none"/>
              </w:rPr>
              <w:t>6</w:t>
            </w:r>
          </w:p>
        </w:tc>
        <w:tc>
          <w:tcPr>
            <w:tcW w:w="4111" w:type="dxa"/>
            <w:vAlign w:val="center"/>
          </w:tcPr>
          <w:p>
            <w:pPr>
              <w:pStyle w:val="60"/>
              <w:ind w:left="0" w:leftChars="0" w:firstLine="0" w:firstLineChars="0"/>
              <w:jc w:val="center"/>
              <w:rPr>
                <w:color w:val="auto"/>
                <w:highlight w:val="none"/>
              </w:rPr>
            </w:pPr>
            <w:r>
              <w:rPr>
                <w:rFonts w:hint="eastAsia"/>
                <w:color w:val="auto"/>
                <w:highlight w:val="none"/>
              </w:rPr>
              <w:t>全自动土壤pH测定仪</w:t>
            </w:r>
          </w:p>
        </w:tc>
        <w:tc>
          <w:tcPr>
            <w:tcW w:w="1701" w:type="dxa"/>
            <w:vAlign w:val="center"/>
          </w:tcPr>
          <w:p>
            <w:pPr>
              <w:pStyle w:val="60"/>
              <w:ind w:left="0" w:leftChars="0" w:firstLine="0" w:firstLineChars="0"/>
              <w:jc w:val="center"/>
              <w:rPr>
                <w:color w:val="auto"/>
                <w:highlight w:val="none"/>
              </w:rPr>
            </w:pPr>
            <w:r>
              <w:rPr>
                <w:rFonts w:hint="eastAsia"/>
                <w:color w:val="auto"/>
                <w:highlight w:val="none"/>
              </w:rPr>
              <w:t>1</w:t>
            </w:r>
          </w:p>
        </w:tc>
        <w:tc>
          <w:tcPr>
            <w:tcW w:w="1701" w:type="dxa"/>
            <w:vAlign w:val="center"/>
          </w:tcPr>
          <w:p>
            <w:pPr>
              <w:pStyle w:val="60"/>
              <w:ind w:left="0" w:leftChars="0" w:firstLine="0" w:firstLineChars="0"/>
              <w:jc w:val="center"/>
              <w:rPr>
                <w:color w:val="auto"/>
                <w:highlight w:val="none"/>
              </w:rPr>
            </w:pPr>
            <w:r>
              <w:rPr>
                <w:rFonts w:hint="eastAsia"/>
                <w:color w:val="auto"/>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106" w:type="dxa"/>
            <w:vAlign w:val="center"/>
          </w:tcPr>
          <w:p>
            <w:pPr>
              <w:pStyle w:val="60"/>
              <w:ind w:left="0" w:leftChars="0" w:firstLine="0" w:firstLineChars="0"/>
              <w:jc w:val="center"/>
              <w:rPr>
                <w:color w:val="auto"/>
                <w:highlight w:val="none"/>
              </w:rPr>
            </w:pPr>
            <w:r>
              <w:rPr>
                <w:rFonts w:hint="eastAsia"/>
                <w:color w:val="auto"/>
                <w:highlight w:val="none"/>
              </w:rPr>
              <w:t>7</w:t>
            </w:r>
          </w:p>
        </w:tc>
        <w:tc>
          <w:tcPr>
            <w:tcW w:w="4111" w:type="dxa"/>
            <w:vAlign w:val="center"/>
          </w:tcPr>
          <w:p>
            <w:pPr>
              <w:pStyle w:val="60"/>
              <w:ind w:left="0" w:leftChars="0" w:firstLine="0" w:firstLineChars="0"/>
              <w:jc w:val="center"/>
              <w:rPr>
                <w:color w:val="auto"/>
                <w:highlight w:val="none"/>
              </w:rPr>
            </w:pPr>
            <w:r>
              <w:rPr>
                <w:rFonts w:hint="eastAsia"/>
                <w:color w:val="auto"/>
                <w:highlight w:val="none"/>
              </w:rPr>
              <w:t>全自动加酸仪</w:t>
            </w:r>
          </w:p>
        </w:tc>
        <w:tc>
          <w:tcPr>
            <w:tcW w:w="1701" w:type="dxa"/>
            <w:vAlign w:val="center"/>
          </w:tcPr>
          <w:p>
            <w:pPr>
              <w:pStyle w:val="60"/>
              <w:ind w:left="0" w:leftChars="0" w:firstLine="0" w:firstLineChars="0"/>
              <w:jc w:val="center"/>
              <w:rPr>
                <w:color w:val="auto"/>
                <w:highlight w:val="none"/>
              </w:rPr>
            </w:pPr>
            <w:r>
              <w:rPr>
                <w:rFonts w:hint="eastAsia"/>
                <w:color w:val="auto"/>
                <w:highlight w:val="none"/>
              </w:rPr>
              <w:t>1</w:t>
            </w:r>
          </w:p>
        </w:tc>
        <w:tc>
          <w:tcPr>
            <w:tcW w:w="1701" w:type="dxa"/>
            <w:vAlign w:val="center"/>
          </w:tcPr>
          <w:p>
            <w:pPr>
              <w:pStyle w:val="60"/>
              <w:ind w:left="0" w:leftChars="0" w:firstLine="0" w:firstLineChars="0"/>
              <w:jc w:val="center"/>
              <w:rPr>
                <w:color w:val="auto"/>
                <w:highlight w:val="none"/>
              </w:rPr>
            </w:pPr>
            <w:r>
              <w:rPr>
                <w:rFonts w:hint="eastAsia"/>
                <w:color w:val="auto"/>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106" w:type="dxa"/>
            <w:vAlign w:val="center"/>
          </w:tcPr>
          <w:p>
            <w:pPr>
              <w:pStyle w:val="60"/>
              <w:ind w:left="0" w:leftChars="0" w:firstLine="0" w:firstLineChars="0"/>
              <w:jc w:val="center"/>
              <w:rPr>
                <w:color w:val="auto"/>
                <w:highlight w:val="none"/>
              </w:rPr>
            </w:pPr>
            <w:r>
              <w:rPr>
                <w:rFonts w:hint="eastAsia"/>
                <w:color w:val="auto"/>
                <w:highlight w:val="none"/>
              </w:rPr>
              <w:t>8</w:t>
            </w:r>
          </w:p>
        </w:tc>
        <w:tc>
          <w:tcPr>
            <w:tcW w:w="4111" w:type="dxa"/>
            <w:vAlign w:val="center"/>
          </w:tcPr>
          <w:p>
            <w:pPr>
              <w:pStyle w:val="60"/>
              <w:ind w:left="0" w:leftChars="0" w:firstLine="0" w:firstLineChars="0"/>
              <w:jc w:val="center"/>
              <w:rPr>
                <w:color w:val="auto"/>
                <w:highlight w:val="none"/>
              </w:rPr>
            </w:pPr>
            <w:r>
              <w:rPr>
                <w:rFonts w:hint="eastAsia"/>
                <w:color w:val="auto"/>
                <w:highlight w:val="none"/>
              </w:rPr>
              <w:t>双光束紫外可见分光光度计</w:t>
            </w:r>
          </w:p>
        </w:tc>
        <w:tc>
          <w:tcPr>
            <w:tcW w:w="1701" w:type="dxa"/>
            <w:vAlign w:val="center"/>
          </w:tcPr>
          <w:p>
            <w:pPr>
              <w:pStyle w:val="60"/>
              <w:ind w:left="0" w:leftChars="0" w:firstLine="0" w:firstLineChars="0"/>
              <w:jc w:val="center"/>
              <w:rPr>
                <w:color w:val="auto"/>
                <w:highlight w:val="none"/>
              </w:rPr>
            </w:pPr>
            <w:r>
              <w:rPr>
                <w:rFonts w:hint="eastAsia"/>
                <w:color w:val="auto"/>
                <w:highlight w:val="none"/>
              </w:rPr>
              <w:t>1</w:t>
            </w:r>
          </w:p>
        </w:tc>
        <w:tc>
          <w:tcPr>
            <w:tcW w:w="1701" w:type="dxa"/>
            <w:vAlign w:val="center"/>
          </w:tcPr>
          <w:p>
            <w:pPr>
              <w:pStyle w:val="60"/>
              <w:ind w:left="0" w:leftChars="0" w:firstLine="0" w:firstLineChars="0"/>
              <w:jc w:val="center"/>
              <w:rPr>
                <w:color w:val="auto"/>
                <w:highlight w:val="none"/>
              </w:rPr>
            </w:pPr>
            <w:r>
              <w:rPr>
                <w:rFonts w:hint="eastAsia"/>
                <w:color w:val="auto"/>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106" w:type="dxa"/>
            <w:vAlign w:val="center"/>
          </w:tcPr>
          <w:p>
            <w:pPr>
              <w:pStyle w:val="60"/>
              <w:ind w:left="0" w:leftChars="0" w:firstLine="0" w:firstLineChars="0"/>
              <w:jc w:val="center"/>
              <w:rPr>
                <w:color w:val="auto"/>
                <w:highlight w:val="none"/>
              </w:rPr>
            </w:pPr>
            <w:r>
              <w:rPr>
                <w:rFonts w:hint="eastAsia"/>
                <w:color w:val="auto"/>
                <w:highlight w:val="none"/>
              </w:rPr>
              <w:t>9</w:t>
            </w:r>
          </w:p>
        </w:tc>
        <w:tc>
          <w:tcPr>
            <w:tcW w:w="4111" w:type="dxa"/>
            <w:vAlign w:val="center"/>
          </w:tcPr>
          <w:p>
            <w:pPr>
              <w:pStyle w:val="60"/>
              <w:ind w:left="0" w:leftChars="0" w:firstLine="0" w:firstLineChars="0"/>
              <w:jc w:val="center"/>
              <w:rPr>
                <w:color w:val="auto"/>
                <w:highlight w:val="none"/>
              </w:rPr>
            </w:pPr>
            <w:r>
              <w:rPr>
                <w:rFonts w:hint="eastAsia"/>
                <w:color w:val="auto"/>
                <w:highlight w:val="none"/>
              </w:rPr>
              <w:t>X荧光压片机</w:t>
            </w:r>
          </w:p>
        </w:tc>
        <w:tc>
          <w:tcPr>
            <w:tcW w:w="1701" w:type="dxa"/>
            <w:vAlign w:val="center"/>
          </w:tcPr>
          <w:p>
            <w:pPr>
              <w:pStyle w:val="60"/>
              <w:ind w:left="0" w:leftChars="0" w:firstLine="0" w:firstLineChars="0"/>
              <w:jc w:val="center"/>
              <w:rPr>
                <w:color w:val="auto"/>
                <w:highlight w:val="none"/>
              </w:rPr>
            </w:pPr>
            <w:r>
              <w:rPr>
                <w:rFonts w:hint="eastAsia"/>
                <w:color w:val="auto"/>
                <w:highlight w:val="none"/>
              </w:rPr>
              <w:t>1</w:t>
            </w:r>
          </w:p>
        </w:tc>
        <w:tc>
          <w:tcPr>
            <w:tcW w:w="1701" w:type="dxa"/>
            <w:vAlign w:val="center"/>
          </w:tcPr>
          <w:p>
            <w:pPr>
              <w:pStyle w:val="60"/>
              <w:ind w:left="0" w:leftChars="0" w:firstLine="0" w:firstLineChars="0"/>
              <w:jc w:val="center"/>
              <w:rPr>
                <w:color w:val="auto"/>
                <w:highlight w:val="none"/>
              </w:rPr>
            </w:pPr>
            <w:r>
              <w:rPr>
                <w:rFonts w:hint="eastAsia"/>
                <w:color w:val="auto"/>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106" w:type="dxa"/>
            <w:vAlign w:val="center"/>
          </w:tcPr>
          <w:p>
            <w:pPr>
              <w:pStyle w:val="60"/>
              <w:ind w:left="0" w:leftChars="0" w:firstLine="0" w:firstLineChars="0"/>
              <w:jc w:val="center"/>
              <w:rPr>
                <w:color w:val="auto"/>
                <w:highlight w:val="none"/>
              </w:rPr>
            </w:pPr>
            <w:r>
              <w:rPr>
                <w:rFonts w:hint="eastAsia"/>
                <w:color w:val="auto"/>
                <w:highlight w:val="none"/>
              </w:rPr>
              <w:t>1</w:t>
            </w:r>
            <w:r>
              <w:rPr>
                <w:color w:val="auto"/>
                <w:highlight w:val="none"/>
              </w:rPr>
              <w:t>0</w:t>
            </w:r>
          </w:p>
        </w:tc>
        <w:tc>
          <w:tcPr>
            <w:tcW w:w="4111" w:type="dxa"/>
            <w:vAlign w:val="center"/>
          </w:tcPr>
          <w:p>
            <w:pPr>
              <w:pStyle w:val="60"/>
              <w:ind w:left="0" w:leftChars="0" w:firstLine="0" w:firstLineChars="0"/>
              <w:jc w:val="center"/>
              <w:rPr>
                <w:color w:val="auto"/>
                <w:highlight w:val="none"/>
              </w:rPr>
            </w:pPr>
            <w:r>
              <w:rPr>
                <w:rFonts w:hint="eastAsia"/>
                <w:color w:val="auto"/>
                <w:highlight w:val="none"/>
              </w:rPr>
              <w:t>实验用水制备仪</w:t>
            </w:r>
          </w:p>
        </w:tc>
        <w:tc>
          <w:tcPr>
            <w:tcW w:w="1701" w:type="dxa"/>
            <w:vAlign w:val="center"/>
          </w:tcPr>
          <w:p>
            <w:pPr>
              <w:pStyle w:val="60"/>
              <w:ind w:left="0" w:leftChars="0" w:firstLine="0" w:firstLineChars="0"/>
              <w:jc w:val="center"/>
              <w:rPr>
                <w:color w:val="auto"/>
                <w:highlight w:val="none"/>
              </w:rPr>
            </w:pPr>
            <w:r>
              <w:rPr>
                <w:rFonts w:hint="eastAsia"/>
                <w:color w:val="auto"/>
                <w:highlight w:val="none"/>
              </w:rPr>
              <w:t>1</w:t>
            </w:r>
          </w:p>
        </w:tc>
        <w:tc>
          <w:tcPr>
            <w:tcW w:w="1701" w:type="dxa"/>
            <w:vAlign w:val="center"/>
          </w:tcPr>
          <w:p>
            <w:pPr>
              <w:pStyle w:val="60"/>
              <w:ind w:left="0" w:leftChars="0" w:firstLine="0" w:firstLineChars="0"/>
              <w:jc w:val="center"/>
              <w:rPr>
                <w:color w:val="auto"/>
                <w:highlight w:val="none"/>
              </w:rPr>
            </w:pPr>
            <w:r>
              <w:rPr>
                <w:rFonts w:hint="eastAsia"/>
                <w:color w:val="auto"/>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5217" w:type="dxa"/>
            <w:gridSpan w:val="2"/>
            <w:vAlign w:val="center"/>
          </w:tcPr>
          <w:p>
            <w:pPr>
              <w:pStyle w:val="60"/>
              <w:ind w:left="0" w:leftChars="0" w:firstLine="0" w:firstLineChars="0"/>
              <w:jc w:val="center"/>
              <w:rPr>
                <w:color w:val="auto"/>
                <w:highlight w:val="none"/>
              </w:rPr>
            </w:pPr>
            <w:r>
              <w:rPr>
                <w:rFonts w:hint="eastAsia"/>
                <w:b/>
                <w:bCs/>
                <w:color w:val="auto"/>
                <w:highlight w:val="none"/>
              </w:rPr>
              <w:t>第二包</w:t>
            </w:r>
          </w:p>
        </w:tc>
        <w:tc>
          <w:tcPr>
            <w:tcW w:w="1701" w:type="dxa"/>
            <w:vAlign w:val="center"/>
          </w:tcPr>
          <w:p>
            <w:pPr>
              <w:pStyle w:val="60"/>
              <w:ind w:left="0" w:leftChars="0" w:firstLine="0" w:firstLineChars="0"/>
              <w:jc w:val="center"/>
              <w:rPr>
                <w:color w:val="auto"/>
                <w:highlight w:val="none"/>
              </w:rPr>
            </w:pPr>
            <w:r>
              <w:rPr>
                <w:b/>
                <w:bCs/>
                <w:color w:val="auto"/>
                <w:highlight w:val="none"/>
              </w:rPr>
              <w:t>11</w:t>
            </w:r>
          </w:p>
        </w:tc>
        <w:tc>
          <w:tcPr>
            <w:tcW w:w="1701" w:type="dxa"/>
            <w:vAlign w:val="center"/>
          </w:tcPr>
          <w:p>
            <w:pPr>
              <w:pStyle w:val="60"/>
              <w:ind w:left="0" w:leftChars="0" w:firstLine="0" w:firstLineChars="0"/>
              <w:jc w:val="center"/>
              <w:rPr>
                <w:color w:val="auto"/>
                <w:highlight w:val="none"/>
              </w:rPr>
            </w:pPr>
            <w:r>
              <w:rPr>
                <w:rFonts w:hint="eastAsia"/>
                <w:b/>
                <w:bCs/>
                <w:color w:val="auto"/>
                <w:highlight w:val="none"/>
              </w:rPr>
              <w:t>2</w:t>
            </w:r>
            <w:r>
              <w:rPr>
                <w:b/>
                <w:bCs/>
                <w:color w:val="auto"/>
                <w:highlight w:val="none"/>
              </w:rPr>
              <w:t>64.7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106" w:type="dxa"/>
            <w:vAlign w:val="center"/>
          </w:tcPr>
          <w:p>
            <w:pPr>
              <w:pStyle w:val="60"/>
              <w:ind w:left="0" w:leftChars="0" w:firstLine="0" w:firstLineChars="0"/>
              <w:jc w:val="center"/>
              <w:rPr>
                <w:color w:val="auto"/>
                <w:highlight w:val="none"/>
              </w:rPr>
            </w:pPr>
            <w:r>
              <w:rPr>
                <w:rFonts w:hint="eastAsia"/>
                <w:color w:val="auto"/>
                <w:highlight w:val="none"/>
              </w:rPr>
              <w:t>1</w:t>
            </w:r>
          </w:p>
        </w:tc>
        <w:tc>
          <w:tcPr>
            <w:tcW w:w="4111" w:type="dxa"/>
            <w:vAlign w:val="center"/>
          </w:tcPr>
          <w:p>
            <w:pPr>
              <w:pStyle w:val="60"/>
              <w:ind w:left="0" w:leftChars="0" w:firstLine="0" w:firstLineChars="0"/>
              <w:jc w:val="center"/>
              <w:rPr>
                <w:color w:val="auto"/>
                <w:highlight w:val="none"/>
              </w:rPr>
            </w:pPr>
            <w:r>
              <w:rPr>
                <w:rFonts w:hint="eastAsia"/>
                <w:color w:val="auto"/>
                <w:highlight w:val="none"/>
              </w:rPr>
              <w:t>全自动土壤样品制备仪</w:t>
            </w:r>
          </w:p>
        </w:tc>
        <w:tc>
          <w:tcPr>
            <w:tcW w:w="1701" w:type="dxa"/>
            <w:vAlign w:val="center"/>
          </w:tcPr>
          <w:p>
            <w:pPr>
              <w:pStyle w:val="60"/>
              <w:ind w:left="0" w:leftChars="0" w:firstLine="0" w:firstLineChars="0"/>
              <w:jc w:val="center"/>
              <w:rPr>
                <w:color w:val="auto"/>
                <w:highlight w:val="none"/>
              </w:rPr>
            </w:pPr>
            <w:r>
              <w:rPr>
                <w:rFonts w:hint="eastAsia"/>
                <w:color w:val="auto"/>
                <w:highlight w:val="none"/>
              </w:rPr>
              <w:t>1</w:t>
            </w:r>
          </w:p>
        </w:tc>
        <w:tc>
          <w:tcPr>
            <w:tcW w:w="1701" w:type="dxa"/>
            <w:vAlign w:val="center"/>
          </w:tcPr>
          <w:p>
            <w:pPr>
              <w:pStyle w:val="60"/>
              <w:ind w:left="0" w:leftChars="0" w:firstLine="0" w:firstLineChars="0"/>
              <w:jc w:val="center"/>
              <w:rPr>
                <w:color w:val="auto"/>
                <w:highlight w:val="none"/>
              </w:rPr>
            </w:pPr>
            <w:r>
              <w:rPr>
                <w:rFonts w:hint="eastAsia"/>
                <w:color w:val="auto"/>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106" w:type="dxa"/>
            <w:vAlign w:val="center"/>
          </w:tcPr>
          <w:p>
            <w:pPr>
              <w:pStyle w:val="60"/>
              <w:ind w:left="0" w:leftChars="0" w:firstLine="0" w:firstLineChars="0"/>
              <w:jc w:val="center"/>
              <w:rPr>
                <w:color w:val="auto"/>
                <w:highlight w:val="none"/>
              </w:rPr>
            </w:pPr>
            <w:r>
              <w:rPr>
                <w:rFonts w:hint="eastAsia"/>
                <w:color w:val="auto"/>
                <w:highlight w:val="none"/>
              </w:rPr>
              <w:t>2</w:t>
            </w:r>
          </w:p>
        </w:tc>
        <w:tc>
          <w:tcPr>
            <w:tcW w:w="4111" w:type="dxa"/>
            <w:vAlign w:val="center"/>
          </w:tcPr>
          <w:p>
            <w:pPr>
              <w:pStyle w:val="60"/>
              <w:ind w:left="0" w:leftChars="0" w:firstLine="0" w:firstLineChars="0"/>
              <w:jc w:val="center"/>
              <w:rPr>
                <w:color w:val="auto"/>
                <w:highlight w:val="none"/>
              </w:rPr>
            </w:pPr>
            <w:r>
              <w:rPr>
                <w:rFonts w:hint="eastAsia"/>
                <w:color w:val="auto"/>
                <w:highlight w:val="none"/>
              </w:rPr>
              <w:t>土壤提取前处理装置</w:t>
            </w:r>
          </w:p>
        </w:tc>
        <w:tc>
          <w:tcPr>
            <w:tcW w:w="1701" w:type="dxa"/>
            <w:vAlign w:val="center"/>
          </w:tcPr>
          <w:p>
            <w:pPr>
              <w:pStyle w:val="60"/>
              <w:ind w:left="0" w:leftChars="0" w:firstLine="0" w:firstLineChars="0"/>
              <w:jc w:val="center"/>
              <w:rPr>
                <w:color w:val="auto"/>
                <w:highlight w:val="none"/>
              </w:rPr>
            </w:pPr>
            <w:r>
              <w:rPr>
                <w:rFonts w:hint="eastAsia"/>
                <w:color w:val="auto"/>
                <w:highlight w:val="none"/>
              </w:rPr>
              <w:t>1</w:t>
            </w:r>
          </w:p>
        </w:tc>
        <w:tc>
          <w:tcPr>
            <w:tcW w:w="1701" w:type="dxa"/>
            <w:vAlign w:val="center"/>
          </w:tcPr>
          <w:p>
            <w:pPr>
              <w:pStyle w:val="60"/>
              <w:ind w:left="0" w:leftChars="0" w:firstLine="0" w:firstLineChars="0"/>
              <w:jc w:val="center"/>
              <w:rPr>
                <w:color w:val="auto"/>
                <w:highlight w:val="none"/>
              </w:rPr>
            </w:pPr>
            <w:r>
              <w:rPr>
                <w:rFonts w:hint="eastAsia"/>
                <w:color w:val="auto"/>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106" w:type="dxa"/>
            <w:vAlign w:val="center"/>
          </w:tcPr>
          <w:p>
            <w:pPr>
              <w:pStyle w:val="60"/>
              <w:ind w:left="0" w:leftChars="0" w:firstLine="0" w:firstLineChars="0"/>
              <w:jc w:val="center"/>
              <w:rPr>
                <w:color w:val="auto"/>
                <w:highlight w:val="none"/>
              </w:rPr>
            </w:pPr>
            <w:r>
              <w:rPr>
                <w:rFonts w:hint="eastAsia"/>
                <w:color w:val="auto"/>
                <w:highlight w:val="none"/>
              </w:rPr>
              <w:t>3</w:t>
            </w:r>
          </w:p>
        </w:tc>
        <w:tc>
          <w:tcPr>
            <w:tcW w:w="4111" w:type="dxa"/>
            <w:vAlign w:val="center"/>
          </w:tcPr>
          <w:p>
            <w:pPr>
              <w:pStyle w:val="60"/>
              <w:ind w:left="0" w:leftChars="0" w:firstLine="0" w:firstLineChars="0"/>
              <w:jc w:val="center"/>
              <w:rPr>
                <w:color w:val="auto"/>
                <w:highlight w:val="none"/>
              </w:rPr>
            </w:pPr>
            <w:r>
              <w:rPr>
                <w:rFonts w:hint="eastAsia"/>
                <w:color w:val="auto"/>
                <w:highlight w:val="none"/>
              </w:rPr>
              <w:t>土壤浓缩前处理装置</w:t>
            </w:r>
          </w:p>
        </w:tc>
        <w:tc>
          <w:tcPr>
            <w:tcW w:w="1701" w:type="dxa"/>
            <w:vAlign w:val="center"/>
          </w:tcPr>
          <w:p>
            <w:pPr>
              <w:pStyle w:val="60"/>
              <w:ind w:left="0" w:leftChars="0" w:firstLine="0" w:firstLineChars="0"/>
              <w:jc w:val="center"/>
              <w:rPr>
                <w:color w:val="auto"/>
                <w:highlight w:val="none"/>
              </w:rPr>
            </w:pPr>
            <w:r>
              <w:rPr>
                <w:rFonts w:hint="eastAsia"/>
                <w:color w:val="auto"/>
                <w:highlight w:val="none"/>
              </w:rPr>
              <w:t>1</w:t>
            </w:r>
          </w:p>
        </w:tc>
        <w:tc>
          <w:tcPr>
            <w:tcW w:w="1701" w:type="dxa"/>
            <w:vAlign w:val="center"/>
          </w:tcPr>
          <w:p>
            <w:pPr>
              <w:pStyle w:val="60"/>
              <w:ind w:left="0" w:leftChars="0" w:firstLine="0" w:firstLineChars="0"/>
              <w:jc w:val="center"/>
              <w:rPr>
                <w:color w:val="auto"/>
                <w:highlight w:val="none"/>
              </w:rPr>
            </w:pPr>
            <w:r>
              <w:rPr>
                <w:rFonts w:hint="eastAsia"/>
                <w:color w:val="auto"/>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106" w:type="dxa"/>
            <w:vAlign w:val="center"/>
          </w:tcPr>
          <w:p>
            <w:pPr>
              <w:pStyle w:val="60"/>
              <w:ind w:left="0" w:leftChars="0" w:firstLine="0" w:firstLineChars="0"/>
              <w:jc w:val="center"/>
              <w:rPr>
                <w:color w:val="auto"/>
                <w:highlight w:val="none"/>
              </w:rPr>
            </w:pPr>
            <w:r>
              <w:rPr>
                <w:rFonts w:hint="eastAsia"/>
                <w:color w:val="auto"/>
                <w:highlight w:val="none"/>
              </w:rPr>
              <w:t>4</w:t>
            </w:r>
          </w:p>
        </w:tc>
        <w:tc>
          <w:tcPr>
            <w:tcW w:w="4111" w:type="dxa"/>
            <w:vAlign w:val="center"/>
          </w:tcPr>
          <w:p>
            <w:pPr>
              <w:pStyle w:val="718"/>
              <w:widowControl/>
              <w:autoSpaceDE w:val="0"/>
              <w:autoSpaceDN w:val="0"/>
              <w:snapToGrid w:val="0"/>
              <w:spacing w:line="440" w:lineRule="exact"/>
              <w:ind w:firstLine="0" w:firstLineChars="0"/>
              <w:contextualSpacing/>
              <w:jc w:val="center"/>
              <w:rPr>
                <w:color w:val="auto"/>
                <w:highlight w:val="none"/>
              </w:rPr>
            </w:pPr>
            <w:r>
              <w:rPr>
                <w:color w:val="auto"/>
                <w:highlight w:val="none"/>
              </w:rPr>
              <w:t>高频红外碳硫分析仪</w:t>
            </w:r>
          </w:p>
        </w:tc>
        <w:tc>
          <w:tcPr>
            <w:tcW w:w="1701" w:type="dxa"/>
            <w:vAlign w:val="center"/>
          </w:tcPr>
          <w:p>
            <w:pPr>
              <w:pStyle w:val="60"/>
              <w:ind w:left="0" w:leftChars="0" w:firstLine="0" w:firstLineChars="0"/>
              <w:jc w:val="center"/>
              <w:rPr>
                <w:color w:val="auto"/>
                <w:highlight w:val="none"/>
              </w:rPr>
            </w:pPr>
            <w:r>
              <w:rPr>
                <w:rFonts w:hint="eastAsia"/>
                <w:color w:val="auto"/>
                <w:highlight w:val="none"/>
              </w:rPr>
              <w:t>1</w:t>
            </w:r>
          </w:p>
        </w:tc>
        <w:tc>
          <w:tcPr>
            <w:tcW w:w="1701" w:type="dxa"/>
            <w:vAlign w:val="center"/>
          </w:tcPr>
          <w:p>
            <w:pPr>
              <w:pStyle w:val="60"/>
              <w:ind w:left="0" w:leftChars="0" w:firstLine="0" w:firstLineChars="0"/>
              <w:jc w:val="center"/>
              <w:rPr>
                <w:color w:val="auto"/>
                <w:highlight w:val="none"/>
              </w:rPr>
            </w:pPr>
            <w:r>
              <w:rPr>
                <w:rFonts w:hint="eastAsia"/>
                <w:color w:val="auto"/>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106" w:type="dxa"/>
            <w:vAlign w:val="center"/>
          </w:tcPr>
          <w:p>
            <w:pPr>
              <w:pStyle w:val="60"/>
              <w:ind w:left="0" w:leftChars="0" w:firstLine="0" w:firstLineChars="0"/>
              <w:jc w:val="center"/>
              <w:rPr>
                <w:color w:val="auto"/>
                <w:highlight w:val="none"/>
              </w:rPr>
            </w:pPr>
            <w:r>
              <w:rPr>
                <w:rFonts w:hint="eastAsia"/>
                <w:color w:val="auto"/>
                <w:highlight w:val="none"/>
              </w:rPr>
              <w:t>5</w:t>
            </w:r>
          </w:p>
        </w:tc>
        <w:tc>
          <w:tcPr>
            <w:tcW w:w="4111" w:type="dxa"/>
            <w:vAlign w:val="center"/>
          </w:tcPr>
          <w:p>
            <w:pPr>
              <w:pStyle w:val="60"/>
              <w:spacing w:after="0"/>
              <w:ind w:left="0" w:leftChars="0" w:firstLine="0" w:firstLineChars="0"/>
              <w:jc w:val="center"/>
              <w:rPr>
                <w:color w:val="auto"/>
                <w:highlight w:val="none"/>
              </w:rPr>
            </w:pPr>
            <w:r>
              <w:rPr>
                <w:rFonts w:hint="eastAsia"/>
                <w:color w:val="auto"/>
                <w:highlight w:val="none"/>
              </w:rPr>
              <w:t>全自动样品回流消解滴定装置</w:t>
            </w:r>
          </w:p>
        </w:tc>
        <w:tc>
          <w:tcPr>
            <w:tcW w:w="1701" w:type="dxa"/>
            <w:vAlign w:val="center"/>
          </w:tcPr>
          <w:p>
            <w:pPr>
              <w:pStyle w:val="60"/>
              <w:ind w:left="0" w:leftChars="0" w:firstLine="0" w:firstLineChars="0"/>
              <w:jc w:val="center"/>
              <w:rPr>
                <w:color w:val="auto"/>
                <w:highlight w:val="none"/>
              </w:rPr>
            </w:pPr>
            <w:r>
              <w:rPr>
                <w:rFonts w:hint="eastAsia"/>
                <w:color w:val="auto"/>
                <w:highlight w:val="none"/>
              </w:rPr>
              <w:t>1</w:t>
            </w:r>
          </w:p>
        </w:tc>
        <w:tc>
          <w:tcPr>
            <w:tcW w:w="1701" w:type="dxa"/>
            <w:vAlign w:val="center"/>
          </w:tcPr>
          <w:p>
            <w:pPr>
              <w:pStyle w:val="60"/>
              <w:ind w:left="0" w:leftChars="0" w:firstLine="0" w:firstLineChars="0"/>
              <w:jc w:val="center"/>
              <w:rPr>
                <w:color w:val="auto"/>
                <w:highlight w:val="none"/>
              </w:rPr>
            </w:pPr>
            <w:r>
              <w:rPr>
                <w:rFonts w:hint="eastAsia"/>
                <w:color w:val="auto"/>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106" w:type="dxa"/>
            <w:vAlign w:val="center"/>
          </w:tcPr>
          <w:p>
            <w:pPr>
              <w:pStyle w:val="60"/>
              <w:ind w:left="0" w:leftChars="0" w:firstLine="0" w:firstLineChars="0"/>
              <w:jc w:val="center"/>
              <w:rPr>
                <w:color w:val="auto"/>
                <w:highlight w:val="none"/>
              </w:rPr>
            </w:pPr>
            <w:r>
              <w:rPr>
                <w:rFonts w:hint="eastAsia"/>
                <w:color w:val="auto"/>
                <w:highlight w:val="none"/>
              </w:rPr>
              <w:t>6</w:t>
            </w:r>
          </w:p>
        </w:tc>
        <w:tc>
          <w:tcPr>
            <w:tcW w:w="4111" w:type="dxa"/>
            <w:vAlign w:val="center"/>
          </w:tcPr>
          <w:p>
            <w:pPr>
              <w:pStyle w:val="60"/>
              <w:spacing w:after="0"/>
              <w:ind w:left="0" w:leftChars="0" w:firstLine="0" w:firstLineChars="0"/>
              <w:jc w:val="center"/>
              <w:rPr>
                <w:color w:val="auto"/>
                <w:highlight w:val="none"/>
              </w:rPr>
            </w:pPr>
            <w:r>
              <w:rPr>
                <w:rFonts w:hint="eastAsia"/>
                <w:color w:val="auto"/>
                <w:highlight w:val="none"/>
              </w:rPr>
              <w:t>土壤研磨仪</w:t>
            </w:r>
          </w:p>
        </w:tc>
        <w:tc>
          <w:tcPr>
            <w:tcW w:w="1701" w:type="dxa"/>
            <w:vAlign w:val="center"/>
          </w:tcPr>
          <w:p>
            <w:pPr>
              <w:pStyle w:val="60"/>
              <w:ind w:left="0" w:leftChars="0" w:firstLine="0" w:firstLineChars="0"/>
              <w:jc w:val="center"/>
              <w:rPr>
                <w:color w:val="auto"/>
                <w:highlight w:val="none"/>
              </w:rPr>
            </w:pPr>
            <w:r>
              <w:rPr>
                <w:rFonts w:hint="eastAsia"/>
                <w:color w:val="auto"/>
                <w:highlight w:val="none"/>
              </w:rPr>
              <w:t>1</w:t>
            </w:r>
          </w:p>
        </w:tc>
        <w:tc>
          <w:tcPr>
            <w:tcW w:w="1701" w:type="dxa"/>
            <w:vAlign w:val="center"/>
          </w:tcPr>
          <w:p>
            <w:pPr>
              <w:pStyle w:val="60"/>
              <w:ind w:left="0" w:leftChars="0" w:firstLine="0" w:firstLineChars="0"/>
              <w:jc w:val="center"/>
              <w:rPr>
                <w:color w:val="auto"/>
                <w:highlight w:val="none"/>
              </w:rPr>
            </w:pPr>
            <w:r>
              <w:rPr>
                <w:rFonts w:hint="eastAsia"/>
                <w:color w:val="auto"/>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106" w:type="dxa"/>
            <w:vAlign w:val="center"/>
          </w:tcPr>
          <w:p>
            <w:pPr>
              <w:pStyle w:val="60"/>
              <w:ind w:left="0" w:leftChars="0" w:firstLine="0" w:firstLineChars="0"/>
              <w:jc w:val="center"/>
              <w:rPr>
                <w:color w:val="auto"/>
                <w:highlight w:val="none"/>
              </w:rPr>
            </w:pPr>
            <w:r>
              <w:rPr>
                <w:rFonts w:hint="eastAsia"/>
                <w:color w:val="auto"/>
                <w:highlight w:val="none"/>
              </w:rPr>
              <w:t>7</w:t>
            </w:r>
          </w:p>
        </w:tc>
        <w:tc>
          <w:tcPr>
            <w:tcW w:w="4111" w:type="dxa"/>
            <w:vAlign w:val="center"/>
          </w:tcPr>
          <w:p>
            <w:pPr>
              <w:pStyle w:val="60"/>
              <w:spacing w:after="0"/>
              <w:ind w:left="0" w:leftChars="0" w:firstLine="0" w:firstLineChars="0"/>
              <w:jc w:val="center"/>
              <w:rPr>
                <w:color w:val="auto"/>
                <w:highlight w:val="none"/>
              </w:rPr>
            </w:pPr>
            <w:r>
              <w:rPr>
                <w:rFonts w:hint="eastAsia"/>
                <w:color w:val="auto"/>
                <w:highlight w:val="none"/>
              </w:rPr>
              <w:t>振荡筛分仪</w:t>
            </w:r>
          </w:p>
        </w:tc>
        <w:tc>
          <w:tcPr>
            <w:tcW w:w="1701" w:type="dxa"/>
            <w:vAlign w:val="center"/>
          </w:tcPr>
          <w:p>
            <w:pPr>
              <w:pStyle w:val="60"/>
              <w:ind w:left="0" w:leftChars="0" w:firstLine="0" w:firstLineChars="0"/>
              <w:jc w:val="center"/>
              <w:rPr>
                <w:color w:val="auto"/>
                <w:highlight w:val="none"/>
              </w:rPr>
            </w:pPr>
            <w:r>
              <w:rPr>
                <w:rFonts w:hint="eastAsia"/>
                <w:color w:val="auto"/>
                <w:highlight w:val="none"/>
              </w:rPr>
              <w:t>1</w:t>
            </w:r>
          </w:p>
        </w:tc>
        <w:tc>
          <w:tcPr>
            <w:tcW w:w="1701" w:type="dxa"/>
            <w:vAlign w:val="center"/>
          </w:tcPr>
          <w:p>
            <w:pPr>
              <w:pStyle w:val="60"/>
              <w:ind w:left="0" w:leftChars="0" w:firstLine="0" w:firstLineChars="0"/>
              <w:jc w:val="center"/>
              <w:rPr>
                <w:color w:val="auto"/>
                <w:highlight w:val="none"/>
              </w:rPr>
            </w:pPr>
            <w:r>
              <w:rPr>
                <w:rFonts w:hint="eastAsia"/>
                <w:color w:val="auto"/>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106" w:type="dxa"/>
            <w:vAlign w:val="center"/>
          </w:tcPr>
          <w:p>
            <w:pPr>
              <w:pStyle w:val="60"/>
              <w:ind w:left="0" w:leftChars="0" w:firstLine="0" w:firstLineChars="0"/>
              <w:jc w:val="center"/>
              <w:rPr>
                <w:color w:val="auto"/>
                <w:highlight w:val="none"/>
              </w:rPr>
            </w:pPr>
            <w:r>
              <w:rPr>
                <w:rFonts w:hint="eastAsia"/>
                <w:color w:val="auto"/>
                <w:highlight w:val="none"/>
              </w:rPr>
              <w:t>8</w:t>
            </w:r>
          </w:p>
        </w:tc>
        <w:tc>
          <w:tcPr>
            <w:tcW w:w="4111" w:type="dxa"/>
            <w:vAlign w:val="center"/>
          </w:tcPr>
          <w:p>
            <w:pPr>
              <w:pStyle w:val="60"/>
              <w:spacing w:after="0"/>
              <w:ind w:left="0" w:leftChars="0" w:firstLine="0" w:firstLineChars="0"/>
              <w:jc w:val="center"/>
              <w:rPr>
                <w:color w:val="auto"/>
                <w:highlight w:val="none"/>
              </w:rPr>
            </w:pPr>
            <w:r>
              <w:rPr>
                <w:rFonts w:hint="eastAsia"/>
                <w:color w:val="auto"/>
                <w:highlight w:val="none"/>
              </w:rPr>
              <w:t>恒温恒湿称重系统</w:t>
            </w:r>
          </w:p>
        </w:tc>
        <w:tc>
          <w:tcPr>
            <w:tcW w:w="1701" w:type="dxa"/>
            <w:vAlign w:val="center"/>
          </w:tcPr>
          <w:p>
            <w:pPr>
              <w:pStyle w:val="60"/>
              <w:ind w:left="0" w:leftChars="0" w:firstLine="0" w:firstLineChars="0"/>
              <w:jc w:val="center"/>
              <w:rPr>
                <w:color w:val="auto"/>
                <w:highlight w:val="none"/>
              </w:rPr>
            </w:pPr>
            <w:r>
              <w:rPr>
                <w:rFonts w:hint="eastAsia"/>
                <w:color w:val="auto"/>
                <w:highlight w:val="none"/>
              </w:rPr>
              <w:t>1</w:t>
            </w:r>
          </w:p>
        </w:tc>
        <w:tc>
          <w:tcPr>
            <w:tcW w:w="1701" w:type="dxa"/>
            <w:vAlign w:val="center"/>
          </w:tcPr>
          <w:p>
            <w:pPr>
              <w:pStyle w:val="60"/>
              <w:ind w:left="0" w:leftChars="0" w:firstLine="0" w:firstLineChars="0"/>
              <w:jc w:val="center"/>
              <w:rPr>
                <w:color w:val="auto"/>
                <w:highlight w:val="none"/>
              </w:rPr>
            </w:pPr>
            <w:r>
              <w:rPr>
                <w:rFonts w:hint="eastAsia"/>
                <w:color w:val="auto"/>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106" w:type="dxa"/>
            <w:vAlign w:val="center"/>
          </w:tcPr>
          <w:p>
            <w:pPr>
              <w:pStyle w:val="60"/>
              <w:ind w:left="0" w:leftChars="0" w:firstLine="0" w:firstLineChars="0"/>
              <w:jc w:val="center"/>
              <w:rPr>
                <w:color w:val="auto"/>
                <w:highlight w:val="none"/>
              </w:rPr>
            </w:pPr>
            <w:r>
              <w:rPr>
                <w:rFonts w:hint="eastAsia"/>
                <w:color w:val="auto"/>
                <w:highlight w:val="none"/>
              </w:rPr>
              <w:t>9</w:t>
            </w:r>
          </w:p>
        </w:tc>
        <w:tc>
          <w:tcPr>
            <w:tcW w:w="4111" w:type="dxa"/>
            <w:vAlign w:val="center"/>
          </w:tcPr>
          <w:p>
            <w:pPr>
              <w:pStyle w:val="60"/>
              <w:spacing w:after="0"/>
              <w:ind w:left="0" w:leftChars="0" w:firstLine="0" w:firstLineChars="0"/>
              <w:jc w:val="center"/>
              <w:rPr>
                <w:color w:val="auto"/>
                <w:highlight w:val="none"/>
              </w:rPr>
            </w:pPr>
            <w:r>
              <w:rPr>
                <w:rFonts w:hint="eastAsia"/>
                <w:color w:val="auto"/>
                <w:highlight w:val="none"/>
              </w:rPr>
              <w:t>立式全温振荡培养箱</w:t>
            </w:r>
          </w:p>
        </w:tc>
        <w:tc>
          <w:tcPr>
            <w:tcW w:w="1701" w:type="dxa"/>
            <w:vAlign w:val="center"/>
          </w:tcPr>
          <w:p>
            <w:pPr>
              <w:pStyle w:val="60"/>
              <w:ind w:left="0" w:leftChars="0" w:firstLine="0" w:firstLineChars="0"/>
              <w:jc w:val="center"/>
              <w:rPr>
                <w:color w:val="auto"/>
                <w:highlight w:val="none"/>
              </w:rPr>
            </w:pPr>
            <w:r>
              <w:rPr>
                <w:rFonts w:hint="eastAsia"/>
                <w:color w:val="auto"/>
                <w:highlight w:val="none"/>
              </w:rPr>
              <w:t>1</w:t>
            </w:r>
          </w:p>
        </w:tc>
        <w:tc>
          <w:tcPr>
            <w:tcW w:w="1701" w:type="dxa"/>
            <w:vAlign w:val="center"/>
          </w:tcPr>
          <w:p>
            <w:pPr>
              <w:pStyle w:val="60"/>
              <w:ind w:left="0" w:leftChars="0" w:firstLine="0" w:firstLineChars="0"/>
              <w:jc w:val="center"/>
              <w:rPr>
                <w:color w:val="auto"/>
                <w:highlight w:val="none"/>
              </w:rPr>
            </w:pPr>
            <w:r>
              <w:rPr>
                <w:rFonts w:hint="eastAsia"/>
                <w:color w:val="auto"/>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106" w:type="dxa"/>
            <w:vAlign w:val="center"/>
          </w:tcPr>
          <w:p>
            <w:pPr>
              <w:pStyle w:val="60"/>
              <w:ind w:left="0" w:leftChars="0" w:firstLine="0" w:firstLineChars="0"/>
              <w:jc w:val="center"/>
              <w:rPr>
                <w:color w:val="auto"/>
                <w:highlight w:val="none"/>
              </w:rPr>
            </w:pPr>
            <w:r>
              <w:rPr>
                <w:rFonts w:hint="eastAsia"/>
                <w:color w:val="auto"/>
                <w:highlight w:val="none"/>
              </w:rPr>
              <w:t>10</w:t>
            </w:r>
          </w:p>
        </w:tc>
        <w:tc>
          <w:tcPr>
            <w:tcW w:w="4111" w:type="dxa"/>
            <w:vAlign w:val="center"/>
          </w:tcPr>
          <w:p>
            <w:pPr>
              <w:pStyle w:val="60"/>
              <w:spacing w:after="0"/>
              <w:ind w:left="0" w:leftChars="0" w:firstLine="0" w:firstLineChars="0"/>
              <w:jc w:val="center"/>
              <w:rPr>
                <w:color w:val="auto"/>
                <w:highlight w:val="none"/>
              </w:rPr>
            </w:pPr>
            <w:r>
              <w:rPr>
                <w:rFonts w:hint="eastAsia"/>
                <w:color w:val="auto"/>
                <w:highlight w:val="none"/>
              </w:rPr>
              <w:t>全自动稀释配标仪</w:t>
            </w:r>
          </w:p>
        </w:tc>
        <w:tc>
          <w:tcPr>
            <w:tcW w:w="1701" w:type="dxa"/>
            <w:vAlign w:val="center"/>
          </w:tcPr>
          <w:p>
            <w:pPr>
              <w:pStyle w:val="60"/>
              <w:ind w:left="0" w:leftChars="0" w:firstLine="0" w:firstLineChars="0"/>
              <w:jc w:val="center"/>
              <w:rPr>
                <w:color w:val="auto"/>
                <w:highlight w:val="none"/>
              </w:rPr>
            </w:pPr>
            <w:r>
              <w:rPr>
                <w:rFonts w:hint="eastAsia"/>
                <w:color w:val="auto"/>
                <w:highlight w:val="none"/>
              </w:rPr>
              <w:t>1</w:t>
            </w:r>
          </w:p>
        </w:tc>
        <w:tc>
          <w:tcPr>
            <w:tcW w:w="1701" w:type="dxa"/>
            <w:vAlign w:val="center"/>
          </w:tcPr>
          <w:p>
            <w:pPr>
              <w:pStyle w:val="60"/>
              <w:ind w:left="0" w:leftChars="0" w:firstLine="0" w:firstLineChars="0"/>
              <w:jc w:val="center"/>
              <w:rPr>
                <w:color w:val="auto"/>
                <w:highlight w:val="none"/>
              </w:rPr>
            </w:pPr>
            <w:r>
              <w:rPr>
                <w:rFonts w:hint="eastAsia"/>
                <w:color w:val="auto"/>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106" w:type="dxa"/>
            <w:vAlign w:val="center"/>
          </w:tcPr>
          <w:p>
            <w:pPr>
              <w:pStyle w:val="60"/>
              <w:ind w:left="0" w:leftChars="0" w:firstLine="0" w:firstLineChars="0"/>
              <w:jc w:val="center"/>
              <w:rPr>
                <w:color w:val="auto"/>
                <w:highlight w:val="none"/>
              </w:rPr>
            </w:pPr>
            <w:r>
              <w:rPr>
                <w:rFonts w:hint="eastAsia"/>
                <w:color w:val="auto"/>
                <w:highlight w:val="none"/>
              </w:rPr>
              <w:t>1</w:t>
            </w:r>
            <w:r>
              <w:rPr>
                <w:color w:val="auto"/>
                <w:highlight w:val="none"/>
              </w:rPr>
              <w:t>1</w:t>
            </w:r>
          </w:p>
        </w:tc>
        <w:tc>
          <w:tcPr>
            <w:tcW w:w="4111" w:type="dxa"/>
            <w:vAlign w:val="center"/>
          </w:tcPr>
          <w:p>
            <w:pPr>
              <w:pStyle w:val="60"/>
              <w:spacing w:after="0"/>
              <w:ind w:left="0" w:leftChars="0" w:firstLine="0" w:firstLineChars="0"/>
              <w:jc w:val="center"/>
              <w:rPr>
                <w:color w:val="auto"/>
                <w:highlight w:val="none"/>
              </w:rPr>
            </w:pPr>
            <w:r>
              <w:rPr>
                <w:rFonts w:hint="eastAsia"/>
                <w:color w:val="auto"/>
                <w:highlight w:val="none"/>
              </w:rPr>
              <w:t>样品自动进样器</w:t>
            </w:r>
          </w:p>
        </w:tc>
        <w:tc>
          <w:tcPr>
            <w:tcW w:w="1701" w:type="dxa"/>
            <w:vAlign w:val="center"/>
          </w:tcPr>
          <w:p>
            <w:pPr>
              <w:pStyle w:val="60"/>
              <w:ind w:left="0" w:leftChars="0" w:firstLine="0" w:firstLineChars="0"/>
              <w:jc w:val="center"/>
              <w:rPr>
                <w:color w:val="auto"/>
                <w:highlight w:val="none"/>
              </w:rPr>
            </w:pPr>
            <w:r>
              <w:rPr>
                <w:rFonts w:hint="eastAsia"/>
                <w:color w:val="auto"/>
                <w:highlight w:val="none"/>
              </w:rPr>
              <w:t>1</w:t>
            </w:r>
          </w:p>
        </w:tc>
        <w:tc>
          <w:tcPr>
            <w:tcW w:w="1701" w:type="dxa"/>
            <w:vAlign w:val="center"/>
          </w:tcPr>
          <w:p>
            <w:pPr>
              <w:pStyle w:val="60"/>
              <w:ind w:left="0" w:leftChars="0" w:firstLine="0" w:firstLineChars="0"/>
              <w:jc w:val="center"/>
              <w:rPr>
                <w:color w:val="auto"/>
                <w:highlight w:val="none"/>
              </w:rPr>
            </w:pPr>
            <w:r>
              <w:rPr>
                <w:rFonts w:hint="eastAsia"/>
                <w:color w:val="auto"/>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5217" w:type="dxa"/>
            <w:gridSpan w:val="2"/>
            <w:vAlign w:val="center"/>
          </w:tcPr>
          <w:p>
            <w:pPr>
              <w:pStyle w:val="60"/>
              <w:ind w:left="0" w:leftChars="0" w:firstLine="0" w:firstLineChars="0"/>
              <w:jc w:val="center"/>
              <w:rPr>
                <w:color w:val="auto"/>
                <w:highlight w:val="none"/>
              </w:rPr>
            </w:pPr>
            <w:r>
              <w:rPr>
                <w:rFonts w:hint="eastAsia"/>
                <w:b/>
                <w:bCs/>
                <w:color w:val="auto"/>
                <w:highlight w:val="none"/>
              </w:rPr>
              <w:t>第三包</w:t>
            </w:r>
          </w:p>
        </w:tc>
        <w:tc>
          <w:tcPr>
            <w:tcW w:w="1701" w:type="dxa"/>
            <w:vAlign w:val="center"/>
          </w:tcPr>
          <w:p>
            <w:pPr>
              <w:pStyle w:val="60"/>
              <w:ind w:left="0" w:leftChars="0" w:firstLine="0" w:firstLineChars="0"/>
              <w:jc w:val="center"/>
              <w:rPr>
                <w:color w:val="auto"/>
                <w:highlight w:val="none"/>
              </w:rPr>
            </w:pPr>
            <w:r>
              <w:rPr>
                <w:b/>
                <w:bCs/>
                <w:color w:val="auto"/>
                <w:highlight w:val="none"/>
              </w:rPr>
              <w:t>1</w:t>
            </w:r>
          </w:p>
        </w:tc>
        <w:tc>
          <w:tcPr>
            <w:tcW w:w="1701" w:type="dxa"/>
            <w:vAlign w:val="center"/>
          </w:tcPr>
          <w:p>
            <w:pPr>
              <w:pStyle w:val="60"/>
              <w:ind w:left="0" w:leftChars="0" w:firstLine="0" w:firstLineChars="0"/>
              <w:jc w:val="center"/>
              <w:rPr>
                <w:color w:val="auto"/>
                <w:highlight w:val="none"/>
              </w:rPr>
            </w:pPr>
            <w:r>
              <w:rPr>
                <w:b/>
                <w:bCs/>
                <w:color w:val="auto"/>
                <w:highlight w:val="none"/>
              </w:rPr>
              <w:t>25.3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106" w:type="dxa"/>
            <w:vAlign w:val="center"/>
          </w:tcPr>
          <w:p>
            <w:pPr>
              <w:pStyle w:val="60"/>
              <w:ind w:left="0" w:leftChars="0" w:firstLine="0" w:firstLineChars="0"/>
              <w:jc w:val="center"/>
              <w:rPr>
                <w:color w:val="auto"/>
                <w:highlight w:val="none"/>
              </w:rPr>
            </w:pPr>
            <w:r>
              <w:rPr>
                <w:rFonts w:hint="eastAsia"/>
                <w:color w:val="auto"/>
                <w:highlight w:val="none"/>
              </w:rPr>
              <w:t>1</w:t>
            </w:r>
          </w:p>
        </w:tc>
        <w:tc>
          <w:tcPr>
            <w:tcW w:w="4111" w:type="dxa"/>
            <w:vAlign w:val="center"/>
          </w:tcPr>
          <w:p>
            <w:pPr>
              <w:pStyle w:val="60"/>
              <w:spacing w:after="0"/>
              <w:ind w:left="0" w:leftChars="0" w:firstLine="0" w:firstLineChars="0"/>
              <w:jc w:val="center"/>
              <w:rPr>
                <w:color w:val="auto"/>
                <w:highlight w:val="none"/>
              </w:rPr>
            </w:pPr>
            <w:r>
              <w:rPr>
                <w:rFonts w:hint="eastAsia"/>
                <w:color w:val="auto"/>
                <w:highlight w:val="none"/>
              </w:rPr>
              <w:t>土壤显示设备</w:t>
            </w:r>
          </w:p>
        </w:tc>
        <w:tc>
          <w:tcPr>
            <w:tcW w:w="1701" w:type="dxa"/>
            <w:vAlign w:val="center"/>
          </w:tcPr>
          <w:p>
            <w:pPr>
              <w:pStyle w:val="60"/>
              <w:ind w:left="0" w:leftChars="0" w:firstLine="0" w:firstLineChars="0"/>
              <w:jc w:val="center"/>
              <w:rPr>
                <w:color w:val="auto"/>
                <w:highlight w:val="none"/>
              </w:rPr>
            </w:pPr>
            <w:r>
              <w:rPr>
                <w:rFonts w:hint="eastAsia"/>
                <w:color w:val="auto"/>
                <w:highlight w:val="none"/>
              </w:rPr>
              <w:t>1</w:t>
            </w:r>
          </w:p>
        </w:tc>
        <w:tc>
          <w:tcPr>
            <w:tcW w:w="1701" w:type="dxa"/>
            <w:vAlign w:val="center"/>
          </w:tcPr>
          <w:p>
            <w:pPr>
              <w:pStyle w:val="60"/>
              <w:ind w:left="0" w:leftChars="0" w:firstLine="0" w:firstLineChars="0"/>
              <w:jc w:val="center"/>
              <w:rPr>
                <w:color w:val="auto"/>
                <w:highlight w:val="none"/>
              </w:rPr>
            </w:pPr>
            <w:r>
              <w:rPr>
                <w:rFonts w:hint="eastAsia"/>
                <w:color w:val="auto"/>
                <w:highlight w:val="none"/>
              </w:rPr>
              <w:t>/</w:t>
            </w:r>
          </w:p>
        </w:tc>
      </w:tr>
    </w:tbl>
    <w:p>
      <w:pPr>
        <w:pStyle w:val="60"/>
        <w:spacing w:line="440" w:lineRule="exact"/>
        <w:ind w:left="720" w:leftChars="0" w:firstLine="0" w:firstLineChars="0"/>
        <w:rPr>
          <w:rFonts w:ascii="宋体" w:hAnsi="宋体"/>
          <w:b/>
          <w:bCs/>
          <w:color w:val="auto"/>
          <w:sz w:val="28"/>
          <w:szCs w:val="28"/>
          <w:highlight w:val="none"/>
        </w:rPr>
      </w:pPr>
    </w:p>
    <w:p>
      <w:pPr>
        <w:widowControl/>
        <w:jc w:val="center"/>
        <w:outlineLvl w:val="1"/>
        <w:rPr>
          <w:rFonts w:ascii="宋体" w:hAnsi="宋体"/>
          <w:b/>
          <w:bCs/>
          <w:color w:val="auto"/>
          <w:kern w:val="0"/>
          <w:sz w:val="28"/>
          <w:szCs w:val="28"/>
          <w:highlight w:val="none"/>
        </w:rPr>
      </w:pPr>
      <w:r>
        <w:rPr>
          <w:rFonts w:hint="eastAsia" w:ascii="宋体" w:hAnsi="宋体"/>
          <w:b/>
          <w:bCs/>
          <w:color w:val="auto"/>
          <w:kern w:val="0"/>
          <w:sz w:val="28"/>
          <w:szCs w:val="28"/>
          <w:highlight w:val="none"/>
        </w:rPr>
        <w:t>二、技术参数</w:t>
      </w:r>
    </w:p>
    <w:p>
      <w:pPr>
        <w:spacing w:line="440" w:lineRule="exact"/>
        <w:rPr>
          <w:b/>
          <w:bCs/>
          <w:color w:val="auto"/>
          <w:kern w:val="0"/>
          <w:sz w:val="24"/>
          <w:highlight w:val="none"/>
        </w:rPr>
      </w:pPr>
      <w:r>
        <w:rPr>
          <w:rFonts w:hint="eastAsia"/>
          <w:b/>
          <w:bCs/>
          <w:color w:val="auto"/>
          <w:kern w:val="0"/>
          <w:sz w:val="24"/>
          <w:highlight w:val="none"/>
        </w:rPr>
        <w:t>第一包</w:t>
      </w:r>
    </w:p>
    <w:p>
      <w:pPr>
        <w:pStyle w:val="60"/>
        <w:numPr>
          <w:ilvl w:val="0"/>
          <w:numId w:val="15"/>
        </w:numPr>
        <w:spacing w:line="440" w:lineRule="exact"/>
        <w:ind w:leftChars="0" w:firstLineChars="0"/>
        <w:rPr>
          <w:color w:val="auto"/>
          <w:highlight w:val="none"/>
        </w:rPr>
      </w:pPr>
      <w:r>
        <w:rPr>
          <w:rFonts w:hint="eastAsia"/>
          <w:color w:val="auto"/>
          <w:highlight w:val="none"/>
        </w:rPr>
        <w:t>电感耦合等离子体发射光谱仪</w:t>
      </w:r>
    </w:p>
    <w:p>
      <w:pPr>
        <w:widowControl/>
        <w:autoSpaceDE w:val="0"/>
        <w:autoSpaceDN w:val="0"/>
        <w:snapToGrid w:val="0"/>
        <w:spacing w:line="440" w:lineRule="exact"/>
        <w:rPr>
          <w:b/>
          <w:bCs/>
          <w:color w:val="auto"/>
          <w:kern w:val="0"/>
          <w:sz w:val="24"/>
          <w:highlight w:val="none"/>
        </w:rPr>
      </w:pPr>
      <w:r>
        <w:rPr>
          <w:b/>
          <w:bCs/>
          <w:color w:val="auto"/>
          <w:kern w:val="0"/>
          <w:sz w:val="24"/>
          <w:highlight w:val="none"/>
        </w:rPr>
        <w:t>1.设备用途</w:t>
      </w:r>
    </w:p>
    <w:p>
      <w:pPr>
        <w:spacing w:line="440" w:lineRule="exact"/>
        <w:rPr>
          <w:color w:val="auto"/>
          <w:sz w:val="24"/>
          <w:highlight w:val="none"/>
          <w:lang w:val="zh-CN"/>
        </w:rPr>
      </w:pPr>
      <w:r>
        <w:rPr>
          <w:color w:val="auto"/>
          <w:sz w:val="24"/>
          <w:highlight w:val="none"/>
          <w:lang w:val="zh-CN"/>
        </w:rPr>
        <w:t>用于水质、土壤等环境样品中金属元素分析。</w:t>
      </w:r>
    </w:p>
    <w:p>
      <w:pPr>
        <w:widowControl/>
        <w:autoSpaceDE w:val="0"/>
        <w:autoSpaceDN w:val="0"/>
        <w:snapToGrid w:val="0"/>
        <w:spacing w:line="440" w:lineRule="exact"/>
        <w:rPr>
          <w:b/>
          <w:bCs/>
          <w:color w:val="auto"/>
          <w:kern w:val="0"/>
          <w:sz w:val="24"/>
          <w:highlight w:val="none"/>
        </w:rPr>
      </w:pPr>
      <w:r>
        <w:rPr>
          <w:b/>
          <w:bCs/>
          <w:color w:val="auto"/>
          <w:kern w:val="0"/>
          <w:sz w:val="24"/>
          <w:highlight w:val="none"/>
        </w:rPr>
        <w:t>2.工作环境</w:t>
      </w:r>
    </w:p>
    <w:p>
      <w:pPr>
        <w:spacing w:line="440" w:lineRule="exact"/>
        <w:rPr>
          <w:color w:val="auto"/>
          <w:sz w:val="24"/>
          <w:highlight w:val="none"/>
          <w:lang w:val="es-ES"/>
        </w:rPr>
      </w:pPr>
      <w:r>
        <w:rPr>
          <w:rFonts w:hint="eastAsia"/>
          <w:color w:val="auto"/>
          <w:sz w:val="24"/>
          <w:highlight w:val="none"/>
        </w:rPr>
        <w:t>2</w:t>
      </w:r>
      <w:r>
        <w:rPr>
          <w:color w:val="auto"/>
          <w:sz w:val="24"/>
          <w:highlight w:val="none"/>
          <w:lang w:val="es-ES"/>
        </w:rPr>
        <w:t>.1环境温度：10℃-30 ℃；</w:t>
      </w:r>
    </w:p>
    <w:p>
      <w:pPr>
        <w:spacing w:line="440" w:lineRule="exact"/>
        <w:rPr>
          <w:color w:val="auto"/>
          <w:sz w:val="24"/>
          <w:highlight w:val="none"/>
          <w:lang w:val="es-ES"/>
        </w:rPr>
      </w:pPr>
      <w:r>
        <w:rPr>
          <w:rFonts w:hint="eastAsia"/>
          <w:color w:val="auto"/>
          <w:sz w:val="24"/>
          <w:highlight w:val="none"/>
        </w:rPr>
        <w:t>2</w:t>
      </w:r>
      <w:r>
        <w:rPr>
          <w:color w:val="auto"/>
          <w:sz w:val="24"/>
          <w:highlight w:val="none"/>
          <w:lang w:val="es-ES"/>
        </w:rPr>
        <w:t>.2环境湿度20%-80%（不冷凝）；</w:t>
      </w:r>
    </w:p>
    <w:p>
      <w:pPr>
        <w:spacing w:line="440" w:lineRule="exact"/>
        <w:rPr>
          <w:color w:val="auto"/>
          <w:sz w:val="24"/>
          <w:highlight w:val="none"/>
          <w:lang w:val="es-ES"/>
        </w:rPr>
      </w:pPr>
      <w:r>
        <w:rPr>
          <w:rFonts w:hint="eastAsia"/>
          <w:color w:val="auto"/>
          <w:sz w:val="24"/>
          <w:highlight w:val="none"/>
        </w:rPr>
        <w:t>2</w:t>
      </w:r>
      <w:r>
        <w:rPr>
          <w:color w:val="auto"/>
          <w:sz w:val="24"/>
          <w:highlight w:val="none"/>
          <w:lang w:val="es-ES"/>
        </w:rPr>
        <w:t>.3电源：仪器整体功率2.9kVA， 电源：220VAC+/-10%，50</w:t>
      </w:r>
      <w:r>
        <w:rPr>
          <w:color w:val="auto"/>
          <w:sz w:val="24"/>
          <w:highlight w:val="none"/>
        </w:rPr>
        <w:t>或</w:t>
      </w:r>
      <w:r>
        <w:rPr>
          <w:color w:val="auto"/>
          <w:sz w:val="24"/>
          <w:highlight w:val="none"/>
          <w:lang w:val="es-ES"/>
        </w:rPr>
        <w:t>60Hz+/-1Hz；</w:t>
      </w:r>
    </w:p>
    <w:p>
      <w:pPr>
        <w:spacing w:line="440" w:lineRule="exact"/>
        <w:rPr>
          <w:color w:val="auto"/>
          <w:sz w:val="24"/>
          <w:highlight w:val="none"/>
        </w:rPr>
      </w:pPr>
      <w:r>
        <w:rPr>
          <w:rFonts w:hint="eastAsia"/>
          <w:color w:val="auto"/>
          <w:sz w:val="24"/>
          <w:highlight w:val="none"/>
        </w:rPr>
        <w:t>2</w:t>
      </w:r>
      <w:r>
        <w:rPr>
          <w:color w:val="auto"/>
          <w:sz w:val="24"/>
          <w:highlight w:val="none"/>
          <w:lang w:val="es-ES"/>
        </w:rPr>
        <w:t>.4</w:t>
      </w:r>
      <w:r>
        <w:rPr>
          <w:color w:val="auto"/>
          <w:sz w:val="24"/>
          <w:highlight w:val="none"/>
        </w:rPr>
        <w:t>通风系统</w:t>
      </w:r>
      <w:r>
        <w:rPr>
          <w:color w:val="auto"/>
          <w:sz w:val="24"/>
          <w:highlight w:val="none"/>
          <w:lang w:val="es-ES"/>
        </w:rPr>
        <w:t>：</w:t>
      </w:r>
      <w:r>
        <w:rPr>
          <w:color w:val="auto"/>
          <w:sz w:val="24"/>
          <w:highlight w:val="none"/>
        </w:rPr>
        <w:t>最小流量要求</w:t>
      </w:r>
      <w:r>
        <w:rPr>
          <w:color w:val="auto"/>
          <w:sz w:val="24"/>
          <w:highlight w:val="none"/>
          <w:lang w:val="es-ES"/>
        </w:rPr>
        <w:t>：2.5m</w:t>
      </w:r>
      <w:r>
        <w:rPr>
          <w:color w:val="auto"/>
          <w:sz w:val="24"/>
          <w:highlight w:val="none"/>
          <w:vertAlign w:val="superscript"/>
          <w:lang w:val="es-ES"/>
        </w:rPr>
        <w:t>3</w:t>
      </w:r>
      <w:r>
        <w:rPr>
          <w:color w:val="auto"/>
          <w:sz w:val="24"/>
          <w:highlight w:val="none"/>
          <w:lang w:val="es-ES"/>
        </w:rPr>
        <w:t>/min</w:t>
      </w:r>
      <w:r>
        <w:rPr>
          <w:color w:val="auto"/>
          <w:sz w:val="24"/>
          <w:highlight w:val="none"/>
        </w:rPr>
        <w:t>。</w:t>
      </w:r>
    </w:p>
    <w:p>
      <w:pPr>
        <w:numPr>
          <w:ilvl w:val="0"/>
          <w:numId w:val="16"/>
        </w:numPr>
        <w:autoSpaceDE w:val="0"/>
        <w:autoSpaceDN w:val="0"/>
        <w:adjustRightInd w:val="0"/>
        <w:spacing w:line="440" w:lineRule="exact"/>
        <w:rPr>
          <w:b/>
          <w:bCs/>
          <w:color w:val="auto"/>
          <w:sz w:val="24"/>
          <w:highlight w:val="none"/>
        </w:rPr>
      </w:pPr>
      <w:r>
        <w:rPr>
          <w:b/>
          <w:bCs/>
          <w:color w:val="auto"/>
          <w:sz w:val="24"/>
          <w:highlight w:val="none"/>
        </w:rPr>
        <w:t>技术要求</w:t>
      </w:r>
    </w:p>
    <w:p>
      <w:pPr>
        <w:spacing w:line="440" w:lineRule="exact"/>
        <w:rPr>
          <w:color w:val="auto"/>
          <w:sz w:val="24"/>
          <w:highlight w:val="none"/>
        </w:rPr>
      </w:pPr>
      <w:r>
        <w:rPr>
          <w:rFonts w:hint="eastAsia"/>
          <w:color w:val="auto"/>
          <w:sz w:val="24"/>
          <w:highlight w:val="none"/>
        </w:rPr>
        <w:t>3</w:t>
      </w:r>
      <w:r>
        <w:rPr>
          <w:color w:val="auto"/>
          <w:sz w:val="24"/>
          <w:highlight w:val="none"/>
        </w:rPr>
        <w:t>.1光学系统</w:t>
      </w:r>
    </w:p>
    <w:p>
      <w:pPr>
        <w:spacing w:line="440" w:lineRule="exact"/>
        <w:rPr>
          <w:color w:val="auto"/>
          <w:sz w:val="24"/>
          <w:highlight w:val="none"/>
        </w:rPr>
      </w:pPr>
      <w:r>
        <w:rPr>
          <w:rFonts w:hint="eastAsia"/>
          <w:color w:val="auto"/>
          <w:sz w:val="24"/>
          <w:highlight w:val="none"/>
        </w:rPr>
        <w:t>*3</w:t>
      </w:r>
      <w:r>
        <w:rPr>
          <w:color w:val="auto"/>
          <w:sz w:val="24"/>
          <w:highlight w:val="none"/>
        </w:rPr>
        <w:t>.1.1整个中阶梯光学系统无任何移动部件，所有光学元件均密封于恒温光室中，保证最低的检出限和优异的长期稳定性。</w:t>
      </w:r>
    </w:p>
    <w:p>
      <w:pPr>
        <w:spacing w:line="440" w:lineRule="exact"/>
        <w:rPr>
          <w:color w:val="auto"/>
          <w:sz w:val="24"/>
          <w:highlight w:val="none"/>
        </w:rPr>
      </w:pPr>
      <w:r>
        <w:rPr>
          <w:rFonts w:hint="eastAsia"/>
          <w:color w:val="auto"/>
          <w:sz w:val="24"/>
          <w:highlight w:val="none"/>
        </w:rPr>
        <w:t>*3</w:t>
      </w:r>
      <w:r>
        <w:rPr>
          <w:color w:val="auto"/>
          <w:sz w:val="24"/>
          <w:highlight w:val="none"/>
        </w:rPr>
        <w:t>.1.2中阶梯光栅+棱镜交叉色散多色器系统，波长连续覆盖167~780nm，无任何波长断点。</w:t>
      </w:r>
    </w:p>
    <w:p>
      <w:pPr>
        <w:pStyle w:val="60"/>
        <w:spacing w:line="440" w:lineRule="exact"/>
        <w:ind w:left="0" w:leftChars="0" w:firstLine="0" w:firstLineChars="0"/>
        <w:rPr>
          <w:color w:val="auto"/>
          <w:highlight w:val="none"/>
        </w:rPr>
      </w:pPr>
      <w:r>
        <w:rPr>
          <w:rFonts w:hint="eastAsia"/>
          <w:color w:val="auto"/>
          <w:highlight w:val="none"/>
        </w:rPr>
        <w:t>3</w:t>
      </w:r>
      <w:r>
        <w:rPr>
          <w:color w:val="auto"/>
          <w:highlight w:val="none"/>
        </w:rPr>
        <w:t>.1.3光学系统</w:t>
      </w:r>
      <w:r>
        <w:rPr>
          <w:rFonts w:hint="eastAsia"/>
          <w:color w:val="auto"/>
          <w:highlight w:val="none"/>
        </w:rPr>
        <w:t>采用</w:t>
      </w:r>
      <w:r>
        <w:rPr>
          <w:color w:val="auto"/>
          <w:highlight w:val="none"/>
        </w:rPr>
        <w:t>自由曲面技术</w:t>
      </w:r>
      <w:r>
        <w:rPr>
          <w:rFonts w:hint="eastAsia"/>
          <w:color w:val="auto"/>
          <w:highlight w:val="none"/>
        </w:rPr>
        <w:t>，使</w:t>
      </w:r>
      <w:r>
        <w:rPr>
          <w:color w:val="auto"/>
          <w:highlight w:val="none"/>
        </w:rPr>
        <w:t>每一个波长在通过</w:t>
      </w:r>
      <w:r>
        <w:rPr>
          <w:rFonts w:hint="eastAsia"/>
          <w:color w:val="auto"/>
          <w:highlight w:val="none"/>
        </w:rPr>
        <w:t>该</w:t>
      </w:r>
      <w:r>
        <w:rPr>
          <w:color w:val="auto"/>
          <w:highlight w:val="none"/>
        </w:rPr>
        <w:t>自由曲面镜时都形成聚焦，</w:t>
      </w:r>
      <w:r>
        <w:rPr>
          <w:rFonts w:hint="eastAsia"/>
          <w:color w:val="auto"/>
          <w:highlight w:val="none"/>
        </w:rPr>
        <w:t>将</w:t>
      </w:r>
      <w:r>
        <w:rPr>
          <w:color w:val="auto"/>
          <w:highlight w:val="none"/>
        </w:rPr>
        <w:t>检测器边缘波长的边缘效应影响降到最低。</w:t>
      </w:r>
    </w:p>
    <w:p>
      <w:pPr>
        <w:spacing w:line="440" w:lineRule="exact"/>
        <w:rPr>
          <w:color w:val="auto"/>
          <w:sz w:val="24"/>
          <w:highlight w:val="none"/>
        </w:rPr>
      </w:pPr>
      <w:r>
        <w:rPr>
          <w:rFonts w:hint="eastAsia"/>
          <w:color w:val="auto"/>
          <w:sz w:val="24"/>
          <w:highlight w:val="none"/>
        </w:rPr>
        <w:t>3</w:t>
      </w:r>
      <w:r>
        <w:rPr>
          <w:color w:val="auto"/>
          <w:sz w:val="24"/>
          <w:highlight w:val="none"/>
        </w:rPr>
        <w:t>.1.4测定方式：一次分析测定全谱覆盖，一个样品选择任意多的元素波长，测试时间都不变；</w:t>
      </w:r>
    </w:p>
    <w:p>
      <w:pPr>
        <w:spacing w:line="440" w:lineRule="exact"/>
        <w:rPr>
          <w:color w:val="auto"/>
          <w:sz w:val="24"/>
          <w:highlight w:val="none"/>
        </w:rPr>
      </w:pPr>
      <w:r>
        <w:rPr>
          <w:rFonts w:hint="eastAsia"/>
          <w:color w:val="auto"/>
          <w:sz w:val="24"/>
          <w:highlight w:val="none"/>
        </w:rPr>
        <w:t>3</w:t>
      </w:r>
      <w:r>
        <w:rPr>
          <w:color w:val="auto"/>
          <w:sz w:val="24"/>
          <w:highlight w:val="none"/>
        </w:rPr>
        <w:t>.1.5波长校正</w:t>
      </w:r>
      <w:r>
        <w:rPr>
          <w:rFonts w:hint="eastAsia"/>
          <w:color w:val="auto"/>
          <w:sz w:val="24"/>
          <w:highlight w:val="none"/>
        </w:rPr>
        <w:t>：</w:t>
      </w:r>
      <w:r>
        <w:rPr>
          <w:color w:val="auto"/>
          <w:sz w:val="24"/>
          <w:highlight w:val="none"/>
        </w:rPr>
        <w:t xml:space="preserve"> 采用氩的发射谱线自动进行周期性的波长校准</w:t>
      </w:r>
      <w:r>
        <w:rPr>
          <w:rFonts w:hint="eastAsia"/>
          <w:color w:val="auto"/>
          <w:sz w:val="24"/>
          <w:highlight w:val="none"/>
        </w:rPr>
        <w:t>，并能</w:t>
      </w:r>
      <w:r>
        <w:rPr>
          <w:color w:val="auto"/>
          <w:sz w:val="24"/>
          <w:highlight w:val="none"/>
        </w:rPr>
        <w:t>用元素标准混合溶液进行波长校核</w:t>
      </w:r>
      <w:r>
        <w:rPr>
          <w:rFonts w:hint="eastAsia"/>
          <w:color w:val="auto"/>
          <w:sz w:val="24"/>
          <w:highlight w:val="none"/>
        </w:rPr>
        <w:t>，</w:t>
      </w:r>
      <w:r>
        <w:rPr>
          <w:color w:val="auto"/>
          <w:sz w:val="24"/>
          <w:highlight w:val="none"/>
        </w:rPr>
        <w:t>保证分析波长的正确性</w:t>
      </w:r>
      <w:r>
        <w:rPr>
          <w:rFonts w:hint="eastAsia"/>
          <w:color w:val="auto"/>
          <w:sz w:val="24"/>
          <w:highlight w:val="none"/>
        </w:rPr>
        <w:t>。</w:t>
      </w:r>
    </w:p>
    <w:p>
      <w:pPr>
        <w:spacing w:line="440" w:lineRule="exact"/>
        <w:rPr>
          <w:color w:val="auto"/>
          <w:sz w:val="24"/>
          <w:highlight w:val="none"/>
        </w:rPr>
      </w:pPr>
      <w:r>
        <w:rPr>
          <w:rFonts w:hint="eastAsia"/>
          <w:color w:val="auto"/>
          <w:sz w:val="24"/>
          <w:highlight w:val="none"/>
        </w:rPr>
        <w:t>3</w:t>
      </w:r>
      <w:r>
        <w:rPr>
          <w:color w:val="auto"/>
          <w:sz w:val="24"/>
          <w:highlight w:val="none"/>
        </w:rPr>
        <w:t>.1.6吹扫型光室：对189nm以下波长测定，可选择氩气或者氮气进行光路吹扫</w:t>
      </w:r>
      <w:r>
        <w:rPr>
          <w:rFonts w:hint="eastAsia"/>
          <w:color w:val="auto"/>
          <w:sz w:val="24"/>
          <w:highlight w:val="none"/>
        </w:rPr>
        <w:t>，</w:t>
      </w:r>
      <w:r>
        <w:rPr>
          <w:color w:val="auto"/>
          <w:sz w:val="24"/>
          <w:highlight w:val="none"/>
        </w:rPr>
        <w:t>有高流量吹扫模式，光室吹扫气体流量均由质量流量计（MFC）控制。</w:t>
      </w:r>
    </w:p>
    <w:p>
      <w:pPr>
        <w:spacing w:line="440" w:lineRule="exact"/>
        <w:rPr>
          <w:color w:val="auto"/>
          <w:sz w:val="24"/>
          <w:highlight w:val="none"/>
        </w:rPr>
      </w:pPr>
      <w:r>
        <w:rPr>
          <w:rFonts w:hint="eastAsia"/>
          <w:color w:val="auto"/>
          <w:sz w:val="24"/>
          <w:highlight w:val="none"/>
        </w:rPr>
        <w:t>3</w:t>
      </w:r>
      <w:r>
        <w:rPr>
          <w:color w:val="auto"/>
          <w:sz w:val="24"/>
          <w:highlight w:val="none"/>
        </w:rPr>
        <w:t>.1.7分辨率：光学分辨率＜0.007nm (在As 188.980nm 处实际测量半峰宽) 。</w:t>
      </w:r>
    </w:p>
    <w:p>
      <w:pPr>
        <w:spacing w:line="440" w:lineRule="exact"/>
        <w:rPr>
          <w:color w:val="auto"/>
          <w:sz w:val="24"/>
          <w:highlight w:val="none"/>
        </w:rPr>
      </w:pPr>
      <w:r>
        <w:rPr>
          <w:rFonts w:hint="eastAsia"/>
          <w:color w:val="auto"/>
          <w:sz w:val="24"/>
          <w:highlight w:val="none"/>
        </w:rPr>
        <w:t>3</w:t>
      </w:r>
      <w:r>
        <w:rPr>
          <w:color w:val="auto"/>
          <w:sz w:val="24"/>
          <w:highlight w:val="none"/>
        </w:rPr>
        <w:t>.1.8杂散光：≤2.0mg/L（10000mg/L Ca溶液在As 188.980nm处测定）。</w:t>
      </w:r>
    </w:p>
    <w:p>
      <w:pPr>
        <w:spacing w:line="440" w:lineRule="exact"/>
        <w:rPr>
          <w:color w:val="auto"/>
          <w:sz w:val="24"/>
          <w:highlight w:val="none"/>
        </w:rPr>
      </w:pPr>
      <w:r>
        <w:rPr>
          <w:rFonts w:hint="eastAsia"/>
          <w:color w:val="auto"/>
          <w:sz w:val="24"/>
          <w:highlight w:val="none"/>
        </w:rPr>
        <w:t>3</w:t>
      </w:r>
      <w:r>
        <w:rPr>
          <w:color w:val="auto"/>
          <w:sz w:val="24"/>
          <w:highlight w:val="none"/>
        </w:rPr>
        <w:t>.2检测器</w:t>
      </w:r>
      <w:r>
        <w:rPr>
          <w:color w:val="auto"/>
          <w:sz w:val="24"/>
          <w:highlight w:val="none"/>
        </w:rPr>
        <w:cr/>
      </w:r>
      <w:r>
        <w:rPr>
          <w:rFonts w:hint="eastAsia"/>
          <w:color w:val="auto"/>
          <w:sz w:val="24"/>
          <w:highlight w:val="none"/>
        </w:rPr>
        <w:t>3</w:t>
      </w:r>
      <w:r>
        <w:rPr>
          <w:color w:val="auto"/>
          <w:sz w:val="24"/>
          <w:highlight w:val="none"/>
        </w:rPr>
        <w:t>.2.1采用成像匹配技术，固体大面积检测器覆盖167-785nm整个波长范围；整个波长范围内所有元素一次测定一次读出。</w:t>
      </w:r>
      <w:r>
        <w:rPr>
          <w:color w:val="auto"/>
          <w:sz w:val="24"/>
          <w:highlight w:val="none"/>
        </w:rPr>
        <w:cr/>
      </w:r>
      <w:r>
        <w:rPr>
          <w:rFonts w:hint="eastAsia"/>
          <w:color w:val="auto"/>
          <w:sz w:val="24"/>
          <w:highlight w:val="none"/>
        </w:rPr>
        <w:t>3</w:t>
      </w:r>
      <w:r>
        <w:rPr>
          <w:color w:val="auto"/>
          <w:sz w:val="24"/>
          <w:highlight w:val="none"/>
        </w:rPr>
        <w:t>.2.</w:t>
      </w:r>
      <w:r>
        <w:rPr>
          <w:rFonts w:hint="eastAsia"/>
          <w:color w:val="auto"/>
          <w:sz w:val="24"/>
          <w:highlight w:val="none"/>
        </w:rPr>
        <w:t>2</w:t>
      </w:r>
      <w:r>
        <w:rPr>
          <w:color w:val="auto"/>
          <w:sz w:val="24"/>
          <w:highlight w:val="none"/>
        </w:rPr>
        <w:t>紫外区平均量子化效率：</w:t>
      </w:r>
      <w:r>
        <w:rPr>
          <w:rFonts w:hint="eastAsia"/>
          <w:color w:val="auto"/>
          <w:sz w:val="24"/>
          <w:highlight w:val="none"/>
        </w:rPr>
        <w:t>采用</w:t>
      </w:r>
      <w:r>
        <w:rPr>
          <w:color w:val="auto"/>
          <w:sz w:val="24"/>
          <w:highlight w:val="none"/>
        </w:rPr>
        <w:t>背投照射技术，平均量子化效率≥75%，检测器表面无任何光转换化学涂膜。</w:t>
      </w:r>
      <w:r>
        <w:rPr>
          <w:color w:val="auto"/>
          <w:sz w:val="24"/>
          <w:highlight w:val="none"/>
        </w:rPr>
        <w:cr/>
      </w:r>
      <w:r>
        <w:rPr>
          <w:color w:val="auto"/>
          <w:sz w:val="24"/>
          <w:highlight w:val="none"/>
        </w:rPr>
        <w:t>2.2.3检测器冷却：半导体制冷，≤－35℃，暗电流和背景噪音低。检测器密封，无需气体吹扫，开机即可点火，提高分析效率，降低气体消耗。</w:t>
      </w:r>
      <w:r>
        <w:rPr>
          <w:color w:val="auto"/>
          <w:sz w:val="24"/>
          <w:highlight w:val="none"/>
        </w:rPr>
        <w:cr/>
      </w:r>
      <w:r>
        <w:rPr>
          <w:color w:val="auto"/>
          <w:sz w:val="24"/>
          <w:highlight w:val="none"/>
        </w:rPr>
        <w:t>2.2.4防饱和溢出：针对每一个像素进行防饱和溢出保护，消除谱线饱和溢出问题。</w:t>
      </w:r>
    </w:p>
    <w:p>
      <w:pPr>
        <w:spacing w:line="440" w:lineRule="exact"/>
        <w:rPr>
          <w:color w:val="auto"/>
          <w:sz w:val="24"/>
          <w:highlight w:val="none"/>
        </w:rPr>
      </w:pPr>
      <w:r>
        <w:rPr>
          <w:rFonts w:hint="eastAsia"/>
          <w:color w:val="auto"/>
          <w:sz w:val="24"/>
          <w:highlight w:val="none"/>
        </w:rPr>
        <w:t>★*</w:t>
      </w:r>
      <w:r>
        <w:rPr>
          <w:color w:val="auto"/>
          <w:sz w:val="24"/>
          <w:highlight w:val="none"/>
        </w:rPr>
        <w:t>3.2.5固体检测器</w:t>
      </w:r>
      <w:r>
        <w:rPr>
          <w:rFonts w:hint="eastAsia"/>
          <w:color w:val="auto"/>
          <w:sz w:val="24"/>
          <w:highlight w:val="none"/>
        </w:rPr>
        <w:t>：</w:t>
      </w:r>
      <w:r>
        <w:rPr>
          <w:color w:val="auto"/>
          <w:sz w:val="24"/>
          <w:highlight w:val="none"/>
        </w:rPr>
        <w:t>数据读取速度</w:t>
      </w:r>
      <w:r>
        <w:rPr>
          <w:rFonts w:hint="eastAsia"/>
          <w:color w:val="auto"/>
          <w:highlight w:val="none"/>
        </w:rPr>
        <w:t>≥</w:t>
      </w:r>
      <w:r>
        <w:rPr>
          <w:color w:val="auto"/>
          <w:sz w:val="24"/>
          <w:highlight w:val="none"/>
        </w:rPr>
        <w:t>1MHz，最小积分时间</w:t>
      </w:r>
      <w:r>
        <w:rPr>
          <w:rFonts w:hint="eastAsia"/>
          <w:color w:val="auto"/>
          <w:sz w:val="24"/>
          <w:highlight w:val="none"/>
        </w:rPr>
        <w:t>≤</w:t>
      </w:r>
      <w:r>
        <w:rPr>
          <w:color w:val="auto"/>
          <w:sz w:val="24"/>
          <w:highlight w:val="none"/>
        </w:rPr>
        <w:t>1秒。双面数据输出。</w:t>
      </w:r>
    </w:p>
    <w:p>
      <w:pPr>
        <w:spacing w:line="440" w:lineRule="exact"/>
        <w:rPr>
          <w:color w:val="auto"/>
          <w:sz w:val="24"/>
          <w:highlight w:val="none"/>
        </w:rPr>
      </w:pPr>
      <w:r>
        <w:rPr>
          <w:rFonts w:hint="eastAsia"/>
          <w:color w:val="auto"/>
          <w:sz w:val="24"/>
          <w:highlight w:val="none"/>
        </w:rPr>
        <w:t>3</w:t>
      </w:r>
      <w:r>
        <w:rPr>
          <w:color w:val="auto"/>
          <w:sz w:val="24"/>
          <w:highlight w:val="none"/>
        </w:rPr>
        <w:t>.3射频发生系统</w:t>
      </w:r>
      <w:r>
        <w:rPr>
          <w:color w:val="auto"/>
          <w:sz w:val="24"/>
          <w:highlight w:val="none"/>
        </w:rPr>
        <w:cr/>
      </w:r>
      <w:r>
        <w:rPr>
          <w:rFonts w:hint="eastAsia"/>
          <w:color w:val="auto"/>
          <w:sz w:val="24"/>
          <w:highlight w:val="none"/>
        </w:rPr>
        <w:t>3</w:t>
      </w:r>
      <w:r>
        <w:rPr>
          <w:color w:val="auto"/>
          <w:sz w:val="24"/>
          <w:highlight w:val="none"/>
        </w:rPr>
        <w:t>.3.1自激式27.12MHz固态发生器，耦合效率</w:t>
      </w:r>
      <w:r>
        <w:rPr>
          <w:rFonts w:hint="eastAsia"/>
          <w:color w:val="auto"/>
          <w:sz w:val="24"/>
          <w:highlight w:val="none"/>
        </w:rPr>
        <w:t>＞</w:t>
      </w:r>
      <w:r>
        <w:rPr>
          <w:color w:val="auto"/>
          <w:sz w:val="24"/>
          <w:highlight w:val="none"/>
        </w:rPr>
        <w:t>75%。</w:t>
      </w:r>
    </w:p>
    <w:p>
      <w:pPr>
        <w:spacing w:line="440" w:lineRule="exact"/>
        <w:rPr>
          <w:color w:val="auto"/>
          <w:sz w:val="24"/>
          <w:highlight w:val="none"/>
        </w:rPr>
      </w:pPr>
      <w:r>
        <w:rPr>
          <w:rFonts w:hint="eastAsia"/>
          <w:color w:val="auto"/>
          <w:sz w:val="24"/>
          <w:highlight w:val="none"/>
        </w:rPr>
        <w:t>*3</w:t>
      </w:r>
      <w:r>
        <w:rPr>
          <w:color w:val="auto"/>
          <w:sz w:val="24"/>
          <w:highlight w:val="none"/>
        </w:rPr>
        <w:t>.3.2功率范围：700~1400W，连续可调，计算机控制进行功率调节。</w:t>
      </w:r>
    </w:p>
    <w:p>
      <w:pPr>
        <w:spacing w:line="440" w:lineRule="exact"/>
        <w:rPr>
          <w:color w:val="auto"/>
          <w:sz w:val="24"/>
          <w:highlight w:val="none"/>
        </w:rPr>
      </w:pPr>
      <w:r>
        <w:rPr>
          <w:rFonts w:hint="eastAsia"/>
          <w:color w:val="auto"/>
          <w:sz w:val="24"/>
          <w:highlight w:val="none"/>
        </w:rPr>
        <w:t>3</w:t>
      </w:r>
      <w:r>
        <w:rPr>
          <w:color w:val="auto"/>
          <w:sz w:val="24"/>
          <w:highlight w:val="none"/>
        </w:rPr>
        <w:t>.4观测方式</w:t>
      </w:r>
    </w:p>
    <w:p>
      <w:pPr>
        <w:spacing w:line="440" w:lineRule="exact"/>
        <w:rPr>
          <w:color w:val="auto"/>
          <w:sz w:val="24"/>
          <w:highlight w:val="none"/>
        </w:rPr>
      </w:pPr>
      <w:r>
        <w:rPr>
          <w:rFonts w:hint="eastAsia"/>
          <w:color w:val="auto"/>
          <w:sz w:val="24"/>
          <w:highlight w:val="none"/>
        </w:rPr>
        <w:t>3</w:t>
      </w:r>
      <w:r>
        <w:rPr>
          <w:color w:val="auto"/>
          <w:sz w:val="24"/>
          <w:highlight w:val="none"/>
        </w:rPr>
        <w:t>.4.1垂直火炬双向观测方式。</w:t>
      </w:r>
    </w:p>
    <w:p>
      <w:pPr>
        <w:spacing w:line="440" w:lineRule="exact"/>
        <w:rPr>
          <w:color w:val="auto"/>
          <w:sz w:val="24"/>
          <w:highlight w:val="none"/>
        </w:rPr>
      </w:pPr>
      <w:r>
        <w:rPr>
          <w:rFonts w:hint="eastAsia"/>
          <w:color w:val="auto"/>
          <w:sz w:val="24"/>
          <w:highlight w:val="none"/>
        </w:rPr>
        <w:t>3</w:t>
      </w:r>
      <w:r>
        <w:rPr>
          <w:color w:val="auto"/>
          <w:sz w:val="24"/>
          <w:highlight w:val="none"/>
        </w:rPr>
        <w:t>.4.2尾焰去除：高效去除尾焰。</w:t>
      </w:r>
    </w:p>
    <w:p>
      <w:pPr>
        <w:spacing w:line="440" w:lineRule="exact"/>
        <w:rPr>
          <w:color w:val="auto"/>
          <w:sz w:val="24"/>
          <w:highlight w:val="none"/>
        </w:rPr>
      </w:pPr>
      <w:r>
        <w:rPr>
          <w:rFonts w:hint="eastAsia"/>
          <w:color w:val="auto"/>
          <w:sz w:val="24"/>
          <w:highlight w:val="none"/>
        </w:rPr>
        <w:t>3</w:t>
      </w:r>
      <w:r>
        <w:rPr>
          <w:color w:val="auto"/>
          <w:sz w:val="24"/>
          <w:highlight w:val="none"/>
        </w:rPr>
        <w:t>.4.3接口无切割气体的消耗，降低运行成本。</w:t>
      </w:r>
    </w:p>
    <w:p>
      <w:pPr>
        <w:spacing w:line="440" w:lineRule="exact"/>
        <w:rPr>
          <w:color w:val="auto"/>
          <w:sz w:val="24"/>
          <w:highlight w:val="none"/>
        </w:rPr>
      </w:pPr>
      <w:r>
        <w:rPr>
          <w:rFonts w:hint="eastAsia"/>
          <w:color w:val="auto"/>
          <w:sz w:val="24"/>
          <w:highlight w:val="none"/>
        </w:rPr>
        <w:t>3</w:t>
      </w:r>
      <w:r>
        <w:rPr>
          <w:color w:val="auto"/>
          <w:sz w:val="24"/>
          <w:highlight w:val="none"/>
        </w:rPr>
        <w:t>.4.4观测位置调节：等离子体观测位置由计算机控制。</w:t>
      </w:r>
    </w:p>
    <w:p>
      <w:pPr>
        <w:spacing w:line="440" w:lineRule="exact"/>
        <w:rPr>
          <w:color w:val="auto"/>
          <w:sz w:val="24"/>
          <w:highlight w:val="none"/>
        </w:rPr>
      </w:pPr>
      <w:r>
        <w:rPr>
          <w:rFonts w:hint="eastAsia"/>
          <w:color w:val="auto"/>
          <w:sz w:val="24"/>
          <w:highlight w:val="none"/>
        </w:rPr>
        <w:t>3</w:t>
      </w:r>
      <w:r>
        <w:rPr>
          <w:color w:val="auto"/>
          <w:sz w:val="24"/>
          <w:highlight w:val="none"/>
        </w:rPr>
        <w:t>.5样品导入系统</w:t>
      </w:r>
    </w:p>
    <w:p>
      <w:pPr>
        <w:spacing w:line="440" w:lineRule="exact"/>
        <w:rPr>
          <w:color w:val="auto"/>
          <w:sz w:val="24"/>
          <w:highlight w:val="none"/>
        </w:rPr>
      </w:pPr>
      <w:r>
        <w:rPr>
          <w:rFonts w:hint="eastAsia"/>
          <w:color w:val="auto"/>
          <w:sz w:val="24"/>
          <w:highlight w:val="none"/>
        </w:rPr>
        <w:t>3</w:t>
      </w:r>
      <w:r>
        <w:rPr>
          <w:color w:val="auto"/>
          <w:sz w:val="24"/>
          <w:highlight w:val="none"/>
        </w:rPr>
        <w:t>.5.1进样系统：双通道玻璃旋流雾化室和玻璃同心雾化器。</w:t>
      </w:r>
    </w:p>
    <w:p>
      <w:pPr>
        <w:spacing w:line="440" w:lineRule="exact"/>
        <w:rPr>
          <w:color w:val="auto"/>
          <w:sz w:val="24"/>
          <w:highlight w:val="none"/>
        </w:rPr>
      </w:pPr>
      <w:r>
        <w:rPr>
          <w:rFonts w:hint="eastAsia"/>
          <w:color w:val="auto"/>
          <w:sz w:val="24"/>
          <w:highlight w:val="none"/>
        </w:rPr>
        <w:t>3</w:t>
      </w:r>
      <w:r>
        <w:rPr>
          <w:color w:val="auto"/>
          <w:sz w:val="24"/>
          <w:highlight w:val="none"/>
        </w:rPr>
        <w:t>.5.2炬管：一体化炬管，快速插拔式设计，无需气体管路连接和炬管准直定位，便于安装和维护。</w:t>
      </w:r>
    </w:p>
    <w:p>
      <w:pPr>
        <w:spacing w:line="440" w:lineRule="exact"/>
        <w:rPr>
          <w:color w:val="auto"/>
          <w:sz w:val="24"/>
          <w:highlight w:val="none"/>
        </w:rPr>
      </w:pPr>
      <w:r>
        <w:rPr>
          <w:rFonts w:hint="eastAsia"/>
          <w:color w:val="auto"/>
          <w:sz w:val="24"/>
          <w:highlight w:val="none"/>
        </w:rPr>
        <w:t>*3</w:t>
      </w:r>
      <w:r>
        <w:rPr>
          <w:color w:val="auto"/>
          <w:sz w:val="24"/>
          <w:highlight w:val="none"/>
        </w:rPr>
        <w:t>.5.3气体控制：所有等离子体相关气体均为质量流量计（MFC）控制，软件在线调节：等离子体气：8~20L/min，增量</w:t>
      </w:r>
      <w:r>
        <w:rPr>
          <w:rFonts w:hint="eastAsia"/>
          <w:color w:val="auto"/>
          <w:sz w:val="24"/>
          <w:highlight w:val="none"/>
        </w:rPr>
        <w:t>≤</w:t>
      </w:r>
      <w:r>
        <w:rPr>
          <w:color w:val="auto"/>
          <w:sz w:val="24"/>
          <w:highlight w:val="none"/>
        </w:rPr>
        <w:t>0.1L/min；辅助气：</w:t>
      </w:r>
      <w:bookmarkStart w:id="136" w:name="OLE_LINK8"/>
      <w:bookmarkStart w:id="137" w:name="OLE_LINK7"/>
      <w:r>
        <w:rPr>
          <w:color w:val="auto"/>
          <w:sz w:val="24"/>
          <w:highlight w:val="none"/>
        </w:rPr>
        <w:t>0~2.0L/min，</w:t>
      </w:r>
      <w:bookmarkStart w:id="138" w:name="OLE_LINK6"/>
      <w:bookmarkStart w:id="139" w:name="OLE_LINK5"/>
      <w:r>
        <w:rPr>
          <w:color w:val="auto"/>
          <w:sz w:val="24"/>
          <w:highlight w:val="none"/>
        </w:rPr>
        <w:t>增量</w:t>
      </w:r>
      <w:r>
        <w:rPr>
          <w:rFonts w:hint="eastAsia"/>
          <w:color w:val="auto"/>
          <w:sz w:val="24"/>
          <w:highlight w:val="none"/>
        </w:rPr>
        <w:t>≤</w:t>
      </w:r>
      <w:r>
        <w:rPr>
          <w:color w:val="auto"/>
          <w:sz w:val="24"/>
          <w:highlight w:val="none"/>
        </w:rPr>
        <w:t>0.01L/min</w:t>
      </w:r>
      <w:bookmarkEnd w:id="136"/>
      <w:bookmarkEnd w:id="137"/>
      <w:bookmarkEnd w:id="138"/>
      <w:bookmarkEnd w:id="139"/>
      <w:r>
        <w:rPr>
          <w:color w:val="auto"/>
          <w:sz w:val="24"/>
          <w:highlight w:val="none"/>
        </w:rPr>
        <w:t>；雾化气0~1.5L/min，增量</w:t>
      </w:r>
      <w:r>
        <w:rPr>
          <w:rFonts w:hint="eastAsia"/>
          <w:color w:val="auto"/>
          <w:sz w:val="24"/>
          <w:highlight w:val="none"/>
        </w:rPr>
        <w:t>≤</w:t>
      </w:r>
      <w:r>
        <w:rPr>
          <w:color w:val="auto"/>
          <w:sz w:val="24"/>
          <w:highlight w:val="none"/>
        </w:rPr>
        <w:t xml:space="preserve">0.01L/min。                   </w:t>
      </w:r>
    </w:p>
    <w:p>
      <w:pPr>
        <w:spacing w:line="440" w:lineRule="exact"/>
        <w:rPr>
          <w:color w:val="auto"/>
          <w:sz w:val="24"/>
          <w:highlight w:val="none"/>
        </w:rPr>
      </w:pPr>
      <w:r>
        <w:rPr>
          <w:rFonts w:hint="eastAsia"/>
          <w:color w:val="auto"/>
          <w:sz w:val="24"/>
          <w:highlight w:val="none"/>
        </w:rPr>
        <w:t>3</w:t>
      </w:r>
      <w:r>
        <w:rPr>
          <w:color w:val="auto"/>
          <w:sz w:val="24"/>
          <w:highlight w:val="none"/>
        </w:rPr>
        <w:t>.5.4蠕动泵：</w:t>
      </w:r>
      <w:r>
        <w:rPr>
          <w:rFonts w:hint="eastAsia"/>
          <w:color w:val="auto"/>
          <w:sz w:val="24"/>
          <w:highlight w:val="none"/>
        </w:rPr>
        <w:t>4</w:t>
      </w:r>
      <w:r>
        <w:rPr>
          <w:color w:val="auto"/>
          <w:sz w:val="24"/>
          <w:highlight w:val="none"/>
        </w:rPr>
        <w:t>通道蠕动泵，转速0-80rpm可调，全计算机控制，具有快泵功能。</w:t>
      </w:r>
    </w:p>
    <w:p>
      <w:pPr>
        <w:spacing w:line="440" w:lineRule="exact"/>
        <w:rPr>
          <w:color w:val="auto"/>
          <w:sz w:val="24"/>
          <w:highlight w:val="none"/>
        </w:rPr>
      </w:pPr>
      <w:r>
        <w:rPr>
          <w:rFonts w:hint="eastAsia"/>
          <w:color w:val="auto"/>
          <w:sz w:val="24"/>
          <w:highlight w:val="none"/>
        </w:rPr>
        <w:t>3</w:t>
      </w:r>
      <w:r>
        <w:rPr>
          <w:color w:val="auto"/>
          <w:sz w:val="24"/>
          <w:highlight w:val="none"/>
        </w:rPr>
        <w:t>.5.5雾化器压力可以设定阈值，当压力低于阈值下限或超过阈值上限时，提示雾化器压力异常，需要检查进样系统。</w:t>
      </w:r>
    </w:p>
    <w:p>
      <w:pPr>
        <w:spacing w:line="440" w:lineRule="exact"/>
        <w:rPr>
          <w:color w:val="auto"/>
          <w:sz w:val="24"/>
          <w:highlight w:val="none"/>
        </w:rPr>
      </w:pPr>
      <w:r>
        <w:rPr>
          <w:rFonts w:hint="eastAsia"/>
          <w:color w:val="auto"/>
          <w:sz w:val="24"/>
          <w:highlight w:val="none"/>
        </w:rPr>
        <w:t>3.5.6自动进样器：样品位数不少于20个，能够与现有装置连接，实现无人值守、全自动进样连续分析。</w:t>
      </w:r>
    </w:p>
    <w:p>
      <w:pPr>
        <w:spacing w:line="440" w:lineRule="exact"/>
        <w:rPr>
          <w:color w:val="auto"/>
          <w:sz w:val="24"/>
          <w:highlight w:val="none"/>
        </w:rPr>
      </w:pPr>
      <w:r>
        <w:rPr>
          <w:rFonts w:hint="eastAsia"/>
          <w:color w:val="auto"/>
          <w:sz w:val="24"/>
          <w:highlight w:val="none"/>
        </w:rPr>
        <w:t>3.6软件系统</w:t>
      </w:r>
    </w:p>
    <w:p>
      <w:pPr>
        <w:spacing w:line="440" w:lineRule="exact"/>
        <w:rPr>
          <w:color w:val="auto"/>
          <w:sz w:val="24"/>
          <w:highlight w:val="none"/>
        </w:rPr>
      </w:pPr>
      <w:r>
        <w:rPr>
          <w:color w:val="auto"/>
          <w:sz w:val="24"/>
          <w:highlight w:val="none"/>
        </w:rPr>
        <w:t>3.</w:t>
      </w:r>
      <w:r>
        <w:rPr>
          <w:rFonts w:hint="eastAsia"/>
          <w:color w:val="auto"/>
          <w:sz w:val="24"/>
          <w:highlight w:val="none"/>
        </w:rPr>
        <w:t>6.1</w:t>
      </w:r>
      <w:r>
        <w:rPr>
          <w:color w:val="auto"/>
          <w:sz w:val="24"/>
          <w:highlight w:val="none"/>
        </w:rPr>
        <w:t xml:space="preserve">操作软件易学易用，可快速进行方法的开发、顺序的编辑。 </w:t>
      </w:r>
    </w:p>
    <w:p>
      <w:pPr>
        <w:spacing w:line="440" w:lineRule="exact"/>
        <w:rPr>
          <w:color w:val="auto"/>
          <w:sz w:val="24"/>
          <w:highlight w:val="none"/>
        </w:rPr>
      </w:pPr>
      <w:r>
        <w:rPr>
          <w:rFonts w:hint="eastAsia"/>
          <w:color w:val="auto"/>
          <w:sz w:val="24"/>
          <w:highlight w:val="none"/>
        </w:rPr>
        <w:t>3.6.2</w:t>
      </w:r>
      <w:r>
        <w:rPr>
          <w:color w:val="auto"/>
          <w:sz w:val="24"/>
          <w:highlight w:val="none"/>
        </w:rPr>
        <w:t>计算机全自动化控制，仪器设置和参数选择可自动完成，包括气体流量、功率、点火、诊断等。具有自动安全连锁系统。</w:t>
      </w:r>
    </w:p>
    <w:p>
      <w:pPr>
        <w:spacing w:line="440" w:lineRule="exact"/>
        <w:rPr>
          <w:color w:val="auto"/>
          <w:sz w:val="24"/>
          <w:highlight w:val="none"/>
        </w:rPr>
      </w:pPr>
      <w:r>
        <w:rPr>
          <w:rFonts w:hint="eastAsia"/>
          <w:color w:val="auto"/>
          <w:sz w:val="24"/>
          <w:highlight w:val="none"/>
        </w:rPr>
        <w:t>3.6.3</w:t>
      </w:r>
      <w:r>
        <w:rPr>
          <w:color w:val="auto"/>
          <w:sz w:val="24"/>
          <w:highlight w:val="none"/>
        </w:rPr>
        <w:t>背景校正功能：</w:t>
      </w:r>
      <w:r>
        <w:rPr>
          <w:rFonts w:hint="eastAsia"/>
          <w:color w:val="auto"/>
          <w:sz w:val="24"/>
          <w:highlight w:val="none"/>
        </w:rPr>
        <w:t>具有</w:t>
      </w:r>
      <w:r>
        <w:rPr>
          <w:color w:val="auto"/>
          <w:sz w:val="24"/>
          <w:highlight w:val="none"/>
        </w:rPr>
        <w:t>单边、双边离峰法</w:t>
      </w:r>
      <w:r>
        <w:rPr>
          <w:rFonts w:hint="eastAsia"/>
          <w:color w:val="auto"/>
          <w:sz w:val="24"/>
          <w:highlight w:val="none"/>
        </w:rPr>
        <w:t>、</w:t>
      </w:r>
      <w:r>
        <w:rPr>
          <w:color w:val="auto"/>
          <w:sz w:val="24"/>
          <w:highlight w:val="none"/>
        </w:rPr>
        <w:t>多点自动拟合法背景校正技术</w:t>
      </w:r>
      <w:r>
        <w:rPr>
          <w:rFonts w:hint="eastAsia"/>
          <w:color w:val="auto"/>
          <w:sz w:val="24"/>
          <w:highlight w:val="none"/>
        </w:rPr>
        <w:t>。</w:t>
      </w:r>
    </w:p>
    <w:p>
      <w:pPr>
        <w:spacing w:line="440" w:lineRule="exact"/>
        <w:rPr>
          <w:color w:val="auto"/>
          <w:sz w:val="24"/>
          <w:highlight w:val="none"/>
        </w:rPr>
      </w:pPr>
      <w:r>
        <w:rPr>
          <w:rFonts w:hint="eastAsia"/>
          <w:color w:val="auto"/>
          <w:sz w:val="24"/>
          <w:highlight w:val="none"/>
        </w:rPr>
        <w:t>3.6.4</w:t>
      </w:r>
      <w:r>
        <w:rPr>
          <w:color w:val="auto"/>
          <w:sz w:val="24"/>
          <w:highlight w:val="none"/>
        </w:rPr>
        <w:t>谱图自动解析功能：快速自动谱线拟合技术，在线校正基体谱线干扰。</w:t>
      </w:r>
    </w:p>
    <w:p>
      <w:pPr>
        <w:spacing w:line="440" w:lineRule="exact"/>
        <w:rPr>
          <w:color w:val="auto"/>
          <w:sz w:val="24"/>
          <w:highlight w:val="none"/>
        </w:rPr>
      </w:pPr>
      <w:r>
        <w:rPr>
          <w:rFonts w:hint="eastAsia"/>
          <w:color w:val="auto"/>
          <w:sz w:val="24"/>
          <w:highlight w:val="none"/>
        </w:rPr>
        <w:t>3.6.5</w:t>
      </w:r>
      <w:r>
        <w:rPr>
          <w:color w:val="auto"/>
          <w:sz w:val="24"/>
          <w:highlight w:val="none"/>
        </w:rPr>
        <w:t>多重检量限功能：根据不同的元素含量范围选择不同的谱线，仪器能够同时测定高低含量的元素，动态线性范围</w:t>
      </w:r>
      <w:r>
        <w:rPr>
          <w:rFonts w:hint="eastAsia"/>
          <w:color w:val="auto"/>
          <w:sz w:val="24"/>
          <w:highlight w:val="none"/>
        </w:rPr>
        <w:t>广</w:t>
      </w:r>
      <w:r>
        <w:rPr>
          <w:color w:val="auto"/>
          <w:sz w:val="24"/>
          <w:highlight w:val="none"/>
        </w:rPr>
        <w:t>。</w:t>
      </w:r>
    </w:p>
    <w:p>
      <w:pPr>
        <w:spacing w:line="440" w:lineRule="exact"/>
        <w:rPr>
          <w:color w:val="auto"/>
          <w:sz w:val="24"/>
          <w:highlight w:val="none"/>
        </w:rPr>
      </w:pPr>
      <w:r>
        <w:rPr>
          <w:rFonts w:hint="eastAsia"/>
          <w:color w:val="auto"/>
          <w:sz w:val="24"/>
          <w:highlight w:val="none"/>
        </w:rPr>
        <w:t>3.6.6具有</w:t>
      </w:r>
      <w:r>
        <w:rPr>
          <w:color w:val="auto"/>
          <w:sz w:val="24"/>
          <w:highlight w:val="none"/>
        </w:rPr>
        <w:t>标准比较法、内标法、干扰元素校正系数法（IEC）、标准加入曲线法等多种光谱分析方法，</w:t>
      </w:r>
      <w:r>
        <w:rPr>
          <w:rFonts w:hint="eastAsia"/>
          <w:color w:val="auto"/>
          <w:sz w:val="24"/>
          <w:highlight w:val="none"/>
        </w:rPr>
        <w:t>可进行</w:t>
      </w:r>
      <w:r>
        <w:rPr>
          <w:color w:val="auto"/>
          <w:sz w:val="24"/>
          <w:highlight w:val="none"/>
        </w:rPr>
        <w:t>多种分析研究。</w:t>
      </w:r>
      <w:r>
        <w:rPr>
          <w:color w:val="auto"/>
          <w:sz w:val="24"/>
          <w:highlight w:val="none"/>
        </w:rPr>
        <w:cr/>
      </w:r>
      <w:r>
        <w:rPr>
          <w:rFonts w:hint="eastAsia"/>
          <w:color w:val="auto"/>
          <w:sz w:val="24"/>
          <w:highlight w:val="none"/>
        </w:rPr>
        <w:t>3.6.7</w:t>
      </w:r>
      <w:r>
        <w:rPr>
          <w:color w:val="auto"/>
          <w:sz w:val="24"/>
          <w:highlight w:val="none"/>
        </w:rPr>
        <w:t>软件系统内置计数器，在系统需要维护时</w:t>
      </w:r>
      <w:r>
        <w:rPr>
          <w:rFonts w:hint="eastAsia"/>
          <w:color w:val="auto"/>
          <w:sz w:val="24"/>
          <w:highlight w:val="none"/>
        </w:rPr>
        <w:t>提供维护</w:t>
      </w:r>
      <w:r>
        <w:rPr>
          <w:color w:val="auto"/>
          <w:sz w:val="24"/>
          <w:highlight w:val="none"/>
        </w:rPr>
        <w:t>指导。</w:t>
      </w:r>
    </w:p>
    <w:p>
      <w:pPr>
        <w:spacing w:line="440" w:lineRule="exact"/>
        <w:rPr>
          <w:color w:val="auto"/>
          <w:sz w:val="24"/>
          <w:highlight w:val="none"/>
        </w:rPr>
      </w:pPr>
      <w:r>
        <w:rPr>
          <w:rFonts w:hint="eastAsia"/>
          <w:color w:val="auto"/>
          <w:sz w:val="24"/>
          <w:highlight w:val="none"/>
        </w:rPr>
        <w:t>3.6.8</w:t>
      </w:r>
      <w:r>
        <w:rPr>
          <w:color w:val="auto"/>
          <w:sz w:val="24"/>
          <w:highlight w:val="none"/>
        </w:rPr>
        <w:t>数据存取：所有结果、方法和顺序可以在同一工作页面一起保存和读取；谱图、结果和标准曲线同时显示；实时图形显示光谱信号、结果和曲线谱图；快速运行过往数据的编辑。</w:t>
      </w:r>
    </w:p>
    <w:p>
      <w:pPr>
        <w:spacing w:line="440" w:lineRule="exact"/>
        <w:rPr>
          <w:color w:val="auto"/>
          <w:sz w:val="24"/>
          <w:highlight w:val="none"/>
        </w:rPr>
      </w:pPr>
      <w:r>
        <w:rPr>
          <w:rFonts w:hint="eastAsia"/>
          <w:color w:val="auto"/>
          <w:sz w:val="24"/>
          <w:highlight w:val="none"/>
        </w:rPr>
        <w:t>3.6.9</w:t>
      </w:r>
      <w:r>
        <w:rPr>
          <w:color w:val="auto"/>
          <w:sz w:val="24"/>
          <w:highlight w:val="none"/>
        </w:rPr>
        <w:t>数据输出：提供多种报告打印和数据输出格式。</w:t>
      </w:r>
      <w:r>
        <w:rPr>
          <w:color w:val="auto"/>
          <w:sz w:val="24"/>
          <w:highlight w:val="none"/>
        </w:rPr>
        <w:cr/>
      </w:r>
      <w:r>
        <w:rPr>
          <w:rFonts w:hint="eastAsia"/>
          <w:color w:val="auto"/>
          <w:sz w:val="24"/>
          <w:highlight w:val="none"/>
        </w:rPr>
        <w:t>3.6.10具有</w:t>
      </w:r>
      <w:r>
        <w:rPr>
          <w:color w:val="auto"/>
          <w:sz w:val="24"/>
          <w:highlight w:val="none"/>
        </w:rPr>
        <w:t>中文在线帮助功能和操作、维护录像。</w:t>
      </w:r>
      <w:r>
        <w:rPr>
          <w:color w:val="auto"/>
          <w:sz w:val="24"/>
          <w:highlight w:val="none"/>
        </w:rPr>
        <w:cr/>
      </w:r>
      <w:r>
        <w:rPr>
          <w:rFonts w:hint="eastAsia"/>
          <w:color w:val="auto"/>
          <w:sz w:val="24"/>
          <w:highlight w:val="none"/>
        </w:rPr>
        <w:t>3.6.11</w:t>
      </w:r>
      <w:r>
        <w:rPr>
          <w:color w:val="auto"/>
          <w:sz w:val="24"/>
          <w:highlight w:val="none"/>
        </w:rPr>
        <w:t>远程诊断功能：远程诊断—Web连接使远端的技术服务部门和应用支持部门能够对仪器实现完全远程控制和维修诊断。</w:t>
      </w:r>
    </w:p>
    <w:p>
      <w:pPr>
        <w:spacing w:line="440" w:lineRule="exact"/>
        <w:rPr>
          <w:color w:val="auto"/>
          <w:sz w:val="24"/>
          <w:highlight w:val="none"/>
        </w:rPr>
      </w:pPr>
      <w:r>
        <w:rPr>
          <w:rFonts w:hint="eastAsia"/>
          <w:color w:val="auto"/>
          <w:sz w:val="24"/>
          <w:highlight w:val="none"/>
        </w:rPr>
        <w:t>3.6.12</w:t>
      </w:r>
      <w:r>
        <w:rPr>
          <w:color w:val="auto"/>
          <w:sz w:val="24"/>
          <w:highlight w:val="none"/>
        </w:rPr>
        <w:t xml:space="preserve">支持符合电子签名管理的21 CFR Part 11管理法规。 </w:t>
      </w:r>
    </w:p>
    <w:p>
      <w:pPr>
        <w:spacing w:line="440" w:lineRule="exact"/>
        <w:rPr>
          <w:color w:val="auto"/>
          <w:sz w:val="24"/>
          <w:highlight w:val="none"/>
        </w:rPr>
      </w:pPr>
      <w:r>
        <w:rPr>
          <w:rFonts w:hint="eastAsia"/>
          <w:color w:val="auto"/>
          <w:sz w:val="24"/>
          <w:highlight w:val="none"/>
        </w:rPr>
        <w:t>3.6.13</w:t>
      </w:r>
      <w:r>
        <w:rPr>
          <w:color w:val="auto"/>
          <w:sz w:val="24"/>
          <w:highlight w:val="none"/>
        </w:rPr>
        <w:t>仪器可实现快速全谱扫描，对样品中所有元素进行定性和半定量分析</w:t>
      </w:r>
      <w:r>
        <w:rPr>
          <w:rFonts w:hint="eastAsia"/>
          <w:color w:val="auto"/>
          <w:sz w:val="24"/>
          <w:highlight w:val="none"/>
        </w:rPr>
        <w:t>；</w:t>
      </w:r>
      <w:r>
        <w:rPr>
          <w:color w:val="auto"/>
          <w:sz w:val="24"/>
          <w:highlight w:val="none"/>
        </w:rPr>
        <w:t>可以设定阈值，实现样品的快速筛选</w:t>
      </w:r>
      <w:r>
        <w:rPr>
          <w:rFonts w:hint="eastAsia"/>
          <w:color w:val="auto"/>
          <w:sz w:val="24"/>
          <w:highlight w:val="none"/>
        </w:rPr>
        <w:t>；</w:t>
      </w:r>
      <w:r>
        <w:rPr>
          <w:color w:val="auto"/>
          <w:sz w:val="24"/>
          <w:highlight w:val="none"/>
        </w:rPr>
        <w:t>可以跟样品定量分析在同一个工作列表中，实现每一个样品的全元素监测。</w:t>
      </w:r>
    </w:p>
    <w:p>
      <w:pPr>
        <w:spacing w:line="440" w:lineRule="exact"/>
        <w:rPr>
          <w:color w:val="auto"/>
          <w:sz w:val="24"/>
          <w:highlight w:val="none"/>
        </w:rPr>
      </w:pPr>
      <w:r>
        <w:rPr>
          <w:rFonts w:hint="eastAsia"/>
          <w:color w:val="auto"/>
          <w:sz w:val="24"/>
          <w:highlight w:val="none"/>
        </w:rPr>
        <w:t>3.6.14可</w:t>
      </w:r>
      <w:r>
        <w:rPr>
          <w:color w:val="auto"/>
          <w:sz w:val="24"/>
          <w:highlight w:val="none"/>
        </w:rPr>
        <w:t>针对不同的基体样品，快速的实现全元素扫描，实时反馈，根据不同基体样品和不同元素波长的各种干扰判断，自动选择最佳元素波长，可以把选定的波长直接导入定量工作表开始定量分析</w:t>
      </w:r>
      <w:r>
        <w:rPr>
          <w:rFonts w:hint="eastAsia"/>
          <w:color w:val="auto"/>
          <w:sz w:val="24"/>
          <w:highlight w:val="none"/>
        </w:rPr>
        <w:t>；</w:t>
      </w:r>
      <w:r>
        <w:rPr>
          <w:color w:val="auto"/>
          <w:sz w:val="24"/>
          <w:highlight w:val="none"/>
        </w:rPr>
        <w:t>还可以针对不同基体和不同的标准创建模板，让结果更精确。</w:t>
      </w:r>
    </w:p>
    <w:p>
      <w:pPr>
        <w:spacing w:line="440" w:lineRule="exact"/>
        <w:rPr>
          <w:color w:val="auto"/>
          <w:sz w:val="24"/>
          <w:highlight w:val="none"/>
        </w:rPr>
      </w:pPr>
      <w:r>
        <w:rPr>
          <w:rFonts w:hint="eastAsia"/>
          <w:color w:val="auto"/>
          <w:sz w:val="24"/>
          <w:highlight w:val="none"/>
        </w:rPr>
        <w:t>3.6.15</w:t>
      </w:r>
      <w:r>
        <w:rPr>
          <w:color w:val="auto"/>
          <w:sz w:val="24"/>
          <w:highlight w:val="none"/>
        </w:rPr>
        <w:t>有内标监测图，可以更直观准确的监控做样过程，快速的做出响应。</w:t>
      </w:r>
    </w:p>
    <w:p>
      <w:pPr>
        <w:spacing w:line="440" w:lineRule="exact"/>
        <w:rPr>
          <w:color w:val="auto"/>
          <w:sz w:val="24"/>
          <w:highlight w:val="none"/>
        </w:rPr>
      </w:pPr>
      <w:r>
        <w:rPr>
          <w:rFonts w:hint="eastAsia"/>
          <w:color w:val="auto"/>
          <w:sz w:val="24"/>
          <w:highlight w:val="none"/>
        </w:rPr>
        <w:t>3.6.16具有</w:t>
      </w:r>
      <w:r>
        <w:rPr>
          <w:color w:val="auto"/>
          <w:sz w:val="24"/>
          <w:highlight w:val="none"/>
        </w:rPr>
        <w:t>自检</w:t>
      </w:r>
      <w:r>
        <w:rPr>
          <w:rFonts w:hint="eastAsia"/>
          <w:color w:val="auto"/>
          <w:sz w:val="24"/>
          <w:highlight w:val="none"/>
        </w:rPr>
        <w:t>、</w:t>
      </w:r>
      <w:r>
        <w:rPr>
          <w:color w:val="auto"/>
          <w:sz w:val="24"/>
          <w:highlight w:val="none"/>
        </w:rPr>
        <w:t>状态显示</w:t>
      </w:r>
      <w:r>
        <w:rPr>
          <w:rFonts w:hint="eastAsia"/>
          <w:color w:val="auto"/>
          <w:sz w:val="24"/>
          <w:highlight w:val="none"/>
        </w:rPr>
        <w:t>、</w:t>
      </w:r>
      <w:r>
        <w:rPr>
          <w:color w:val="auto"/>
          <w:sz w:val="24"/>
          <w:highlight w:val="none"/>
        </w:rPr>
        <w:t>错误提示</w:t>
      </w:r>
      <w:r>
        <w:rPr>
          <w:rFonts w:hint="eastAsia"/>
          <w:color w:val="auto"/>
          <w:sz w:val="24"/>
          <w:highlight w:val="none"/>
        </w:rPr>
        <w:t>等</w:t>
      </w:r>
      <w:r>
        <w:rPr>
          <w:color w:val="auto"/>
          <w:sz w:val="24"/>
          <w:highlight w:val="none"/>
        </w:rPr>
        <w:t>功能。</w:t>
      </w:r>
    </w:p>
    <w:p>
      <w:pPr>
        <w:autoSpaceDE w:val="0"/>
        <w:autoSpaceDN w:val="0"/>
        <w:adjustRightInd w:val="0"/>
        <w:spacing w:line="440" w:lineRule="exact"/>
        <w:rPr>
          <w:color w:val="auto"/>
          <w:sz w:val="24"/>
          <w:highlight w:val="none"/>
        </w:rPr>
      </w:pPr>
      <w:r>
        <w:rPr>
          <w:rFonts w:hint="eastAsia"/>
          <w:color w:val="auto"/>
          <w:sz w:val="24"/>
          <w:highlight w:val="none"/>
        </w:rPr>
        <w:t>3.7性能指标</w:t>
      </w:r>
    </w:p>
    <w:p>
      <w:pPr>
        <w:spacing w:line="440" w:lineRule="exact"/>
        <w:rPr>
          <w:color w:val="auto"/>
          <w:sz w:val="24"/>
          <w:highlight w:val="none"/>
          <w:lang w:val="zh-CN"/>
        </w:rPr>
      </w:pPr>
      <w:r>
        <w:rPr>
          <w:color w:val="auto"/>
          <w:sz w:val="24"/>
          <w:highlight w:val="none"/>
        </w:rPr>
        <w:t>*</w:t>
      </w:r>
      <w:r>
        <w:rPr>
          <w:rFonts w:hint="eastAsia"/>
          <w:color w:val="auto"/>
          <w:sz w:val="24"/>
          <w:highlight w:val="none"/>
        </w:rPr>
        <w:t>3.7.1</w:t>
      </w:r>
      <w:r>
        <w:rPr>
          <w:color w:val="auto"/>
          <w:sz w:val="24"/>
          <w:highlight w:val="none"/>
          <w:lang w:val="zh-CN"/>
        </w:rPr>
        <w:t>长期稳定性：4小时，RSD≤1%（不加内标，不采用基线飘移修正）；</w:t>
      </w:r>
    </w:p>
    <w:p>
      <w:pPr>
        <w:spacing w:line="440" w:lineRule="exact"/>
        <w:rPr>
          <w:color w:val="auto"/>
          <w:sz w:val="24"/>
          <w:highlight w:val="none"/>
          <w:lang w:val="zh-CN"/>
        </w:rPr>
      </w:pPr>
      <w:r>
        <w:rPr>
          <w:color w:val="auto"/>
          <w:sz w:val="24"/>
          <w:highlight w:val="none"/>
        </w:rPr>
        <w:t>*</w:t>
      </w:r>
      <w:r>
        <w:rPr>
          <w:rFonts w:hint="eastAsia"/>
          <w:color w:val="auto"/>
          <w:sz w:val="24"/>
          <w:highlight w:val="none"/>
        </w:rPr>
        <w:t>3.7.2</w:t>
      </w:r>
      <w:r>
        <w:rPr>
          <w:color w:val="auto"/>
          <w:sz w:val="24"/>
          <w:highlight w:val="none"/>
          <w:lang w:val="zh-CN"/>
        </w:rPr>
        <w:t>短期稳定性：RSD≤0.5%；</w:t>
      </w:r>
    </w:p>
    <w:p>
      <w:pPr>
        <w:spacing w:line="440" w:lineRule="exact"/>
        <w:rPr>
          <w:color w:val="auto"/>
          <w:sz w:val="24"/>
          <w:highlight w:val="none"/>
          <w:lang w:val="zh-CN"/>
        </w:rPr>
      </w:pPr>
      <w:r>
        <w:rPr>
          <w:rFonts w:hint="eastAsia"/>
          <w:color w:val="auto"/>
          <w:sz w:val="24"/>
          <w:highlight w:val="none"/>
        </w:rPr>
        <w:t>3.7.3</w:t>
      </w:r>
      <w:r>
        <w:rPr>
          <w:color w:val="auto"/>
          <w:sz w:val="24"/>
          <w:highlight w:val="none"/>
          <w:lang w:val="zh-CN"/>
        </w:rPr>
        <w:t>冷启动时间：从待机状态到等离子体点燃时间小于35分钟；</w:t>
      </w:r>
    </w:p>
    <w:p>
      <w:pPr>
        <w:spacing w:line="440" w:lineRule="exact"/>
        <w:rPr>
          <w:color w:val="auto"/>
          <w:sz w:val="24"/>
          <w:highlight w:val="none"/>
          <w:lang w:val="zh-CN"/>
        </w:rPr>
      </w:pPr>
      <w:r>
        <w:rPr>
          <w:rFonts w:hint="eastAsia"/>
          <w:color w:val="auto"/>
          <w:sz w:val="24"/>
          <w:highlight w:val="none"/>
        </w:rPr>
        <w:t>*3.7.4</w:t>
      </w:r>
      <w:r>
        <w:rPr>
          <w:color w:val="auto"/>
          <w:sz w:val="24"/>
          <w:highlight w:val="none"/>
          <w:lang w:val="zh-CN"/>
        </w:rPr>
        <w:t>分析速度：任意60个元素或波长，每个元素或波长每次测量积分时间</w:t>
      </w:r>
      <w:r>
        <w:rPr>
          <w:rFonts w:hint="eastAsia"/>
          <w:color w:val="auto"/>
          <w:sz w:val="24"/>
          <w:highlight w:val="none"/>
          <w:lang w:val="zh-CN"/>
        </w:rPr>
        <w:t>≤</w:t>
      </w:r>
      <w:r>
        <w:rPr>
          <w:color w:val="auto"/>
          <w:sz w:val="24"/>
          <w:highlight w:val="none"/>
          <w:lang w:val="zh-CN"/>
        </w:rPr>
        <w:t>10秒</w:t>
      </w:r>
      <w:r>
        <w:rPr>
          <w:rFonts w:hint="eastAsia"/>
          <w:color w:val="auto"/>
          <w:sz w:val="24"/>
          <w:highlight w:val="none"/>
          <w:lang w:val="zh-CN"/>
        </w:rPr>
        <w:t>；</w:t>
      </w:r>
      <w:r>
        <w:rPr>
          <w:color w:val="auto"/>
          <w:sz w:val="24"/>
          <w:highlight w:val="none"/>
          <w:lang w:val="zh-CN"/>
        </w:rPr>
        <w:t>测量3次，含进样冲洗在内的总测试时间</w:t>
      </w:r>
      <w:r>
        <w:rPr>
          <w:rFonts w:hint="eastAsia"/>
          <w:color w:val="auto"/>
          <w:sz w:val="24"/>
          <w:highlight w:val="none"/>
          <w:lang w:val="zh-CN"/>
        </w:rPr>
        <w:t>≤</w:t>
      </w:r>
      <w:r>
        <w:rPr>
          <w:color w:val="auto"/>
          <w:sz w:val="24"/>
          <w:highlight w:val="none"/>
          <w:lang w:val="zh-CN"/>
        </w:rPr>
        <w:t>60秒；</w:t>
      </w:r>
    </w:p>
    <w:p>
      <w:pPr>
        <w:spacing w:line="440" w:lineRule="exact"/>
        <w:rPr>
          <w:color w:val="auto"/>
          <w:sz w:val="24"/>
          <w:highlight w:val="none"/>
          <w:lang w:val="zh-CN"/>
        </w:rPr>
      </w:pPr>
      <w:r>
        <w:rPr>
          <w:color w:val="auto"/>
          <w:sz w:val="24"/>
          <w:highlight w:val="none"/>
        </w:rPr>
        <w:t>*</w:t>
      </w:r>
      <w:r>
        <w:rPr>
          <w:rFonts w:hint="eastAsia"/>
          <w:color w:val="auto"/>
          <w:sz w:val="24"/>
          <w:highlight w:val="none"/>
        </w:rPr>
        <w:t>3.7.5</w:t>
      </w:r>
      <w:r>
        <w:rPr>
          <w:color w:val="auto"/>
          <w:sz w:val="24"/>
          <w:highlight w:val="none"/>
          <w:lang w:val="zh-CN"/>
        </w:rPr>
        <w:t>测定谱线的线性动态范围：≥10</w:t>
      </w:r>
      <w:r>
        <w:rPr>
          <w:color w:val="auto"/>
          <w:sz w:val="24"/>
          <w:highlight w:val="none"/>
          <w:vertAlign w:val="superscript"/>
          <w:lang w:val="zh-CN"/>
        </w:rPr>
        <w:t>6</w:t>
      </w:r>
      <w:r>
        <w:rPr>
          <w:color w:val="auto"/>
          <w:sz w:val="24"/>
          <w:highlight w:val="none"/>
          <w:lang w:val="zh-CN"/>
        </w:rPr>
        <w:t>（以Mn257.610nm 来测定，相关系数≥0.9996）；</w:t>
      </w:r>
    </w:p>
    <w:p>
      <w:pPr>
        <w:spacing w:line="440" w:lineRule="exact"/>
        <w:rPr>
          <w:color w:val="auto"/>
          <w:sz w:val="24"/>
          <w:highlight w:val="none"/>
        </w:rPr>
      </w:pPr>
      <w:r>
        <w:rPr>
          <w:color w:val="auto"/>
          <w:sz w:val="24"/>
          <w:highlight w:val="none"/>
        </w:rPr>
        <w:t>*</w:t>
      </w:r>
      <w:r>
        <w:rPr>
          <w:rFonts w:hint="eastAsia"/>
          <w:color w:val="auto"/>
          <w:sz w:val="24"/>
          <w:highlight w:val="none"/>
        </w:rPr>
        <w:t>3.7.6</w:t>
      </w:r>
      <w:r>
        <w:rPr>
          <w:color w:val="auto"/>
          <w:sz w:val="24"/>
          <w:highlight w:val="none"/>
        </w:rPr>
        <w:t xml:space="preserve"> </w:t>
      </w:r>
      <w:r>
        <w:rPr>
          <w:color w:val="auto"/>
          <w:sz w:val="24"/>
          <w:highlight w:val="none"/>
          <w:lang w:val="zh-CN"/>
        </w:rPr>
        <w:t>Pb220.353nm  2μg/L，4μg/L，6μg/L，8μg/L，10μg/L 拟合曲线，线性相关系数</w:t>
      </w:r>
      <w:r>
        <w:rPr>
          <w:rFonts w:hint="eastAsia"/>
          <w:color w:val="auto"/>
          <w:sz w:val="24"/>
          <w:highlight w:val="none"/>
          <w:lang w:val="zh-CN"/>
        </w:rPr>
        <w:t>≥0</w:t>
      </w:r>
      <w:r>
        <w:rPr>
          <w:color w:val="auto"/>
          <w:sz w:val="24"/>
          <w:highlight w:val="none"/>
          <w:lang w:val="zh-CN"/>
        </w:rPr>
        <w:t>.999</w:t>
      </w:r>
      <w:r>
        <w:rPr>
          <w:rFonts w:hint="eastAsia"/>
          <w:color w:val="auto"/>
          <w:sz w:val="24"/>
          <w:highlight w:val="none"/>
        </w:rPr>
        <w:t>。</w:t>
      </w:r>
    </w:p>
    <w:p>
      <w:pPr>
        <w:adjustRightInd w:val="0"/>
        <w:snapToGrid w:val="0"/>
        <w:spacing w:line="440" w:lineRule="exact"/>
        <w:rPr>
          <w:b/>
          <w:color w:val="auto"/>
          <w:sz w:val="24"/>
          <w:highlight w:val="none"/>
        </w:rPr>
      </w:pPr>
      <w:r>
        <w:rPr>
          <w:b/>
          <w:color w:val="auto"/>
          <w:sz w:val="24"/>
          <w:highlight w:val="none"/>
        </w:rPr>
        <w:t>4. 仪器配置</w:t>
      </w:r>
    </w:p>
    <w:p>
      <w:pPr>
        <w:spacing w:line="440" w:lineRule="exact"/>
        <w:rPr>
          <w:color w:val="auto"/>
          <w:sz w:val="24"/>
          <w:highlight w:val="none"/>
          <w:lang w:val="zh-CN"/>
        </w:rPr>
      </w:pPr>
      <w:r>
        <w:rPr>
          <w:rFonts w:hint="eastAsia"/>
          <w:color w:val="auto"/>
          <w:sz w:val="24"/>
          <w:highlight w:val="none"/>
        </w:rPr>
        <w:t>4</w:t>
      </w:r>
      <w:r>
        <w:rPr>
          <w:color w:val="auto"/>
          <w:sz w:val="24"/>
          <w:highlight w:val="none"/>
          <w:lang w:val="zh-CN"/>
        </w:rPr>
        <w:t>.1 ICP光谱仪主机1台，含耐高盐进样系统（雾化室、雾化器、炬管）1套</w:t>
      </w:r>
      <w:r>
        <w:rPr>
          <w:rFonts w:hint="eastAsia"/>
          <w:color w:val="auto"/>
          <w:sz w:val="24"/>
          <w:highlight w:val="none"/>
          <w:lang w:val="zh-CN"/>
        </w:rPr>
        <w:t>；</w:t>
      </w:r>
    </w:p>
    <w:p>
      <w:pPr>
        <w:spacing w:line="440" w:lineRule="exact"/>
        <w:rPr>
          <w:color w:val="auto"/>
          <w:sz w:val="24"/>
          <w:highlight w:val="none"/>
          <w:lang w:val="zh-CN"/>
        </w:rPr>
      </w:pPr>
      <w:r>
        <w:rPr>
          <w:rFonts w:hint="eastAsia"/>
          <w:color w:val="auto"/>
          <w:sz w:val="24"/>
          <w:highlight w:val="none"/>
        </w:rPr>
        <w:t>4</w:t>
      </w:r>
      <w:r>
        <w:rPr>
          <w:color w:val="auto"/>
          <w:sz w:val="24"/>
          <w:highlight w:val="none"/>
          <w:lang w:val="zh-CN"/>
        </w:rPr>
        <w:t>.2 波长校正液1瓶；进口18元素混合标准溶液1瓶</w:t>
      </w:r>
      <w:r>
        <w:rPr>
          <w:rFonts w:hint="eastAsia"/>
          <w:color w:val="auto"/>
          <w:sz w:val="24"/>
          <w:highlight w:val="none"/>
          <w:lang w:val="zh-CN"/>
        </w:rPr>
        <w:t>；</w:t>
      </w:r>
    </w:p>
    <w:p>
      <w:pPr>
        <w:spacing w:line="440" w:lineRule="exact"/>
        <w:rPr>
          <w:color w:val="auto"/>
          <w:sz w:val="24"/>
          <w:highlight w:val="none"/>
          <w:lang w:val="zh-CN"/>
        </w:rPr>
      </w:pPr>
      <w:r>
        <w:rPr>
          <w:rFonts w:hint="eastAsia"/>
          <w:color w:val="auto"/>
          <w:sz w:val="24"/>
          <w:highlight w:val="none"/>
        </w:rPr>
        <w:t>4</w:t>
      </w:r>
      <w:r>
        <w:rPr>
          <w:color w:val="auto"/>
          <w:sz w:val="24"/>
          <w:highlight w:val="none"/>
          <w:lang w:val="zh-CN"/>
        </w:rPr>
        <w:t>.3 冷却循环水机 1套</w:t>
      </w:r>
      <w:r>
        <w:rPr>
          <w:rFonts w:hint="eastAsia"/>
          <w:color w:val="auto"/>
          <w:sz w:val="24"/>
          <w:highlight w:val="none"/>
          <w:lang w:val="zh-CN"/>
        </w:rPr>
        <w:t>；</w:t>
      </w:r>
    </w:p>
    <w:p>
      <w:pPr>
        <w:spacing w:line="440" w:lineRule="exact"/>
        <w:rPr>
          <w:color w:val="auto"/>
          <w:sz w:val="24"/>
          <w:highlight w:val="none"/>
          <w:lang w:val="zh-CN"/>
        </w:rPr>
      </w:pPr>
      <w:r>
        <w:rPr>
          <w:rFonts w:hint="eastAsia"/>
          <w:color w:val="auto"/>
          <w:sz w:val="24"/>
          <w:highlight w:val="none"/>
        </w:rPr>
        <w:t>4</w:t>
      </w:r>
      <w:r>
        <w:rPr>
          <w:color w:val="auto"/>
          <w:sz w:val="24"/>
          <w:highlight w:val="none"/>
          <w:lang w:val="zh-CN"/>
        </w:rPr>
        <w:t>.</w:t>
      </w:r>
      <w:r>
        <w:rPr>
          <w:rFonts w:hint="eastAsia"/>
          <w:color w:val="auto"/>
          <w:sz w:val="24"/>
          <w:highlight w:val="none"/>
        </w:rPr>
        <w:t>4</w:t>
      </w:r>
      <w:r>
        <w:rPr>
          <w:color w:val="auto"/>
          <w:sz w:val="24"/>
          <w:highlight w:val="none"/>
          <w:lang w:val="zh-CN"/>
        </w:rPr>
        <w:t xml:space="preserve"> 进样泵管、废液泵管各12根，其它全套常用管线，入口空气过滤芯</w:t>
      </w:r>
      <w:r>
        <w:rPr>
          <w:rFonts w:hint="eastAsia"/>
          <w:color w:val="auto"/>
          <w:sz w:val="24"/>
          <w:highlight w:val="none"/>
          <w:lang w:val="zh-CN"/>
        </w:rPr>
        <w:t>；</w:t>
      </w:r>
    </w:p>
    <w:p>
      <w:pPr>
        <w:spacing w:line="440" w:lineRule="exact"/>
        <w:rPr>
          <w:color w:val="auto"/>
          <w:sz w:val="24"/>
          <w:highlight w:val="none"/>
          <w:lang w:val="zh-CN"/>
        </w:rPr>
      </w:pPr>
      <w:r>
        <w:rPr>
          <w:rFonts w:hint="eastAsia"/>
          <w:color w:val="auto"/>
          <w:sz w:val="24"/>
          <w:highlight w:val="none"/>
        </w:rPr>
        <w:t>4</w:t>
      </w:r>
      <w:r>
        <w:rPr>
          <w:color w:val="auto"/>
          <w:sz w:val="24"/>
          <w:highlight w:val="none"/>
          <w:lang w:val="zh-CN"/>
        </w:rPr>
        <w:t>.</w:t>
      </w:r>
      <w:r>
        <w:rPr>
          <w:rFonts w:hint="eastAsia"/>
          <w:color w:val="auto"/>
          <w:sz w:val="24"/>
          <w:highlight w:val="none"/>
        </w:rPr>
        <w:t>5</w:t>
      </w:r>
      <w:r>
        <w:rPr>
          <w:color w:val="auto"/>
          <w:sz w:val="24"/>
          <w:highlight w:val="none"/>
          <w:lang w:val="zh-CN"/>
        </w:rPr>
        <w:t xml:space="preserve"> 可拆卸炬管1支，含中心管，炬管外管及底座</w:t>
      </w:r>
      <w:r>
        <w:rPr>
          <w:rFonts w:hint="eastAsia"/>
          <w:color w:val="auto"/>
          <w:sz w:val="24"/>
          <w:highlight w:val="none"/>
          <w:lang w:val="zh-CN"/>
        </w:rPr>
        <w:t>；</w:t>
      </w:r>
    </w:p>
    <w:p>
      <w:pPr>
        <w:spacing w:line="440" w:lineRule="exact"/>
        <w:rPr>
          <w:color w:val="auto"/>
          <w:sz w:val="24"/>
          <w:highlight w:val="none"/>
          <w:lang w:val="zh-CN"/>
        </w:rPr>
      </w:pPr>
      <w:r>
        <w:rPr>
          <w:rFonts w:hint="eastAsia"/>
          <w:color w:val="auto"/>
          <w:sz w:val="24"/>
          <w:highlight w:val="none"/>
        </w:rPr>
        <w:t>4</w:t>
      </w:r>
      <w:r>
        <w:rPr>
          <w:color w:val="auto"/>
          <w:sz w:val="24"/>
          <w:highlight w:val="none"/>
          <w:lang w:val="zh-CN"/>
        </w:rPr>
        <w:t>.</w:t>
      </w:r>
      <w:r>
        <w:rPr>
          <w:rFonts w:hint="eastAsia"/>
          <w:color w:val="auto"/>
          <w:sz w:val="24"/>
          <w:highlight w:val="none"/>
        </w:rPr>
        <w:t>6</w:t>
      </w:r>
      <w:r>
        <w:rPr>
          <w:color w:val="auto"/>
          <w:sz w:val="24"/>
          <w:highlight w:val="none"/>
          <w:lang w:val="zh-CN"/>
        </w:rPr>
        <w:t xml:space="preserve"> 炬管石英外管2支</w:t>
      </w:r>
      <w:r>
        <w:rPr>
          <w:rFonts w:hint="eastAsia"/>
          <w:color w:val="auto"/>
          <w:sz w:val="24"/>
          <w:highlight w:val="none"/>
          <w:lang w:val="zh-CN"/>
        </w:rPr>
        <w:t>；</w:t>
      </w:r>
    </w:p>
    <w:p>
      <w:pPr>
        <w:spacing w:line="440" w:lineRule="exact"/>
        <w:rPr>
          <w:color w:val="auto"/>
          <w:sz w:val="24"/>
          <w:highlight w:val="none"/>
        </w:rPr>
      </w:pPr>
      <w:r>
        <w:rPr>
          <w:rFonts w:hint="eastAsia"/>
          <w:color w:val="auto"/>
          <w:sz w:val="24"/>
          <w:highlight w:val="none"/>
        </w:rPr>
        <w:t>4</w:t>
      </w:r>
      <w:r>
        <w:rPr>
          <w:color w:val="auto"/>
          <w:sz w:val="24"/>
          <w:highlight w:val="none"/>
        </w:rPr>
        <w:t>.</w:t>
      </w:r>
      <w:r>
        <w:rPr>
          <w:rFonts w:hint="eastAsia"/>
          <w:color w:val="auto"/>
          <w:sz w:val="24"/>
          <w:highlight w:val="none"/>
        </w:rPr>
        <w:t>7</w:t>
      </w:r>
      <w:r>
        <w:rPr>
          <w:color w:val="auto"/>
          <w:sz w:val="24"/>
          <w:highlight w:val="none"/>
          <w:lang w:val="zh-CN"/>
        </w:rPr>
        <w:t>耐氢氟酸雾化器</w:t>
      </w:r>
      <w:r>
        <w:rPr>
          <w:color w:val="auto"/>
          <w:sz w:val="24"/>
          <w:highlight w:val="none"/>
        </w:rPr>
        <w:t>1个</w:t>
      </w:r>
      <w:r>
        <w:rPr>
          <w:rFonts w:hint="eastAsia"/>
          <w:color w:val="auto"/>
          <w:sz w:val="24"/>
          <w:highlight w:val="none"/>
        </w:rPr>
        <w:t>；</w:t>
      </w:r>
    </w:p>
    <w:p>
      <w:pPr>
        <w:spacing w:line="440" w:lineRule="exact"/>
        <w:rPr>
          <w:color w:val="auto"/>
          <w:sz w:val="24"/>
          <w:highlight w:val="none"/>
          <w:lang w:val="zh-CN"/>
        </w:rPr>
      </w:pPr>
      <w:r>
        <w:rPr>
          <w:rFonts w:hint="eastAsia"/>
          <w:color w:val="auto"/>
          <w:sz w:val="24"/>
          <w:highlight w:val="none"/>
          <w:lang w:val="zh-CN"/>
        </w:rPr>
        <w:t>4.</w:t>
      </w:r>
      <w:r>
        <w:rPr>
          <w:rFonts w:hint="eastAsia"/>
          <w:color w:val="auto"/>
          <w:sz w:val="24"/>
          <w:highlight w:val="none"/>
        </w:rPr>
        <w:t>8</w:t>
      </w:r>
      <w:r>
        <w:rPr>
          <w:rFonts w:hint="eastAsia"/>
          <w:color w:val="auto"/>
          <w:sz w:val="24"/>
          <w:highlight w:val="none"/>
          <w:lang w:val="zh-CN"/>
        </w:rPr>
        <w:t>数据处理系统1套：需满足仪器控制软件使用要求，支持日后产品软件升级；屏幕尺寸： ≥24英寸；CPU： 英特尔酷睿 i7；显卡类型： 独立显卡；显存容量：8GB；固态硬盘： 1TB；内存容量： 16GB；光驱类型： 有光驱；操作系统： 与软件匹配的最高版本；</w:t>
      </w:r>
    </w:p>
    <w:p>
      <w:pPr>
        <w:spacing w:line="440" w:lineRule="exact"/>
        <w:rPr>
          <w:b/>
          <w:bCs/>
          <w:color w:val="auto"/>
          <w:kern w:val="0"/>
          <w:sz w:val="24"/>
          <w:highlight w:val="none"/>
        </w:rPr>
      </w:pPr>
      <w:r>
        <w:rPr>
          <w:b/>
          <w:bCs/>
          <w:color w:val="auto"/>
          <w:kern w:val="0"/>
          <w:sz w:val="24"/>
          <w:highlight w:val="none"/>
        </w:rPr>
        <w:t>5.技术服务</w:t>
      </w:r>
    </w:p>
    <w:p>
      <w:pPr>
        <w:spacing w:line="440" w:lineRule="exact"/>
        <w:rPr>
          <w:color w:val="auto"/>
          <w:sz w:val="24"/>
          <w:highlight w:val="none"/>
          <w:lang w:val="zh-CN"/>
        </w:rPr>
      </w:pPr>
      <w:r>
        <w:rPr>
          <w:rFonts w:hint="eastAsia"/>
          <w:color w:val="auto"/>
          <w:sz w:val="24"/>
          <w:highlight w:val="none"/>
          <w:lang w:val="zh-CN"/>
        </w:rPr>
        <w:t>5.1保证产品为全新原厂设备。</w:t>
      </w:r>
    </w:p>
    <w:p>
      <w:pPr>
        <w:spacing w:line="440" w:lineRule="exact"/>
        <w:rPr>
          <w:color w:val="auto"/>
          <w:sz w:val="24"/>
          <w:highlight w:val="none"/>
          <w:lang w:val="zh-CN"/>
        </w:rPr>
      </w:pPr>
      <w:r>
        <w:rPr>
          <w:rFonts w:hint="eastAsia"/>
          <w:color w:val="auto"/>
          <w:sz w:val="24"/>
          <w:highlight w:val="none"/>
          <w:lang w:val="zh-CN"/>
        </w:rPr>
        <w:t>5.2仪器安装验收：供货商在接到用户安装通知后，须在10工作日内安排有经验的工程师到现场安装仪器，并在</w:t>
      </w:r>
      <w:r>
        <w:rPr>
          <w:rFonts w:hint="eastAsia"/>
          <w:color w:val="auto"/>
          <w:sz w:val="24"/>
          <w:highlight w:val="none"/>
        </w:rPr>
        <w:t>3</w:t>
      </w:r>
      <w:r>
        <w:rPr>
          <w:rFonts w:hint="eastAsia"/>
          <w:color w:val="auto"/>
          <w:sz w:val="24"/>
          <w:highlight w:val="none"/>
          <w:lang w:val="zh-CN"/>
        </w:rPr>
        <w:t>0工作日内安装、调试完毕，进行操作试验，直至运行正常并验收确认。</w:t>
      </w:r>
    </w:p>
    <w:p>
      <w:pPr>
        <w:spacing w:line="440" w:lineRule="exact"/>
        <w:rPr>
          <w:color w:val="auto"/>
          <w:sz w:val="24"/>
          <w:highlight w:val="none"/>
          <w:lang w:val="zh-CN"/>
        </w:rPr>
      </w:pPr>
      <w:r>
        <w:rPr>
          <w:rFonts w:hint="eastAsia"/>
          <w:color w:val="auto"/>
          <w:sz w:val="24"/>
          <w:highlight w:val="none"/>
          <w:lang w:val="zh-CN"/>
        </w:rPr>
        <w:t>5.</w:t>
      </w:r>
      <w:r>
        <w:rPr>
          <w:rFonts w:hint="eastAsia"/>
          <w:color w:val="auto"/>
          <w:sz w:val="24"/>
          <w:highlight w:val="none"/>
        </w:rPr>
        <w:t>3</w:t>
      </w:r>
      <w:r>
        <w:rPr>
          <w:rFonts w:hint="eastAsia"/>
          <w:color w:val="auto"/>
          <w:sz w:val="24"/>
          <w:highlight w:val="none"/>
          <w:lang w:val="zh-CN"/>
        </w:rPr>
        <w:t>保修服务：自验收合格起，厂家向用户提供至少</w:t>
      </w:r>
      <w:r>
        <w:rPr>
          <w:rFonts w:hint="eastAsia"/>
          <w:color w:val="auto"/>
          <w:sz w:val="24"/>
          <w:highlight w:val="none"/>
        </w:rPr>
        <w:t>1</w:t>
      </w:r>
      <w:r>
        <w:rPr>
          <w:rFonts w:hint="eastAsia"/>
          <w:color w:val="auto"/>
          <w:sz w:val="24"/>
          <w:highlight w:val="none"/>
          <w:lang w:val="zh-CN"/>
        </w:rPr>
        <w:t>年的免费保修服务，终生维修。保修期内所有服务免费，一切配件、耗材免费到场更换。保修期外，能及时地为用户提供备品备件。</w:t>
      </w:r>
    </w:p>
    <w:p>
      <w:pPr>
        <w:spacing w:line="440" w:lineRule="exact"/>
        <w:rPr>
          <w:color w:val="auto"/>
          <w:sz w:val="24"/>
          <w:highlight w:val="none"/>
          <w:lang w:val="zh-CN"/>
        </w:rPr>
      </w:pPr>
      <w:r>
        <w:rPr>
          <w:rFonts w:hint="eastAsia"/>
          <w:color w:val="auto"/>
          <w:sz w:val="24"/>
          <w:highlight w:val="none"/>
          <w:lang w:val="zh-CN"/>
        </w:rPr>
        <w:t>5.</w:t>
      </w:r>
      <w:r>
        <w:rPr>
          <w:rFonts w:hint="eastAsia"/>
          <w:color w:val="auto"/>
          <w:sz w:val="24"/>
          <w:highlight w:val="none"/>
        </w:rPr>
        <w:t>4</w:t>
      </w:r>
      <w:r>
        <w:rPr>
          <w:rFonts w:hint="eastAsia"/>
          <w:color w:val="auto"/>
          <w:sz w:val="24"/>
          <w:highlight w:val="none"/>
          <w:lang w:val="zh-CN"/>
        </w:rPr>
        <w:t>质量及验收标准：</w:t>
      </w:r>
      <w:r>
        <w:rPr>
          <w:color w:val="auto"/>
          <w:sz w:val="24"/>
          <w:highlight w:val="none"/>
          <w:lang w:val="zh-CN"/>
        </w:rPr>
        <w:t>安装工程师对本标书中提出的性能指标须逐项验收，所有验收指标要求一次完成。</w:t>
      </w:r>
      <w:r>
        <w:rPr>
          <w:rFonts w:hint="eastAsia"/>
          <w:color w:val="auto"/>
          <w:sz w:val="24"/>
          <w:highlight w:val="none"/>
        </w:rPr>
        <w:t>证书</w:t>
      </w:r>
      <w:r>
        <w:rPr>
          <w:color w:val="auto"/>
          <w:sz w:val="24"/>
          <w:highlight w:val="none"/>
          <w:lang w:val="zh-CN"/>
        </w:rPr>
        <w:t>技术指标符合买方要求和厂家规定的出厂要求，如未通过验收，视情节更换部件或主机，直至退货</w:t>
      </w:r>
      <w:r>
        <w:rPr>
          <w:rFonts w:hint="eastAsia"/>
          <w:color w:val="auto"/>
          <w:sz w:val="24"/>
          <w:highlight w:val="none"/>
          <w:lang w:val="zh-CN"/>
        </w:rPr>
        <w:t>；安装调试完成后厂家需找有资质的机构或单位对仪器进行检定</w:t>
      </w:r>
      <w:r>
        <w:rPr>
          <w:rFonts w:hint="eastAsia"/>
          <w:color w:val="auto"/>
          <w:sz w:val="24"/>
          <w:highlight w:val="none"/>
        </w:rPr>
        <w:t>/校准，并提供检定/校准证书，检定/校准结果满足相关检定/校准规程要求。</w:t>
      </w:r>
    </w:p>
    <w:p>
      <w:pPr>
        <w:spacing w:line="440" w:lineRule="exact"/>
        <w:rPr>
          <w:color w:val="auto"/>
          <w:sz w:val="24"/>
          <w:highlight w:val="none"/>
          <w:lang w:val="zh-CN"/>
        </w:rPr>
      </w:pPr>
      <w:r>
        <w:rPr>
          <w:rFonts w:hint="eastAsia"/>
          <w:color w:val="auto"/>
          <w:sz w:val="24"/>
          <w:highlight w:val="none"/>
          <w:lang w:val="zh-CN"/>
        </w:rPr>
        <w:t>5.</w:t>
      </w:r>
      <w:r>
        <w:rPr>
          <w:rFonts w:hint="eastAsia"/>
          <w:color w:val="auto"/>
          <w:sz w:val="24"/>
          <w:highlight w:val="none"/>
        </w:rPr>
        <w:t>5</w:t>
      </w:r>
      <w:r>
        <w:rPr>
          <w:rFonts w:hint="eastAsia"/>
          <w:color w:val="auto"/>
          <w:sz w:val="24"/>
          <w:highlight w:val="none"/>
          <w:lang w:val="zh-CN"/>
        </w:rPr>
        <w:t>培训：</w:t>
      </w:r>
      <w:r>
        <w:rPr>
          <w:color w:val="auto"/>
          <w:sz w:val="24"/>
          <w:highlight w:val="none"/>
          <w:lang w:val="zh-CN"/>
        </w:rPr>
        <w:t>①仪器安装现场应至少对2名以上仪器操作人员提供免费的上机操作及日常维护培训，至使用者会操作、使用仪器以及能够正常的进行仪器日常维护为止；②在仪器使用一段时间后，安排该仪器应用工程师到仪器使用单位对至少</w:t>
      </w:r>
      <w:r>
        <w:rPr>
          <w:color w:val="auto"/>
          <w:sz w:val="24"/>
          <w:highlight w:val="none"/>
        </w:rPr>
        <w:t>2名以上仪器操作人员提供免费应用培训，包括与该设备相关的检测方法的建立和开发；③</w:t>
      </w:r>
      <w:r>
        <w:rPr>
          <w:color w:val="auto"/>
          <w:sz w:val="24"/>
          <w:highlight w:val="none"/>
          <w:lang w:val="zh-CN"/>
        </w:rPr>
        <w:t>除仪器中文使用说明书外，应提供安装、使用技术光碟等，便于后期操作人员更好的使用仪器和进行维护</w:t>
      </w:r>
      <w:bookmarkStart w:id="140" w:name="_Hlk136564771"/>
      <w:r>
        <w:rPr>
          <w:color w:val="auto"/>
          <w:sz w:val="24"/>
          <w:highlight w:val="none"/>
          <w:lang w:val="zh-CN"/>
        </w:rPr>
        <w:t>；④提供4人赴厂家培训基地免培训费技术培训。</w:t>
      </w:r>
      <w:bookmarkEnd w:id="140"/>
    </w:p>
    <w:p>
      <w:pPr>
        <w:spacing w:line="440" w:lineRule="exact"/>
        <w:rPr>
          <w:color w:val="auto"/>
          <w:sz w:val="24"/>
          <w:highlight w:val="none"/>
          <w:lang w:val="zh-CN"/>
        </w:rPr>
      </w:pPr>
      <w:r>
        <w:rPr>
          <w:rFonts w:hint="eastAsia"/>
          <w:color w:val="auto"/>
          <w:sz w:val="24"/>
          <w:highlight w:val="none"/>
          <w:lang w:val="zh-CN"/>
        </w:rPr>
        <w:t>5.</w:t>
      </w:r>
      <w:r>
        <w:rPr>
          <w:rFonts w:hint="eastAsia"/>
          <w:color w:val="auto"/>
          <w:sz w:val="24"/>
          <w:highlight w:val="none"/>
        </w:rPr>
        <w:t>6</w:t>
      </w:r>
      <w:r>
        <w:rPr>
          <w:rFonts w:hint="eastAsia"/>
          <w:color w:val="auto"/>
          <w:sz w:val="24"/>
          <w:highlight w:val="none"/>
          <w:lang w:val="zh-CN"/>
        </w:rPr>
        <w:t>用户所在地应有生产商直属分公司和售后工程师，能提供快捷、完善的售后服务；服务响应时间不大于24小时，故障可以在48小时内到现场维修。</w:t>
      </w:r>
    </w:p>
    <w:p>
      <w:pPr>
        <w:spacing w:line="440" w:lineRule="exact"/>
        <w:rPr>
          <w:color w:val="auto"/>
          <w:sz w:val="24"/>
          <w:highlight w:val="none"/>
          <w:lang w:val="zh-CN"/>
        </w:rPr>
      </w:pPr>
      <w:r>
        <w:rPr>
          <w:rFonts w:hint="eastAsia"/>
          <w:color w:val="auto"/>
          <w:sz w:val="24"/>
          <w:highlight w:val="none"/>
          <w:lang w:val="zh-CN"/>
        </w:rPr>
        <w:t>5.</w:t>
      </w:r>
      <w:r>
        <w:rPr>
          <w:rFonts w:hint="eastAsia"/>
          <w:color w:val="auto"/>
          <w:sz w:val="24"/>
          <w:highlight w:val="none"/>
        </w:rPr>
        <w:t>7</w:t>
      </w:r>
      <w:r>
        <w:rPr>
          <w:rFonts w:hint="eastAsia"/>
          <w:color w:val="auto"/>
          <w:sz w:val="24"/>
          <w:highlight w:val="none"/>
          <w:lang w:val="zh-CN"/>
        </w:rPr>
        <w:t xml:space="preserve"> 及时免费提供技术咨询。</w:t>
      </w:r>
    </w:p>
    <w:p>
      <w:pPr>
        <w:spacing w:line="440" w:lineRule="exact"/>
        <w:rPr>
          <w:color w:val="auto"/>
          <w:sz w:val="24"/>
          <w:highlight w:val="none"/>
          <w:lang w:val="zh-CN"/>
        </w:rPr>
      </w:pPr>
      <w:r>
        <w:rPr>
          <w:rFonts w:hint="eastAsia"/>
          <w:color w:val="auto"/>
          <w:sz w:val="24"/>
          <w:highlight w:val="none"/>
          <w:lang w:val="zh-CN"/>
        </w:rPr>
        <w:t>5.</w:t>
      </w:r>
      <w:r>
        <w:rPr>
          <w:rFonts w:hint="eastAsia"/>
          <w:color w:val="auto"/>
          <w:sz w:val="24"/>
          <w:highlight w:val="none"/>
        </w:rPr>
        <w:t>8</w:t>
      </w:r>
      <w:r>
        <w:rPr>
          <w:rFonts w:hint="eastAsia"/>
          <w:color w:val="auto"/>
          <w:sz w:val="24"/>
          <w:highlight w:val="none"/>
          <w:lang w:val="zh-CN"/>
        </w:rPr>
        <w:t>自安装之日起，每年至少2次免费技术和维护回访，帮助用户解决软硬件使用中出现的技术问题。</w:t>
      </w:r>
    </w:p>
    <w:p>
      <w:pPr>
        <w:spacing w:line="400" w:lineRule="exact"/>
        <w:rPr>
          <w:color w:val="auto"/>
          <w:highlight w:val="none"/>
        </w:rPr>
      </w:pPr>
      <w:r>
        <w:rPr>
          <w:color w:val="auto"/>
          <w:sz w:val="24"/>
          <w:highlight w:val="none"/>
        </w:rPr>
        <w:t>备注：</w:t>
      </w:r>
      <w:r>
        <w:rPr>
          <w:color w:val="auto"/>
          <w:sz w:val="24"/>
          <w:highlight w:val="none"/>
          <w:lang w:val="zh-CN"/>
        </w:rPr>
        <w:t>带“*”号的为必须满足指标，与技术性能指标一起</w:t>
      </w:r>
      <w:r>
        <w:rPr>
          <w:rFonts w:hint="eastAsia"/>
          <w:color w:val="auto"/>
          <w:sz w:val="24"/>
          <w:highlight w:val="none"/>
          <w:lang w:val="zh-CN"/>
        </w:rPr>
        <w:t>作</w:t>
      </w:r>
      <w:r>
        <w:rPr>
          <w:color w:val="auto"/>
          <w:sz w:val="24"/>
          <w:highlight w:val="none"/>
          <w:lang w:val="zh-CN"/>
        </w:rPr>
        <w:t>为验收指标。</w:t>
      </w:r>
      <w:r>
        <w:rPr>
          <w:color w:val="auto"/>
          <w:sz w:val="24"/>
          <w:highlight w:val="none"/>
        </w:rPr>
        <w:t>验收时须提供精密度、检出限等技术材料。</w:t>
      </w:r>
    </w:p>
    <w:p>
      <w:pPr>
        <w:pStyle w:val="60"/>
        <w:numPr>
          <w:ilvl w:val="0"/>
          <w:numId w:val="15"/>
        </w:numPr>
        <w:spacing w:line="440" w:lineRule="exact"/>
        <w:ind w:leftChars="0" w:firstLineChars="0"/>
        <w:rPr>
          <w:color w:val="auto"/>
          <w:highlight w:val="none"/>
        </w:rPr>
      </w:pPr>
      <w:r>
        <w:rPr>
          <w:rFonts w:hint="eastAsia"/>
          <w:color w:val="auto"/>
          <w:highlight w:val="none"/>
        </w:rPr>
        <w:t>火焰原子吸收分光光度计</w:t>
      </w:r>
    </w:p>
    <w:p>
      <w:pPr>
        <w:widowControl/>
        <w:autoSpaceDE w:val="0"/>
        <w:autoSpaceDN w:val="0"/>
        <w:snapToGrid w:val="0"/>
        <w:spacing w:line="440" w:lineRule="exact"/>
        <w:rPr>
          <w:b/>
          <w:bCs/>
          <w:color w:val="auto"/>
          <w:kern w:val="0"/>
          <w:sz w:val="24"/>
          <w:highlight w:val="none"/>
        </w:rPr>
      </w:pPr>
      <w:r>
        <w:rPr>
          <w:b/>
          <w:bCs/>
          <w:color w:val="auto"/>
          <w:kern w:val="0"/>
          <w:sz w:val="24"/>
          <w:highlight w:val="none"/>
        </w:rPr>
        <w:t>1.设备用途</w:t>
      </w:r>
    </w:p>
    <w:p>
      <w:pPr>
        <w:spacing w:line="440" w:lineRule="exact"/>
        <w:rPr>
          <w:color w:val="auto"/>
          <w:sz w:val="24"/>
          <w:highlight w:val="none"/>
        </w:rPr>
      </w:pPr>
      <w:r>
        <w:rPr>
          <w:color w:val="auto"/>
          <w:sz w:val="24"/>
          <w:highlight w:val="none"/>
        </w:rPr>
        <w:t>用于水质、气体、土壤及固体废物样品中的重金属元素的测定。</w:t>
      </w:r>
    </w:p>
    <w:p>
      <w:pPr>
        <w:widowControl/>
        <w:autoSpaceDE w:val="0"/>
        <w:autoSpaceDN w:val="0"/>
        <w:snapToGrid w:val="0"/>
        <w:spacing w:line="440" w:lineRule="exact"/>
        <w:rPr>
          <w:b/>
          <w:bCs/>
          <w:color w:val="auto"/>
          <w:kern w:val="0"/>
          <w:sz w:val="24"/>
          <w:highlight w:val="none"/>
        </w:rPr>
      </w:pPr>
      <w:r>
        <w:rPr>
          <w:b/>
          <w:bCs/>
          <w:color w:val="auto"/>
          <w:kern w:val="0"/>
          <w:sz w:val="24"/>
          <w:highlight w:val="none"/>
        </w:rPr>
        <w:t>2.工作环境</w:t>
      </w:r>
    </w:p>
    <w:p>
      <w:pPr>
        <w:spacing w:line="440" w:lineRule="exact"/>
        <w:rPr>
          <w:color w:val="auto"/>
          <w:sz w:val="24"/>
          <w:highlight w:val="none"/>
        </w:rPr>
      </w:pPr>
      <w:r>
        <w:rPr>
          <w:color w:val="auto"/>
          <w:sz w:val="24"/>
          <w:highlight w:val="none"/>
        </w:rPr>
        <w:t>2.1电源：AC 220V±10%，50（±1）Hz；</w:t>
      </w:r>
    </w:p>
    <w:p>
      <w:pPr>
        <w:spacing w:line="440" w:lineRule="exact"/>
        <w:rPr>
          <w:color w:val="auto"/>
          <w:sz w:val="24"/>
          <w:highlight w:val="none"/>
        </w:rPr>
      </w:pPr>
      <w:r>
        <w:rPr>
          <w:color w:val="auto"/>
          <w:sz w:val="24"/>
          <w:highlight w:val="none"/>
        </w:rPr>
        <w:t>2.2温度：10-40</w:t>
      </w:r>
      <w:r>
        <w:rPr>
          <w:color w:val="auto"/>
          <w:sz w:val="24"/>
          <w:highlight w:val="none"/>
        </w:rPr>
        <w:sym w:font="Symbol" w:char="F0B0"/>
      </w:r>
      <w:r>
        <w:rPr>
          <w:color w:val="auto"/>
          <w:sz w:val="24"/>
          <w:highlight w:val="none"/>
        </w:rPr>
        <w:t>C；</w:t>
      </w:r>
    </w:p>
    <w:p>
      <w:pPr>
        <w:spacing w:line="440" w:lineRule="exact"/>
        <w:rPr>
          <w:color w:val="auto"/>
          <w:sz w:val="24"/>
          <w:highlight w:val="none"/>
        </w:rPr>
      </w:pPr>
      <w:r>
        <w:rPr>
          <w:color w:val="auto"/>
          <w:sz w:val="24"/>
          <w:highlight w:val="none"/>
        </w:rPr>
        <w:t>2.3湿度：20%-80%。</w:t>
      </w:r>
    </w:p>
    <w:p>
      <w:pPr>
        <w:autoSpaceDE w:val="0"/>
        <w:autoSpaceDN w:val="0"/>
        <w:adjustRightInd w:val="0"/>
        <w:spacing w:line="440" w:lineRule="exact"/>
        <w:rPr>
          <w:b/>
          <w:bCs/>
          <w:color w:val="auto"/>
          <w:sz w:val="24"/>
          <w:highlight w:val="none"/>
        </w:rPr>
      </w:pPr>
      <w:r>
        <w:rPr>
          <w:b/>
          <w:bCs/>
          <w:color w:val="auto"/>
          <w:sz w:val="24"/>
          <w:highlight w:val="none"/>
        </w:rPr>
        <w:t>3. 技术要求</w:t>
      </w:r>
    </w:p>
    <w:p>
      <w:pPr>
        <w:spacing w:line="440" w:lineRule="exact"/>
        <w:rPr>
          <w:color w:val="auto"/>
          <w:sz w:val="24"/>
          <w:highlight w:val="none"/>
        </w:rPr>
      </w:pPr>
      <w:r>
        <w:rPr>
          <w:color w:val="auto"/>
          <w:sz w:val="24"/>
          <w:highlight w:val="none"/>
        </w:rPr>
        <w:t>3.1可安装元素灯：≥8支；</w:t>
      </w:r>
    </w:p>
    <w:p>
      <w:pPr>
        <w:spacing w:line="440" w:lineRule="exact"/>
        <w:rPr>
          <w:color w:val="auto"/>
          <w:sz w:val="24"/>
          <w:highlight w:val="none"/>
        </w:rPr>
      </w:pPr>
      <w:r>
        <w:rPr>
          <w:color w:val="auto"/>
          <w:sz w:val="24"/>
          <w:highlight w:val="none"/>
        </w:rPr>
        <w:t>3.2波长范围：190～900nm；</w:t>
      </w:r>
    </w:p>
    <w:p>
      <w:pPr>
        <w:spacing w:line="440" w:lineRule="exact"/>
        <w:rPr>
          <w:color w:val="auto"/>
          <w:sz w:val="24"/>
          <w:highlight w:val="none"/>
        </w:rPr>
      </w:pPr>
      <w:r>
        <w:rPr>
          <w:color w:val="auto"/>
          <w:sz w:val="24"/>
          <w:highlight w:val="none"/>
        </w:rPr>
        <w:t>3.3单色器：消象差C－T型单色器装置。 杂散光小，成像质量高，能够确保全波段范围内高灵敏度；</w:t>
      </w:r>
    </w:p>
    <w:p>
      <w:pPr>
        <w:spacing w:line="440" w:lineRule="exact"/>
        <w:rPr>
          <w:color w:val="auto"/>
          <w:sz w:val="24"/>
          <w:highlight w:val="none"/>
        </w:rPr>
      </w:pPr>
      <w:r>
        <w:rPr>
          <w:color w:val="auto"/>
          <w:sz w:val="24"/>
          <w:highlight w:val="none"/>
        </w:rPr>
        <w:t>3.4光谱带宽：0.1/0.2/0.4/1.0/2.0nm五档自动可选；</w:t>
      </w:r>
    </w:p>
    <w:p>
      <w:pPr>
        <w:spacing w:line="440" w:lineRule="exact"/>
        <w:rPr>
          <w:color w:val="auto"/>
          <w:sz w:val="24"/>
          <w:highlight w:val="none"/>
        </w:rPr>
      </w:pPr>
      <w:r>
        <w:rPr>
          <w:color w:val="auto"/>
          <w:sz w:val="24"/>
          <w:highlight w:val="none"/>
        </w:rPr>
        <w:t>3.5波长准确度：±0.15nm；</w:t>
      </w:r>
    </w:p>
    <w:p>
      <w:pPr>
        <w:spacing w:line="440" w:lineRule="exact"/>
        <w:rPr>
          <w:color w:val="auto"/>
          <w:sz w:val="24"/>
          <w:highlight w:val="none"/>
        </w:rPr>
      </w:pPr>
      <w:r>
        <w:rPr>
          <w:color w:val="auto"/>
          <w:sz w:val="24"/>
          <w:highlight w:val="none"/>
        </w:rPr>
        <w:t>3.6波长重复精度：优于0.05nm；</w:t>
      </w:r>
    </w:p>
    <w:p>
      <w:pPr>
        <w:spacing w:line="440" w:lineRule="exact"/>
        <w:rPr>
          <w:color w:val="auto"/>
          <w:sz w:val="24"/>
          <w:highlight w:val="none"/>
        </w:rPr>
      </w:pPr>
      <w:r>
        <w:rPr>
          <w:color w:val="auto"/>
          <w:sz w:val="24"/>
          <w:highlight w:val="none"/>
        </w:rPr>
        <w:t>3.7分辨率：优于0.3nm；</w:t>
      </w:r>
    </w:p>
    <w:p>
      <w:pPr>
        <w:spacing w:line="440" w:lineRule="exact"/>
        <w:rPr>
          <w:color w:val="auto"/>
          <w:sz w:val="24"/>
          <w:highlight w:val="none"/>
        </w:rPr>
      </w:pPr>
      <w:r>
        <w:rPr>
          <w:color w:val="auto"/>
          <w:sz w:val="24"/>
          <w:highlight w:val="none"/>
        </w:rPr>
        <w:t>*3.8基线稳定性：0.002A/30min；</w:t>
      </w:r>
    </w:p>
    <w:p>
      <w:pPr>
        <w:spacing w:line="440" w:lineRule="exact"/>
        <w:rPr>
          <w:color w:val="auto"/>
          <w:sz w:val="24"/>
          <w:highlight w:val="none"/>
        </w:rPr>
      </w:pPr>
      <w:r>
        <w:rPr>
          <w:color w:val="auto"/>
          <w:sz w:val="24"/>
          <w:highlight w:val="none"/>
        </w:rPr>
        <w:t>*3.9特征浓度（Cu）：优于0.02μg/ml/1%；</w:t>
      </w:r>
    </w:p>
    <w:p>
      <w:pPr>
        <w:spacing w:line="440" w:lineRule="exact"/>
        <w:rPr>
          <w:color w:val="auto"/>
          <w:sz w:val="24"/>
          <w:highlight w:val="none"/>
        </w:rPr>
      </w:pPr>
      <w:r>
        <w:rPr>
          <w:rFonts w:hint="eastAsia"/>
          <w:color w:val="auto"/>
          <w:sz w:val="24"/>
          <w:highlight w:val="none"/>
        </w:rPr>
        <w:t>★</w:t>
      </w:r>
      <w:r>
        <w:rPr>
          <w:color w:val="auto"/>
          <w:sz w:val="24"/>
          <w:highlight w:val="none"/>
        </w:rPr>
        <w:t>3.10检出限(Cu)：优于0.004μg/ml；</w:t>
      </w:r>
    </w:p>
    <w:p>
      <w:pPr>
        <w:spacing w:line="440" w:lineRule="exact"/>
        <w:rPr>
          <w:color w:val="auto"/>
          <w:sz w:val="24"/>
          <w:highlight w:val="none"/>
        </w:rPr>
      </w:pPr>
      <w:r>
        <w:rPr>
          <w:color w:val="auto"/>
          <w:sz w:val="24"/>
          <w:highlight w:val="none"/>
        </w:rPr>
        <w:t>3.11燃烧器：金属钛燃烧器；</w:t>
      </w:r>
    </w:p>
    <w:p>
      <w:pPr>
        <w:spacing w:line="440" w:lineRule="exact"/>
        <w:rPr>
          <w:color w:val="auto"/>
          <w:sz w:val="24"/>
          <w:highlight w:val="none"/>
        </w:rPr>
      </w:pPr>
      <w:r>
        <w:rPr>
          <w:color w:val="auto"/>
          <w:sz w:val="24"/>
          <w:highlight w:val="none"/>
        </w:rPr>
        <w:t>*3.12精密度(Cu)：RSD≤0.6%；</w:t>
      </w:r>
    </w:p>
    <w:p>
      <w:pPr>
        <w:spacing w:line="440" w:lineRule="exact"/>
        <w:rPr>
          <w:color w:val="auto"/>
          <w:sz w:val="24"/>
          <w:highlight w:val="none"/>
        </w:rPr>
      </w:pPr>
      <w:r>
        <w:rPr>
          <w:color w:val="auto"/>
          <w:sz w:val="24"/>
          <w:highlight w:val="none"/>
        </w:rPr>
        <w:t>3.13喷雾器：高效雾化器；</w:t>
      </w:r>
    </w:p>
    <w:p>
      <w:pPr>
        <w:spacing w:line="440" w:lineRule="exact"/>
        <w:rPr>
          <w:color w:val="auto"/>
          <w:sz w:val="24"/>
          <w:highlight w:val="none"/>
        </w:rPr>
      </w:pPr>
      <w:r>
        <w:rPr>
          <w:color w:val="auto"/>
          <w:sz w:val="24"/>
          <w:highlight w:val="none"/>
        </w:rPr>
        <w:t>3.14雾化室：耐腐蚀材料雾化室；</w:t>
      </w:r>
    </w:p>
    <w:p>
      <w:pPr>
        <w:spacing w:line="440" w:lineRule="exact"/>
        <w:rPr>
          <w:color w:val="auto"/>
          <w:sz w:val="24"/>
          <w:highlight w:val="none"/>
        </w:rPr>
      </w:pPr>
      <w:r>
        <w:rPr>
          <w:color w:val="auto"/>
          <w:sz w:val="24"/>
          <w:highlight w:val="none"/>
        </w:rPr>
        <w:t>3.15位置调节：火焰燃烧器最佳高度及前后位置自动设定；</w:t>
      </w:r>
    </w:p>
    <w:p>
      <w:pPr>
        <w:spacing w:line="440" w:lineRule="exact"/>
        <w:rPr>
          <w:color w:val="auto"/>
          <w:sz w:val="24"/>
          <w:highlight w:val="none"/>
        </w:rPr>
      </w:pPr>
      <w:r>
        <w:rPr>
          <w:color w:val="auto"/>
          <w:sz w:val="24"/>
          <w:highlight w:val="none"/>
        </w:rPr>
        <w:t>3.16火焰监视器可随时监测火焰变化，意外熄火时，仪器会自动关闭乙炔流量并提示报警；乙炔漏气保护装置；压力异常保护装置；</w:t>
      </w:r>
    </w:p>
    <w:p>
      <w:pPr>
        <w:spacing w:line="440" w:lineRule="exact"/>
        <w:rPr>
          <w:color w:val="auto"/>
          <w:sz w:val="24"/>
          <w:highlight w:val="none"/>
        </w:rPr>
      </w:pPr>
      <w:r>
        <w:rPr>
          <w:color w:val="auto"/>
          <w:sz w:val="24"/>
          <w:highlight w:val="none"/>
        </w:rPr>
        <w:t>3.17测量方式：火焰法；</w:t>
      </w:r>
    </w:p>
    <w:p>
      <w:pPr>
        <w:spacing w:line="440" w:lineRule="exact"/>
        <w:rPr>
          <w:color w:val="auto"/>
          <w:sz w:val="24"/>
          <w:highlight w:val="none"/>
        </w:rPr>
      </w:pPr>
      <w:r>
        <w:rPr>
          <w:color w:val="auto"/>
          <w:sz w:val="24"/>
          <w:highlight w:val="none"/>
        </w:rPr>
        <w:t>3.18背景校正：氘灯和自吸背景校正；</w:t>
      </w:r>
    </w:p>
    <w:p>
      <w:pPr>
        <w:spacing w:line="440" w:lineRule="exact"/>
        <w:rPr>
          <w:color w:val="auto"/>
          <w:sz w:val="24"/>
          <w:highlight w:val="none"/>
        </w:rPr>
      </w:pPr>
      <w:r>
        <w:rPr>
          <w:color w:val="auto"/>
          <w:sz w:val="24"/>
          <w:highlight w:val="none"/>
        </w:rPr>
        <w:t>3.19结果输出：参数打印、数据结果打印、图形打印、可将数据导出至Word、Excel及文本文挡；</w:t>
      </w:r>
    </w:p>
    <w:p>
      <w:pPr>
        <w:spacing w:line="440" w:lineRule="exact"/>
        <w:rPr>
          <w:color w:val="auto"/>
          <w:sz w:val="24"/>
          <w:highlight w:val="none"/>
        </w:rPr>
      </w:pPr>
      <w:r>
        <w:rPr>
          <w:color w:val="auto"/>
          <w:sz w:val="24"/>
          <w:highlight w:val="none"/>
        </w:rPr>
        <w:t>3.20软件：全中文专用控制软件。</w:t>
      </w:r>
    </w:p>
    <w:p>
      <w:pPr>
        <w:adjustRightInd w:val="0"/>
        <w:snapToGrid w:val="0"/>
        <w:spacing w:line="440" w:lineRule="exact"/>
        <w:rPr>
          <w:b/>
          <w:color w:val="auto"/>
          <w:sz w:val="24"/>
          <w:highlight w:val="none"/>
        </w:rPr>
      </w:pPr>
      <w:r>
        <w:rPr>
          <w:b/>
          <w:color w:val="auto"/>
          <w:sz w:val="24"/>
          <w:highlight w:val="none"/>
        </w:rPr>
        <w:t>4. 仪器配置</w:t>
      </w:r>
    </w:p>
    <w:p>
      <w:pPr>
        <w:spacing w:line="440" w:lineRule="exact"/>
        <w:rPr>
          <w:color w:val="auto"/>
          <w:sz w:val="24"/>
          <w:highlight w:val="none"/>
        </w:rPr>
      </w:pPr>
      <w:r>
        <w:rPr>
          <w:color w:val="auto"/>
          <w:sz w:val="24"/>
          <w:highlight w:val="none"/>
        </w:rPr>
        <w:t>4.1原子吸收主机（火焰型）1台；</w:t>
      </w:r>
    </w:p>
    <w:p>
      <w:pPr>
        <w:spacing w:line="440" w:lineRule="exact"/>
        <w:rPr>
          <w:color w:val="auto"/>
          <w:sz w:val="24"/>
          <w:highlight w:val="none"/>
        </w:rPr>
      </w:pPr>
      <w:r>
        <w:rPr>
          <w:color w:val="auto"/>
          <w:sz w:val="24"/>
          <w:highlight w:val="none"/>
        </w:rPr>
        <w:t>4.2气源（无油静音空压机、高纯乙炔带瓶及减压阀）；</w:t>
      </w:r>
    </w:p>
    <w:p>
      <w:pPr>
        <w:spacing w:line="440" w:lineRule="exact"/>
        <w:rPr>
          <w:color w:val="auto"/>
          <w:sz w:val="24"/>
          <w:highlight w:val="none"/>
        </w:rPr>
      </w:pPr>
      <w:r>
        <w:rPr>
          <w:color w:val="auto"/>
          <w:sz w:val="24"/>
          <w:highlight w:val="none"/>
        </w:rPr>
        <w:t>4.3元素灯：铜、锌、铅、镉、铬、钾、钠、钙、镁、镍、铁各1支；</w:t>
      </w:r>
    </w:p>
    <w:p>
      <w:pPr>
        <w:spacing w:line="440" w:lineRule="exact"/>
        <w:rPr>
          <w:color w:val="auto"/>
          <w:sz w:val="24"/>
          <w:highlight w:val="none"/>
        </w:rPr>
      </w:pPr>
      <w:r>
        <w:rPr>
          <w:color w:val="auto"/>
          <w:sz w:val="24"/>
          <w:highlight w:val="none"/>
        </w:rPr>
        <w:t>4.4配套耐酸雾化器</w:t>
      </w:r>
      <w:r>
        <w:rPr>
          <w:rFonts w:hint="eastAsia"/>
          <w:color w:val="auto"/>
          <w:sz w:val="24"/>
          <w:highlight w:val="none"/>
        </w:rPr>
        <w:t xml:space="preserve"> </w:t>
      </w:r>
      <w:r>
        <w:rPr>
          <w:color w:val="auto"/>
          <w:sz w:val="24"/>
          <w:highlight w:val="none"/>
        </w:rPr>
        <w:t>3个；</w:t>
      </w:r>
    </w:p>
    <w:p>
      <w:pPr>
        <w:spacing w:line="440" w:lineRule="exact"/>
        <w:rPr>
          <w:rFonts w:hint="eastAsia"/>
          <w:color w:val="auto"/>
          <w:sz w:val="24"/>
          <w:highlight w:val="none"/>
          <w:lang w:val="zh-CN"/>
        </w:rPr>
      </w:pPr>
      <w:r>
        <w:rPr>
          <w:color w:val="auto"/>
          <w:sz w:val="24"/>
          <w:highlight w:val="none"/>
        </w:rPr>
        <w:t xml:space="preserve">4.5 </w:t>
      </w:r>
      <w:r>
        <w:rPr>
          <w:color w:val="auto"/>
          <w:sz w:val="24"/>
          <w:highlight w:val="none"/>
          <w:lang w:val="zh-CN"/>
        </w:rPr>
        <w:t>石墨电热板</w:t>
      </w:r>
      <w:r>
        <w:rPr>
          <w:rFonts w:hint="eastAsia"/>
          <w:color w:val="auto"/>
          <w:sz w:val="24"/>
          <w:highlight w:val="none"/>
          <w:lang w:val="zh-CN"/>
        </w:rPr>
        <w:t xml:space="preserve"> </w:t>
      </w:r>
      <w:r>
        <w:rPr>
          <w:rFonts w:hint="eastAsia"/>
          <w:color w:val="auto"/>
          <w:sz w:val="24"/>
          <w:highlight w:val="none"/>
          <w:lang w:val="en-US" w:eastAsia="zh-CN"/>
        </w:rPr>
        <w:t>1</w:t>
      </w:r>
      <w:r>
        <w:rPr>
          <w:color w:val="auto"/>
          <w:sz w:val="24"/>
          <w:highlight w:val="none"/>
          <w:lang w:val="zh-CN"/>
        </w:rPr>
        <w:t>台</w:t>
      </w:r>
    </w:p>
    <w:p>
      <w:pPr>
        <w:spacing w:line="440" w:lineRule="exact"/>
        <w:rPr>
          <w:color w:val="auto"/>
          <w:sz w:val="24"/>
          <w:highlight w:val="none"/>
          <w:lang w:val="zh-CN"/>
        </w:rPr>
      </w:pPr>
      <w:r>
        <w:rPr>
          <w:color w:val="auto"/>
          <w:sz w:val="24"/>
          <w:highlight w:val="none"/>
          <w:lang w:val="zh-CN"/>
        </w:rPr>
        <w:t>4.5.1高纯石墨加热面板，耐酸碱腐蚀；</w:t>
      </w:r>
    </w:p>
    <w:p>
      <w:pPr>
        <w:spacing w:line="440" w:lineRule="exact"/>
        <w:rPr>
          <w:color w:val="auto"/>
          <w:sz w:val="24"/>
          <w:highlight w:val="none"/>
          <w:lang w:val="zh-CN"/>
        </w:rPr>
      </w:pPr>
      <w:r>
        <w:rPr>
          <w:color w:val="auto"/>
          <w:sz w:val="24"/>
          <w:highlight w:val="none"/>
          <w:lang w:val="zh-CN"/>
        </w:rPr>
        <w:t>4.5.2采用PID控温技术，控温范围：室温-250℃；</w:t>
      </w:r>
    </w:p>
    <w:p>
      <w:pPr>
        <w:spacing w:line="440" w:lineRule="exact"/>
        <w:rPr>
          <w:color w:val="auto"/>
          <w:sz w:val="24"/>
          <w:highlight w:val="none"/>
          <w:lang w:val="zh-CN"/>
        </w:rPr>
      </w:pPr>
      <w:r>
        <w:rPr>
          <w:color w:val="auto"/>
          <w:sz w:val="24"/>
          <w:highlight w:val="none"/>
          <w:lang w:val="zh-CN"/>
        </w:rPr>
        <w:t xml:space="preserve">4.5.3控温精度：±0.1℃，显示精度：0.1℃。升温速率快，表面温度均匀； </w:t>
      </w:r>
    </w:p>
    <w:p>
      <w:pPr>
        <w:spacing w:line="440" w:lineRule="exact"/>
        <w:rPr>
          <w:color w:val="auto"/>
          <w:sz w:val="24"/>
          <w:highlight w:val="none"/>
          <w:lang w:val="zh-CN"/>
        </w:rPr>
      </w:pPr>
      <w:r>
        <w:rPr>
          <w:color w:val="auto"/>
          <w:sz w:val="24"/>
          <w:highlight w:val="none"/>
          <w:lang w:val="zh-CN"/>
        </w:rPr>
        <w:t>4.5.4高端液晶显示屏，温度时间任意设定操作简单方便；</w:t>
      </w:r>
    </w:p>
    <w:p>
      <w:pPr>
        <w:spacing w:line="440" w:lineRule="exact"/>
        <w:rPr>
          <w:color w:val="auto"/>
          <w:sz w:val="24"/>
          <w:highlight w:val="none"/>
          <w:lang w:val="zh-CN"/>
        </w:rPr>
      </w:pPr>
      <w:r>
        <w:rPr>
          <w:color w:val="auto"/>
          <w:sz w:val="24"/>
          <w:highlight w:val="none"/>
          <w:lang w:val="zh-CN"/>
        </w:rPr>
        <w:t>4.5.5使用尺寸：400mm</w:t>
      </w:r>
      <w:r>
        <w:rPr>
          <w:color w:val="auto"/>
          <w:sz w:val="24"/>
          <w:highlight w:val="none"/>
        </w:rPr>
        <w:t>×</w:t>
      </w:r>
      <w:r>
        <w:rPr>
          <w:color w:val="auto"/>
          <w:sz w:val="24"/>
          <w:highlight w:val="none"/>
          <w:lang w:val="zh-CN"/>
        </w:rPr>
        <w:t>600mm；</w:t>
      </w:r>
    </w:p>
    <w:p>
      <w:pPr>
        <w:spacing w:line="440" w:lineRule="exact"/>
        <w:rPr>
          <w:color w:val="auto"/>
          <w:sz w:val="24"/>
          <w:highlight w:val="none"/>
          <w:lang w:val="zh-CN"/>
        </w:rPr>
      </w:pPr>
      <w:r>
        <w:rPr>
          <w:color w:val="auto"/>
          <w:sz w:val="24"/>
          <w:highlight w:val="none"/>
          <w:lang w:val="zh-CN"/>
        </w:rPr>
        <w:t>4.5.6电源：220V/50Hz；</w:t>
      </w:r>
    </w:p>
    <w:p>
      <w:pPr>
        <w:spacing w:line="440" w:lineRule="exact"/>
        <w:rPr>
          <w:color w:val="auto"/>
          <w:sz w:val="24"/>
          <w:highlight w:val="none"/>
          <w:lang w:val="zh-CN"/>
        </w:rPr>
      </w:pPr>
      <w:r>
        <w:rPr>
          <w:color w:val="auto"/>
          <w:sz w:val="24"/>
          <w:highlight w:val="none"/>
          <w:lang w:val="zh-CN"/>
        </w:rPr>
        <w:t>4.5.7功率：2400W；</w:t>
      </w:r>
    </w:p>
    <w:p>
      <w:pPr>
        <w:spacing w:line="440" w:lineRule="exact"/>
        <w:rPr>
          <w:color w:val="auto"/>
          <w:sz w:val="24"/>
          <w:highlight w:val="none"/>
        </w:rPr>
      </w:pPr>
      <w:r>
        <w:rPr>
          <w:color w:val="auto"/>
          <w:sz w:val="24"/>
          <w:highlight w:val="none"/>
        </w:rPr>
        <w:t>4.</w:t>
      </w:r>
      <w:bookmarkStart w:id="141" w:name="_Hlk136644336"/>
      <w:r>
        <w:rPr>
          <w:color w:val="auto"/>
          <w:sz w:val="24"/>
          <w:highlight w:val="none"/>
        </w:rPr>
        <w:t>6 数据处理系统1套：需满足仪器控制软件使用要求</w:t>
      </w:r>
      <w:bookmarkStart w:id="142" w:name="_Hlk136705152"/>
      <w:r>
        <w:rPr>
          <w:color w:val="auto"/>
          <w:sz w:val="24"/>
          <w:highlight w:val="none"/>
        </w:rPr>
        <w:t>，支持日后产品软件升级</w:t>
      </w:r>
      <w:bookmarkEnd w:id="142"/>
      <w:r>
        <w:rPr>
          <w:color w:val="auto"/>
          <w:sz w:val="24"/>
          <w:highlight w:val="none"/>
        </w:rPr>
        <w:t>；屏幕尺寸： ≥24英寸；CPU： 英特尔酷睿 i7；显卡类型： 独立显卡；显存容量：8GB；固态硬盘： 1TB；内存容量： 16GB；光驱类型： 有光驱；操作系统： 与软件匹配的最高版本；主流品牌激光打印装置。</w:t>
      </w:r>
    </w:p>
    <w:bookmarkEnd w:id="141"/>
    <w:p>
      <w:pPr>
        <w:widowControl/>
        <w:autoSpaceDE w:val="0"/>
        <w:autoSpaceDN w:val="0"/>
        <w:snapToGrid w:val="0"/>
        <w:spacing w:line="440" w:lineRule="exact"/>
        <w:rPr>
          <w:b/>
          <w:bCs/>
          <w:color w:val="auto"/>
          <w:kern w:val="0"/>
          <w:sz w:val="24"/>
          <w:highlight w:val="none"/>
        </w:rPr>
      </w:pPr>
      <w:bookmarkStart w:id="143" w:name="_Hlk136473972"/>
      <w:r>
        <w:rPr>
          <w:b/>
          <w:bCs/>
          <w:color w:val="auto"/>
          <w:kern w:val="0"/>
          <w:sz w:val="24"/>
          <w:highlight w:val="none"/>
        </w:rPr>
        <w:t>5.技术服务</w:t>
      </w:r>
    </w:p>
    <w:bookmarkEnd w:id="143"/>
    <w:p>
      <w:pPr>
        <w:spacing w:line="440" w:lineRule="exact"/>
        <w:rPr>
          <w:color w:val="auto"/>
          <w:sz w:val="24"/>
          <w:highlight w:val="none"/>
        </w:rPr>
      </w:pPr>
      <w:r>
        <w:rPr>
          <w:color w:val="auto"/>
          <w:sz w:val="24"/>
          <w:highlight w:val="none"/>
        </w:rPr>
        <w:t>5.1保证产品为全新原厂设备。</w:t>
      </w:r>
    </w:p>
    <w:p>
      <w:pPr>
        <w:spacing w:line="440" w:lineRule="exact"/>
        <w:rPr>
          <w:color w:val="auto"/>
          <w:sz w:val="24"/>
          <w:highlight w:val="none"/>
          <w:lang w:val="zh-CN"/>
        </w:rPr>
      </w:pPr>
      <w:r>
        <w:rPr>
          <w:color w:val="auto"/>
          <w:sz w:val="24"/>
          <w:highlight w:val="none"/>
        </w:rPr>
        <w:t>5.2仪器安装验收：</w:t>
      </w:r>
      <w:r>
        <w:rPr>
          <w:color w:val="auto"/>
          <w:sz w:val="24"/>
          <w:highlight w:val="none"/>
          <w:lang w:val="zh-CN"/>
        </w:rPr>
        <w:t>供货商在接到用户安装通知后，须在10工作日内安排有经验的工程师到现场安装仪器，并在20工作日内安装、调试完毕，</w:t>
      </w:r>
      <w:r>
        <w:rPr>
          <w:color w:val="auto"/>
          <w:sz w:val="24"/>
          <w:highlight w:val="none"/>
        </w:rPr>
        <w:t>进行操作试验，直至运行正常并验收确认</w:t>
      </w:r>
      <w:r>
        <w:rPr>
          <w:color w:val="auto"/>
          <w:sz w:val="24"/>
          <w:highlight w:val="none"/>
          <w:lang w:val="zh-CN"/>
        </w:rPr>
        <w:t>。</w:t>
      </w:r>
    </w:p>
    <w:p>
      <w:pPr>
        <w:spacing w:line="440" w:lineRule="exact"/>
        <w:rPr>
          <w:color w:val="auto"/>
          <w:sz w:val="24"/>
          <w:highlight w:val="none"/>
        </w:rPr>
      </w:pPr>
      <w:r>
        <w:rPr>
          <w:color w:val="auto"/>
          <w:sz w:val="24"/>
          <w:highlight w:val="none"/>
        </w:rPr>
        <w:t>5.3保修服务：自验收合格起，厂家向用户提供至少1年的免费保修服务，</w:t>
      </w:r>
      <w:r>
        <w:rPr>
          <w:color w:val="auto"/>
          <w:sz w:val="24"/>
          <w:highlight w:val="none"/>
          <w:lang w:val="zh-CN"/>
        </w:rPr>
        <w:t>终生维修</w:t>
      </w:r>
      <w:r>
        <w:rPr>
          <w:color w:val="auto"/>
          <w:sz w:val="24"/>
          <w:highlight w:val="none"/>
        </w:rPr>
        <w:t>。保修期内所有服务免费，一切配件、耗材免费到场更换。保修期外，能更及时地为用户提供备品备件。</w:t>
      </w:r>
    </w:p>
    <w:p>
      <w:pPr>
        <w:spacing w:line="440" w:lineRule="exact"/>
        <w:rPr>
          <w:color w:val="auto"/>
          <w:sz w:val="24"/>
          <w:highlight w:val="none"/>
        </w:rPr>
      </w:pPr>
      <w:r>
        <w:rPr>
          <w:color w:val="auto"/>
          <w:sz w:val="24"/>
          <w:highlight w:val="none"/>
        </w:rPr>
        <w:t>5.4质量及验收标准：</w:t>
      </w:r>
      <w:r>
        <w:rPr>
          <w:color w:val="auto"/>
          <w:sz w:val="24"/>
          <w:highlight w:val="none"/>
          <w:lang w:val="zh-CN"/>
        </w:rPr>
        <w:t>安装工程师对本标书中提出的性能指标须逐项验收，所有验收指标要求一次完成。</w:t>
      </w:r>
      <w:r>
        <w:rPr>
          <w:color w:val="auto"/>
          <w:sz w:val="24"/>
          <w:highlight w:val="none"/>
        </w:rPr>
        <w:t>证书技术指标符合买方要求和厂家规定的出厂要求，</w:t>
      </w:r>
      <w:r>
        <w:rPr>
          <w:color w:val="auto"/>
          <w:sz w:val="24"/>
          <w:highlight w:val="none"/>
          <w:lang w:val="zh-CN"/>
        </w:rPr>
        <w:t>如未通过验收，视情节更换部件或主机，直至退货；安装调试完成后厂家需找有资质的机构或单位对仪器进行检定</w:t>
      </w:r>
      <w:r>
        <w:rPr>
          <w:color w:val="auto"/>
          <w:sz w:val="24"/>
          <w:highlight w:val="none"/>
        </w:rPr>
        <w:t>/校准，并提供检定/校准证书，检定/校准结果满足相关检定/校准规程要求。</w:t>
      </w:r>
    </w:p>
    <w:p>
      <w:pPr>
        <w:spacing w:line="440" w:lineRule="exact"/>
        <w:rPr>
          <w:color w:val="auto"/>
          <w:sz w:val="24"/>
          <w:highlight w:val="none"/>
        </w:rPr>
      </w:pPr>
      <w:r>
        <w:rPr>
          <w:color w:val="auto"/>
          <w:sz w:val="24"/>
          <w:highlight w:val="none"/>
        </w:rPr>
        <w:t>5.5培训：①仪器安装现场应至少对2名以上仪器操作人员提供免费的上机操作及日常维护培训，至使用者会操作、使用仪器以及能够正常的进行仪器日常维护为止；②在仪器使用一段时间后，安排该仪器应用工程师到仪器使用单位对至少2名以上仪器操作人员提供免费应用培训，包括与该设备相关的检测方法的建立和开发；③除仪器中文使用说明书外，应提供安装、使用技术光碟等，便于后期操作人员更好的使用仪器和进行维护；④提供4人赴厂家培训基地</w:t>
      </w:r>
      <w:r>
        <w:rPr>
          <w:color w:val="auto"/>
          <w:sz w:val="24"/>
          <w:highlight w:val="none"/>
          <w:lang w:val="zh-CN"/>
        </w:rPr>
        <w:t>免培训费</w:t>
      </w:r>
      <w:r>
        <w:rPr>
          <w:color w:val="auto"/>
          <w:sz w:val="24"/>
          <w:highlight w:val="none"/>
        </w:rPr>
        <w:t>技术培训。</w:t>
      </w:r>
    </w:p>
    <w:p>
      <w:pPr>
        <w:spacing w:line="440" w:lineRule="exact"/>
        <w:rPr>
          <w:color w:val="auto"/>
          <w:sz w:val="24"/>
          <w:highlight w:val="none"/>
        </w:rPr>
      </w:pPr>
      <w:r>
        <w:rPr>
          <w:color w:val="auto"/>
          <w:sz w:val="24"/>
          <w:highlight w:val="none"/>
        </w:rPr>
        <w:t>5.6应有制造商的售后和技术工程师常驻新疆，保证快捷、完善的售后服务。服务响应时间不大于24小时，故障可以在48小时内到现场维修。</w:t>
      </w:r>
    </w:p>
    <w:p>
      <w:pPr>
        <w:spacing w:line="440" w:lineRule="exact"/>
        <w:rPr>
          <w:color w:val="auto"/>
          <w:sz w:val="24"/>
          <w:highlight w:val="none"/>
        </w:rPr>
      </w:pPr>
      <w:bookmarkStart w:id="144" w:name="_Hlk136563691"/>
      <w:r>
        <w:rPr>
          <w:color w:val="auto"/>
          <w:sz w:val="24"/>
          <w:highlight w:val="none"/>
        </w:rPr>
        <w:t>5.7 及时免费提供技术咨询</w:t>
      </w:r>
      <w:bookmarkEnd w:id="144"/>
      <w:r>
        <w:rPr>
          <w:color w:val="auto"/>
          <w:sz w:val="24"/>
          <w:highlight w:val="none"/>
        </w:rPr>
        <w:t>。</w:t>
      </w:r>
    </w:p>
    <w:p>
      <w:pPr>
        <w:spacing w:line="440" w:lineRule="exact"/>
        <w:rPr>
          <w:color w:val="auto"/>
          <w:sz w:val="24"/>
          <w:highlight w:val="none"/>
        </w:rPr>
      </w:pPr>
      <w:r>
        <w:rPr>
          <w:color w:val="auto"/>
          <w:sz w:val="24"/>
          <w:highlight w:val="none"/>
        </w:rPr>
        <w:t>5.8自安装之日起，每年至少2次免费技术和维护回访，帮助用户解决软硬件使用中出现的技术问题。</w:t>
      </w:r>
    </w:p>
    <w:p>
      <w:pPr>
        <w:spacing w:line="400" w:lineRule="exact"/>
        <w:rPr>
          <w:color w:val="auto"/>
          <w:sz w:val="24"/>
          <w:highlight w:val="none"/>
        </w:rPr>
      </w:pPr>
      <w:r>
        <w:rPr>
          <w:color w:val="auto"/>
          <w:sz w:val="24"/>
          <w:highlight w:val="none"/>
        </w:rPr>
        <w:t>备注：</w:t>
      </w:r>
      <w:r>
        <w:rPr>
          <w:color w:val="auto"/>
          <w:sz w:val="24"/>
          <w:highlight w:val="none"/>
          <w:lang w:val="zh-CN"/>
        </w:rPr>
        <w:t>带“*”号的为必须满足指标，与技术性能指标一起</w:t>
      </w:r>
      <w:r>
        <w:rPr>
          <w:rFonts w:hint="eastAsia"/>
          <w:color w:val="auto"/>
          <w:sz w:val="24"/>
          <w:highlight w:val="none"/>
          <w:lang w:val="zh-CN"/>
        </w:rPr>
        <w:t>作</w:t>
      </w:r>
      <w:r>
        <w:rPr>
          <w:color w:val="auto"/>
          <w:sz w:val="24"/>
          <w:highlight w:val="none"/>
          <w:lang w:val="zh-CN"/>
        </w:rPr>
        <w:t>为验收指标。</w:t>
      </w:r>
      <w:r>
        <w:rPr>
          <w:color w:val="auto"/>
          <w:sz w:val="24"/>
          <w:highlight w:val="none"/>
        </w:rPr>
        <w:t>验收时须提供精密度、检出限等技术材料。</w:t>
      </w:r>
    </w:p>
    <w:p>
      <w:pPr>
        <w:pStyle w:val="60"/>
        <w:numPr>
          <w:ilvl w:val="0"/>
          <w:numId w:val="15"/>
        </w:numPr>
        <w:spacing w:line="440" w:lineRule="exact"/>
        <w:ind w:leftChars="0" w:firstLineChars="0"/>
        <w:rPr>
          <w:color w:val="auto"/>
          <w:highlight w:val="none"/>
        </w:rPr>
      </w:pPr>
      <w:r>
        <w:rPr>
          <w:rFonts w:hint="eastAsia"/>
          <w:color w:val="auto"/>
          <w:highlight w:val="none"/>
        </w:rPr>
        <w:t>原子荧光分光光度计</w:t>
      </w:r>
    </w:p>
    <w:p>
      <w:pPr>
        <w:widowControl/>
        <w:autoSpaceDE w:val="0"/>
        <w:autoSpaceDN w:val="0"/>
        <w:snapToGrid w:val="0"/>
        <w:spacing w:line="440" w:lineRule="exact"/>
        <w:rPr>
          <w:b/>
          <w:bCs/>
          <w:color w:val="auto"/>
          <w:kern w:val="0"/>
          <w:sz w:val="24"/>
          <w:highlight w:val="none"/>
        </w:rPr>
      </w:pPr>
      <w:bookmarkStart w:id="145" w:name="_Hlk136563969"/>
      <w:r>
        <w:rPr>
          <w:b/>
          <w:bCs/>
          <w:color w:val="auto"/>
          <w:kern w:val="0"/>
          <w:sz w:val="24"/>
          <w:highlight w:val="none"/>
        </w:rPr>
        <w:t>1.设备用途</w:t>
      </w:r>
    </w:p>
    <w:bookmarkEnd w:id="145"/>
    <w:p>
      <w:pPr>
        <w:spacing w:line="440" w:lineRule="exact"/>
        <w:rPr>
          <w:color w:val="auto"/>
          <w:sz w:val="24"/>
          <w:highlight w:val="none"/>
        </w:rPr>
      </w:pPr>
      <w:r>
        <w:rPr>
          <w:color w:val="auto"/>
          <w:sz w:val="24"/>
          <w:highlight w:val="none"/>
        </w:rPr>
        <w:t>用于样品中As、Sb、Bi、Hg、Se、Te、Sn等元素的痕量分析。</w:t>
      </w:r>
    </w:p>
    <w:p>
      <w:pPr>
        <w:widowControl/>
        <w:autoSpaceDE w:val="0"/>
        <w:autoSpaceDN w:val="0"/>
        <w:snapToGrid w:val="0"/>
        <w:spacing w:line="440" w:lineRule="exact"/>
        <w:rPr>
          <w:b/>
          <w:bCs/>
          <w:color w:val="auto"/>
          <w:kern w:val="0"/>
          <w:sz w:val="24"/>
          <w:highlight w:val="none"/>
        </w:rPr>
      </w:pPr>
      <w:bookmarkStart w:id="146" w:name="_Hlk136563983"/>
      <w:r>
        <w:rPr>
          <w:b/>
          <w:bCs/>
          <w:color w:val="auto"/>
          <w:kern w:val="0"/>
          <w:sz w:val="24"/>
          <w:highlight w:val="none"/>
        </w:rPr>
        <w:t>2.工作环境</w:t>
      </w:r>
    </w:p>
    <w:bookmarkEnd w:id="146"/>
    <w:p>
      <w:pPr>
        <w:spacing w:line="440" w:lineRule="exact"/>
        <w:rPr>
          <w:color w:val="auto"/>
          <w:sz w:val="24"/>
          <w:highlight w:val="none"/>
        </w:rPr>
      </w:pPr>
      <w:r>
        <w:rPr>
          <w:color w:val="auto"/>
          <w:sz w:val="24"/>
          <w:highlight w:val="none"/>
        </w:rPr>
        <w:t>2.1 工作电源：AC 220V±10%，50（±1）Hz；</w:t>
      </w:r>
    </w:p>
    <w:p>
      <w:pPr>
        <w:spacing w:line="440" w:lineRule="exact"/>
        <w:rPr>
          <w:color w:val="auto"/>
          <w:sz w:val="24"/>
          <w:highlight w:val="none"/>
        </w:rPr>
      </w:pPr>
      <w:r>
        <w:rPr>
          <w:color w:val="auto"/>
          <w:sz w:val="24"/>
          <w:highlight w:val="none"/>
        </w:rPr>
        <w:t>2.2 环境温度：15-30</w:t>
      </w:r>
      <w:r>
        <w:rPr>
          <w:color w:val="auto"/>
          <w:sz w:val="24"/>
          <w:highlight w:val="none"/>
        </w:rPr>
        <w:sym w:font="Symbol" w:char="F0B0"/>
      </w:r>
      <w:r>
        <w:rPr>
          <w:color w:val="auto"/>
          <w:sz w:val="24"/>
          <w:highlight w:val="none"/>
        </w:rPr>
        <w:t>C；</w:t>
      </w:r>
    </w:p>
    <w:p>
      <w:pPr>
        <w:spacing w:line="440" w:lineRule="exact"/>
        <w:rPr>
          <w:color w:val="auto"/>
          <w:sz w:val="24"/>
          <w:highlight w:val="none"/>
        </w:rPr>
      </w:pPr>
      <w:r>
        <w:rPr>
          <w:color w:val="auto"/>
          <w:sz w:val="24"/>
          <w:highlight w:val="none"/>
        </w:rPr>
        <w:t>2.3 相对湿度：20%-80%。</w:t>
      </w:r>
    </w:p>
    <w:p>
      <w:pPr>
        <w:autoSpaceDE w:val="0"/>
        <w:autoSpaceDN w:val="0"/>
        <w:adjustRightInd w:val="0"/>
        <w:spacing w:line="440" w:lineRule="exact"/>
        <w:rPr>
          <w:b/>
          <w:bCs/>
          <w:color w:val="auto"/>
          <w:sz w:val="24"/>
          <w:highlight w:val="none"/>
        </w:rPr>
      </w:pPr>
      <w:bookmarkStart w:id="147" w:name="_Hlk136564003"/>
      <w:r>
        <w:rPr>
          <w:b/>
          <w:bCs/>
          <w:color w:val="auto"/>
          <w:sz w:val="24"/>
          <w:highlight w:val="none"/>
        </w:rPr>
        <w:t>3. 技术要求</w:t>
      </w:r>
    </w:p>
    <w:bookmarkEnd w:id="147"/>
    <w:p>
      <w:pPr>
        <w:spacing w:line="440" w:lineRule="exact"/>
        <w:rPr>
          <w:color w:val="auto"/>
          <w:sz w:val="24"/>
          <w:highlight w:val="none"/>
        </w:rPr>
      </w:pPr>
      <w:r>
        <w:rPr>
          <w:color w:val="auto"/>
          <w:sz w:val="24"/>
          <w:highlight w:val="none"/>
        </w:rPr>
        <w:t>3.1 性能要求</w:t>
      </w:r>
    </w:p>
    <w:p>
      <w:pPr>
        <w:spacing w:line="440" w:lineRule="exact"/>
        <w:rPr>
          <w:color w:val="auto"/>
          <w:sz w:val="24"/>
          <w:highlight w:val="none"/>
        </w:rPr>
      </w:pPr>
      <w:r>
        <w:rPr>
          <w:color w:val="auto"/>
          <w:sz w:val="24"/>
          <w:highlight w:val="none"/>
        </w:rPr>
        <w:t>*3.1.1内置式一体式间歇进样系统或大蠕动泵进样系统；</w:t>
      </w:r>
    </w:p>
    <w:p>
      <w:pPr>
        <w:spacing w:line="440" w:lineRule="exact"/>
        <w:rPr>
          <w:color w:val="auto"/>
          <w:sz w:val="24"/>
          <w:highlight w:val="none"/>
        </w:rPr>
      </w:pPr>
      <w:r>
        <w:rPr>
          <w:color w:val="auto"/>
          <w:sz w:val="24"/>
          <w:highlight w:val="none"/>
        </w:rPr>
        <w:t>3.1.2取样针耐腐蚀、不易断不易挂液；支持自动在线补载流；样品检测周期＜30s；</w:t>
      </w:r>
    </w:p>
    <w:p>
      <w:pPr>
        <w:spacing w:line="440" w:lineRule="exact"/>
        <w:rPr>
          <w:color w:val="auto"/>
          <w:sz w:val="24"/>
          <w:highlight w:val="none"/>
        </w:rPr>
      </w:pPr>
      <w:r>
        <w:rPr>
          <w:color w:val="auto"/>
          <w:sz w:val="24"/>
          <w:highlight w:val="none"/>
        </w:rPr>
        <w:t>*3.1.3 双通道设计，可二元素同时测定，或任选元素检测，并具有通道增强功能。元素可自动切换；</w:t>
      </w:r>
    </w:p>
    <w:p>
      <w:pPr>
        <w:spacing w:line="440" w:lineRule="exact"/>
        <w:rPr>
          <w:color w:val="auto"/>
          <w:sz w:val="24"/>
          <w:highlight w:val="none"/>
        </w:rPr>
      </w:pPr>
      <w:r>
        <w:rPr>
          <w:color w:val="auto"/>
          <w:sz w:val="24"/>
          <w:highlight w:val="none"/>
        </w:rPr>
        <w:t>3.1.4 元素灯采用空心阴极灯，元素类型可自动识别；具有元素灯免调功能和使用计时功能；</w:t>
      </w:r>
    </w:p>
    <w:p>
      <w:pPr>
        <w:spacing w:line="440" w:lineRule="exact"/>
        <w:rPr>
          <w:color w:val="auto"/>
          <w:sz w:val="24"/>
          <w:highlight w:val="none"/>
        </w:rPr>
      </w:pPr>
      <w:r>
        <w:rPr>
          <w:color w:val="auto"/>
          <w:sz w:val="24"/>
          <w:highlight w:val="none"/>
        </w:rPr>
        <w:t>3.1.5 灯电源支持自动激发起辉，具备信号增强功能；</w:t>
      </w:r>
    </w:p>
    <w:p>
      <w:pPr>
        <w:spacing w:line="440" w:lineRule="exact"/>
        <w:rPr>
          <w:color w:val="auto"/>
          <w:sz w:val="24"/>
          <w:highlight w:val="none"/>
        </w:rPr>
      </w:pPr>
      <w:r>
        <w:rPr>
          <w:color w:val="auto"/>
          <w:sz w:val="24"/>
          <w:highlight w:val="none"/>
        </w:rPr>
        <w:t>3.1.6具有气液分离器，能有效消除水蒸气；</w:t>
      </w:r>
    </w:p>
    <w:p>
      <w:pPr>
        <w:spacing w:line="440" w:lineRule="exact"/>
        <w:rPr>
          <w:color w:val="auto"/>
          <w:sz w:val="24"/>
          <w:highlight w:val="none"/>
        </w:rPr>
      </w:pPr>
      <w:r>
        <w:rPr>
          <w:color w:val="auto"/>
          <w:sz w:val="24"/>
          <w:highlight w:val="none"/>
        </w:rPr>
        <w:t>3.1.7可实施监控原子化器工作状态；</w:t>
      </w:r>
    </w:p>
    <w:p>
      <w:pPr>
        <w:spacing w:line="440" w:lineRule="exact"/>
        <w:rPr>
          <w:color w:val="auto"/>
          <w:sz w:val="24"/>
          <w:highlight w:val="none"/>
        </w:rPr>
      </w:pPr>
      <w:r>
        <w:rPr>
          <w:color w:val="auto"/>
          <w:sz w:val="24"/>
          <w:highlight w:val="none"/>
        </w:rPr>
        <w:t>3.1.8自动控制载气和屏蔽气，具有异常报警功能；</w:t>
      </w:r>
    </w:p>
    <w:p>
      <w:pPr>
        <w:spacing w:line="440" w:lineRule="exact"/>
        <w:rPr>
          <w:color w:val="auto"/>
          <w:sz w:val="24"/>
          <w:highlight w:val="none"/>
        </w:rPr>
      </w:pPr>
      <w:r>
        <w:rPr>
          <w:color w:val="auto"/>
          <w:sz w:val="24"/>
          <w:highlight w:val="none"/>
        </w:rPr>
        <w:t>3.1.9具备省气功能，测试结束后自动断气；</w:t>
      </w:r>
    </w:p>
    <w:p>
      <w:pPr>
        <w:spacing w:line="440" w:lineRule="exact"/>
        <w:rPr>
          <w:color w:val="auto"/>
          <w:sz w:val="24"/>
          <w:highlight w:val="none"/>
        </w:rPr>
      </w:pPr>
      <w:r>
        <w:rPr>
          <w:color w:val="auto"/>
          <w:sz w:val="24"/>
          <w:highlight w:val="none"/>
        </w:rPr>
        <w:t>3.1.10具备光源漂移校正功能；</w:t>
      </w:r>
    </w:p>
    <w:p>
      <w:pPr>
        <w:spacing w:line="440" w:lineRule="exact"/>
        <w:rPr>
          <w:color w:val="auto"/>
          <w:sz w:val="24"/>
          <w:highlight w:val="none"/>
        </w:rPr>
      </w:pPr>
      <w:r>
        <w:rPr>
          <w:color w:val="auto"/>
          <w:sz w:val="24"/>
          <w:highlight w:val="none"/>
        </w:rPr>
        <w:t>3.1.11具备自动清洗、大流量吹扫、自动预热功能；</w:t>
      </w:r>
    </w:p>
    <w:p>
      <w:pPr>
        <w:spacing w:line="440" w:lineRule="exact"/>
        <w:rPr>
          <w:color w:val="auto"/>
          <w:sz w:val="24"/>
          <w:highlight w:val="none"/>
        </w:rPr>
      </w:pPr>
      <w:r>
        <w:rPr>
          <w:color w:val="auto"/>
          <w:sz w:val="24"/>
          <w:highlight w:val="none"/>
        </w:rPr>
        <w:t>3.1.12具备形态分析扩展功能。预留元素形态分析串口，可升级为形态分析仪，测量As、Hg、Se等元素的各种价态。</w:t>
      </w:r>
    </w:p>
    <w:p>
      <w:pPr>
        <w:spacing w:line="440" w:lineRule="exact"/>
        <w:rPr>
          <w:color w:val="auto"/>
          <w:sz w:val="24"/>
          <w:highlight w:val="none"/>
        </w:rPr>
      </w:pPr>
      <w:r>
        <w:rPr>
          <w:color w:val="auto"/>
          <w:sz w:val="24"/>
          <w:highlight w:val="none"/>
        </w:rPr>
        <w:t>3.2技术指标</w:t>
      </w:r>
    </w:p>
    <w:p>
      <w:pPr>
        <w:spacing w:line="440" w:lineRule="exact"/>
        <w:rPr>
          <w:color w:val="auto"/>
          <w:sz w:val="24"/>
          <w:highlight w:val="none"/>
        </w:rPr>
      </w:pPr>
      <w:r>
        <w:rPr>
          <w:color w:val="auto"/>
          <w:sz w:val="24"/>
          <w:highlight w:val="none"/>
        </w:rPr>
        <w:t>*3.2.1相对标准偏差RSD：&lt;0.6%</w:t>
      </w:r>
    </w:p>
    <w:p>
      <w:pPr>
        <w:spacing w:line="440" w:lineRule="exact"/>
        <w:rPr>
          <w:color w:val="auto"/>
          <w:sz w:val="24"/>
          <w:highlight w:val="none"/>
        </w:rPr>
      </w:pPr>
      <w:r>
        <w:rPr>
          <w:color w:val="auto"/>
          <w:sz w:val="24"/>
          <w:highlight w:val="none"/>
        </w:rPr>
        <w:t xml:space="preserve">3.2.2漂移：≤1.5%/30min </w:t>
      </w:r>
    </w:p>
    <w:p>
      <w:pPr>
        <w:spacing w:line="440" w:lineRule="exact"/>
        <w:rPr>
          <w:color w:val="auto"/>
          <w:sz w:val="24"/>
          <w:highlight w:val="none"/>
        </w:rPr>
      </w:pPr>
      <w:r>
        <w:rPr>
          <w:color w:val="auto"/>
          <w:sz w:val="24"/>
          <w:highlight w:val="none"/>
        </w:rPr>
        <w:t>3.2.3噪声：≤1.5%</w:t>
      </w:r>
    </w:p>
    <w:p>
      <w:pPr>
        <w:spacing w:line="440" w:lineRule="exact"/>
        <w:rPr>
          <w:color w:val="auto"/>
          <w:sz w:val="24"/>
          <w:highlight w:val="none"/>
        </w:rPr>
      </w:pPr>
      <w:r>
        <w:rPr>
          <w:color w:val="auto"/>
          <w:sz w:val="24"/>
          <w:highlight w:val="none"/>
        </w:rPr>
        <w:t>3.2.4道间干扰：≤2%</w:t>
      </w:r>
    </w:p>
    <w:p>
      <w:pPr>
        <w:spacing w:line="440" w:lineRule="exact"/>
        <w:rPr>
          <w:color w:val="auto"/>
          <w:sz w:val="24"/>
          <w:highlight w:val="none"/>
        </w:rPr>
      </w:pPr>
      <w:r>
        <w:rPr>
          <w:color w:val="auto"/>
          <w:sz w:val="24"/>
          <w:highlight w:val="none"/>
        </w:rPr>
        <w:t>3.2.5线性范围： 大于三个数量级。</w:t>
      </w:r>
    </w:p>
    <w:p>
      <w:pPr>
        <w:spacing w:line="440" w:lineRule="exact"/>
        <w:rPr>
          <w:color w:val="auto"/>
          <w:sz w:val="24"/>
          <w:highlight w:val="none"/>
        </w:rPr>
      </w:pPr>
      <w:r>
        <w:rPr>
          <w:rFonts w:hint="eastAsia"/>
          <w:color w:val="auto"/>
          <w:sz w:val="24"/>
          <w:highlight w:val="none"/>
        </w:rPr>
        <w:t>★</w:t>
      </w:r>
      <w:r>
        <w:rPr>
          <w:color w:val="auto"/>
          <w:sz w:val="24"/>
          <w:highlight w:val="none"/>
        </w:rPr>
        <w:t>3.2.6检出限（D.L.）：砷、硒、铋、碲、汞等元素&lt;0.01µg/L；汞（冷原子）&lt;0.001µg/L；镉&lt;0.001µg/L；金&lt;3.0µg/L；</w:t>
      </w:r>
    </w:p>
    <w:p>
      <w:pPr>
        <w:spacing w:line="440" w:lineRule="exact"/>
        <w:rPr>
          <w:color w:val="auto"/>
          <w:sz w:val="24"/>
          <w:highlight w:val="none"/>
        </w:rPr>
      </w:pPr>
      <w:r>
        <w:rPr>
          <w:color w:val="auto"/>
          <w:sz w:val="24"/>
          <w:highlight w:val="none"/>
        </w:rPr>
        <w:t>*3.2.7自动进样器：防酸腐蚀，样品位：≥160位。</w:t>
      </w:r>
    </w:p>
    <w:p>
      <w:pPr>
        <w:adjustRightInd w:val="0"/>
        <w:snapToGrid w:val="0"/>
        <w:spacing w:line="440" w:lineRule="exact"/>
        <w:rPr>
          <w:b/>
          <w:color w:val="auto"/>
          <w:sz w:val="24"/>
          <w:highlight w:val="none"/>
        </w:rPr>
      </w:pPr>
      <w:bookmarkStart w:id="148" w:name="_Hlk136564038"/>
      <w:r>
        <w:rPr>
          <w:b/>
          <w:color w:val="auto"/>
          <w:sz w:val="24"/>
          <w:highlight w:val="none"/>
        </w:rPr>
        <w:t>4. 仪器配置</w:t>
      </w:r>
    </w:p>
    <w:bookmarkEnd w:id="148"/>
    <w:p>
      <w:pPr>
        <w:spacing w:line="440" w:lineRule="exact"/>
        <w:rPr>
          <w:color w:val="auto"/>
          <w:sz w:val="24"/>
          <w:highlight w:val="none"/>
        </w:rPr>
      </w:pPr>
      <w:r>
        <w:rPr>
          <w:color w:val="auto"/>
          <w:sz w:val="24"/>
          <w:highlight w:val="none"/>
        </w:rPr>
        <w:t xml:space="preserve">4.1 双通道原子荧光光度计 1套； </w:t>
      </w:r>
    </w:p>
    <w:p>
      <w:pPr>
        <w:spacing w:line="440" w:lineRule="exact"/>
        <w:rPr>
          <w:color w:val="auto"/>
          <w:sz w:val="24"/>
          <w:highlight w:val="none"/>
        </w:rPr>
      </w:pPr>
      <w:r>
        <w:rPr>
          <w:color w:val="auto"/>
          <w:sz w:val="24"/>
          <w:highlight w:val="none"/>
        </w:rPr>
        <w:t>4.2 一体式间歇进样系统或蠕动泵进样系统  1套；</w:t>
      </w:r>
    </w:p>
    <w:p>
      <w:pPr>
        <w:spacing w:line="440" w:lineRule="exact"/>
        <w:rPr>
          <w:color w:val="auto"/>
          <w:sz w:val="24"/>
          <w:highlight w:val="none"/>
        </w:rPr>
      </w:pPr>
      <w:r>
        <w:rPr>
          <w:color w:val="auto"/>
          <w:sz w:val="24"/>
          <w:highlight w:val="none"/>
        </w:rPr>
        <w:t>4.3 ≥160位自动进样器 1套；</w:t>
      </w:r>
    </w:p>
    <w:p>
      <w:pPr>
        <w:spacing w:line="440" w:lineRule="exact"/>
        <w:rPr>
          <w:color w:val="auto"/>
          <w:sz w:val="24"/>
          <w:highlight w:val="none"/>
        </w:rPr>
      </w:pPr>
      <w:r>
        <w:rPr>
          <w:color w:val="auto"/>
          <w:sz w:val="24"/>
          <w:highlight w:val="none"/>
        </w:rPr>
        <w:t>4.4 原子化器  1个；</w:t>
      </w:r>
    </w:p>
    <w:p>
      <w:pPr>
        <w:spacing w:line="440" w:lineRule="exact"/>
        <w:rPr>
          <w:color w:val="auto"/>
          <w:sz w:val="24"/>
          <w:highlight w:val="none"/>
        </w:rPr>
      </w:pPr>
      <w:r>
        <w:rPr>
          <w:color w:val="auto"/>
          <w:sz w:val="24"/>
          <w:highlight w:val="none"/>
        </w:rPr>
        <w:t>4.5 气液分离器</w:t>
      </w:r>
      <w:r>
        <w:rPr>
          <w:color w:val="auto"/>
          <w:sz w:val="24"/>
          <w:highlight w:val="none"/>
        </w:rPr>
        <w:tab/>
      </w:r>
      <w:r>
        <w:rPr>
          <w:color w:val="auto"/>
          <w:sz w:val="24"/>
          <w:highlight w:val="none"/>
        </w:rPr>
        <w:t>1个；</w:t>
      </w:r>
    </w:p>
    <w:p>
      <w:pPr>
        <w:spacing w:line="440" w:lineRule="exact"/>
        <w:rPr>
          <w:color w:val="auto"/>
          <w:sz w:val="24"/>
          <w:highlight w:val="none"/>
        </w:rPr>
      </w:pPr>
      <w:r>
        <w:rPr>
          <w:color w:val="auto"/>
          <w:sz w:val="24"/>
          <w:highlight w:val="none"/>
        </w:rPr>
        <w:t>4.6 气路控制模块</w:t>
      </w:r>
      <w:r>
        <w:rPr>
          <w:color w:val="auto"/>
          <w:sz w:val="24"/>
          <w:highlight w:val="none"/>
        </w:rPr>
        <w:tab/>
      </w:r>
      <w:r>
        <w:rPr>
          <w:color w:val="auto"/>
          <w:sz w:val="24"/>
          <w:highlight w:val="none"/>
        </w:rPr>
        <w:t>1个；</w:t>
      </w:r>
    </w:p>
    <w:p>
      <w:pPr>
        <w:spacing w:line="440" w:lineRule="exact"/>
        <w:rPr>
          <w:color w:val="auto"/>
          <w:sz w:val="24"/>
          <w:highlight w:val="none"/>
        </w:rPr>
      </w:pPr>
      <w:r>
        <w:rPr>
          <w:color w:val="auto"/>
          <w:sz w:val="24"/>
          <w:highlight w:val="none"/>
        </w:rPr>
        <w:t>4.7 光源漂移校正装置  1套；</w:t>
      </w:r>
    </w:p>
    <w:p>
      <w:pPr>
        <w:spacing w:line="440" w:lineRule="exact"/>
        <w:rPr>
          <w:color w:val="auto"/>
          <w:sz w:val="24"/>
          <w:highlight w:val="none"/>
        </w:rPr>
      </w:pPr>
      <w:r>
        <w:rPr>
          <w:color w:val="auto"/>
          <w:sz w:val="24"/>
          <w:highlight w:val="none"/>
        </w:rPr>
        <w:t>4.8 元素灯自动激发起辉装置  1套；</w:t>
      </w:r>
    </w:p>
    <w:p>
      <w:pPr>
        <w:spacing w:line="440" w:lineRule="exact"/>
        <w:rPr>
          <w:color w:val="auto"/>
          <w:sz w:val="24"/>
          <w:highlight w:val="none"/>
        </w:rPr>
      </w:pPr>
      <w:r>
        <w:rPr>
          <w:color w:val="auto"/>
          <w:sz w:val="24"/>
          <w:highlight w:val="none"/>
        </w:rPr>
        <w:t>4.9 特制空心阴极灯：As、Hg、Se、各3支，Sb、Bi、Te、Sn各2支，进样针2盒，炉芯5个，泵管5套；</w:t>
      </w:r>
    </w:p>
    <w:p>
      <w:pPr>
        <w:spacing w:line="440" w:lineRule="exact"/>
        <w:rPr>
          <w:color w:val="auto"/>
          <w:sz w:val="24"/>
          <w:highlight w:val="none"/>
        </w:rPr>
      </w:pPr>
      <w:r>
        <w:rPr>
          <w:color w:val="auto"/>
          <w:sz w:val="24"/>
          <w:highlight w:val="none"/>
        </w:rPr>
        <w:t>4.10中文软件操作系统  1套；</w:t>
      </w:r>
    </w:p>
    <w:p>
      <w:pPr>
        <w:spacing w:line="440" w:lineRule="exact"/>
        <w:rPr>
          <w:color w:val="auto"/>
          <w:sz w:val="24"/>
          <w:highlight w:val="none"/>
        </w:rPr>
      </w:pPr>
      <w:r>
        <w:rPr>
          <w:color w:val="auto"/>
          <w:sz w:val="24"/>
          <w:highlight w:val="none"/>
        </w:rPr>
        <w:t>4.11 数据处理系统1套：需满足仪器控制软件使用要求，支持日后产品软件升级；屏幕尺寸： ≥24英寸；CPU： 英特尔酷睿 i7；显卡类型： 独立显卡；显存容量：8GB；固态硬盘： 1TB；内存容量： 16GB；光驱类型： 有光驱；操作系统： 与软件匹配的最高版本；主流品牌激光打印装置。</w:t>
      </w:r>
    </w:p>
    <w:p>
      <w:pPr>
        <w:widowControl/>
        <w:autoSpaceDE w:val="0"/>
        <w:autoSpaceDN w:val="0"/>
        <w:snapToGrid w:val="0"/>
        <w:spacing w:line="440" w:lineRule="exact"/>
        <w:rPr>
          <w:b/>
          <w:bCs/>
          <w:color w:val="auto"/>
          <w:kern w:val="0"/>
          <w:sz w:val="24"/>
          <w:highlight w:val="none"/>
        </w:rPr>
      </w:pPr>
      <w:r>
        <w:rPr>
          <w:b/>
          <w:bCs/>
          <w:color w:val="auto"/>
          <w:kern w:val="0"/>
          <w:sz w:val="24"/>
          <w:highlight w:val="none"/>
        </w:rPr>
        <w:t>5.技术服务</w:t>
      </w:r>
    </w:p>
    <w:p>
      <w:pPr>
        <w:spacing w:line="440" w:lineRule="exact"/>
        <w:rPr>
          <w:color w:val="auto"/>
          <w:sz w:val="24"/>
          <w:highlight w:val="none"/>
        </w:rPr>
      </w:pPr>
      <w:r>
        <w:rPr>
          <w:color w:val="auto"/>
          <w:sz w:val="24"/>
          <w:highlight w:val="none"/>
        </w:rPr>
        <w:t>5.1保证产品为全新原厂设备。</w:t>
      </w:r>
    </w:p>
    <w:p>
      <w:pPr>
        <w:spacing w:line="440" w:lineRule="exact"/>
        <w:rPr>
          <w:color w:val="auto"/>
          <w:sz w:val="24"/>
          <w:highlight w:val="none"/>
        </w:rPr>
      </w:pPr>
      <w:r>
        <w:rPr>
          <w:color w:val="auto"/>
          <w:sz w:val="24"/>
          <w:highlight w:val="none"/>
        </w:rPr>
        <w:t>5.2保修服务：自验收合格起，厂家向用户提供至少1年的免费保修服务。保修期内所有服务免费，一切配件、耗材免费到场更换。保修期外，能更及时地为用户提供备品备件。</w:t>
      </w:r>
    </w:p>
    <w:p>
      <w:pPr>
        <w:spacing w:line="440" w:lineRule="exact"/>
        <w:rPr>
          <w:color w:val="auto"/>
          <w:sz w:val="24"/>
          <w:highlight w:val="none"/>
          <w:lang w:val="zh-CN"/>
        </w:rPr>
      </w:pPr>
      <w:r>
        <w:rPr>
          <w:color w:val="auto"/>
          <w:sz w:val="24"/>
          <w:highlight w:val="none"/>
        </w:rPr>
        <w:t>5.3仪器安装验收：</w:t>
      </w:r>
      <w:r>
        <w:rPr>
          <w:color w:val="auto"/>
          <w:sz w:val="24"/>
          <w:highlight w:val="none"/>
          <w:lang w:val="zh-CN"/>
        </w:rPr>
        <w:t>供货商在接到用户安装通知后，须在10工作日内安排有经验的工程师到现场安装仪器，并在</w:t>
      </w:r>
      <w:r>
        <w:rPr>
          <w:color w:val="auto"/>
          <w:sz w:val="24"/>
          <w:highlight w:val="none"/>
        </w:rPr>
        <w:t>3</w:t>
      </w:r>
      <w:r>
        <w:rPr>
          <w:color w:val="auto"/>
          <w:sz w:val="24"/>
          <w:highlight w:val="none"/>
          <w:lang w:val="zh-CN"/>
        </w:rPr>
        <w:t>0工作日内安装、调试完毕，</w:t>
      </w:r>
      <w:r>
        <w:rPr>
          <w:color w:val="auto"/>
          <w:sz w:val="24"/>
          <w:highlight w:val="none"/>
        </w:rPr>
        <w:t>进行操作试验，直至运行正常并验收确认。</w:t>
      </w:r>
    </w:p>
    <w:p>
      <w:pPr>
        <w:spacing w:line="440" w:lineRule="exact"/>
        <w:rPr>
          <w:color w:val="auto"/>
          <w:sz w:val="24"/>
          <w:highlight w:val="none"/>
        </w:rPr>
      </w:pPr>
      <w:r>
        <w:rPr>
          <w:color w:val="auto"/>
          <w:sz w:val="24"/>
          <w:highlight w:val="none"/>
        </w:rPr>
        <w:t>5.4质量及验收标准：</w:t>
      </w:r>
      <w:r>
        <w:rPr>
          <w:color w:val="auto"/>
          <w:sz w:val="24"/>
          <w:highlight w:val="none"/>
          <w:lang w:val="zh-CN"/>
        </w:rPr>
        <w:t>安装工程师对本标书中提出的性能指标须逐项验收，所有验收指标要求一次完成。</w:t>
      </w:r>
      <w:r>
        <w:rPr>
          <w:color w:val="auto"/>
          <w:sz w:val="24"/>
          <w:highlight w:val="none"/>
        </w:rPr>
        <w:t>证书技术指标符合买方要求和厂家规定的出厂要求，</w:t>
      </w:r>
      <w:r>
        <w:rPr>
          <w:color w:val="auto"/>
          <w:sz w:val="24"/>
          <w:highlight w:val="none"/>
          <w:lang w:val="zh-CN"/>
        </w:rPr>
        <w:t>如未通过验收，视情节更换部件或主机，直至退货；安装调试完成后厂家需找有资质的机构或单位对仪器进行检定</w:t>
      </w:r>
      <w:r>
        <w:rPr>
          <w:color w:val="auto"/>
          <w:sz w:val="24"/>
          <w:highlight w:val="none"/>
        </w:rPr>
        <w:t>/校准，并提供检定/校准证书，检定/校准结果满足相关检定/校准规程要求。</w:t>
      </w:r>
    </w:p>
    <w:p>
      <w:pPr>
        <w:spacing w:line="440" w:lineRule="exact"/>
        <w:rPr>
          <w:color w:val="auto"/>
          <w:sz w:val="24"/>
          <w:highlight w:val="none"/>
        </w:rPr>
      </w:pPr>
      <w:r>
        <w:rPr>
          <w:color w:val="auto"/>
          <w:sz w:val="24"/>
          <w:highlight w:val="none"/>
        </w:rPr>
        <w:t>5.5培训：①仪器安装现场应至少对2名以上仪器操作人员提供免费的上机操作及日常维护培训，至使用者会操作、使用仪器以及能够正常的进行仪器日常维护为止；②在仪器使用一段时间后，安排该仪器应用工程师到仪器使用单位对至少2名以上仪器操作人员提供免费应用培训，包括与该设备相关的检测方法的建立和开发；③除仪器中文使用说明书外，应提供安装、使用技术光碟等，便于后期操作人员更好的使用仪器和进行维护；④提供4人赴厂家培训基地</w:t>
      </w:r>
      <w:r>
        <w:rPr>
          <w:color w:val="auto"/>
          <w:sz w:val="24"/>
          <w:highlight w:val="none"/>
          <w:lang w:val="zh-CN"/>
        </w:rPr>
        <w:t>免培训费</w:t>
      </w:r>
      <w:r>
        <w:rPr>
          <w:color w:val="auto"/>
          <w:sz w:val="24"/>
          <w:highlight w:val="none"/>
        </w:rPr>
        <w:t>技术培训。</w:t>
      </w:r>
    </w:p>
    <w:p>
      <w:pPr>
        <w:spacing w:line="440" w:lineRule="exact"/>
        <w:rPr>
          <w:color w:val="auto"/>
          <w:sz w:val="24"/>
          <w:highlight w:val="none"/>
        </w:rPr>
      </w:pPr>
      <w:r>
        <w:rPr>
          <w:color w:val="auto"/>
          <w:sz w:val="24"/>
          <w:highlight w:val="none"/>
        </w:rPr>
        <w:t>5.6制造厂家应保证用户能得到快捷、完善的售后服务；服务响应时间不大于24小时，故障可以在48小时内到现场维修。</w:t>
      </w:r>
    </w:p>
    <w:p>
      <w:pPr>
        <w:spacing w:line="440" w:lineRule="exact"/>
        <w:rPr>
          <w:color w:val="auto"/>
          <w:sz w:val="24"/>
          <w:highlight w:val="none"/>
        </w:rPr>
      </w:pPr>
      <w:r>
        <w:rPr>
          <w:color w:val="auto"/>
          <w:sz w:val="24"/>
          <w:highlight w:val="none"/>
        </w:rPr>
        <w:t>5.7 及时免费提供技术咨询。</w:t>
      </w:r>
    </w:p>
    <w:p>
      <w:pPr>
        <w:spacing w:line="440" w:lineRule="exact"/>
        <w:rPr>
          <w:color w:val="auto"/>
          <w:sz w:val="24"/>
          <w:highlight w:val="none"/>
        </w:rPr>
      </w:pPr>
      <w:r>
        <w:rPr>
          <w:color w:val="auto"/>
          <w:sz w:val="24"/>
          <w:highlight w:val="none"/>
        </w:rPr>
        <w:t>5.8自安装之日起，每年至少2次免费技术和维护回访，帮助用户解决软硬件使用中出现的技术问题。</w:t>
      </w:r>
    </w:p>
    <w:p>
      <w:pPr>
        <w:spacing w:line="400" w:lineRule="exact"/>
        <w:rPr>
          <w:color w:val="auto"/>
          <w:highlight w:val="none"/>
        </w:rPr>
      </w:pPr>
      <w:r>
        <w:rPr>
          <w:color w:val="auto"/>
          <w:sz w:val="24"/>
          <w:highlight w:val="none"/>
        </w:rPr>
        <w:t>备注：</w:t>
      </w:r>
      <w:r>
        <w:rPr>
          <w:color w:val="auto"/>
          <w:sz w:val="24"/>
          <w:highlight w:val="none"/>
          <w:lang w:val="zh-CN"/>
        </w:rPr>
        <w:t>带“*”号的为必须满足指标，与技术性能指标一起</w:t>
      </w:r>
      <w:r>
        <w:rPr>
          <w:rFonts w:hint="eastAsia"/>
          <w:color w:val="auto"/>
          <w:sz w:val="24"/>
          <w:highlight w:val="none"/>
          <w:lang w:val="zh-CN"/>
        </w:rPr>
        <w:t>作</w:t>
      </w:r>
      <w:r>
        <w:rPr>
          <w:color w:val="auto"/>
          <w:sz w:val="24"/>
          <w:highlight w:val="none"/>
          <w:lang w:val="zh-CN"/>
        </w:rPr>
        <w:t>为验收指标。</w:t>
      </w:r>
      <w:r>
        <w:rPr>
          <w:color w:val="auto"/>
          <w:sz w:val="24"/>
          <w:highlight w:val="none"/>
        </w:rPr>
        <w:t>验收时须提供精密度、检出限等技术材料。</w:t>
      </w:r>
    </w:p>
    <w:p>
      <w:pPr>
        <w:pStyle w:val="60"/>
        <w:numPr>
          <w:ilvl w:val="0"/>
          <w:numId w:val="15"/>
        </w:numPr>
        <w:spacing w:line="440" w:lineRule="exact"/>
        <w:ind w:leftChars="0" w:firstLineChars="0"/>
        <w:rPr>
          <w:color w:val="auto"/>
          <w:highlight w:val="none"/>
        </w:rPr>
      </w:pPr>
      <w:r>
        <w:rPr>
          <w:rFonts w:hint="eastAsia"/>
          <w:color w:val="auto"/>
          <w:highlight w:val="none"/>
        </w:rPr>
        <w:t>全自动凯氏定氮仪</w:t>
      </w:r>
    </w:p>
    <w:p>
      <w:pPr>
        <w:widowControl/>
        <w:autoSpaceDE w:val="0"/>
        <w:autoSpaceDN w:val="0"/>
        <w:snapToGrid w:val="0"/>
        <w:spacing w:line="400" w:lineRule="exact"/>
        <w:rPr>
          <w:b/>
          <w:bCs/>
          <w:color w:val="auto"/>
          <w:kern w:val="0"/>
          <w:sz w:val="24"/>
          <w:highlight w:val="none"/>
        </w:rPr>
      </w:pPr>
      <w:r>
        <w:rPr>
          <w:b/>
          <w:bCs/>
          <w:color w:val="auto"/>
          <w:kern w:val="0"/>
          <w:sz w:val="24"/>
          <w:highlight w:val="none"/>
        </w:rPr>
        <w:t>1.设备用途</w:t>
      </w:r>
    </w:p>
    <w:p>
      <w:pPr>
        <w:widowControl/>
        <w:shd w:val="clear" w:color="auto" w:fill="FFFFFF"/>
        <w:suppressAutoHyphens/>
        <w:snapToGrid w:val="0"/>
        <w:spacing w:line="400" w:lineRule="exact"/>
        <w:contextualSpacing/>
        <w:rPr>
          <w:color w:val="auto"/>
          <w:sz w:val="24"/>
          <w:highlight w:val="none"/>
        </w:rPr>
      </w:pPr>
      <w:r>
        <w:rPr>
          <w:color w:val="auto"/>
          <w:sz w:val="24"/>
          <w:highlight w:val="none"/>
        </w:rPr>
        <w:t>用于检测土壤样品中全氮和蛋白质含量的分析以及其它挥发性组分的分析。</w:t>
      </w:r>
    </w:p>
    <w:p>
      <w:pPr>
        <w:widowControl/>
        <w:autoSpaceDE w:val="0"/>
        <w:autoSpaceDN w:val="0"/>
        <w:snapToGrid w:val="0"/>
        <w:spacing w:line="400" w:lineRule="exact"/>
        <w:rPr>
          <w:b/>
          <w:bCs/>
          <w:color w:val="auto"/>
          <w:kern w:val="0"/>
          <w:sz w:val="24"/>
          <w:highlight w:val="none"/>
        </w:rPr>
      </w:pPr>
      <w:r>
        <w:rPr>
          <w:b/>
          <w:bCs/>
          <w:color w:val="auto"/>
          <w:kern w:val="0"/>
          <w:sz w:val="24"/>
          <w:highlight w:val="none"/>
        </w:rPr>
        <w:t>2.工作环境</w:t>
      </w:r>
    </w:p>
    <w:p>
      <w:pPr>
        <w:spacing w:line="400" w:lineRule="exact"/>
        <w:rPr>
          <w:color w:val="auto"/>
          <w:sz w:val="24"/>
          <w:highlight w:val="none"/>
          <w:lang w:val="zh-CN"/>
        </w:rPr>
      </w:pPr>
      <w:r>
        <w:rPr>
          <w:color w:val="auto"/>
          <w:sz w:val="24"/>
          <w:highlight w:val="none"/>
          <w:lang w:val="zh-CN"/>
        </w:rPr>
        <w:t>2.1 电源：220 VAC ±10% 50Hz；</w:t>
      </w:r>
    </w:p>
    <w:p>
      <w:pPr>
        <w:spacing w:line="400" w:lineRule="exact"/>
        <w:rPr>
          <w:color w:val="auto"/>
          <w:sz w:val="24"/>
          <w:highlight w:val="none"/>
          <w:lang w:val="zh-CN"/>
        </w:rPr>
      </w:pPr>
      <w:r>
        <w:rPr>
          <w:color w:val="auto"/>
          <w:sz w:val="24"/>
          <w:highlight w:val="none"/>
          <w:lang w:val="zh-CN"/>
        </w:rPr>
        <w:t>2.2 温度：操作环境10-35˚C；</w:t>
      </w:r>
    </w:p>
    <w:p>
      <w:pPr>
        <w:spacing w:line="400" w:lineRule="exact"/>
        <w:rPr>
          <w:color w:val="auto"/>
          <w:sz w:val="24"/>
          <w:highlight w:val="none"/>
          <w:lang w:val="zh-CN"/>
        </w:rPr>
      </w:pPr>
      <w:r>
        <w:rPr>
          <w:color w:val="auto"/>
          <w:sz w:val="24"/>
          <w:highlight w:val="none"/>
          <w:lang w:val="zh-CN"/>
        </w:rPr>
        <w:t>2.3 冷凝水压：0.02MPa-1MPa；</w:t>
      </w:r>
    </w:p>
    <w:p>
      <w:pPr>
        <w:spacing w:line="400" w:lineRule="exact"/>
        <w:rPr>
          <w:color w:val="auto"/>
          <w:sz w:val="24"/>
          <w:highlight w:val="none"/>
        </w:rPr>
      </w:pPr>
      <w:r>
        <w:rPr>
          <w:color w:val="auto"/>
          <w:sz w:val="24"/>
          <w:highlight w:val="none"/>
          <w:lang w:val="zh-CN"/>
        </w:rPr>
        <w:t>2.4 冷凝水温度：≤20℃。</w:t>
      </w:r>
    </w:p>
    <w:p>
      <w:pPr>
        <w:autoSpaceDE w:val="0"/>
        <w:autoSpaceDN w:val="0"/>
        <w:adjustRightInd w:val="0"/>
        <w:spacing w:line="400" w:lineRule="exact"/>
        <w:rPr>
          <w:b/>
          <w:bCs/>
          <w:color w:val="auto"/>
          <w:sz w:val="24"/>
          <w:highlight w:val="none"/>
        </w:rPr>
      </w:pPr>
      <w:r>
        <w:rPr>
          <w:b/>
          <w:bCs/>
          <w:color w:val="auto"/>
          <w:sz w:val="24"/>
          <w:highlight w:val="none"/>
        </w:rPr>
        <w:t>3. 技术要求</w:t>
      </w:r>
    </w:p>
    <w:p>
      <w:pPr>
        <w:spacing w:line="400" w:lineRule="exact"/>
        <w:rPr>
          <w:color w:val="auto"/>
          <w:sz w:val="24"/>
          <w:highlight w:val="none"/>
          <w:lang w:val="zh-CN"/>
        </w:rPr>
      </w:pPr>
      <w:r>
        <w:rPr>
          <w:rFonts w:hint="eastAsia"/>
          <w:color w:val="auto"/>
          <w:sz w:val="24"/>
          <w:highlight w:val="none"/>
        </w:rPr>
        <w:t>★</w:t>
      </w:r>
      <w:r>
        <w:rPr>
          <w:color w:val="auto"/>
          <w:sz w:val="24"/>
          <w:highlight w:val="none"/>
          <w:lang w:val="zh-CN"/>
        </w:rPr>
        <w:t>3.1最低检测限：≥0.02mg N</w:t>
      </w:r>
      <w:r>
        <w:rPr>
          <w:rFonts w:hint="eastAsia"/>
          <w:color w:val="auto"/>
          <w:sz w:val="24"/>
          <w:highlight w:val="none"/>
          <w:lang w:val="zh-CN"/>
        </w:rPr>
        <w:t>；</w:t>
      </w:r>
    </w:p>
    <w:p>
      <w:pPr>
        <w:spacing w:line="400" w:lineRule="exact"/>
        <w:rPr>
          <w:color w:val="auto"/>
          <w:sz w:val="24"/>
          <w:highlight w:val="none"/>
          <w:lang w:val="zh-CN"/>
        </w:rPr>
      </w:pPr>
      <w:r>
        <w:rPr>
          <w:color w:val="auto"/>
          <w:sz w:val="24"/>
          <w:highlight w:val="none"/>
          <w:lang w:val="zh-CN"/>
        </w:rPr>
        <w:t>*3.2测量量范围：0.02~200mg</w:t>
      </w:r>
      <w:r>
        <w:rPr>
          <w:rFonts w:hint="eastAsia"/>
          <w:color w:val="auto"/>
          <w:sz w:val="24"/>
          <w:highlight w:val="none"/>
        </w:rPr>
        <w:t xml:space="preserve"> </w:t>
      </w:r>
      <w:r>
        <w:rPr>
          <w:color w:val="auto"/>
          <w:sz w:val="24"/>
          <w:highlight w:val="none"/>
          <w:lang w:val="zh-CN"/>
        </w:rPr>
        <w:t>N</w:t>
      </w:r>
      <w:r>
        <w:rPr>
          <w:rFonts w:hint="eastAsia"/>
          <w:color w:val="auto"/>
          <w:sz w:val="24"/>
          <w:highlight w:val="none"/>
          <w:lang w:val="zh-CN"/>
        </w:rPr>
        <w:t>；</w:t>
      </w:r>
    </w:p>
    <w:p>
      <w:pPr>
        <w:spacing w:line="400" w:lineRule="exact"/>
        <w:rPr>
          <w:color w:val="auto"/>
          <w:sz w:val="24"/>
          <w:highlight w:val="none"/>
          <w:lang w:val="zh-CN"/>
        </w:rPr>
      </w:pPr>
      <w:r>
        <w:rPr>
          <w:color w:val="auto"/>
          <w:sz w:val="24"/>
          <w:highlight w:val="none"/>
          <w:lang w:val="zh-CN"/>
        </w:rPr>
        <w:t>3.3重复性（RSD）</w:t>
      </w:r>
      <w:r>
        <w:rPr>
          <w:rFonts w:hint="eastAsia"/>
          <w:color w:val="auto"/>
          <w:sz w:val="24"/>
          <w:highlight w:val="none"/>
          <w:lang w:val="zh-CN"/>
        </w:rPr>
        <w:t>：</w:t>
      </w:r>
      <w:r>
        <w:rPr>
          <w:color w:val="auto"/>
          <w:sz w:val="24"/>
          <w:highlight w:val="none"/>
          <w:lang w:val="zh-CN"/>
        </w:rPr>
        <w:t>≤1%</w:t>
      </w:r>
      <w:r>
        <w:rPr>
          <w:rFonts w:hint="eastAsia"/>
          <w:color w:val="auto"/>
          <w:sz w:val="24"/>
          <w:highlight w:val="none"/>
          <w:lang w:val="zh-CN"/>
        </w:rPr>
        <w:t>；</w:t>
      </w:r>
    </w:p>
    <w:p>
      <w:pPr>
        <w:spacing w:line="400" w:lineRule="exact"/>
        <w:rPr>
          <w:color w:val="auto"/>
          <w:sz w:val="24"/>
          <w:highlight w:val="none"/>
          <w:lang w:val="zh-CN"/>
        </w:rPr>
      </w:pPr>
      <w:r>
        <w:rPr>
          <w:color w:val="auto"/>
          <w:sz w:val="24"/>
          <w:highlight w:val="none"/>
          <w:lang w:val="zh-CN"/>
        </w:rPr>
        <w:t>3.4回收率：≥99.5%（1-200mg N）</w:t>
      </w:r>
      <w:r>
        <w:rPr>
          <w:rFonts w:hint="eastAsia"/>
          <w:color w:val="auto"/>
          <w:sz w:val="24"/>
          <w:highlight w:val="none"/>
          <w:lang w:val="zh-CN"/>
        </w:rPr>
        <w:t>；</w:t>
      </w:r>
    </w:p>
    <w:p>
      <w:pPr>
        <w:spacing w:line="400" w:lineRule="exact"/>
        <w:rPr>
          <w:color w:val="auto"/>
          <w:sz w:val="24"/>
          <w:highlight w:val="none"/>
          <w:lang w:val="zh-CN"/>
        </w:rPr>
      </w:pPr>
      <w:r>
        <w:rPr>
          <w:color w:val="auto"/>
          <w:sz w:val="24"/>
          <w:highlight w:val="none"/>
          <w:lang w:val="zh-CN"/>
        </w:rPr>
        <w:t>3.5自动完成样品的加水稀释、加碱、加接收液、蒸馏、滴定、排空、清洗等功能</w:t>
      </w:r>
      <w:r>
        <w:rPr>
          <w:rFonts w:hint="eastAsia"/>
          <w:color w:val="auto"/>
          <w:sz w:val="24"/>
          <w:highlight w:val="none"/>
          <w:lang w:val="zh-CN"/>
        </w:rPr>
        <w:t>；</w:t>
      </w:r>
    </w:p>
    <w:p>
      <w:pPr>
        <w:spacing w:line="400" w:lineRule="exact"/>
        <w:rPr>
          <w:color w:val="auto"/>
          <w:sz w:val="24"/>
          <w:highlight w:val="none"/>
          <w:lang w:val="zh-CN"/>
        </w:rPr>
      </w:pPr>
      <w:r>
        <w:rPr>
          <w:color w:val="auto"/>
          <w:sz w:val="24"/>
          <w:highlight w:val="none"/>
          <w:lang w:val="zh-CN"/>
        </w:rPr>
        <w:t>3.6仪器采用≥8.4英寸彩色触摸显示屏</w:t>
      </w:r>
      <w:r>
        <w:rPr>
          <w:rFonts w:hint="eastAsia"/>
          <w:color w:val="auto"/>
          <w:sz w:val="24"/>
          <w:highlight w:val="none"/>
          <w:lang w:val="zh-CN"/>
        </w:rPr>
        <w:t>；</w:t>
      </w:r>
    </w:p>
    <w:p>
      <w:pPr>
        <w:spacing w:line="400" w:lineRule="exact"/>
        <w:rPr>
          <w:color w:val="auto"/>
          <w:sz w:val="24"/>
          <w:highlight w:val="none"/>
          <w:lang w:val="zh-CN"/>
        </w:rPr>
      </w:pPr>
      <w:r>
        <w:rPr>
          <w:color w:val="auto"/>
          <w:sz w:val="24"/>
          <w:highlight w:val="none"/>
          <w:lang w:val="zh-CN"/>
        </w:rPr>
        <w:t>3.7仪器采用智能控制面板，并且包括中文在内的8种文字菜单，可以方便快捷的操作。内置软件可以使操作者在电脑上进行仪器的操作设定，结果的处理等。支持GLP规则，支持LIMS数据交换；数据结果可通过网络，USB自动传输</w:t>
      </w:r>
      <w:r>
        <w:rPr>
          <w:rFonts w:hint="eastAsia"/>
          <w:color w:val="auto"/>
          <w:sz w:val="24"/>
          <w:highlight w:val="none"/>
          <w:lang w:val="zh-CN"/>
        </w:rPr>
        <w:t>；</w:t>
      </w:r>
    </w:p>
    <w:p>
      <w:pPr>
        <w:spacing w:line="400" w:lineRule="exact"/>
        <w:rPr>
          <w:color w:val="auto"/>
          <w:sz w:val="24"/>
          <w:highlight w:val="none"/>
          <w:lang w:val="zh-CN"/>
        </w:rPr>
      </w:pPr>
      <w:r>
        <w:rPr>
          <w:color w:val="auto"/>
          <w:sz w:val="24"/>
          <w:highlight w:val="none"/>
          <w:lang w:val="zh-CN"/>
        </w:rPr>
        <w:t>3.8蒸馏时间：≥60mgN/4min</w:t>
      </w:r>
      <w:r>
        <w:rPr>
          <w:rFonts w:hint="eastAsia"/>
          <w:color w:val="auto"/>
          <w:sz w:val="24"/>
          <w:highlight w:val="none"/>
          <w:lang w:val="zh-CN"/>
        </w:rPr>
        <w:t>，</w:t>
      </w:r>
      <w:r>
        <w:rPr>
          <w:color w:val="auto"/>
          <w:sz w:val="24"/>
          <w:highlight w:val="none"/>
          <w:lang w:val="zh-CN"/>
        </w:rPr>
        <w:t>自动排空清洗时间≤1min</w:t>
      </w:r>
      <w:r>
        <w:rPr>
          <w:rFonts w:hint="eastAsia"/>
          <w:color w:val="auto"/>
          <w:sz w:val="24"/>
          <w:highlight w:val="none"/>
          <w:lang w:val="zh-CN"/>
        </w:rPr>
        <w:t>；</w:t>
      </w:r>
    </w:p>
    <w:p>
      <w:pPr>
        <w:spacing w:line="400" w:lineRule="exact"/>
        <w:rPr>
          <w:color w:val="auto"/>
          <w:sz w:val="24"/>
          <w:highlight w:val="none"/>
          <w:lang w:val="zh-CN"/>
        </w:rPr>
      </w:pPr>
      <w:r>
        <w:rPr>
          <w:color w:val="auto"/>
          <w:sz w:val="24"/>
          <w:highlight w:val="none"/>
          <w:lang w:val="zh-CN"/>
        </w:rPr>
        <w:t>3.9蒸馏能力：≥40ml/min</w:t>
      </w:r>
      <w:r>
        <w:rPr>
          <w:rFonts w:hint="eastAsia"/>
          <w:color w:val="auto"/>
          <w:sz w:val="24"/>
          <w:highlight w:val="none"/>
          <w:lang w:val="zh-CN"/>
        </w:rPr>
        <w:t>；</w:t>
      </w:r>
    </w:p>
    <w:p>
      <w:pPr>
        <w:spacing w:line="400" w:lineRule="exact"/>
        <w:rPr>
          <w:color w:val="auto"/>
          <w:sz w:val="24"/>
          <w:highlight w:val="none"/>
          <w:lang w:val="zh-CN"/>
        </w:rPr>
      </w:pPr>
      <w:r>
        <w:rPr>
          <w:color w:val="auto"/>
          <w:sz w:val="24"/>
          <w:highlight w:val="none"/>
          <w:lang w:val="zh-CN"/>
        </w:rPr>
        <w:t>3.10自身可储存≥100,000个测定结果</w:t>
      </w:r>
      <w:r>
        <w:rPr>
          <w:rFonts w:hint="eastAsia"/>
          <w:color w:val="auto"/>
          <w:sz w:val="24"/>
          <w:highlight w:val="none"/>
          <w:lang w:val="zh-CN"/>
        </w:rPr>
        <w:t>、</w:t>
      </w:r>
      <w:r>
        <w:rPr>
          <w:color w:val="auto"/>
          <w:sz w:val="24"/>
          <w:highlight w:val="none"/>
          <w:lang w:val="zh-CN"/>
        </w:rPr>
        <w:t>≥500个测定方法</w:t>
      </w:r>
      <w:r>
        <w:rPr>
          <w:rFonts w:hint="eastAsia"/>
          <w:color w:val="auto"/>
          <w:sz w:val="24"/>
          <w:highlight w:val="none"/>
          <w:lang w:val="zh-CN"/>
        </w:rPr>
        <w:t>；</w:t>
      </w:r>
    </w:p>
    <w:p>
      <w:pPr>
        <w:spacing w:line="400" w:lineRule="exact"/>
        <w:rPr>
          <w:color w:val="auto"/>
          <w:sz w:val="24"/>
          <w:highlight w:val="none"/>
          <w:lang w:val="zh-CN"/>
        </w:rPr>
      </w:pPr>
      <w:r>
        <w:rPr>
          <w:color w:val="auto"/>
          <w:sz w:val="24"/>
          <w:highlight w:val="none"/>
          <w:lang w:val="zh-CN"/>
        </w:rPr>
        <w:t>3.11滴定模式：颜色滴定模式和电位滴定模式两种模式可选</w:t>
      </w:r>
      <w:r>
        <w:rPr>
          <w:rFonts w:hint="eastAsia"/>
          <w:color w:val="auto"/>
          <w:sz w:val="24"/>
          <w:highlight w:val="none"/>
          <w:lang w:val="zh-CN"/>
        </w:rPr>
        <w:t>；</w:t>
      </w:r>
    </w:p>
    <w:p>
      <w:pPr>
        <w:spacing w:line="400" w:lineRule="exact"/>
        <w:rPr>
          <w:color w:val="auto"/>
          <w:sz w:val="24"/>
          <w:highlight w:val="none"/>
          <w:lang w:val="zh-CN"/>
        </w:rPr>
      </w:pPr>
      <w:r>
        <w:rPr>
          <w:color w:val="auto"/>
          <w:sz w:val="24"/>
          <w:highlight w:val="none"/>
          <w:lang w:val="zh-CN"/>
        </w:rPr>
        <w:t>3.12防喷溅保护器：玻璃或塑料可选</w:t>
      </w:r>
      <w:r>
        <w:rPr>
          <w:rFonts w:hint="eastAsia"/>
          <w:color w:val="auto"/>
          <w:sz w:val="24"/>
          <w:highlight w:val="none"/>
          <w:lang w:val="zh-CN"/>
        </w:rPr>
        <w:t>；</w:t>
      </w:r>
    </w:p>
    <w:p>
      <w:pPr>
        <w:spacing w:line="400" w:lineRule="exact"/>
        <w:rPr>
          <w:color w:val="auto"/>
          <w:sz w:val="24"/>
          <w:highlight w:val="none"/>
          <w:lang w:val="zh-CN"/>
        </w:rPr>
      </w:pPr>
      <w:r>
        <w:rPr>
          <w:color w:val="auto"/>
          <w:sz w:val="24"/>
          <w:highlight w:val="none"/>
          <w:lang w:val="zh-CN"/>
        </w:rPr>
        <w:t>3.13内置电子蒸汽校准控制器：可自动调控蒸汽通入量、速度及终止，并有隔热保护装置确保蒸汽发生器，高效安全，无需维护</w:t>
      </w:r>
      <w:r>
        <w:rPr>
          <w:rFonts w:hint="eastAsia"/>
          <w:color w:val="auto"/>
          <w:sz w:val="24"/>
          <w:highlight w:val="none"/>
          <w:lang w:val="zh-CN"/>
        </w:rPr>
        <w:t>；</w:t>
      </w:r>
    </w:p>
    <w:p>
      <w:pPr>
        <w:spacing w:line="400" w:lineRule="exact"/>
        <w:rPr>
          <w:color w:val="auto"/>
          <w:sz w:val="24"/>
          <w:highlight w:val="none"/>
          <w:lang w:val="zh-CN"/>
        </w:rPr>
      </w:pPr>
      <w:r>
        <w:rPr>
          <w:color w:val="auto"/>
          <w:sz w:val="24"/>
          <w:highlight w:val="none"/>
          <w:lang w:val="zh-CN"/>
        </w:rPr>
        <w:t>3.14双通道废液分离阀：可分别单独收集样品管、接收瓶中的废液</w:t>
      </w:r>
      <w:r>
        <w:rPr>
          <w:rFonts w:hint="eastAsia"/>
          <w:color w:val="auto"/>
          <w:sz w:val="24"/>
          <w:highlight w:val="none"/>
          <w:lang w:val="zh-CN"/>
        </w:rPr>
        <w:t>；</w:t>
      </w:r>
    </w:p>
    <w:p>
      <w:pPr>
        <w:spacing w:line="400" w:lineRule="exact"/>
        <w:rPr>
          <w:color w:val="auto"/>
          <w:sz w:val="24"/>
          <w:highlight w:val="none"/>
          <w:lang w:val="zh-CN"/>
        </w:rPr>
      </w:pPr>
      <w:r>
        <w:rPr>
          <w:color w:val="auto"/>
          <w:sz w:val="24"/>
          <w:highlight w:val="none"/>
          <w:lang w:val="zh-CN"/>
        </w:rPr>
        <w:t>3.15自动蒸馏模式，自动侦测仪器待机温度，自动计算蒸馏时间</w:t>
      </w:r>
      <w:r>
        <w:rPr>
          <w:rFonts w:hint="eastAsia"/>
          <w:color w:val="auto"/>
          <w:sz w:val="24"/>
          <w:highlight w:val="none"/>
          <w:lang w:val="zh-CN"/>
        </w:rPr>
        <w:t>；</w:t>
      </w:r>
    </w:p>
    <w:p>
      <w:pPr>
        <w:spacing w:line="400" w:lineRule="exact"/>
        <w:rPr>
          <w:color w:val="auto"/>
          <w:sz w:val="24"/>
          <w:highlight w:val="none"/>
          <w:lang w:val="zh-CN"/>
        </w:rPr>
      </w:pPr>
      <w:r>
        <w:rPr>
          <w:color w:val="auto"/>
          <w:sz w:val="24"/>
          <w:highlight w:val="none"/>
          <w:lang w:val="zh-CN"/>
        </w:rPr>
        <w:t>3.16安全功能: 开机自检功能、样品管在位感应器、防护门感应器、蒸汽发生器过热过压保护和错误提醒功能</w:t>
      </w:r>
      <w:r>
        <w:rPr>
          <w:rFonts w:hint="eastAsia"/>
          <w:color w:val="auto"/>
          <w:sz w:val="24"/>
          <w:highlight w:val="none"/>
          <w:lang w:val="zh-CN"/>
        </w:rPr>
        <w:t>；</w:t>
      </w:r>
    </w:p>
    <w:p>
      <w:pPr>
        <w:spacing w:line="400" w:lineRule="exact"/>
        <w:rPr>
          <w:color w:val="auto"/>
          <w:sz w:val="24"/>
          <w:highlight w:val="none"/>
          <w:lang w:val="zh-CN"/>
        </w:rPr>
      </w:pPr>
      <w:r>
        <w:rPr>
          <w:color w:val="auto"/>
          <w:sz w:val="24"/>
          <w:highlight w:val="none"/>
          <w:lang w:val="zh-CN"/>
        </w:rPr>
        <w:t>3.17使用100ml、300ml、500ml消化管，管壁厚度≥2.3mm；收口防爆沸设计，</w:t>
      </w:r>
      <w:r>
        <w:rPr>
          <w:rFonts w:hint="eastAsia"/>
          <w:color w:val="auto"/>
          <w:sz w:val="24"/>
          <w:highlight w:val="none"/>
        </w:rPr>
        <w:t>并能</w:t>
      </w:r>
      <w:r>
        <w:rPr>
          <w:color w:val="auto"/>
          <w:sz w:val="24"/>
          <w:highlight w:val="none"/>
          <w:lang w:val="zh-CN"/>
        </w:rPr>
        <w:t>兼容其它品牌250ml的消化管</w:t>
      </w:r>
      <w:r>
        <w:rPr>
          <w:rFonts w:hint="eastAsia"/>
          <w:color w:val="auto"/>
          <w:sz w:val="24"/>
          <w:highlight w:val="none"/>
          <w:lang w:val="zh-CN"/>
        </w:rPr>
        <w:t>；</w:t>
      </w:r>
    </w:p>
    <w:p>
      <w:pPr>
        <w:spacing w:line="400" w:lineRule="exact"/>
        <w:rPr>
          <w:color w:val="auto"/>
          <w:sz w:val="24"/>
          <w:highlight w:val="none"/>
          <w:lang w:val="zh-CN"/>
        </w:rPr>
      </w:pPr>
      <w:r>
        <w:rPr>
          <w:color w:val="auto"/>
          <w:sz w:val="24"/>
          <w:highlight w:val="none"/>
          <w:lang w:val="zh-CN"/>
        </w:rPr>
        <w:t>3.18冷却水温度传感器，自动调节冷却水，</w:t>
      </w:r>
    </w:p>
    <w:p>
      <w:pPr>
        <w:spacing w:line="400" w:lineRule="exact"/>
        <w:rPr>
          <w:color w:val="auto"/>
          <w:sz w:val="24"/>
          <w:highlight w:val="none"/>
          <w:lang w:val="zh-CN"/>
        </w:rPr>
      </w:pPr>
      <w:r>
        <w:rPr>
          <w:color w:val="auto"/>
          <w:sz w:val="24"/>
          <w:highlight w:val="none"/>
          <w:lang w:val="zh-CN"/>
        </w:rPr>
        <w:t>*</w:t>
      </w:r>
      <w:r>
        <w:rPr>
          <w:rFonts w:hint="eastAsia"/>
          <w:color w:val="auto"/>
          <w:sz w:val="24"/>
          <w:highlight w:val="none"/>
        </w:rPr>
        <w:t>3.19</w:t>
      </w:r>
      <w:r>
        <w:rPr>
          <w:color w:val="auto"/>
          <w:sz w:val="24"/>
          <w:highlight w:val="none"/>
          <w:lang w:val="zh-CN"/>
        </w:rPr>
        <w:t>可单机工作，也可以日后升级后，选择和专用的计算机软件联机使用。软件可无限制设置应用程序和储存数据。通过外围设备（网络/USB/LIMS）可实现数据传输。</w:t>
      </w:r>
    </w:p>
    <w:p>
      <w:pPr>
        <w:spacing w:line="400" w:lineRule="exact"/>
        <w:rPr>
          <w:color w:val="auto"/>
          <w:sz w:val="24"/>
          <w:highlight w:val="none"/>
          <w:lang w:val="zh-CN"/>
        </w:rPr>
      </w:pPr>
      <w:r>
        <w:rPr>
          <w:color w:val="auto"/>
          <w:sz w:val="24"/>
          <w:highlight w:val="none"/>
          <w:lang w:val="zh-CN"/>
        </w:rPr>
        <w:t>3.</w:t>
      </w:r>
      <w:r>
        <w:rPr>
          <w:rFonts w:hint="eastAsia"/>
          <w:color w:val="auto"/>
          <w:sz w:val="24"/>
          <w:highlight w:val="none"/>
        </w:rPr>
        <w:t xml:space="preserve">20 </w:t>
      </w:r>
      <w:r>
        <w:rPr>
          <w:color w:val="auto"/>
          <w:sz w:val="24"/>
          <w:highlight w:val="none"/>
          <w:lang w:val="zh-CN"/>
        </w:rPr>
        <w:t>EPDM材质的密封圈</w:t>
      </w:r>
      <w:r>
        <w:rPr>
          <w:rFonts w:hint="eastAsia"/>
          <w:color w:val="auto"/>
          <w:sz w:val="24"/>
          <w:highlight w:val="none"/>
          <w:lang w:val="zh-CN"/>
        </w:rPr>
        <w:t>；</w:t>
      </w:r>
    </w:p>
    <w:p>
      <w:pPr>
        <w:spacing w:line="400" w:lineRule="exact"/>
        <w:rPr>
          <w:color w:val="auto"/>
          <w:sz w:val="24"/>
          <w:highlight w:val="none"/>
          <w:lang w:val="zh-CN"/>
        </w:rPr>
      </w:pPr>
      <w:r>
        <w:rPr>
          <w:color w:val="auto"/>
          <w:sz w:val="24"/>
          <w:highlight w:val="none"/>
          <w:lang w:val="zh-CN"/>
        </w:rPr>
        <w:t>3.2</w:t>
      </w:r>
      <w:r>
        <w:rPr>
          <w:rFonts w:hint="eastAsia"/>
          <w:color w:val="auto"/>
          <w:sz w:val="24"/>
          <w:highlight w:val="none"/>
        </w:rPr>
        <w:t>1</w:t>
      </w:r>
      <w:r>
        <w:rPr>
          <w:color w:val="auto"/>
          <w:sz w:val="24"/>
          <w:highlight w:val="none"/>
          <w:lang w:val="zh-CN"/>
        </w:rPr>
        <w:t>.密码锁保护功能，防止非授权操作，满足实验室GLP规范</w:t>
      </w:r>
      <w:r>
        <w:rPr>
          <w:rFonts w:hint="eastAsia"/>
          <w:color w:val="auto"/>
          <w:sz w:val="24"/>
          <w:highlight w:val="none"/>
          <w:lang w:val="zh-CN"/>
        </w:rPr>
        <w:t>；</w:t>
      </w:r>
    </w:p>
    <w:p>
      <w:pPr>
        <w:spacing w:line="400" w:lineRule="exact"/>
        <w:rPr>
          <w:color w:val="auto"/>
          <w:sz w:val="24"/>
          <w:highlight w:val="none"/>
          <w:lang w:val="zh-CN"/>
        </w:rPr>
      </w:pPr>
      <w:r>
        <w:rPr>
          <w:color w:val="auto"/>
          <w:sz w:val="24"/>
          <w:highlight w:val="none"/>
          <w:lang w:val="zh-CN"/>
        </w:rPr>
        <w:t>3.2</w:t>
      </w:r>
      <w:r>
        <w:rPr>
          <w:rFonts w:hint="eastAsia"/>
          <w:color w:val="auto"/>
          <w:sz w:val="24"/>
          <w:highlight w:val="none"/>
        </w:rPr>
        <w:t>2</w:t>
      </w:r>
      <w:r>
        <w:rPr>
          <w:color w:val="auto"/>
          <w:sz w:val="24"/>
          <w:highlight w:val="none"/>
          <w:lang w:val="zh-CN"/>
        </w:rPr>
        <w:t>仪器可以外接天平、打印机、USB接口、网络、LIMS数据交换等</w:t>
      </w:r>
      <w:r>
        <w:rPr>
          <w:rFonts w:hint="eastAsia"/>
          <w:color w:val="auto"/>
          <w:sz w:val="24"/>
          <w:highlight w:val="none"/>
          <w:lang w:val="zh-CN"/>
        </w:rPr>
        <w:t>；</w:t>
      </w:r>
    </w:p>
    <w:p>
      <w:pPr>
        <w:spacing w:line="400" w:lineRule="exact"/>
        <w:rPr>
          <w:color w:val="auto"/>
          <w:sz w:val="24"/>
          <w:highlight w:val="none"/>
          <w:lang w:val="zh-CN"/>
        </w:rPr>
      </w:pPr>
      <w:r>
        <w:rPr>
          <w:color w:val="auto"/>
          <w:sz w:val="24"/>
          <w:highlight w:val="none"/>
          <w:lang w:val="zh-CN"/>
        </w:rPr>
        <w:t>3.23最小滴定体积：2 μl/步</w:t>
      </w:r>
      <w:r>
        <w:rPr>
          <w:rFonts w:hint="eastAsia"/>
          <w:color w:val="auto"/>
          <w:sz w:val="24"/>
          <w:highlight w:val="none"/>
          <w:lang w:val="zh-CN"/>
        </w:rPr>
        <w:t>；</w:t>
      </w:r>
    </w:p>
    <w:p>
      <w:pPr>
        <w:spacing w:line="400" w:lineRule="exact"/>
        <w:rPr>
          <w:color w:val="auto"/>
          <w:sz w:val="24"/>
          <w:highlight w:val="none"/>
          <w:lang w:val="zh-CN"/>
        </w:rPr>
      </w:pPr>
      <w:r>
        <w:rPr>
          <w:color w:val="auto"/>
          <w:sz w:val="24"/>
          <w:highlight w:val="none"/>
          <w:lang w:val="zh-CN"/>
        </w:rPr>
        <w:t>3.2</w:t>
      </w:r>
      <w:r>
        <w:rPr>
          <w:rFonts w:hint="eastAsia"/>
          <w:color w:val="auto"/>
          <w:sz w:val="24"/>
          <w:highlight w:val="none"/>
        </w:rPr>
        <w:t>4</w:t>
      </w:r>
      <w:r>
        <w:rPr>
          <w:color w:val="auto"/>
          <w:sz w:val="24"/>
          <w:highlight w:val="none"/>
          <w:lang w:val="zh-CN"/>
        </w:rPr>
        <w:t>.蒸汽调节输出：30%-100%</w:t>
      </w:r>
      <w:r>
        <w:rPr>
          <w:rFonts w:hint="eastAsia"/>
          <w:color w:val="auto"/>
          <w:sz w:val="24"/>
          <w:highlight w:val="none"/>
          <w:lang w:val="zh-CN"/>
        </w:rPr>
        <w:t>；</w:t>
      </w:r>
    </w:p>
    <w:p>
      <w:pPr>
        <w:spacing w:line="400" w:lineRule="exact"/>
        <w:rPr>
          <w:color w:val="auto"/>
          <w:sz w:val="24"/>
          <w:highlight w:val="none"/>
          <w:lang w:val="zh-CN"/>
        </w:rPr>
      </w:pPr>
      <w:r>
        <w:rPr>
          <w:rFonts w:hint="eastAsia"/>
          <w:color w:val="auto"/>
          <w:sz w:val="24"/>
          <w:highlight w:val="none"/>
          <w:lang w:val="zh-CN"/>
        </w:rPr>
        <w:t>3.25</w:t>
      </w:r>
      <w:r>
        <w:rPr>
          <w:color w:val="auto"/>
          <w:sz w:val="24"/>
          <w:highlight w:val="none"/>
          <w:lang w:val="zh-CN"/>
        </w:rPr>
        <w:t>快速消解仪</w:t>
      </w:r>
    </w:p>
    <w:p>
      <w:pPr>
        <w:spacing w:line="400" w:lineRule="exact"/>
        <w:rPr>
          <w:color w:val="auto"/>
          <w:sz w:val="24"/>
          <w:highlight w:val="none"/>
          <w:lang w:val="zh-CN"/>
        </w:rPr>
      </w:pPr>
      <w:r>
        <w:rPr>
          <w:rFonts w:hint="eastAsia"/>
          <w:color w:val="auto"/>
          <w:sz w:val="24"/>
          <w:highlight w:val="none"/>
          <w:lang w:val="zh-CN"/>
        </w:rPr>
        <w:t>3.25</w:t>
      </w:r>
      <w:r>
        <w:rPr>
          <w:color w:val="auto"/>
          <w:sz w:val="24"/>
          <w:highlight w:val="none"/>
          <w:lang w:val="zh-CN"/>
        </w:rPr>
        <w:t>.1微电脑控制</w:t>
      </w:r>
      <w:r>
        <w:rPr>
          <w:rFonts w:hint="eastAsia"/>
          <w:color w:val="auto"/>
          <w:sz w:val="24"/>
          <w:highlight w:val="none"/>
          <w:lang w:val="zh-CN"/>
        </w:rPr>
        <w:t>，</w:t>
      </w:r>
      <w:r>
        <w:rPr>
          <w:color w:val="auto"/>
          <w:sz w:val="24"/>
          <w:highlight w:val="none"/>
          <w:lang w:val="zh-CN"/>
        </w:rPr>
        <w:t>铝模块加热方式</w:t>
      </w:r>
      <w:r>
        <w:rPr>
          <w:rFonts w:hint="eastAsia"/>
          <w:color w:val="auto"/>
          <w:sz w:val="24"/>
          <w:highlight w:val="none"/>
          <w:lang w:val="zh-CN"/>
        </w:rPr>
        <w:t>，</w:t>
      </w:r>
      <w:r>
        <w:rPr>
          <w:color w:val="auto"/>
          <w:sz w:val="24"/>
          <w:highlight w:val="none"/>
          <w:lang w:val="zh-CN"/>
        </w:rPr>
        <w:t>可以同时处理1-20个样品；显示温度及剩余时间；</w:t>
      </w:r>
    </w:p>
    <w:p>
      <w:pPr>
        <w:spacing w:line="400" w:lineRule="exact"/>
        <w:rPr>
          <w:color w:val="auto"/>
          <w:sz w:val="24"/>
          <w:highlight w:val="none"/>
          <w:lang w:val="zh-CN"/>
        </w:rPr>
      </w:pPr>
      <w:r>
        <w:rPr>
          <w:rFonts w:hint="eastAsia"/>
          <w:color w:val="auto"/>
          <w:sz w:val="24"/>
          <w:highlight w:val="none"/>
          <w:lang w:val="zh-CN"/>
        </w:rPr>
        <w:t>3.25</w:t>
      </w:r>
      <w:r>
        <w:rPr>
          <w:color w:val="auto"/>
          <w:sz w:val="24"/>
          <w:highlight w:val="none"/>
          <w:lang w:val="zh-CN"/>
        </w:rPr>
        <w:t>.2使用100ml、300ml、500ml消化管，管壁厚度≥2.3mm；收口防爆沸设计，防止溶液溅出、防止瀑沸；</w:t>
      </w:r>
      <w:r>
        <w:rPr>
          <w:rFonts w:hint="eastAsia"/>
          <w:color w:val="auto"/>
          <w:sz w:val="24"/>
          <w:highlight w:val="none"/>
        </w:rPr>
        <w:t>并能</w:t>
      </w:r>
      <w:r>
        <w:rPr>
          <w:color w:val="auto"/>
          <w:sz w:val="24"/>
          <w:highlight w:val="none"/>
          <w:lang w:val="zh-CN"/>
        </w:rPr>
        <w:t>兼容市面上其它品牌250ml的消化管；</w:t>
      </w:r>
    </w:p>
    <w:p>
      <w:pPr>
        <w:spacing w:line="400" w:lineRule="exact"/>
        <w:rPr>
          <w:color w:val="auto"/>
          <w:sz w:val="24"/>
          <w:highlight w:val="none"/>
          <w:lang w:val="zh-CN"/>
        </w:rPr>
      </w:pPr>
      <w:r>
        <w:rPr>
          <w:rFonts w:hint="eastAsia"/>
          <w:color w:val="auto"/>
          <w:sz w:val="24"/>
          <w:highlight w:val="none"/>
          <w:lang w:val="zh-CN"/>
        </w:rPr>
        <w:t>3.25</w:t>
      </w:r>
      <w:r>
        <w:rPr>
          <w:color w:val="auto"/>
          <w:sz w:val="24"/>
          <w:highlight w:val="none"/>
          <w:lang w:val="zh-CN"/>
        </w:rPr>
        <w:t>.3每个样品管对应独立的密封</w:t>
      </w:r>
      <w:r>
        <w:rPr>
          <w:rFonts w:hint="eastAsia"/>
          <w:color w:val="auto"/>
          <w:sz w:val="24"/>
          <w:highlight w:val="none"/>
          <w:lang w:val="zh-CN"/>
        </w:rPr>
        <w:t>，</w:t>
      </w:r>
      <w:r>
        <w:rPr>
          <w:color w:val="auto"/>
          <w:sz w:val="24"/>
          <w:highlight w:val="none"/>
          <w:lang w:val="zh-CN"/>
        </w:rPr>
        <w:t>无有害气体的泄漏；</w:t>
      </w:r>
    </w:p>
    <w:p>
      <w:pPr>
        <w:spacing w:line="400" w:lineRule="exact"/>
        <w:rPr>
          <w:color w:val="auto"/>
          <w:sz w:val="24"/>
          <w:highlight w:val="none"/>
          <w:lang w:val="zh-CN"/>
        </w:rPr>
      </w:pPr>
      <w:r>
        <w:rPr>
          <w:rFonts w:hint="eastAsia"/>
          <w:color w:val="auto"/>
          <w:sz w:val="24"/>
          <w:highlight w:val="none"/>
          <w:lang w:val="zh-CN"/>
        </w:rPr>
        <w:t>3.25</w:t>
      </w:r>
      <w:r>
        <w:rPr>
          <w:color w:val="auto"/>
          <w:sz w:val="24"/>
          <w:highlight w:val="none"/>
          <w:lang w:val="zh-CN"/>
        </w:rPr>
        <w:t>.4铝块中空设计，加热槽深度</w:t>
      </w:r>
      <w:r>
        <w:rPr>
          <w:rFonts w:hint="eastAsia"/>
          <w:color w:val="auto"/>
          <w:sz w:val="24"/>
          <w:highlight w:val="none"/>
        </w:rPr>
        <w:t>≥</w:t>
      </w:r>
      <w:r>
        <w:rPr>
          <w:color w:val="auto"/>
          <w:sz w:val="24"/>
          <w:highlight w:val="none"/>
          <w:lang w:val="zh-CN"/>
        </w:rPr>
        <w:t>6cm</w:t>
      </w:r>
      <w:r>
        <w:rPr>
          <w:rFonts w:hint="eastAsia"/>
          <w:color w:val="auto"/>
          <w:sz w:val="24"/>
          <w:highlight w:val="none"/>
          <w:lang w:val="zh-CN"/>
        </w:rPr>
        <w:t>，</w:t>
      </w:r>
      <w:r>
        <w:rPr>
          <w:color w:val="auto"/>
          <w:sz w:val="24"/>
          <w:highlight w:val="none"/>
          <w:lang w:val="zh-CN"/>
        </w:rPr>
        <w:t>室温加热到420℃</w:t>
      </w:r>
      <w:r>
        <w:rPr>
          <w:rFonts w:hint="eastAsia"/>
          <w:color w:val="auto"/>
          <w:sz w:val="24"/>
          <w:highlight w:val="none"/>
        </w:rPr>
        <w:t>时间≤</w:t>
      </w:r>
      <w:r>
        <w:rPr>
          <w:color w:val="auto"/>
          <w:sz w:val="24"/>
          <w:highlight w:val="none"/>
          <w:lang w:val="zh-CN"/>
        </w:rPr>
        <w:t>20min；</w:t>
      </w:r>
    </w:p>
    <w:p>
      <w:pPr>
        <w:spacing w:line="400" w:lineRule="exact"/>
        <w:rPr>
          <w:color w:val="auto"/>
          <w:sz w:val="24"/>
          <w:highlight w:val="none"/>
          <w:lang w:val="zh-CN"/>
        </w:rPr>
      </w:pPr>
      <w:r>
        <w:rPr>
          <w:rFonts w:hint="eastAsia"/>
          <w:color w:val="auto"/>
          <w:sz w:val="24"/>
          <w:highlight w:val="none"/>
          <w:lang w:val="zh-CN"/>
        </w:rPr>
        <w:t>3.25</w:t>
      </w:r>
      <w:r>
        <w:rPr>
          <w:color w:val="auto"/>
          <w:sz w:val="24"/>
          <w:highlight w:val="none"/>
          <w:lang w:val="zh-CN"/>
        </w:rPr>
        <w:t>.5消解仪设有状态提示：如到达消解温度和消解完成时都有提示音；</w:t>
      </w:r>
    </w:p>
    <w:p>
      <w:pPr>
        <w:spacing w:line="400" w:lineRule="exact"/>
        <w:rPr>
          <w:color w:val="auto"/>
          <w:sz w:val="24"/>
          <w:highlight w:val="none"/>
          <w:lang w:val="zh-CN"/>
        </w:rPr>
      </w:pPr>
      <w:r>
        <w:rPr>
          <w:rFonts w:hint="eastAsia"/>
          <w:color w:val="auto"/>
          <w:sz w:val="24"/>
          <w:highlight w:val="none"/>
          <w:lang w:val="zh-CN"/>
        </w:rPr>
        <w:t>3.25</w:t>
      </w:r>
      <w:r>
        <w:rPr>
          <w:color w:val="auto"/>
          <w:sz w:val="24"/>
          <w:highlight w:val="none"/>
          <w:lang w:val="zh-CN"/>
        </w:rPr>
        <w:t>.6消解仪设有过温保护、防腐保护和断电保护等安全保护功能</w:t>
      </w:r>
      <w:r>
        <w:rPr>
          <w:rFonts w:hint="eastAsia"/>
          <w:color w:val="auto"/>
          <w:sz w:val="24"/>
          <w:highlight w:val="none"/>
          <w:lang w:val="zh-CN"/>
        </w:rPr>
        <w:t>；</w:t>
      </w:r>
    </w:p>
    <w:p>
      <w:pPr>
        <w:spacing w:line="400" w:lineRule="exact"/>
        <w:rPr>
          <w:color w:val="auto"/>
          <w:sz w:val="24"/>
          <w:highlight w:val="none"/>
          <w:lang w:val="zh-CN"/>
        </w:rPr>
      </w:pPr>
      <w:r>
        <w:rPr>
          <w:rFonts w:hint="eastAsia"/>
          <w:color w:val="auto"/>
          <w:sz w:val="24"/>
          <w:highlight w:val="none"/>
        </w:rPr>
        <w:t>*</w:t>
      </w:r>
      <w:r>
        <w:rPr>
          <w:rFonts w:hint="eastAsia"/>
          <w:color w:val="auto"/>
          <w:sz w:val="24"/>
          <w:highlight w:val="none"/>
          <w:lang w:val="zh-CN"/>
        </w:rPr>
        <w:t>3.25</w:t>
      </w:r>
      <w:r>
        <w:rPr>
          <w:color w:val="auto"/>
          <w:sz w:val="24"/>
          <w:highlight w:val="none"/>
          <w:lang w:val="zh-CN"/>
        </w:rPr>
        <w:t>.</w:t>
      </w:r>
      <w:r>
        <w:rPr>
          <w:rFonts w:hint="eastAsia"/>
          <w:color w:val="auto"/>
          <w:sz w:val="24"/>
          <w:highlight w:val="none"/>
        </w:rPr>
        <w:t>7</w:t>
      </w:r>
      <w:r>
        <w:rPr>
          <w:color w:val="auto"/>
          <w:sz w:val="24"/>
          <w:highlight w:val="none"/>
          <w:lang w:val="zh-CN"/>
        </w:rPr>
        <w:t>温度精度 ±1℃；</w:t>
      </w:r>
    </w:p>
    <w:p>
      <w:pPr>
        <w:spacing w:line="400" w:lineRule="exact"/>
        <w:rPr>
          <w:color w:val="auto"/>
          <w:sz w:val="24"/>
          <w:highlight w:val="none"/>
          <w:lang w:val="zh-CN"/>
        </w:rPr>
      </w:pPr>
      <w:r>
        <w:rPr>
          <w:rFonts w:hint="eastAsia"/>
          <w:color w:val="auto"/>
          <w:sz w:val="24"/>
          <w:highlight w:val="none"/>
          <w:lang w:val="zh-CN"/>
        </w:rPr>
        <w:t>3.25</w:t>
      </w:r>
      <w:r>
        <w:rPr>
          <w:color w:val="auto"/>
          <w:sz w:val="24"/>
          <w:highlight w:val="none"/>
          <w:lang w:val="zh-CN"/>
        </w:rPr>
        <w:t>.</w:t>
      </w:r>
      <w:r>
        <w:rPr>
          <w:rFonts w:hint="eastAsia"/>
          <w:color w:val="auto"/>
          <w:sz w:val="24"/>
          <w:highlight w:val="none"/>
        </w:rPr>
        <w:t>8</w:t>
      </w:r>
      <w:r>
        <w:rPr>
          <w:color w:val="auto"/>
          <w:sz w:val="24"/>
          <w:highlight w:val="none"/>
          <w:lang w:val="zh-CN"/>
        </w:rPr>
        <w:t>具有UL/CSA, CE 认证，提供IQ/OQ验证。</w:t>
      </w:r>
    </w:p>
    <w:p>
      <w:pPr>
        <w:adjustRightInd w:val="0"/>
        <w:snapToGrid w:val="0"/>
        <w:spacing w:line="400" w:lineRule="exact"/>
        <w:rPr>
          <w:b/>
          <w:color w:val="auto"/>
          <w:sz w:val="24"/>
          <w:highlight w:val="none"/>
        </w:rPr>
      </w:pPr>
      <w:r>
        <w:rPr>
          <w:b/>
          <w:color w:val="auto"/>
          <w:sz w:val="24"/>
          <w:highlight w:val="none"/>
        </w:rPr>
        <w:t>4.仪器配置</w:t>
      </w:r>
    </w:p>
    <w:p>
      <w:pPr>
        <w:spacing w:line="400" w:lineRule="exact"/>
        <w:rPr>
          <w:color w:val="auto"/>
          <w:sz w:val="24"/>
          <w:highlight w:val="none"/>
        </w:rPr>
      </w:pPr>
      <w:r>
        <w:rPr>
          <w:rFonts w:hint="eastAsia"/>
          <w:color w:val="auto"/>
          <w:sz w:val="24"/>
          <w:highlight w:val="none"/>
        </w:rPr>
        <w:t>4.1</w:t>
      </w:r>
      <w:r>
        <w:rPr>
          <w:color w:val="auto"/>
          <w:sz w:val="24"/>
          <w:highlight w:val="none"/>
          <w:lang w:val="zh-CN"/>
        </w:rPr>
        <w:t>主机</w:t>
      </w:r>
      <w:r>
        <w:rPr>
          <w:rFonts w:hint="eastAsia"/>
          <w:color w:val="auto"/>
          <w:sz w:val="24"/>
          <w:highlight w:val="none"/>
        </w:rPr>
        <w:t>1台</w:t>
      </w:r>
    </w:p>
    <w:p>
      <w:pPr>
        <w:spacing w:line="400" w:lineRule="exact"/>
        <w:rPr>
          <w:color w:val="auto"/>
          <w:sz w:val="24"/>
          <w:highlight w:val="none"/>
        </w:rPr>
      </w:pPr>
      <w:r>
        <w:rPr>
          <w:rFonts w:hint="eastAsia"/>
          <w:color w:val="auto"/>
          <w:sz w:val="24"/>
          <w:highlight w:val="none"/>
        </w:rPr>
        <w:t>4.2</w:t>
      </w:r>
      <w:r>
        <w:rPr>
          <w:color w:val="auto"/>
          <w:sz w:val="24"/>
          <w:highlight w:val="none"/>
          <w:lang w:val="zh-CN"/>
        </w:rPr>
        <w:t>样品管夹</w:t>
      </w:r>
      <w:r>
        <w:rPr>
          <w:rFonts w:hint="eastAsia"/>
          <w:color w:val="auto"/>
          <w:sz w:val="24"/>
          <w:highlight w:val="none"/>
        </w:rPr>
        <w:t>1个</w:t>
      </w:r>
    </w:p>
    <w:p>
      <w:pPr>
        <w:spacing w:line="400" w:lineRule="exact"/>
        <w:rPr>
          <w:color w:val="auto"/>
          <w:sz w:val="24"/>
          <w:highlight w:val="none"/>
        </w:rPr>
      </w:pPr>
      <w:r>
        <w:rPr>
          <w:rFonts w:hint="eastAsia"/>
          <w:color w:val="auto"/>
          <w:sz w:val="24"/>
          <w:highlight w:val="none"/>
        </w:rPr>
        <w:t>4.3</w:t>
      </w:r>
      <w:r>
        <w:rPr>
          <w:color w:val="auto"/>
          <w:sz w:val="24"/>
          <w:highlight w:val="none"/>
          <w:lang w:val="zh-CN"/>
        </w:rPr>
        <w:t>10升试剂桶</w:t>
      </w:r>
      <w:r>
        <w:rPr>
          <w:rFonts w:hint="eastAsia"/>
          <w:color w:val="auto"/>
          <w:sz w:val="24"/>
          <w:highlight w:val="none"/>
        </w:rPr>
        <w:t>2个</w:t>
      </w:r>
    </w:p>
    <w:p>
      <w:pPr>
        <w:spacing w:line="400" w:lineRule="exact"/>
        <w:rPr>
          <w:color w:val="auto"/>
          <w:sz w:val="24"/>
          <w:highlight w:val="none"/>
        </w:rPr>
      </w:pPr>
      <w:r>
        <w:rPr>
          <w:rFonts w:hint="eastAsia"/>
          <w:color w:val="auto"/>
          <w:sz w:val="24"/>
          <w:highlight w:val="none"/>
        </w:rPr>
        <w:t>4.4</w:t>
      </w:r>
      <w:r>
        <w:rPr>
          <w:color w:val="auto"/>
          <w:sz w:val="24"/>
          <w:highlight w:val="none"/>
          <w:lang w:val="zh-CN"/>
        </w:rPr>
        <w:t>20升试剂桶</w:t>
      </w:r>
      <w:r>
        <w:rPr>
          <w:rFonts w:hint="eastAsia"/>
          <w:color w:val="auto"/>
          <w:sz w:val="24"/>
          <w:highlight w:val="none"/>
        </w:rPr>
        <w:t>2个</w:t>
      </w:r>
    </w:p>
    <w:p>
      <w:pPr>
        <w:spacing w:line="400" w:lineRule="exact"/>
        <w:rPr>
          <w:color w:val="auto"/>
          <w:sz w:val="24"/>
          <w:highlight w:val="none"/>
        </w:rPr>
      </w:pPr>
      <w:r>
        <w:rPr>
          <w:rFonts w:hint="eastAsia"/>
          <w:color w:val="auto"/>
          <w:sz w:val="24"/>
          <w:highlight w:val="none"/>
        </w:rPr>
        <w:t>4.5</w:t>
      </w:r>
      <w:r>
        <w:rPr>
          <w:color w:val="auto"/>
          <w:sz w:val="24"/>
          <w:highlight w:val="none"/>
          <w:lang w:val="zh-CN"/>
        </w:rPr>
        <w:t>消化管接头</w:t>
      </w:r>
      <w:r>
        <w:rPr>
          <w:rFonts w:hint="eastAsia"/>
          <w:color w:val="auto"/>
          <w:sz w:val="24"/>
          <w:highlight w:val="none"/>
        </w:rPr>
        <w:t>1包</w:t>
      </w:r>
    </w:p>
    <w:p>
      <w:pPr>
        <w:spacing w:line="400" w:lineRule="exact"/>
        <w:rPr>
          <w:color w:val="auto"/>
          <w:sz w:val="24"/>
          <w:highlight w:val="none"/>
        </w:rPr>
      </w:pPr>
      <w:r>
        <w:rPr>
          <w:rFonts w:hint="eastAsia"/>
          <w:color w:val="auto"/>
          <w:sz w:val="24"/>
          <w:highlight w:val="none"/>
        </w:rPr>
        <w:t>4.6</w:t>
      </w:r>
      <w:r>
        <w:rPr>
          <w:color w:val="auto"/>
          <w:sz w:val="24"/>
          <w:highlight w:val="none"/>
          <w:lang w:val="zh-CN"/>
        </w:rPr>
        <w:t>标准抽吸模块</w:t>
      </w:r>
      <w:r>
        <w:rPr>
          <w:rFonts w:hint="eastAsia"/>
          <w:color w:val="auto"/>
          <w:sz w:val="24"/>
          <w:highlight w:val="none"/>
        </w:rPr>
        <w:t>1套</w:t>
      </w:r>
    </w:p>
    <w:p>
      <w:pPr>
        <w:spacing w:line="400" w:lineRule="exact"/>
        <w:rPr>
          <w:color w:val="auto"/>
          <w:sz w:val="24"/>
          <w:highlight w:val="none"/>
        </w:rPr>
      </w:pPr>
      <w:r>
        <w:rPr>
          <w:rFonts w:hint="eastAsia"/>
          <w:color w:val="auto"/>
          <w:sz w:val="24"/>
          <w:highlight w:val="none"/>
        </w:rPr>
        <w:t>4.7</w:t>
      </w:r>
      <w:r>
        <w:rPr>
          <w:color w:val="auto"/>
          <w:sz w:val="24"/>
          <w:highlight w:val="none"/>
          <w:lang w:val="zh-CN"/>
        </w:rPr>
        <w:t>样品消化管管（300ml）</w:t>
      </w:r>
      <w:r>
        <w:rPr>
          <w:rFonts w:hint="eastAsia"/>
          <w:color w:val="auto"/>
          <w:sz w:val="24"/>
          <w:highlight w:val="none"/>
          <w:lang w:val="zh-CN"/>
        </w:rPr>
        <w:t>：</w:t>
      </w:r>
      <w:r>
        <w:rPr>
          <w:rFonts w:hint="eastAsia"/>
          <w:color w:val="auto"/>
          <w:sz w:val="24"/>
          <w:highlight w:val="none"/>
        </w:rPr>
        <w:t>100根</w:t>
      </w:r>
    </w:p>
    <w:p>
      <w:pPr>
        <w:spacing w:line="400" w:lineRule="exact"/>
        <w:rPr>
          <w:color w:val="auto"/>
          <w:sz w:val="24"/>
          <w:highlight w:val="none"/>
          <w:lang w:val="zh-CN"/>
        </w:rPr>
      </w:pPr>
      <w:r>
        <w:rPr>
          <w:rFonts w:hint="eastAsia"/>
          <w:color w:val="auto"/>
          <w:sz w:val="24"/>
          <w:highlight w:val="none"/>
        </w:rPr>
        <w:t>4.8</w:t>
      </w:r>
      <w:r>
        <w:rPr>
          <w:color w:val="auto"/>
          <w:sz w:val="24"/>
          <w:highlight w:val="none"/>
          <w:lang w:val="zh-CN"/>
        </w:rPr>
        <w:t>20位消化管架 4个</w:t>
      </w:r>
    </w:p>
    <w:p>
      <w:pPr>
        <w:spacing w:line="400" w:lineRule="exact"/>
        <w:rPr>
          <w:color w:val="auto"/>
          <w:sz w:val="24"/>
          <w:highlight w:val="none"/>
          <w:lang w:val="zh-CN"/>
        </w:rPr>
      </w:pPr>
      <w:r>
        <w:rPr>
          <w:rFonts w:hint="eastAsia"/>
          <w:color w:val="auto"/>
          <w:sz w:val="24"/>
          <w:highlight w:val="none"/>
        </w:rPr>
        <w:t>4.9</w:t>
      </w:r>
      <w:r>
        <w:rPr>
          <w:color w:val="auto"/>
          <w:sz w:val="24"/>
          <w:highlight w:val="none"/>
          <w:lang w:val="zh-CN"/>
        </w:rPr>
        <w:t>颜色电极1支，PH电极1支</w:t>
      </w:r>
    </w:p>
    <w:p>
      <w:pPr>
        <w:pStyle w:val="28"/>
        <w:spacing w:line="440" w:lineRule="exact"/>
        <w:rPr>
          <w:color w:val="auto"/>
          <w:highlight w:val="none"/>
          <w:lang w:val="zh-CN"/>
        </w:rPr>
      </w:pPr>
      <w:r>
        <w:rPr>
          <w:rFonts w:hint="eastAsia"/>
          <w:color w:val="auto"/>
          <w:highlight w:val="none"/>
        </w:rPr>
        <w:t>4.10附属配件：</w:t>
      </w:r>
      <w:r>
        <w:rPr>
          <w:color w:val="auto"/>
          <w:highlight w:val="none"/>
          <w:lang w:val="zh-CN"/>
        </w:rPr>
        <w:t>20位消化系统1台</w:t>
      </w:r>
      <w:r>
        <w:rPr>
          <w:rFonts w:hint="eastAsia"/>
          <w:color w:val="auto"/>
          <w:highlight w:val="none"/>
          <w:lang w:val="zh-CN"/>
        </w:rPr>
        <w:t>；</w:t>
      </w:r>
      <w:r>
        <w:rPr>
          <w:color w:val="auto"/>
          <w:highlight w:val="none"/>
          <w:lang w:val="zh-CN"/>
        </w:rPr>
        <w:t>24位自动进样器1台</w:t>
      </w:r>
    </w:p>
    <w:p>
      <w:pPr>
        <w:widowControl/>
        <w:autoSpaceDE w:val="0"/>
        <w:autoSpaceDN w:val="0"/>
        <w:snapToGrid w:val="0"/>
        <w:spacing w:line="440" w:lineRule="exact"/>
        <w:rPr>
          <w:b/>
          <w:bCs/>
          <w:color w:val="auto"/>
          <w:kern w:val="0"/>
          <w:sz w:val="24"/>
          <w:highlight w:val="none"/>
        </w:rPr>
      </w:pPr>
      <w:r>
        <w:rPr>
          <w:b/>
          <w:bCs/>
          <w:color w:val="auto"/>
          <w:kern w:val="0"/>
          <w:sz w:val="24"/>
          <w:highlight w:val="none"/>
        </w:rPr>
        <w:t>5.技术服务</w:t>
      </w:r>
    </w:p>
    <w:p>
      <w:pPr>
        <w:pStyle w:val="28"/>
        <w:spacing w:line="440" w:lineRule="exact"/>
        <w:rPr>
          <w:rFonts w:ascii="Times New Roman"/>
          <w:color w:val="auto"/>
          <w:highlight w:val="none"/>
        </w:rPr>
      </w:pPr>
      <w:r>
        <w:rPr>
          <w:rFonts w:ascii="Times New Roman"/>
          <w:color w:val="auto"/>
          <w:highlight w:val="none"/>
        </w:rPr>
        <w:t>5.1保证产品为全新原厂设备。</w:t>
      </w:r>
    </w:p>
    <w:p>
      <w:pPr>
        <w:pStyle w:val="28"/>
        <w:spacing w:line="440" w:lineRule="exact"/>
        <w:rPr>
          <w:rFonts w:ascii="Times New Roman"/>
          <w:color w:val="auto"/>
          <w:highlight w:val="none"/>
        </w:rPr>
      </w:pPr>
      <w:r>
        <w:rPr>
          <w:rFonts w:ascii="Times New Roman"/>
          <w:color w:val="auto"/>
          <w:highlight w:val="none"/>
        </w:rPr>
        <w:t>5.2保修服务：自验收合格起，厂家向用户提供至少1年的免费保修服务。保修期内所有服务免费，一切配件、耗材免费到场更换。保修期外，能更及时地为用户提供备品备件。</w:t>
      </w:r>
    </w:p>
    <w:p>
      <w:pPr>
        <w:pStyle w:val="28"/>
        <w:spacing w:line="440" w:lineRule="exact"/>
        <w:rPr>
          <w:rFonts w:ascii="Times New Roman"/>
          <w:color w:val="auto"/>
          <w:highlight w:val="none"/>
        </w:rPr>
      </w:pPr>
      <w:r>
        <w:rPr>
          <w:rFonts w:ascii="Times New Roman"/>
          <w:color w:val="auto"/>
          <w:highlight w:val="none"/>
        </w:rPr>
        <w:t>5.3仪器安装验收：厂家技术人员到现场安装、调试仪器，进行操作试验，直至运行正常并验收确认。</w:t>
      </w:r>
    </w:p>
    <w:p>
      <w:pPr>
        <w:pStyle w:val="28"/>
        <w:spacing w:line="440" w:lineRule="exact"/>
        <w:rPr>
          <w:rFonts w:ascii="Times New Roman"/>
          <w:color w:val="auto"/>
          <w:highlight w:val="none"/>
        </w:rPr>
      </w:pPr>
      <w:r>
        <w:rPr>
          <w:rFonts w:ascii="Times New Roman"/>
          <w:color w:val="auto"/>
          <w:highlight w:val="none"/>
        </w:rPr>
        <w:t>5.4质量及验收标准：技术指标符合买方要求和厂家规定的出厂要求。如未通过验收，应视情节更换部件或主机，直至退货。</w:t>
      </w:r>
    </w:p>
    <w:p>
      <w:pPr>
        <w:pStyle w:val="28"/>
        <w:spacing w:line="440" w:lineRule="exact"/>
        <w:rPr>
          <w:rFonts w:ascii="Times New Roman"/>
          <w:color w:val="auto"/>
          <w:highlight w:val="none"/>
        </w:rPr>
      </w:pPr>
      <w:r>
        <w:rPr>
          <w:rFonts w:ascii="Times New Roman"/>
          <w:color w:val="auto"/>
          <w:highlight w:val="none"/>
        </w:rPr>
        <w:t>5.5培训：仪器安装现场对2名以上仪器操作人员提供免费的上机操作及日常维护培训，至使用者会操作、使用仪器为止，除仪器中文使用说明书外，应提供安装、使用技术光碟等，便于后期学习维护。</w:t>
      </w:r>
    </w:p>
    <w:p>
      <w:pPr>
        <w:pStyle w:val="28"/>
        <w:spacing w:line="440" w:lineRule="exact"/>
        <w:rPr>
          <w:rFonts w:ascii="Times New Roman"/>
          <w:color w:val="auto"/>
          <w:highlight w:val="none"/>
        </w:rPr>
      </w:pPr>
      <w:r>
        <w:rPr>
          <w:rFonts w:ascii="Times New Roman"/>
          <w:color w:val="auto"/>
          <w:highlight w:val="none"/>
        </w:rPr>
        <w:t>5.6制造厂家应保证用户能得到快捷、完善的售后服务；服务响应时间不大于24小时，故障可以在48小时内到现场维修。</w:t>
      </w:r>
    </w:p>
    <w:p>
      <w:pPr>
        <w:spacing w:line="400" w:lineRule="exact"/>
        <w:rPr>
          <w:color w:val="auto"/>
          <w:highlight w:val="none"/>
        </w:rPr>
      </w:pPr>
      <w:r>
        <w:rPr>
          <w:color w:val="auto"/>
          <w:sz w:val="24"/>
          <w:highlight w:val="none"/>
        </w:rPr>
        <w:t>备注：</w:t>
      </w:r>
      <w:r>
        <w:rPr>
          <w:color w:val="auto"/>
          <w:sz w:val="24"/>
          <w:highlight w:val="none"/>
          <w:lang w:val="zh-CN"/>
        </w:rPr>
        <w:t>带“*”号的为必须满足指标，与技术性能指标一起</w:t>
      </w:r>
      <w:r>
        <w:rPr>
          <w:rFonts w:hint="eastAsia"/>
          <w:color w:val="auto"/>
          <w:sz w:val="24"/>
          <w:highlight w:val="none"/>
          <w:lang w:val="zh-CN"/>
        </w:rPr>
        <w:t>作</w:t>
      </w:r>
      <w:r>
        <w:rPr>
          <w:color w:val="auto"/>
          <w:sz w:val="24"/>
          <w:highlight w:val="none"/>
          <w:lang w:val="zh-CN"/>
        </w:rPr>
        <w:t>为验收指标。</w:t>
      </w:r>
      <w:r>
        <w:rPr>
          <w:color w:val="auto"/>
          <w:sz w:val="24"/>
          <w:highlight w:val="none"/>
        </w:rPr>
        <w:t>验收时须提供精密度等技术材料。</w:t>
      </w:r>
    </w:p>
    <w:p>
      <w:pPr>
        <w:pStyle w:val="60"/>
        <w:numPr>
          <w:ilvl w:val="0"/>
          <w:numId w:val="15"/>
        </w:numPr>
        <w:spacing w:line="440" w:lineRule="exact"/>
        <w:ind w:leftChars="0" w:firstLineChars="0"/>
        <w:rPr>
          <w:color w:val="auto"/>
          <w:highlight w:val="none"/>
        </w:rPr>
      </w:pPr>
      <w:r>
        <w:rPr>
          <w:rFonts w:hint="eastAsia"/>
          <w:color w:val="auto"/>
          <w:highlight w:val="none"/>
        </w:rPr>
        <w:t>全自动土壤有机质分析仪</w:t>
      </w:r>
    </w:p>
    <w:p>
      <w:pPr>
        <w:widowControl/>
        <w:autoSpaceDE w:val="0"/>
        <w:autoSpaceDN w:val="0"/>
        <w:snapToGrid w:val="0"/>
        <w:spacing w:line="440" w:lineRule="exact"/>
        <w:rPr>
          <w:b/>
          <w:bCs/>
          <w:color w:val="auto"/>
          <w:kern w:val="0"/>
          <w:sz w:val="24"/>
          <w:highlight w:val="none"/>
        </w:rPr>
      </w:pPr>
      <w:r>
        <w:rPr>
          <w:b/>
          <w:bCs/>
          <w:color w:val="auto"/>
          <w:kern w:val="0"/>
          <w:sz w:val="24"/>
          <w:highlight w:val="none"/>
        </w:rPr>
        <w:t>1.设备用途</w:t>
      </w:r>
    </w:p>
    <w:p>
      <w:pPr>
        <w:pStyle w:val="28"/>
        <w:spacing w:line="440" w:lineRule="exact"/>
        <w:rPr>
          <w:rFonts w:ascii="Times New Roman"/>
          <w:color w:val="auto"/>
          <w:highlight w:val="none"/>
        </w:rPr>
      </w:pPr>
      <w:bookmarkStart w:id="149" w:name="_Hlk136473177"/>
      <w:r>
        <w:rPr>
          <w:rFonts w:ascii="Times New Roman"/>
          <w:color w:val="auto"/>
          <w:highlight w:val="none"/>
        </w:rPr>
        <w:t>用于土壤中有机质的检测，</w:t>
      </w:r>
      <w:bookmarkEnd w:id="149"/>
      <w:bookmarkStart w:id="150" w:name="_Hlk136473191"/>
      <w:r>
        <w:rPr>
          <w:rFonts w:ascii="Times New Roman"/>
          <w:color w:val="auto"/>
          <w:highlight w:val="none"/>
        </w:rPr>
        <w:t>能满足《中华人民共和国农业行业标准 土壤检测 第6部分：土壤有机质的测定》（NY/T1121.6-2006）的要求。</w:t>
      </w:r>
    </w:p>
    <w:bookmarkEnd w:id="150"/>
    <w:p>
      <w:pPr>
        <w:widowControl/>
        <w:autoSpaceDE w:val="0"/>
        <w:autoSpaceDN w:val="0"/>
        <w:snapToGrid w:val="0"/>
        <w:spacing w:line="440" w:lineRule="exact"/>
        <w:rPr>
          <w:b/>
          <w:bCs/>
          <w:color w:val="auto"/>
          <w:kern w:val="0"/>
          <w:sz w:val="24"/>
          <w:highlight w:val="none"/>
        </w:rPr>
      </w:pPr>
      <w:r>
        <w:rPr>
          <w:b/>
          <w:bCs/>
          <w:color w:val="auto"/>
          <w:kern w:val="0"/>
          <w:sz w:val="24"/>
          <w:highlight w:val="none"/>
        </w:rPr>
        <w:t>2.工作环境</w:t>
      </w:r>
    </w:p>
    <w:p>
      <w:pPr>
        <w:pStyle w:val="28"/>
        <w:spacing w:line="440" w:lineRule="exact"/>
        <w:rPr>
          <w:rFonts w:ascii="Times New Roman"/>
          <w:color w:val="auto"/>
          <w:highlight w:val="none"/>
        </w:rPr>
      </w:pPr>
      <w:r>
        <w:rPr>
          <w:rFonts w:ascii="Times New Roman"/>
          <w:color w:val="auto"/>
          <w:highlight w:val="none"/>
        </w:rPr>
        <w:t>2.1电源：AC 220V±10%，50（±1）Hz；</w:t>
      </w:r>
    </w:p>
    <w:p>
      <w:pPr>
        <w:pStyle w:val="28"/>
        <w:spacing w:line="440" w:lineRule="exact"/>
        <w:rPr>
          <w:rFonts w:ascii="Times New Roman"/>
          <w:color w:val="auto"/>
          <w:highlight w:val="none"/>
        </w:rPr>
      </w:pPr>
      <w:r>
        <w:rPr>
          <w:rFonts w:ascii="Times New Roman"/>
          <w:color w:val="auto"/>
          <w:highlight w:val="none"/>
        </w:rPr>
        <w:t>2.2温度：10-40</w:t>
      </w:r>
      <w:r>
        <w:rPr>
          <w:rFonts w:ascii="Times New Roman"/>
          <w:color w:val="auto"/>
          <w:highlight w:val="none"/>
        </w:rPr>
        <w:sym w:font="Symbol" w:char="F0B0"/>
      </w:r>
      <w:r>
        <w:rPr>
          <w:rFonts w:ascii="Times New Roman"/>
          <w:color w:val="auto"/>
          <w:highlight w:val="none"/>
        </w:rPr>
        <w:t>C；</w:t>
      </w:r>
    </w:p>
    <w:p>
      <w:pPr>
        <w:pStyle w:val="28"/>
        <w:spacing w:line="440" w:lineRule="exact"/>
        <w:rPr>
          <w:rFonts w:ascii="Times New Roman"/>
          <w:color w:val="auto"/>
          <w:highlight w:val="none"/>
        </w:rPr>
      </w:pPr>
      <w:r>
        <w:rPr>
          <w:rFonts w:ascii="Times New Roman"/>
          <w:color w:val="auto"/>
          <w:highlight w:val="none"/>
        </w:rPr>
        <w:t>2.3湿度：20%-80%。</w:t>
      </w:r>
    </w:p>
    <w:p>
      <w:pPr>
        <w:autoSpaceDE w:val="0"/>
        <w:autoSpaceDN w:val="0"/>
        <w:adjustRightInd w:val="0"/>
        <w:spacing w:line="440" w:lineRule="exact"/>
        <w:rPr>
          <w:b/>
          <w:bCs/>
          <w:color w:val="auto"/>
          <w:sz w:val="24"/>
          <w:highlight w:val="none"/>
        </w:rPr>
      </w:pPr>
      <w:r>
        <w:rPr>
          <w:b/>
          <w:bCs/>
          <w:color w:val="auto"/>
          <w:sz w:val="24"/>
          <w:highlight w:val="none"/>
        </w:rPr>
        <w:t>3. 技术要求</w:t>
      </w:r>
    </w:p>
    <w:p>
      <w:pPr>
        <w:pStyle w:val="28"/>
        <w:spacing w:line="440" w:lineRule="exact"/>
        <w:rPr>
          <w:rFonts w:ascii="Times New Roman"/>
          <w:color w:val="auto"/>
          <w:highlight w:val="none"/>
        </w:rPr>
      </w:pPr>
      <w:r>
        <w:rPr>
          <w:rFonts w:ascii="Times New Roman"/>
          <w:color w:val="auto"/>
          <w:highlight w:val="none"/>
        </w:rPr>
        <w:t>3.1 功能要求：自动完成土壤有机质的测定，包括自动加液、回流消解、混匀、滴定分析等步骤，无需人工操作</w:t>
      </w:r>
      <w:r>
        <w:rPr>
          <w:rFonts w:hint="eastAsia" w:ascii="Times New Roman"/>
          <w:color w:val="auto"/>
          <w:highlight w:val="none"/>
        </w:rPr>
        <w:t>；</w:t>
      </w:r>
    </w:p>
    <w:p>
      <w:pPr>
        <w:pStyle w:val="28"/>
        <w:spacing w:line="440" w:lineRule="exact"/>
        <w:rPr>
          <w:rFonts w:ascii="Times New Roman"/>
          <w:color w:val="auto"/>
          <w:highlight w:val="none"/>
        </w:rPr>
      </w:pPr>
      <w:r>
        <w:rPr>
          <w:rFonts w:hint="eastAsia" w:ascii="Times New Roman"/>
          <w:color w:val="auto"/>
          <w:highlight w:val="none"/>
        </w:rPr>
        <w:t>*</w:t>
      </w:r>
      <w:r>
        <w:rPr>
          <w:rFonts w:ascii="Times New Roman"/>
          <w:color w:val="auto"/>
          <w:highlight w:val="none"/>
        </w:rPr>
        <w:t>3.2样品量：≥35位，样品瓶体积≥200mL</w:t>
      </w:r>
      <w:r>
        <w:rPr>
          <w:rFonts w:hint="eastAsia" w:ascii="Times New Roman"/>
          <w:color w:val="auto"/>
          <w:highlight w:val="none"/>
        </w:rPr>
        <w:t>；</w:t>
      </w:r>
    </w:p>
    <w:p>
      <w:pPr>
        <w:pStyle w:val="28"/>
        <w:spacing w:line="440" w:lineRule="exact"/>
        <w:rPr>
          <w:rFonts w:ascii="Times New Roman"/>
          <w:color w:val="auto"/>
          <w:highlight w:val="none"/>
        </w:rPr>
      </w:pPr>
      <w:r>
        <w:rPr>
          <w:rFonts w:ascii="Times New Roman"/>
          <w:color w:val="auto"/>
          <w:highlight w:val="none"/>
        </w:rPr>
        <w:t>3.3 使用电夹爪转移样品杯，在样品位、加液位、消解位、滴定位转移</w:t>
      </w:r>
      <w:r>
        <w:rPr>
          <w:rFonts w:hint="eastAsia" w:ascii="Times New Roman"/>
          <w:color w:val="auto"/>
          <w:highlight w:val="none"/>
        </w:rPr>
        <w:t>；</w:t>
      </w:r>
    </w:p>
    <w:p>
      <w:pPr>
        <w:pStyle w:val="28"/>
        <w:spacing w:line="440" w:lineRule="exact"/>
        <w:rPr>
          <w:rFonts w:ascii="Times New Roman"/>
          <w:color w:val="auto"/>
          <w:highlight w:val="none"/>
        </w:rPr>
      </w:pPr>
      <w:r>
        <w:rPr>
          <w:rFonts w:hint="eastAsia" w:ascii="Times New Roman"/>
          <w:color w:val="auto"/>
          <w:highlight w:val="none"/>
        </w:rPr>
        <w:t>*</w:t>
      </w:r>
      <w:r>
        <w:rPr>
          <w:rFonts w:ascii="Times New Roman"/>
          <w:color w:val="auto"/>
          <w:highlight w:val="none"/>
        </w:rPr>
        <w:t>3.4加液系统：≥5套高精度加液泵</w:t>
      </w:r>
      <w:r>
        <w:rPr>
          <w:rFonts w:hint="eastAsia" w:ascii="Times New Roman"/>
          <w:color w:val="auto"/>
          <w:highlight w:val="none"/>
        </w:rPr>
        <w:t>；</w:t>
      </w:r>
    </w:p>
    <w:p>
      <w:pPr>
        <w:pStyle w:val="28"/>
        <w:spacing w:line="440" w:lineRule="exact"/>
        <w:rPr>
          <w:rFonts w:ascii="Times New Roman"/>
          <w:color w:val="auto"/>
          <w:highlight w:val="none"/>
        </w:rPr>
      </w:pPr>
      <w:r>
        <w:rPr>
          <w:rFonts w:ascii="Times New Roman"/>
          <w:color w:val="auto"/>
          <w:highlight w:val="none"/>
        </w:rPr>
        <w:t>3.5 加液泵加液精度＜2%，速度0</w:t>
      </w:r>
      <w:r>
        <w:rPr>
          <w:rFonts w:hint="eastAsia" w:ascii="Times New Roman"/>
          <w:color w:val="auto"/>
          <w:highlight w:val="none"/>
        </w:rPr>
        <w:t>-</w:t>
      </w:r>
      <w:r>
        <w:rPr>
          <w:rFonts w:ascii="Times New Roman"/>
          <w:color w:val="auto"/>
          <w:highlight w:val="none"/>
        </w:rPr>
        <w:t>38.0mL/min</w:t>
      </w:r>
      <w:r>
        <w:rPr>
          <w:rFonts w:hint="eastAsia" w:ascii="Times New Roman"/>
          <w:color w:val="auto"/>
          <w:highlight w:val="none"/>
        </w:rPr>
        <w:t>；</w:t>
      </w:r>
    </w:p>
    <w:p>
      <w:pPr>
        <w:pStyle w:val="28"/>
        <w:spacing w:line="440" w:lineRule="exact"/>
        <w:rPr>
          <w:rFonts w:ascii="Times New Roman"/>
          <w:color w:val="auto"/>
          <w:highlight w:val="none"/>
        </w:rPr>
      </w:pPr>
      <w:r>
        <w:rPr>
          <w:rFonts w:hint="eastAsia" w:ascii="Times New Roman"/>
          <w:color w:val="auto"/>
          <w:highlight w:val="none"/>
        </w:rPr>
        <w:t>*</w:t>
      </w:r>
      <w:r>
        <w:rPr>
          <w:rFonts w:ascii="Times New Roman"/>
          <w:color w:val="auto"/>
          <w:highlight w:val="none"/>
        </w:rPr>
        <w:t>3.6加液通道：≥3套独立管路，可同时进行四种试剂的独添加，互不干扰。</w:t>
      </w:r>
    </w:p>
    <w:p>
      <w:pPr>
        <w:pStyle w:val="28"/>
        <w:spacing w:line="440" w:lineRule="exact"/>
        <w:rPr>
          <w:rFonts w:ascii="Times New Roman"/>
          <w:color w:val="auto"/>
          <w:highlight w:val="none"/>
        </w:rPr>
      </w:pPr>
      <w:r>
        <w:rPr>
          <w:rFonts w:hint="eastAsia" w:ascii="Times New Roman"/>
          <w:color w:val="auto"/>
          <w:highlight w:val="none"/>
        </w:rPr>
        <w:t>*</w:t>
      </w:r>
      <w:r>
        <w:rPr>
          <w:rFonts w:ascii="Times New Roman"/>
          <w:color w:val="auto"/>
          <w:highlight w:val="none"/>
        </w:rPr>
        <w:t>3.7消解位：≥4位，消解控制范围：室温-200℃</w:t>
      </w:r>
      <w:r>
        <w:rPr>
          <w:rFonts w:hint="eastAsia" w:ascii="Times New Roman"/>
          <w:color w:val="auto"/>
          <w:highlight w:val="none"/>
        </w:rPr>
        <w:t>；</w:t>
      </w:r>
    </w:p>
    <w:p>
      <w:pPr>
        <w:pStyle w:val="28"/>
        <w:spacing w:line="440" w:lineRule="exact"/>
        <w:rPr>
          <w:rFonts w:ascii="Times New Roman"/>
          <w:color w:val="auto"/>
          <w:highlight w:val="none"/>
        </w:rPr>
      </w:pPr>
      <w:r>
        <w:rPr>
          <w:rFonts w:ascii="Times New Roman"/>
          <w:color w:val="auto"/>
          <w:highlight w:val="none"/>
        </w:rPr>
        <w:t>3.8搭载自动回流装置，并能将回流液冲洗回样品中</w:t>
      </w:r>
      <w:r>
        <w:rPr>
          <w:rFonts w:hint="eastAsia" w:ascii="Times New Roman"/>
          <w:color w:val="auto"/>
          <w:highlight w:val="none"/>
        </w:rPr>
        <w:t>；</w:t>
      </w:r>
    </w:p>
    <w:p>
      <w:pPr>
        <w:pStyle w:val="28"/>
        <w:spacing w:line="440" w:lineRule="exact"/>
        <w:rPr>
          <w:rFonts w:ascii="Times New Roman"/>
          <w:color w:val="auto"/>
          <w:highlight w:val="none"/>
        </w:rPr>
      </w:pPr>
      <w:r>
        <w:rPr>
          <w:rFonts w:hint="eastAsia"/>
          <w:color w:val="auto"/>
          <w:highlight w:val="none"/>
        </w:rPr>
        <w:t>★</w:t>
      </w:r>
      <w:r>
        <w:rPr>
          <w:rFonts w:ascii="Times New Roman"/>
          <w:color w:val="auto"/>
          <w:highlight w:val="none"/>
        </w:rPr>
        <w:t>3.9 滴定通道数量：≥4通道滴定，可同时进行≥4个样品同时自动滴定</w:t>
      </w:r>
      <w:r>
        <w:rPr>
          <w:rFonts w:hint="eastAsia" w:ascii="Times New Roman"/>
          <w:color w:val="auto"/>
          <w:highlight w:val="none"/>
        </w:rPr>
        <w:t>；</w:t>
      </w:r>
    </w:p>
    <w:p>
      <w:pPr>
        <w:pStyle w:val="28"/>
        <w:spacing w:line="440" w:lineRule="exact"/>
        <w:rPr>
          <w:rFonts w:ascii="Times New Roman"/>
          <w:color w:val="auto"/>
          <w:highlight w:val="none"/>
        </w:rPr>
      </w:pPr>
      <w:r>
        <w:rPr>
          <w:rFonts w:ascii="Times New Roman"/>
          <w:color w:val="auto"/>
          <w:highlight w:val="none"/>
        </w:rPr>
        <w:t>3.10颜色识别系统：采用仿生颜色识别</w:t>
      </w:r>
      <w:r>
        <w:rPr>
          <w:rFonts w:hint="eastAsia" w:ascii="Times New Roman"/>
          <w:color w:val="auto"/>
          <w:highlight w:val="none"/>
        </w:rPr>
        <w:t>；</w:t>
      </w:r>
    </w:p>
    <w:p>
      <w:pPr>
        <w:pStyle w:val="28"/>
        <w:spacing w:line="440" w:lineRule="exact"/>
        <w:rPr>
          <w:rFonts w:ascii="Times New Roman"/>
          <w:color w:val="auto"/>
          <w:highlight w:val="none"/>
        </w:rPr>
      </w:pPr>
      <w:r>
        <w:rPr>
          <w:rFonts w:ascii="Times New Roman"/>
          <w:color w:val="auto"/>
          <w:highlight w:val="none"/>
        </w:rPr>
        <w:t>3.11 滴定通道硬件：</w:t>
      </w:r>
      <w:bookmarkStart w:id="151" w:name="_Hlk107571408"/>
      <w:r>
        <w:rPr>
          <w:rFonts w:ascii="Times New Roman"/>
          <w:color w:val="auto"/>
          <w:highlight w:val="none"/>
        </w:rPr>
        <w:t>搭载≥4套仿生颜色别模块，≥4位磁力搅拌位</w:t>
      </w:r>
      <w:bookmarkEnd w:id="151"/>
      <w:r>
        <w:rPr>
          <w:rFonts w:hint="eastAsia" w:ascii="Times New Roman"/>
          <w:color w:val="auto"/>
          <w:highlight w:val="none"/>
        </w:rPr>
        <w:t>；</w:t>
      </w:r>
    </w:p>
    <w:p>
      <w:pPr>
        <w:pStyle w:val="28"/>
        <w:spacing w:line="440" w:lineRule="exact"/>
        <w:rPr>
          <w:rFonts w:ascii="Times New Roman"/>
          <w:color w:val="auto"/>
          <w:highlight w:val="none"/>
        </w:rPr>
      </w:pPr>
      <w:r>
        <w:rPr>
          <w:rFonts w:ascii="Times New Roman"/>
          <w:color w:val="auto"/>
          <w:highlight w:val="none"/>
        </w:rPr>
        <w:t>3.12 滴定精度：≤0.03ml；</w:t>
      </w:r>
    </w:p>
    <w:p>
      <w:pPr>
        <w:pStyle w:val="28"/>
        <w:spacing w:line="440" w:lineRule="exact"/>
        <w:rPr>
          <w:rFonts w:ascii="Times New Roman"/>
          <w:color w:val="auto"/>
          <w:highlight w:val="none"/>
        </w:rPr>
      </w:pPr>
      <w:r>
        <w:rPr>
          <w:rFonts w:ascii="Times New Roman"/>
          <w:color w:val="auto"/>
          <w:highlight w:val="none"/>
        </w:rPr>
        <w:t>3.13滴定速度梯度调节：按照梯度程序滴定过程中自动调节滴定速度，可设置≥5个梯度程序</w:t>
      </w:r>
      <w:r>
        <w:rPr>
          <w:rFonts w:hint="eastAsia" w:ascii="Times New Roman"/>
          <w:color w:val="auto"/>
          <w:highlight w:val="none"/>
        </w:rPr>
        <w:t>；</w:t>
      </w:r>
    </w:p>
    <w:p>
      <w:pPr>
        <w:pStyle w:val="28"/>
        <w:spacing w:line="440" w:lineRule="exact"/>
        <w:rPr>
          <w:rFonts w:ascii="Times New Roman"/>
          <w:color w:val="auto"/>
          <w:highlight w:val="none"/>
        </w:rPr>
      </w:pPr>
      <w:r>
        <w:rPr>
          <w:rFonts w:ascii="Times New Roman"/>
          <w:color w:val="auto"/>
          <w:highlight w:val="none"/>
        </w:rPr>
        <w:t>3.14具备滴定超限预警功能</w:t>
      </w:r>
      <w:r>
        <w:rPr>
          <w:rFonts w:hint="eastAsia" w:ascii="Times New Roman"/>
          <w:color w:val="auto"/>
          <w:highlight w:val="none"/>
        </w:rPr>
        <w:t>；</w:t>
      </w:r>
    </w:p>
    <w:p>
      <w:pPr>
        <w:pStyle w:val="28"/>
        <w:spacing w:line="440" w:lineRule="exact"/>
        <w:rPr>
          <w:rFonts w:ascii="Times New Roman"/>
          <w:color w:val="auto"/>
          <w:highlight w:val="none"/>
        </w:rPr>
      </w:pPr>
      <w:r>
        <w:rPr>
          <w:rFonts w:ascii="Times New Roman"/>
          <w:color w:val="auto"/>
          <w:highlight w:val="none"/>
        </w:rPr>
        <w:t>3.15具备废液排放和报警模块，废液到达所设定液面高度，自动报警；能够对挥发性有害气体进行高效过滤</w:t>
      </w:r>
      <w:r>
        <w:rPr>
          <w:rFonts w:hint="eastAsia" w:ascii="Times New Roman"/>
          <w:color w:val="auto"/>
          <w:highlight w:val="none"/>
        </w:rPr>
        <w:t>；</w:t>
      </w:r>
    </w:p>
    <w:p>
      <w:pPr>
        <w:pStyle w:val="28"/>
        <w:spacing w:line="440" w:lineRule="exact"/>
        <w:rPr>
          <w:rFonts w:ascii="Times New Roman"/>
          <w:color w:val="auto"/>
          <w:highlight w:val="none"/>
        </w:rPr>
      </w:pPr>
      <w:r>
        <w:rPr>
          <w:rFonts w:ascii="Times New Roman"/>
          <w:color w:val="auto"/>
          <w:highlight w:val="none"/>
        </w:rPr>
        <w:t>3.16 可设置开机自动清洗功能，滴定完成后自动清洗滴定管路、自动排废、无残留</w:t>
      </w:r>
      <w:r>
        <w:rPr>
          <w:rFonts w:hint="eastAsia" w:ascii="Times New Roman"/>
          <w:color w:val="auto"/>
          <w:highlight w:val="none"/>
        </w:rPr>
        <w:t>；</w:t>
      </w:r>
    </w:p>
    <w:p>
      <w:pPr>
        <w:pStyle w:val="28"/>
        <w:spacing w:line="440" w:lineRule="exact"/>
        <w:rPr>
          <w:rFonts w:ascii="Times New Roman"/>
          <w:color w:val="auto"/>
          <w:highlight w:val="none"/>
        </w:rPr>
      </w:pPr>
      <w:r>
        <w:rPr>
          <w:rFonts w:ascii="Times New Roman"/>
          <w:color w:val="auto"/>
          <w:highlight w:val="none"/>
        </w:rPr>
        <w:t>3.17滴定完成后，自动处理实验数据，并生成实验报告，可一键打印。</w:t>
      </w:r>
    </w:p>
    <w:p>
      <w:pPr>
        <w:adjustRightInd w:val="0"/>
        <w:snapToGrid w:val="0"/>
        <w:spacing w:line="440" w:lineRule="exact"/>
        <w:rPr>
          <w:b/>
          <w:color w:val="auto"/>
          <w:sz w:val="24"/>
          <w:highlight w:val="none"/>
        </w:rPr>
      </w:pPr>
      <w:r>
        <w:rPr>
          <w:b/>
          <w:color w:val="auto"/>
          <w:sz w:val="24"/>
          <w:highlight w:val="none"/>
        </w:rPr>
        <w:t>4. 仪器配置</w:t>
      </w:r>
    </w:p>
    <w:p>
      <w:pPr>
        <w:pStyle w:val="28"/>
        <w:spacing w:line="440" w:lineRule="exact"/>
        <w:rPr>
          <w:rFonts w:ascii="Times New Roman"/>
          <w:color w:val="auto"/>
          <w:highlight w:val="none"/>
        </w:rPr>
      </w:pPr>
      <w:r>
        <w:rPr>
          <w:rFonts w:ascii="Times New Roman"/>
          <w:color w:val="auto"/>
          <w:highlight w:val="none"/>
        </w:rPr>
        <w:t>4.1全自动土壤有机质测定仪 1套。包括滴定系统4套、加液通路3套、4位消解系统1套、48位自动进样系统 1套、电源线 1根、刻度样品杯100个、搅拌子 100个、试剂瓶套件4套、废液瓶套件4套、样品架3个、样品杯架 12个；</w:t>
      </w:r>
    </w:p>
    <w:p>
      <w:pPr>
        <w:pStyle w:val="28"/>
        <w:spacing w:line="440" w:lineRule="exact"/>
        <w:rPr>
          <w:rFonts w:ascii="Times New Roman"/>
          <w:color w:val="auto"/>
          <w:highlight w:val="none"/>
        </w:rPr>
      </w:pPr>
      <w:r>
        <w:rPr>
          <w:rFonts w:ascii="Times New Roman"/>
          <w:color w:val="auto"/>
          <w:highlight w:val="none"/>
        </w:rPr>
        <w:t>4.2</w:t>
      </w:r>
      <w:bookmarkStart w:id="152" w:name="_Hlk136473944"/>
      <w:r>
        <w:rPr>
          <w:rFonts w:ascii="Times New Roman"/>
          <w:color w:val="auto"/>
          <w:highlight w:val="none"/>
        </w:rPr>
        <w:t>数据处理系统1套：需满足仪器控制软件使用要求，支持日后产品软件升级；屏幕尺寸： ≥24英寸；CPU： 英特尔酷睿 i7；显卡类型： 独立显卡；显存容量：8GB；固态硬盘： 1TB；内存容量： 16GB；光驱类型： 有光驱；操作系统： 与软件匹配的最高版本；主流品牌激光打印装置</w:t>
      </w:r>
      <w:r>
        <w:rPr>
          <w:rFonts w:hint="eastAsia" w:ascii="Times New Roman"/>
          <w:color w:val="auto"/>
          <w:highlight w:val="none"/>
        </w:rPr>
        <w:t>。</w:t>
      </w:r>
    </w:p>
    <w:bookmarkEnd w:id="152"/>
    <w:p>
      <w:pPr>
        <w:spacing w:line="440" w:lineRule="exact"/>
        <w:rPr>
          <w:b/>
          <w:bCs/>
          <w:color w:val="auto"/>
          <w:kern w:val="0"/>
          <w:sz w:val="24"/>
          <w:highlight w:val="none"/>
        </w:rPr>
      </w:pPr>
      <w:r>
        <w:rPr>
          <w:b/>
          <w:bCs/>
          <w:color w:val="auto"/>
          <w:kern w:val="0"/>
          <w:sz w:val="24"/>
          <w:highlight w:val="none"/>
        </w:rPr>
        <w:t>5.技术服务</w:t>
      </w:r>
    </w:p>
    <w:p>
      <w:pPr>
        <w:pStyle w:val="28"/>
        <w:spacing w:line="440" w:lineRule="exact"/>
        <w:rPr>
          <w:rFonts w:ascii="Times New Roman"/>
          <w:color w:val="auto"/>
          <w:highlight w:val="none"/>
        </w:rPr>
      </w:pPr>
      <w:r>
        <w:rPr>
          <w:rFonts w:ascii="Times New Roman"/>
          <w:color w:val="auto"/>
          <w:highlight w:val="none"/>
        </w:rPr>
        <w:t>5.1保证产品为最新型全新原厂设备。</w:t>
      </w:r>
    </w:p>
    <w:p>
      <w:pPr>
        <w:pStyle w:val="28"/>
        <w:spacing w:line="440" w:lineRule="exact"/>
        <w:rPr>
          <w:rFonts w:ascii="Times New Roman"/>
          <w:color w:val="auto"/>
          <w:highlight w:val="none"/>
        </w:rPr>
      </w:pPr>
      <w:r>
        <w:rPr>
          <w:rFonts w:ascii="Times New Roman"/>
          <w:color w:val="auto"/>
          <w:highlight w:val="none"/>
        </w:rPr>
        <w:t>5.2仪器安装验收：供货商在接到用户安装通知后，须在10工作日内安排有经验的工程师到现场安装仪器，并在</w:t>
      </w:r>
      <w:r>
        <w:rPr>
          <w:rFonts w:hint="eastAsia" w:ascii="Times New Roman"/>
          <w:color w:val="auto"/>
          <w:highlight w:val="none"/>
        </w:rPr>
        <w:t>3</w:t>
      </w:r>
      <w:r>
        <w:rPr>
          <w:rFonts w:ascii="Times New Roman"/>
          <w:color w:val="auto"/>
          <w:highlight w:val="none"/>
        </w:rPr>
        <w:t>0工作日内安装、调试完毕，进行操作试验，直至运行正常并验收确认。</w:t>
      </w:r>
    </w:p>
    <w:p>
      <w:pPr>
        <w:pStyle w:val="28"/>
        <w:spacing w:line="440" w:lineRule="exact"/>
        <w:rPr>
          <w:rFonts w:ascii="Times New Roman"/>
          <w:color w:val="auto"/>
          <w:highlight w:val="none"/>
        </w:rPr>
      </w:pPr>
      <w:r>
        <w:rPr>
          <w:rFonts w:ascii="Times New Roman"/>
          <w:color w:val="auto"/>
          <w:highlight w:val="none"/>
        </w:rPr>
        <w:t>5.3保修服务：自验收合格起，厂家向用户提供至少1年的免费保修服务，终生维修。保修期内所有服务免费，一切配件、耗材免费到场更换。保修期外，能更及时地为用户提供备品备件。</w:t>
      </w:r>
    </w:p>
    <w:p>
      <w:pPr>
        <w:pStyle w:val="28"/>
        <w:spacing w:line="440" w:lineRule="exact"/>
        <w:rPr>
          <w:rFonts w:ascii="Times New Roman"/>
          <w:color w:val="auto"/>
          <w:highlight w:val="none"/>
        </w:rPr>
      </w:pPr>
      <w:r>
        <w:rPr>
          <w:rFonts w:ascii="Times New Roman"/>
          <w:color w:val="auto"/>
          <w:highlight w:val="none"/>
        </w:rPr>
        <w:t>5.4质量及验收标准：安装工程师需对本标书中提出的性能指标须逐项验收；并应当</w:t>
      </w:r>
      <w:bookmarkStart w:id="153" w:name="_Hlk136703296"/>
      <w:r>
        <w:rPr>
          <w:rFonts w:ascii="Times New Roman"/>
          <w:color w:val="auto"/>
          <w:highlight w:val="none"/>
        </w:rPr>
        <w:t>按照《中华人民共和国农业行业标准 土壤检测 第6部分：土壤有机质的测定》（NY/T1121.6-2006）对空白、方法检出限、正确度、精密度及实际样品等逐项验收。</w:t>
      </w:r>
      <w:bookmarkEnd w:id="153"/>
      <w:r>
        <w:rPr>
          <w:rFonts w:ascii="Times New Roman"/>
          <w:color w:val="auto"/>
          <w:highlight w:val="none"/>
        </w:rPr>
        <w:t>所有验收指标要求一次完成，最终出具符合采购方使用要求的验收报告。如未通过验收，视情节更换部件或主机，直至退货。</w:t>
      </w:r>
    </w:p>
    <w:p>
      <w:pPr>
        <w:pStyle w:val="28"/>
        <w:spacing w:line="440" w:lineRule="exact"/>
        <w:rPr>
          <w:rFonts w:ascii="Times New Roman"/>
          <w:color w:val="auto"/>
          <w:highlight w:val="none"/>
        </w:rPr>
      </w:pPr>
      <w:r>
        <w:rPr>
          <w:rFonts w:ascii="Times New Roman"/>
          <w:color w:val="auto"/>
          <w:highlight w:val="none"/>
        </w:rPr>
        <w:t>5.5培训：仪器安装现场对2名以上仪器操作人员提供免费的上机操作及日常维护培训，至使用者会操作、使用仪器为止，除仪器中文使用说明书外，应提供安装、使用技术光碟等，便于后期学习维护。</w:t>
      </w:r>
    </w:p>
    <w:p>
      <w:pPr>
        <w:pStyle w:val="28"/>
        <w:spacing w:line="440" w:lineRule="exact"/>
        <w:rPr>
          <w:rFonts w:ascii="Times New Roman"/>
          <w:color w:val="auto"/>
          <w:highlight w:val="none"/>
        </w:rPr>
      </w:pPr>
      <w:r>
        <w:rPr>
          <w:rFonts w:ascii="Times New Roman"/>
          <w:color w:val="auto"/>
          <w:highlight w:val="none"/>
        </w:rPr>
        <w:t>5.6应有制造商的售后和技术工程师常驻新疆，保证快捷、完善的售后服务。服务响应时间不大于24小时，故障可以在48小时内到现场维修。</w:t>
      </w:r>
    </w:p>
    <w:p>
      <w:pPr>
        <w:pStyle w:val="28"/>
        <w:spacing w:line="440" w:lineRule="exact"/>
        <w:rPr>
          <w:rFonts w:ascii="Times New Roman"/>
          <w:color w:val="auto"/>
          <w:highlight w:val="none"/>
        </w:rPr>
      </w:pPr>
      <w:r>
        <w:rPr>
          <w:rFonts w:ascii="Times New Roman"/>
          <w:color w:val="auto"/>
          <w:highlight w:val="none"/>
        </w:rPr>
        <w:t>5.7提供不定期的仪器应用技术培训服务，及时免费提供技术咨询，定期免费现场回访。</w:t>
      </w:r>
    </w:p>
    <w:p>
      <w:pPr>
        <w:spacing w:line="400" w:lineRule="exact"/>
        <w:rPr>
          <w:color w:val="auto"/>
          <w:highlight w:val="none"/>
        </w:rPr>
      </w:pPr>
      <w:r>
        <w:rPr>
          <w:color w:val="auto"/>
          <w:sz w:val="24"/>
          <w:highlight w:val="none"/>
        </w:rPr>
        <w:t>备注：</w:t>
      </w:r>
      <w:r>
        <w:rPr>
          <w:color w:val="auto"/>
          <w:sz w:val="24"/>
          <w:highlight w:val="none"/>
          <w:lang w:val="zh-CN"/>
        </w:rPr>
        <w:t>带“*”号的为必须满足指标，与技术性能指标一起</w:t>
      </w:r>
      <w:r>
        <w:rPr>
          <w:rFonts w:hint="eastAsia"/>
          <w:color w:val="auto"/>
          <w:sz w:val="24"/>
          <w:highlight w:val="none"/>
          <w:lang w:val="zh-CN"/>
        </w:rPr>
        <w:t>作</w:t>
      </w:r>
      <w:r>
        <w:rPr>
          <w:color w:val="auto"/>
          <w:sz w:val="24"/>
          <w:highlight w:val="none"/>
          <w:lang w:val="zh-CN"/>
        </w:rPr>
        <w:t>为验收指标。</w:t>
      </w:r>
      <w:r>
        <w:rPr>
          <w:color w:val="auto"/>
          <w:sz w:val="24"/>
          <w:highlight w:val="none"/>
        </w:rPr>
        <w:t>验收时须提供精密度、检出限等技术材料。</w:t>
      </w:r>
    </w:p>
    <w:p>
      <w:pPr>
        <w:pStyle w:val="60"/>
        <w:numPr>
          <w:ilvl w:val="0"/>
          <w:numId w:val="15"/>
        </w:numPr>
        <w:spacing w:after="0" w:line="440" w:lineRule="exact"/>
        <w:ind w:left="0" w:leftChars="0" w:firstLine="0" w:firstLineChars="0"/>
        <w:rPr>
          <w:color w:val="auto"/>
          <w:highlight w:val="none"/>
        </w:rPr>
      </w:pPr>
      <w:r>
        <w:rPr>
          <w:rFonts w:hint="eastAsia"/>
          <w:color w:val="auto"/>
          <w:highlight w:val="none"/>
        </w:rPr>
        <w:t>全自动土壤pH测定仪</w:t>
      </w:r>
    </w:p>
    <w:p>
      <w:pPr>
        <w:spacing w:line="440" w:lineRule="exact"/>
        <w:rPr>
          <w:b/>
          <w:bCs/>
          <w:color w:val="auto"/>
          <w:kern w:val="0"/>
          <w:sz w:val="24"/>
          <w:highlight w:val="none"/>
        </w:rPr>
      </w:pPr>
      <w:r>
        <w:rPr>
          <w:b/>
          <w:bCs/>
          <w:color w:val="auto"/>
          <w:kern w:val="0"/>
          <w:sz w:val="24"/>
          <w:highlight w:val="none"/>
        </w:rPr>
        <w:t>1.设备用途</w:t>
      </w:r>
    </w:p>
    <w:p>
      <w:pPr>
        <w:pStyle w:val="28"/>
        <w:spacing w:line="440" w:lineRule="exact"/>
        <w:rPr>
          <w:rFonts w:ascii="Times New Roman"/>
          <w:color w:val="auto"/>
          <w:highlight w:val="none"/>
        </w:rPr>
      </w:pPr>
      <w:r>
        <w:rPr>
          <w:rFonts w:ascii="Times New Roman"/>
          <w:color w:val="auto"/>
          <w:highlight w:val="none"/>
        </w:rPr>
        <w:t>用于土壤中pH值的检测，能满足《中华人民共和国农业行业标准  土壤检测 第2部分：土壤pH的测定》（NY/T1121.2-2006）、《森林土壤pH值的测定》（LY/T 1239-1999）等要求。</w:t>
      </w:r>
    </w:p>
    <w:p>
      <w:pPr>
        <w:spacing w:line="440" w:lineRule="exact"/>
        <w:rPr>
          <w:b/>
          <w:bCs/>
          <w:color w:val="auto"/>
          <w:kern w:val="0"/>
          <w:sz w:val="24"/>
          <w:highlight w:val="none"/>
        </w:rPr>
      </w:pPr>
      <w:r>
        <w:rPr>
          <w:b/>
          <w:bCs/>
          <w:color w:val="auto"/>
          <w:kern w:val="0"/>
          <w:sz w:val="24"/>
          <w:highlight w:val="none"/>
        </w:rPr>
        <w:t>2.工作环境</w:t>
      </w:r>
    </w:p>
    <w:p>
      <w:pPr>
        <w:pStyle w:val="28"/>
        <w:spacing w:line="440" w:lineRule="exact"/>
        <w:rPr>
          <w:rFonts w:ascii="Times New Roman"/>
          <w:color w:val="auto"/>
          <w:highlight w:val="none"/>
        </w:rPr>
      </w:pPr>
      <w:r>
        <w:rPr>
          <w:rFonts w:ascii="Times New Roman"/>
          <w:color w:val="auto"/>
          <w:highlight w:val="none"/>
        </w:rPr>
        <w:t>2.1电源：AC 220V±10%，50（±1）Hz；</w:t>
      </w:r>
    </w:p>
    <w:p>
      <w:pPr>
        <w:pStyle w:val="28"/>
        <w:spacing w:line="440" w:lineRule="exact"/>
        <w:rPr>
          <w:rFonts w:ascii="Times New Roman"/>
          <w:color w:val="auto"/>
          <w:highlight w:val="none"/>
        </w:rPr>
      </w:pPr>
      <w:r>
        <w:rPr>
          <w:rFonts w:ascii="Times New Roman"/>
          <w:color w:val="auto"/>
          <w:highlight w:val="none"/>
        </w:rPr>
        <w:t>2.2温度：10-40</w:t>
      </w:r>
      <w:r>
        <w:rPr>
          <w:rFonts w:ascii="Times New Roman"/>
          <w:color w:val="auto"/>
          <w:highlight w:val="none"/>
        </w:rPr>
        <w:sym w:font="Symbol" w:char="F0B0"/>
      </w:r>
      <w:r>
        <w:rPr>
          <w:rFonts w:ascii="Times New Roman"/>
          <w:color w:val="auto"/>
          <w:highlight w:val="none"/>
        </w:rPr>
        <w:t>C；</w:t>
      </w:r>
    </w:p>
    <w:p>
      <w:pPr>
        <w:pStyle w:val="28"/>
        <w:spacing w:line="440" w:lineRule="exact"/>
        <w:rPr>
          <w:rFonts w:ascii="Times New Roman"/>
          <w:color w:val="auto"/>
          <w:highlight w:val="none"/>
        </w:rPr>
      </w:pPr>
      <w:r>
        <w:rPr>
          <w:rFonts w:ascii="Times New Roman"/>
          <w:color w:val="auto"/>
          <w:highlight w:val="none"/>
        </w:rPr>
        <w:t>2.3湿度：20%-80%。</w:t>
      </w:r>
    </w:p>
    <w:p>
      <w:pPr>
        <w:spacing w:line="440" w:lineRule="exact"/>
        <w:rPr>
          <w:b/>
          <w:bCs/>
          <w:color w:val="auto"/>
          <w:kern w:val="0"/>
          <w:sz w:val="24"/>
          <w:highlight w:val="none"/>
        </w:rPr>
      </w:pPr>
      <w:r>
        <w:rPr>
          <w:b/>
          <w:bCs/>
          <w:color w:val="auto"/>
          <w:kern w:val="0"/>
          <w:sz w:val="24"/>
          <w:highlight w:val="none"/>
        </w:rPr>
        <w:t>3. 技术要求</w:t>
      </w:r>
    </w:p>
    <w:p>
      <w:pPr>
        <w:pStyle w:val="28"/>
        <w:spacing w:line="440" w:lineRule="exact"/>
        <w:rPr>
          <w:rFonts w:ascii="Times New Roman"/>
          <w:color w:val="auto"/>
          <w:highlight w:val="none"/>
        </w:rPr>
      </w:pPr>
      <w:r>
        <w:rPr>
          <w:rFonts w:ascii="Times New Roman"/>
          <w:color w:val="auto"/>
          <w:highlight w:val="none"/>
        </w:rPr>
        <w:t>3.1功能要求：自动完成土壤pH值的测定，包括自动校准，加液、搅拌、静置、定时pH电极分析、清洗等步骤，无需人工操作。</w:t>
      </w:r>
    </w:p>
    <w:p>
      <w:pPr>
        <w:pStyle w:val="28"/>
        <w:spacing w:line="440" w:lineRule="exact"/>
        <w:rPr>
          <w:rFonts w:ascii="Times New Roman"/>
          <w:color w:val="auto"/>
          <w:highlight w:val="none"/>
        </w:rPr>
      </w:pPr>
      <w:r>
        <w:rPr>
          <w:rFonts w:ascii="Times New Roman"/>
          <w:color w:val="auto"/>
          <w:highlight w:val="none"/>
        </w:rPr>
        <w:t>*3.2样品量：≥90位，具50mL高颈烧瓶或者100ml离心管样品位。</w:t>
      </w:r>
    </w:p>
    <w:p>
      <w:pPr>
        <w:pStyle w:val="28"/>
        <w:spacing w:line="440" w:lineRule="exact"/>
        <w:rPr>
          <w:rFonts w:ascii="Times New Roman"/>
          <w:color w:val="auto"/>
          <w:highlight w:val="none"/>
        </w:rPr>
      </w:pPr>
      <w:r>
        <w:rPr>
          <w:rFonts w:ascii="Times New Roman"/>
          <w:color w:val="auto"/>
          <w:highlight w:val="none"/>
        </w:rPr>
        <w:t>3.3 12个校准液放置位，4个pH电级保护液储液位。</w:t>
      </w:r>
    </w:p>
    <w:p>
      <w:pPr>
        <w:pStyle w:val="28"/>
        <w:spacing w:line="440" w:lineRule="exact"/>
        <w:rPr>
          <w:rFonts w:ascii="Times New Roman"/>
          <w:color w:val="auto"/>
          <w:highlight w:val="none"/>
        </w:rPr>
      </w:pPr>
      <w:r>
        <w:rPr>
          <w:rFonts w:ascii="Times New Roman"/>
          <w:color w:val="auto"/>
          <w:highlight w:val="none"/>
        </w:rPr>
        <w:t>3.4运行模式：使用双Z轴独立挂载搅拌棒和pH电极</w:t>
      </w:r>
    </w:p>
    <w:p>
      <w:pPr>
        <w:pStyle w:val="28"/>
        <w:spacing w:line="440" w:lineRule="exact"/>
        <w:rPr>
          <w:rFonts w:ascii="Times New Roman"/>
          <w:color w:val="auto"/>
          <w:highlight w:val="none"/>
        </w:rPr>
      </w:pPr>
      <w:r>
        <w:rPr>
          <w:rFonts w:ascii="Times New Roman"/>
          <w:color w:val="auto"/>
          <w:highlight w:val="none"/>
        </w:rPr>
        <w:t>*3.5加液系统：标配≥4套高精度蠕动泵。</w:t>
      </w:r>
    </w:p>
    <w:p>
      <w:pPr>
        <w:pStyle w:val="28"/>
        <w:spacing w:line="440" w:lineRule="exact"/>
        <w:rPr>
          <w:rFonts w:ascii="Times New Roman"/>
          <w:color w:val="auto"/>
          <w:highlight w:val="none"/>
        </w:rPr>
      </w:pPr>
      <w:r>
        <w:rPr>
          <w:rFonts w:ascii="Times New Roman"/>
          <w:color w:val="auto"/>
          <w:highlight w:val="none"/>
        </w:rPr>
        <w:t>3.6加液精度：加入10mL溶剂，精度可达±1%。</w:t>
      </w:r>
    </w:p>
    <w:p>
      <w:pPr>
        <w:pStyle w:val="28"/>
        <w:spacing w:line="440" w:lineRule="exact"/>
        <w:rPr>
          <w:rFonts w:ascii="Times New Roman"/>
          <w:color w:val="auto"/>
          <w:highlight w:val="none"/>
        </w:rPr>
      </w:pPr>
      <w:r>
        <w:rPr>
          <w:rFonts w:hint="eastAsia"/>
          <w:color w:val="auto"/>
          <w:highlight w:val="none"/>
        </w:rPr>
        <w:t>★</w:t>
      </w:r>
      <w:r>
        <w:rPr>
          <w:rFonts w:ascii="Times New Roman"/>
          <w:color w:val="auto"/>
          <w:highlight w:val="none"/>
        </w:rPr>
        <w:t>3.7 pH测定：≥4通道三合一电极同时测定。</w:t>
      </w:r>
    </w:p>
    <w:p>
      <w:pPr>
        <w:pStyle w:val="28"/>
        <w:spacing w:line="440" w:lineRule="exact"/>
        <w:rPr>
          <w:rFonts w:ascii="Times New Roman"/>
          <w:color w:val="auto"/>
          <w:highlight w:val="none"/>
        </w:rPr>
      </w:pPr>
      <w:r>
        <w:rPr>
          <w:rFonts w:ascii="Times New Roman"/>
          <w:color w:val="auto"/>
          <w:highlight w:val="none"/>
        </w:rPr>
        <w:t>*3.8自动校准：具有自动校准功能，可开机自校准。可自动使用≥3种pH标准溶液进行自动pH校准。</w:t>
      </w:r>
    </w:p>
    <w:p>
      <w:pPr>
        <w:pStyle w:val="28"/>
        <w:spacing w:line="440" w:lineRule="exact"/>
        <w:rPr>
          <w:rFonts w:ascii="Times New Roman"/>
          <w:color w:val="auto"/>
          <w:highlight w:val="none"/>
        </w:rPr>
      </w:pPr>
      <w:r>
        <w:rPr>
          <w:rFonts w:ascii="Times New Roman"/>
          <w:color w:val="auto"/>
          <w:highlight w:val="none"/>
        </w:rPr>
        <w:t>3.9测定精度：pH精度优于0.001，显示分辨率优于0.01mv。</w:t>
      </w:r>
    </w:p>
    <w:p>
      <w:pPr>
        <w:pStyle w:val="28"/>
        <w:spacing w:line="440" w:lineRule="exact"/>
        <w:rPr>
          <w:rFonts w:ascii="Times New Roman"/>
          <w:color w:val="auto"/>
          <w:highlight w:val="none"/>
        </w:rPr>
      </w:pPr>
      <w:r>
        <w:rPr>
          <w:rFonts w:ascii="Times New Roman"/>
          <w:color w:val="auto"/>
          <w:highlight w:val="none"/>
        </w:rPr>
        <w:t>*3.10搅拌：机械臂驱动≥4套搅拌桨，可使固液充分混合。</w:t>
      </w:r>
    </w:p>
    <w:p>
      <w:pPr>
        <w:pStyle w:val="28"/>
        <w:spacing w:line="440" w:lineRule="exact"/>
        <w:rPr>
          <w:rFonts w:ascii="Times New Roman"/>
          <w:color w:val="auto"/>
          <w:highlight w:val="none"/>
        </w:rPr>
      </w:pPr>
      <w:r>
        <w:rPr>
          <w:rFonts w:ascii="Times New Roman"/>
          <w:color w:val="auto"/>
          <w:highlight w:val="none"/>
        </w:rPr>
        <w:t>*3.11清洗：≥4位搅拌桨清洗位和≥4位pH电极清洗位同时清洗，pH计与搅拌桨分别独立清洗。</w:t>
      </w:r>
    </w:p>
    <w:p>
      <w:pPr>
        <w:pStyle w:val="28"/>
        <w:spacing w:line="440" w:lineRule="exact"/>
        <w:rPr>
          <w:rFonts w:ascii="Times New Roman"/>
          <w:color w:val="auto"/>
          <w:highlight w:val="none"/>
        </w:rPr>
      </w:pPr>
      <w:r>
        <w:rPr>
          <w:rFonts w:ascii="Times New Roman"/>
          <w:color w:val="auto"/>
          <w:highlight w:val="none"/>
        </w:rPr>
        <w:t>3.12操作界面：使用Windows系统，两种检测模式可选。程序方法可自由设置，支持方法编辑、方法选择、样品序列选择。自动处理实验数据，并生成实验报告，可一键打印。</w:t>
      </w:r>
    </w:p>
    <w:p>
      <w:pPr>
        <w:pStyle w:val="28"/>
        <w:spacing w:line="440" w:lineRule="exact"/>
        <w:rPr>
          <w:rFonts w:ascii="Times New Roman"/>
          <w:color w:val="auto"/>
          <w:highlight w:val="none"/>
        </w:rPr>
      </w:pPr>
      <w:r>
        <w:rPr>
          <w:rFonts w:ascii="Times New Roman"/>
          <w:color w:val="auto"/>
          <w:highlight w:val="none"/>
        </w:rPr>
        <w:t>3.13具备试剂报警、废液报警等功能。</w:t>
      </w:r>
    </w:p>
    <w:p>
      <w:pPr>
        <w:pStyle w:val="28"/>
        <w:spacing w:line="440" w:lineRule="exact"/>
        <w:rPr>
          <w:rFonts w:ascii="Times New Roman"/>
          <w:color w:val="auto"/>
          <w:highlight w:val="none"/>
        </w:rPr>
      </w:pPr>
      <w:r>
        <w:rPr>
          <w:rFonts w:ascii="Times New Roman"/>
          <w:color w:val="auto"/>
          <w:highlight w:val="none"/>
        </w:rPr>
        <w:t>3.14自动质控程序：运行过程中可设置间隔样品进行校准。</w:t>
      </w:r>
    </w:p>
    <w:p>
      <w:pPr>
        <w:spacing w:line="440" w:lineRule="exact"/>
        <w:rPr>
          <w:b/>
          <w:bCs/>
          <w:color w:val="auto"/>
          <w:kern w:val="0"/>
          <w:sz w:val="24"/>
          <w:highlight w:val="none"/>
        </w:rPr>
      </w:pPr>
      <w:r>
        <w:rPr>
          <w:b/>
          <w:bCs/>
          <w:color w:val="auto"/>
          <w:kern w:val="0"/>
          <w:sz w:val="24"/>
          <w:highlight w:val="none"/>
        </w:rPr>
        <w:t>4. 仪器配置</w:t>
      </w:r>
    </w:p>
    <w:p>
      <w:pPr>
        <w:pStyle w:val="28"/>
        <w:spacing w:line="440" w:lineRule="exact"/>
        <w:rPr>
          <w:rFonts w:ascii="Times New Roman"/>
          <w:color w:val="auto"/>
          <w:highlight w:val="none"/>
        </w:rPr>
      </w:pPr>
      <w:r>
        <w:rPr>
          <w:rFonts w:ascii="Times New Roman"/>
          <w:color w:val="auto"/>
          <w:highlight w:val="none"/>
        </w:rPr>
        <w:t>4.1 全自动pH测定仪主机1套（包括pH检测系统4套，加液通路4套，96位自动进样系统 1套，4位搅拌系统1套）</w:t>
      </w:r>
      <w:r>
        <w:rPr>
          <w:rFonts w:hint="eastAsia" w:ascii="Times New Roman"/>
          <w:color w:val="auto"/>
          <w:highlight w:val="none"/>
        </w:rPr>
        <w:t>、</w:t>
      </w:r>
      <w:r>
        <w:rPr>
          <w:rFonts w:ascii="Times New Roman"/>
          <w:color w:val="auto"/>
          <w:highlight w:val="none"/>
        </w:rPr>
        <w:t>样品架3个</w:t>
      </w:r>
      <w:r>
        <w:rPr>
          <w:rFonts w:hint="eastAsia" w:ascii="Times New Roman"/>
          <w:color w:val="auto"/>
          <w:highlight w:val="none"/>
        </w:rPr>
        <w:t>、</w:t>
      </w:r>
      <w:r>
        <w:rPr>
          <w:rFonts w:ascii="Times New Roman"/>
          <w:color w:val="auto"/>
          <w:highlight w:val="none"/>
        </w:rPr>
        <w:t>4.3搅拌桨4个</w:t>
      </w:r>
      <w:r>
        <w:rPr>
          <w:rFonts w:hint="eastAsia" w:ascii="Times New Roman"/>
          <w:color w:val="auto"/>
          <w:highlight w:val="none"/>
        </w:rPr>
        <w:t>、</w:t>
      </w:r>
      <w:r>
        <w:rPr>
          <w:rFonts w:ascii="Times New Roman"/>
          <w:color w:val="auto"/>
          <w:highlight w:val="none"/>
        </w:rPr>
        <w:t>试剂瓶套件4套</w:t>
      </w:r>
      <w:r>
        <w:rPr>
          <w:rFonts w:hint="eastAsia" w:ascii="Times New Roman"/>
          <w:color w:val="auto"/>
          <w:highlight w:val="none"/>
        </w:rPr>
        <w:t>、</w:t>
      </w:r>
      <w:r>
        <w:rPr>
          <w:rFonts w:ascii="Times New Roman"/>
          <w:color w:val="auto"/>
          <w:highlight w:val="none"/>
        </w:rPr>
        <w:t>废液瓶套件1套</w:t>
      </w:r>
      <w:r>
        <w:rPr>
          <w:rFonts w:hint="eastAsia" w:ascii="Times New Roman"/>
          <w:color w:val="auto"/>
          <w:highlight w:val="none"/>
        </w:rPr>
        <w:t>、</w:t>
      </w:r>
      <w:r>
        <w:rPr>
          <w:rFonts w:ascii="Times New Roman"/>
          <w:color w:val="auto"/>
          <w:highlight w:val="none"/>
        </w:rPr>
        <w:t>50mL高颈烧瓶1套（100个）</w:t>
      </w:r>
      <w:r>
        <w:rPr>
          <w:rFonts w:hint="eastAsia" w:ascii="Times New Roman"/>
          <w:color w:val="auto"/>
          <w:highlight w:val="none"/>
        </w:rPr>
        <w:t>、</w:t>
      </w:r>
      <w:r>
        <w:rPr>
          <w:rFonts w:ascii="Times New Roman"/>
          <w:color w:val="auto"/>
          <w:highlight w:val="none"/>
        </w:rPr>
        <w:t>100mL离心管1套（100个）</w:t>
      </w:r>
      <w:r>
        <w:rPr>
          <w:rFonts w:hint="eastAsia" w:ascii="Times New Roman"/>
          <w:color w:val="auto"/>
          <w:highlight w:val="none"/>
        </w:rPr>
        <w:t>；</w:t>
      </w:r>
    </w:p>
    <w:p>
      <w:pPr>
        <w:pStyle w:val="28"/>
        <w:spacing w:line="440" w:lineRule="exact"/>
        <w:rPr>
          <w:rFonts w:ascii="Times New Roman"/>
          <w:color w:val="auto"/>
          <w:highlight w:val="none"/>
        </w:rPr>
      </w:pPr>
      <w:r>
        <w:rPr>
          <w:rFonts w:ascii="Times New Roman"/>
          <w:color w:val="auto"/>
          <w:highlight w:val="none"/>
        </w:rPr>
        <w:t>4.2</w:t>
      </w:r>
      <w:bookmarkStart w:id="154" w:name="_Hlk136381332"/>
      <w:r>
        <w:rPr>
          <w:rFonts w:ascii="Times New Roman"/>
          <w:color w:val="auto"/>
          <w:highlight w:val="none"/>
        </w:rPr>
        <w:t xml:space="preserve">数据处理系统1套：需满足仪器控制软件使用要求，支持日后产品软件升级；屏幕尺寸： ≥24英寸；CPU： 英特尔酷睿 i7；显卡类型： 独立显卡；显存容量：8GB；固态硬盘： 1TB；内存容量： 16GB；光驱类型： 有光驱；操作系统： 与软件匹配的最高版本；主流品牌激光打印装置。 </w:t>
      </w:r>
    </w:p>
    <w:p>
      <w:pPr>
        <w:spacing w:line="440" w:lineRule="exact"/>
        <w:rPr>
          <w:b/>
          <w:bCs/>
          <w:color w:val="auto"/>
          <w:kern w:val="0"/>
          <w:sz w:val="24"/>
          <w:highlight w:val="none"/>
        </w:rPr>
      </w:pPr>
      <w:r>
        <w:rPr>
          <w:b/>
          <w:bCs/>
          <w:color w:val="auto"/>
          <w:kern w:val="0"/>
          <w:sz w:val="24"/>
          <w:highlight w:val="none"/>
        </w:rPr>
        <w:t>5.技术服务</w:t>
      </w:r>
    </w:p>
    <w:p>
      <w:pPr>
        <w:pStyle w:val="28"/>
        <w:spacing w:line="440" w:lineRule="exact"/>
        <w:rPr>
          <w:rFonts w:ascii="Times New Roman"/>
          <w:color w:val="auto"/>
          <w:highlight w:val="none"/>
        </w:rPr>
      </w:pPr>
      <w:r>
        <w:rPr>
          <w:rFonts w:ascii="Times New Roman"/>
          <w:color w:val="auto"/>
          <w:highlight w:val="none"/>
        </w:rPr>
        <w:t>5.1保证产品为全新原厂设备。</w:t>
      </w:r>
    </w:p>
    <w:p>
      <w:pPr>
        <w:pStyle w:val="28"/>
        <w:spacing w:line="440" w:lineRule="exact"/>
        <w:rPr>
          <w:rFonts w:ascii="Times New Roman"/>
          <w:color w:val="auto"/>
          <w:highlight w:val="none"/>
        </w:rPr>
      </w:pPr>
      <w:r>
        <w:rPr>
          <w:rFonts w:ascii="Times New Roman"/>
          <w:color w:val="auto"/>
          <w:highlight w:val="none"/>
        </w:rPr>
        <w:t>5.2保修服务：自验收合格起，厂家向用户提供至少1年的免费保修服务。保修期内所有服务免费，一切配件、耗材免费到场更换。保修期外，能更及时地为用户提供备品备件。</w:t>
      </w:r>
    </w:p>
    <w:p>
      <w:pPr>
        <w:pStyle w:val="28"/>
        <w:spacing w:line="440" w:lineRule="exact"/>
        <w:rPr>
          <w:rFonts w:ascii="Times New Roman"/>
          <w:color w:val="auto"/>
          <w:highlight w:val="none"/>
        </w:rPr>
      </w:pPr>
      <w:r>
        <w:rPr>
          <w:rFonts w:ascii="Times New Roman"/>
          <w:color w:val="auto"/>
          <w:highlight w:val="none"/>
        </w:rPr>
        <w:t>5.3仪器安装验收：厂家技术人员到现场安装、调试仪器，进行操作试验，直至运行正常并验收确认。</w:t>
      </w:r>
    </w:p>
    <w:p>
      <w:pPr>
        <w:pStyle w:val="28"/>
        <w:spacing w:line="440" w:lineRule="exact"/>
        <w:rPr>
          <w:rFonts w:ascii="Times New Roman"/>
          <w:color w:val="auto"/>
          <w:highlight w:val="none"/>
        </w:rPr>
      </w:pPr>
      <w:r>
        <w:rPr>
          <w:rFonts w:ascii="Times New Roman"/>
          <w:color w:val="auto"/>
          <w:highlight w:val="none"/>
        </w:rPr>
        <w:t>5.4质量及验收标准：技术指标符合买方要求和厂家规定的出厂要求。如未通过验收，应视情节更换部件或主机，直至退货。</w:t>
      </w:r>
    </w:p>
    <w:p>
      <w:pPr>
        <w:pStyle w:val="28"/>
        <w:spacing w:line="440" w:lineRule="exact"/>
        <w:rPr>
          <w:rFonts w:ascii="Times New Roman"/>
          <w:color w:val="auto"/>
          <w:highlight w:val="none"/>
        </w:rPr>
      </w:pPr>
      <w:r>
        <w:rPr>
          <w:rFonts w:ascii="Times New Roman"/>
          <w:color w:val="auto"/>
          <w:highlight w:val="none"/>
        </w:rPr>
        <w:t>5.5培训：仪器安装现场对2名以上仪器操作人员提供免费的上机操作及日常维护培训，至使用者会操作、使用仪器为止，除仪器中文使用说明书外，应提供安装、使用技术光碟等，便于后期学习维护。</w:t>
      </w:r>
    </w:p>
    <w:p>
      <w:pPr>
        <w:pStyle w:val="28"/>
        <w:spacing w:line="440" w:lineRule="exact"/>
        <w:rPr>
          <w:rFonts w:ascii="Times New Roman"/>
          <w:color w:val="auto"/>
          <w:highlight w:val="none"/>
        </w:rPr>
      </w:pPr>
      <w:r>
        <w:rPr>
          <w:rFonts w:ascii="Times New Roman"/>
          <w:color w:val="auto"/>
          <w:highlight w:val="none"/>
        </w:rPr>
        <w:t>5.6制造厂家应保证用户能得到快捷、完善的售后服务；服务响应时间不大于24小时，故障可以在48小时内到现场维修。</w:t>
      </w:r>
      <w:bookmarkEnd w:id="154"/>
    </w:p>
    <w:p>
      <w:pPr>
        <w:spacing w:line="400" w:lineRule="exact"/>
        <w:rPr>
          <w:color w:val="auto"/>
          <w:highlight w:val="none"/>
        </w:rPr>
      </w:pPr>
      <w:r>
        <w:rPr>
          <w:color w:val="auto"/>
          <w:sz w:val="24"/>
          <w:highlight w:val="none"/>
        </w:rPr>
        <w:t>备注：</w:t>
      </w:r>
      <w:r>
        <w:rPr>
          <w:color w:val="auto"/>
          <w:sz w:val="24"/>
          <w:highlight w:val="none"/>
          <w:lang w:val="zh-CN"/>
        </w:rPr>
        <w:t>带“*”号的为必须满足指标，与技术性能指标一起</w:t>
      </w:r>
      <w:r>
        <w:rPr>
          <w:rFonts w:hint="eastAsia"/>
          <w:color w:val="auto"/>
          <w:sz w:val="24"/>
          <w:highlight w:val="none"/>
          <w:lang w:val="zh-CN"/>
        </w:rPr>
        <w:t>作</w:t>
      </w:r>
      <w:r>
        <w:rPr>
          <w:color w:val="auto"/>
          <w:sz w:val="24"/>
          <w:highlight w:val="none"/>
          <w:lang w:val="zh-CN"/>
        </w:rPr>
        <w:t>为验收指标。</w:t>
      </w:r>
      <w:r>
        <w:rPr>
          <w:color w:val="auto"/>
          <w:sz w:val="24"/>
          <w:highlight w:val="none"/>
        </w:rPr>
        <w:t>验收时须提供精密度</w:t>
      </w:r>
      <w:r>
        <w:rPr>
          <w:rFonts w:hint="eastAsia"/>
          <w:color w:val="auto"/>
          <w:sz w:val="24"/>
          <w:highlight w:val="none"/>
        </w:rPr>
        <w:t>、正确度</w:t>
      </w:r>
      <w:r>
        <w:rPr>
          <w:color w:val="auto"/>
          <w:sz w:val="24"/>
          <w:highlight w:val="none"/>
        </w:rPr>
        <w:t>等技术材料。</w:t>
      </w:r>
    </w:p>
    <w:p>
      <w:pPr>
        <w:pStyle w:val="60"/>
        <w:numPr>
          <w:ilvl w:val="0"/>
          <w:numId w:val="15"/>
        </w:numPr>
        <w:spacing w:line="440" w:lineRule="exact"/>
        <w:ind w:leftChars="0" w:firstLineChars="0"/>
        <w:rPr>
          <w:color w:val="auto"/>
          <w:highlight w:val="none"/>
        </w:rPr>
      </w:pPr>
      <w:r>
        <w:rPr>
          <w:rFonts w:hint="eastAsia"/>
          <w:color w:val="auto"/>
          <w:highlight w:val="none"/>
        </w:rPr>
        <w:t>全自动加酸仪</w:t>
      </w:r>
    </w:p>
    <w:p>
      <w:pPr>
        <w:widowControl/>
        <w:autoSpaceDE w:val="0"/>
        <w:autoSpaceDN w:val="0"/>
        <w:snapToGrid w:val="0"/>
        <w:spacing w:line="440" w:lineRule="exact"/>
        <w:rPr>
          <w:b/>
          <w:bCs/>
          <w:color w:val="auto"/>
          <w:kern w:val="0"/>
          <w:sz w:val="24"/>
          <w:highlight w:val="none"/>
        </w:rPr>
      </w:pPr>
      <w:r>
        <w:rPr>
          <w:b/>
          <w:bCs/>
          <w:color w:val="auto"/>
          <w:kern w:val="0"/>
          <w:sz w:val="24"/>
          <w:highlight w:val="none"/>
        </w:rPr>
        <w:t>1.设备用途</w:t>
      </w:r>
    </w:p>
    <w:p>
      <w:pPr>
        <w:pStyle w:val="28"/>
        <w:spacing w:line="440" w:lineRule="exact"/>
        <w:rPr>
          <w:rFonts w:ascii="Times New Roman"/>
          <w:color w:val="auto"/>
          <w:highlight w:val="none"/>
        </w:rPr>
      </w:pPr>
      <w:r>
        <w:rPr>
          <w:rFonts w:ascii="Times New Roman"/>
          <w:color w:val="auto"/>
          <w:highlight w:val="none"/>
        </w:rPr>
        <w:t>用于重金属前处理实验中各种试剂的分液处理。具有加液精度高、样品处理量大、自动化程度高、操作简单、节省试剂等优势，能有效的降低实验人员的操作强度，更好的保护实验人员的安全。</w:t>
      </w:r>
    </w:p>
    <w:p>
      <w:pPr>
        <w:widowControl/>
        <w:autoSpaceDE w:val="0"/>
        <w:autoSpaceDN w:val="0"/>
        <w:snapToGrid w:val="0"/>
        <w:spacing w:line="440" w:lineRule="exact"/>
        <w:rPr>
          <w:b/>
          <w:bCs/>
          <w:color w:val="auto"/>
          <w:kern w:val="0"/>
          <w:sz w:val="24"/>
          <w:highlight w:val="none"/>
        </w:rPr>
      </w:pPr>
      <w:r>
        <w:rPr>
          <w:b/>
          <w:bCs/>
          <w:color w:val="auto"/>
          <w:kern w:val="0"/>
          <w:sz w:val="24"/>
          <w:highlight w:val="none"/>
        </w:rPr>
        <w:t>2.工作环境</w:t>
      </w:r>
    </w:p>
    <w:p>
      <w:pPr>
        <w:pStyle w:val="28"/>
        <w:spacing w:line="440" w:lineRule="exact"/>
        <w:rPr>
          <w:rFonts w:ascii="Times New Roman"/>
          <w:color w:val="auto"/>
          <w:highlight w:val="none"/>
        </w:rPr>
      </w:pPr>
      <w:r>
        <w:rPr>
          <w:rFonts w:ascii="Times New Roman"/>
          <w:color w:val="auto"/>
          <w:highlight w:val="none"/>
        </w:rPr>
        <w:t>2.1电源：AC 220V±10%，50（±1）Hz；</w:t>
      </w:r>
    </w:p>
    <w:p>
      <w:pPr>
        <w:pStyle w:val="28"/>
        <w:spacing w:line="440" w:lineRule="exact"/>
        <w:rPr>
          <w:rFonts w:ascii="Times New Roman"/>
          <w:color w:val="auto"/>
          <w:highlight w:val="none"/>
        </w:rPr>
      </w:pPr>
      <w:r>
        <w:rPr>
          <w:rFonts w:ascii="Times New Roman"/>
          <w:color w:val="auto"/>
          <w:highlight w:val="none"/>
        </w:rPr>
        <w:t>2.2温度：10-40</w:t>
      </w:r>
      <w:r>
        <w:rPr>
          <w:rFonts w:ascii="Times New Roman"/>
          <w:color w:val="auto"/>
          <w:highlight w:val="none"/>
        </w:rPr>
        <w:sym w:font="Symbol" w:char="F0B0"/>
      </w:r>
      <w:r>
        <w:rPr>
          <w:rFonts w:ascii="Times New Roman"/>
          <w:color w:val="auto"/>
          <w:highlight w:val="none"/>
        </w:rPr>
        <w:t>C；</w:t>
      </w:r>
    </w:p>
    <w:p>
      <w:pPr>
        <w:pStyle w:val="28"/>
        <w:spacing w:line="440" w:lineRule="exact"/>
        <w:rPr>
          <w:rFonts w:ascii="Times New Roman"/>
          <w:color w:val="auto"/>
          <w:highlight w:val="none"/>
        </w:rPr>
      </w:pPr>
      <w:r>
        <w:rPr>
          <w:rFonts w:ascii="Times New Roman"/>
          <w:color w:val="auto"/>
          <w:highlight w:val="none"/>
        </w:rPr>
        <w:t>2.3湿度：20%-80%。</w:t>
      </w:r>
    </w:p>
    <w:p>
      <w:pPr>
        <w:widowControl/>
        <w:autoSpaceDE w:val="0"/>
        <w:autoSpaceDN w:val="0"/>
        <w:snapToGrid w:val="0"/>
        <w:spacing w:line="440" w:lineRule="exact"/>
        <w:rPr>
          <w:b/>
          <w:bCs/>
          <w:color w:val="auto"/>
          <w:kern w:val="0"/>
          <w:sz w:val="24"/>
          <w:highlight w:val="none"/>
        </w:rPr>
      </w:pPr>
      <w:r>
        <w:rPr>
          <w:b/>
          <w:bCs/>
          <w:color w:val="auto"/>
          <w:kern w:val="0"/>
          <w:sz w:val="24"/>
          <w:highlight w:val="none"/>
        </w:rPr>
        <w:t>3. 技术要求</w:t>
      </w:r>
    </w:p>
    <w:p>
      <w:pPr>
        <w:pStyle w:val="28"/>
        <w:spacing w:line="440" w:lineRule="exact"/>
        <w:rPr>
          <w:rFonts w:ascii="Times New Roman"/>
          <w:color w:val="auto"/>
          <w:highlight w:val="none"/>
        </w:rPr>
      </w:pPr>
      <w:r>
        <w:rPr>
          <w:rFonts w:ascii="Times New Roman"/>
          <w:color w:val="auto"/>
          <w:highlight w:val="none"/>
        </w:rPr>
        <w:t>3.1 试剂通道：≥8通道。</w:t>
      </w:r>
    </w:p>
    <w:p>
      <w:pPr>
        <w:pStyle w:val="28"/>
        <w:spacing w:line="440" w:lineRule="exact"/>
        <w:rPr>
          <w:rFonts w:ascii="Times New Roman"/>
          <w:color w:val="auto"/>
          <w:highlight w:val="none"/>
        </w:rPr>
      </w:pPr>
      <w:r>
        <w:rPr>
          <w:rFonts w:hint="eastAsia" w:ascii="Times New Roman"/>
          <w:color w:val="auto"/>
          <w:highlight w:val="none"/>
        </w:rPr>
        <w:t>*</w:t>
      </w:r>
      <w:r>
        <w:rPr>
          <w:rFonts w:ascii="Times New Roman"/>
          <w:color w:val="auto"/>
          <w:highlight w:val="none"/>
        </w:rPr>
        <w:t>3.2 试剂添加速度：0.5mL/s-4mL/s可调；加液精度：≤1%。</w:t>
      </w:r>
    </w:p>
    <w:p>
      <w:pPr>
        <w:pStyle w:val="28"/>
        <w:spacing w:line="440" w:lineRule="exact"/>
        <w:rPr>
          <w:rFonts w:ascii="Times New Roman"/>
          <w:color w:val="auto"/>
          <w:highlight w:val="none"/>
        </w:rPr>
      </w:pPr>
      <w:r>
        <w:rPr>
          <w:rFonts w:hint="eastAsia"/>
          <w:color w:val="auto"/>
          <w:highlight w:val="none"/>
        </w:rPr>
        <w:t>★</w:t>
      </w:r>
      <w:r>
        <w:rPr>
          <w:rFonts w:ascii="Times New Roman"/>
          <w:color w:val="auto"/>
          <w:highlight w:val="none"/>
        </w:rPr>
        <w:t>3.3 试剂添加使用≥2个高精度蠕动泵，可以同时加液，在线配置试剂。试剂输送管路均为PTFE 材质，所有试剂通道均可安全操作各种腐蚀性试剂（包括氢氟酸）</w:t>
      </w:r>
    </w:p>
    <w:p>
      <w:pPr>
        <w:pStyle w:val="28"/>
        <w:spacing w:line="440" w:lineRule="exact"/>
        <w:rPr>
          <w:rFonts w:ascii="Times New Roman"/>
          <w:color w:val="auto"/>
          <w:highlight w:val="none"/>
        </w:rPr>
      </w:pPr>
      <w:r>
        <w:rPr>
          <w:rFonts w:ascii="Times New Roman"/>
          <w:color w:val="auto"/>
          <w:highlight w:val="none"/>
        </w:rPr>
        <w:t>*3.4配花洒加液模块，自带喷淋功能，有效解决粉末样品粘壁问题。</w:t>
      </w:r>
    </w:p>
    <w:p>
      <w:pPr>
        <w:pStyle w:val="28"/>
        <w:spacing w:line="440" w:lineRule="exact"/>
        <w:rPr>
          <w:rFonts w:ascii="Times New Roman"/>
          <w:color w:val="auto"/>
          <w:highlight w:val="none"/>
        </w:rPr>
      </w:pPr>
      <w:r>
        <w:rPr>
          <w:rFonts w:ascii="Times New Roman"/>
          <w:color w:val="auto"/>
          <w:highlight w:val="none"/>
        </w:rPr>
        <w:t>3.5 XYZ轴全方位移动机械臂，钛钢丝杆，碳纤维防酸外壳，防腐等级高，具有超长的使用寿命</w:t>
      </w:r>
    </w:p>
    <w:p>
      <w:pPr>
        <w:pStyle w:val="28"/>
        <w:spacing w:line="440" w:lineRule="exact"/>
        <w:rPr>
          <w:rFonts w:ascii="Times New Roman"/>
          <w:color w:val="auto"/>
          <w:highlight w:val="none"/>
        </w:rPr>
      </w:pPr>
      <w:r>
        <w:rPr>
          <w:rFonts w:ascii="Times New Roman"/>
          <w:color w:val="auto"/>
          <w:highlight w:val="none"/>
        </w:rPr>
        <w:t>*3.6全自动酸气排放系统。</w:t>
      </w:r>
    </w:p>
    <w:p>
      <w:pPr>
        <w:pStyle w:val="28"/>
        <w:spacing w:line="440" w:lineRule="exact"/>
        <w:rPr>
          <w:rFonts w:ascii="Times New Roman"/>
          <w:color w:val="auto"/>
          <w:highlight w:val="none"/>
        </w:rPr>
      </w:pPr>
      <w:r>
        <w:rPr>
          <w:rFonts w:ascii="Times New Roman"/>
          <w:color w:val="auto"/>
          <w:highlight w:val="none"/>
        </w:rPr>
        <w:t>3.7 通风系统自带HEPA 级过滤功能，在加酸过程中持续净化系统空气， 避免其对样品的污染。</w:t>
      </w:r>
    </w:p>
    <w:p>
      <w:pPr>
        <w:pStyle w:val="28"/>
        <w:spacing w:line="440" w:lineRule="exact"/>
        <w:rPr>
          <w:rFonts w:ascii="Times New Roman"/>
          <w:color w:val="auto"/>
          <w:highlight w:val="none"/>
        </w:rPr>
      </w:pPr>
      <w:r>
        <w:rPr>
          <w:rFonts w:ascii="Times New Roman"/>
          <w:color w:val="auto"/>
          <w:highlight w:val="none"/>
        </w:rPr>
        <w:t>3.8仪器密闭结构，内置照明装置，灯光指示仪器运行状态。有机玻璃透视观察工作状态。</w:t>
      </w:r>
    </w:p>
    <w:p>
      <w:pPr>
        <w:pStyle w:val="28"/>
        <w:spacing w:line="440" w:lineRule="exact"/>
        <w:rPr>
          <w:rFonts w:ascii="Times New Roman"/>
          <w:color w:val="auto"/>
          <w:highlight w:val="none"/>
        </w:rPr>
      </w:pPr>
      <w:r>
        <w:rPr>
          <w:rFonts w:ascii="Times New Roman"/>
          <w:color w:val="auto"/>
          <w:highlight w:val="none"/>
        </w:rPr>
        <w:t>3.9 软件</w:t>
      </w:r>
    </w:p>
    <w:p>
      <w:pPr>
        <w:pStyle w:val="28"/>
        <w:spacing w:line="440" w:lineRule="exact"/>
        <w:rPr>
          <w:rFonts w:ascii="Times New Roman"/>
          <w:color w:val="auto"/>
          <w:highlight w:val="none"/>
        </w:rPr>
      </w:pPr>
      <w:r>
        <w:rPr>
          <w:rFonts w:ascii="Times New Roman"/>
          <w:color w:val="auto"/>
          <w:highlight w:val="none"/>
        </w:rPr>
        <w:t>3.9.1 WIFI连接，电脑或PAD控制，避免酸雾腐蚀。</w:t>
      </w:r>
    </w:p>
    <w:p>
      <w:pPr>
        <w:pStyle w:val="28"/>
        <w:spacing w:line="440" w:lineRule="exact"/>
        <w:rPr>
          <w:rFonts w:ascii="Times New Roman"/>
          <w:color w:val="auto"/>
          <w:highlight w:val="none"/>
        </w:rPr>
      </w:pPr>
      <w:r>
        <w:rPr>
          <w:rFonts w:ascii="Times New Roman"/>
          <w:color w:val="auto"/>
          <w:highlight w:val="none"/>
        </w:rPr>
        <w:t>*3.9.2 双模块设计：两个模块可运行不同方法，添加不同试剂。每个孔位可加入不同酸液。</w:t>
      </w:r>
    </w:p>
    <w:p>
      <w:pPr>
        <w:pStyle w:val="28"/>
        <w:spacing w:line="440" w:lineRule="exact"/>
        <w:rPr>
          <w:rFonts w:ascii="Times New Roman"/>
          <w:color w:val="auto"/>
          <w:highlight w:val="none"/>
        </w:rPr>
      </w:pPr>
      <w:r>
        <w:rPr>
          <w:rFonts w:ascii="Times New Roman"/>
          <w:color w:val="auto"/>
          <w:highlight w:val="none"/>
        </w:rPr>
        <w:t>3.9.3 样品架自动识别：识别样品架放置情况。</w:t>
      </w:r>
    </w:p>
    <w:p>
      <w:pPr>
        <w:pStyle w:val="28"/>
        <w:spacing w:line="440" w:lineRule="exact"/>
        <w:rPr>
          <w:rFonts w:ascii="Times New Roman"/>
          <w:color w:val="auto"/>
          <w:highlight w:val="none"/>
        </w:rPr>
      </w:pPr>
      <w:r>
        <w:rPr>
          <w:rFonts w:ascii="Times New Roman"/>
          <w:color w:val="auto"/>
          <w:highlight w:val="none"/>
        </w:rPr>
        <w:t>*3.9.4双校准模式：自动红外校准、手动校准。</w:t>
      </w:r>
    </w:p>
    <w:p>
      <w:pPr>
        <w:pStyle w:val="28"/>
        <w:spacing w:line="440" w:lineRule="exact"/>
        <w:rPr>
          <w:rFonts w:ascii="Times New Roman"/>
          <w:color w:val="auto"/>
          <w:highlight w:val="none"/>
        </w:rPr>
      </w:pPr>
      <w:r>
        <w:rPr>
          <w:rFonts w:ascii="Times New Roman"/>
          <w:color w:val="auto"/>
          <w:highlight w:val="none"/>
        </w:rPr>
        <w:t>3.9.5试剂报警功能：各通道试剂剩余量报警、废液瓶体积预警，报警限量可自定。</w:t>
      </w:r>
    </w:p>
    <w:p>
      <w:pPr>
        <w:pStyle w:val="28"/>
        <w:spacing w:line="440" w:lineRule="exact"/>
        <w:rPr>
          <w:rFonts w:ascii="Times New Roman"/>
          <w:color w:val="auto"/>
          <w:highlight w:val="none"/>
        </w:rPr>
      </w:pPr>
      <w:r>
        <w:rPr>
          <w:rFonts w:ascii="Times New Roman"/>
          <w:color w:val="auto"/>
          <w:highlight w:val="none"/>
        </w:rPr>
        <w:t>3.10样品位数：可配不同规格的样品管架，直径25mm、27mm</w:t>
      </w:r>
      <w:r>
        <w:rPr>
          <w:rFonts w:hint="eastAsia" w:ascii="Times New Roman"/>
          <w:color w:val="auto"/>
          <w:highlight w:val="none"/>
        </w:rPr>
        <w:t>、</w:t>
      </w:r>
      <w:r>
        <w:rPr>
          <w:rFonts w:ascii="Times New Roman"/>
          <w:color w:val="auto"/>
          <w:highlight w:val="none"/>
        </w:rPr>
        <w:t>29mm</w:t>
      </w:r>
      <w:r>
        <w:rPr>
          <w:rFonts w:hint="eastAsia" w:ascii="Times New Roman"/>
          <w:color w:val="auto"/>
          <w:highlight w:val="none"/>
        </w:rPr>
        <w:t>、</w:t>
      </w:r>
      <w:r>
        <w:rPr>
          <w:rFonts w:ascii="Times New Roman"/>
          <w:color w:val="auto"/>
          <w:highlight w:val="none"/>
        </w:rPr>
        <w:t>30mm、35.5mm样品管架不少于40位；体积50mL、30mL不少于20位坩埚架。</w:t>
      </w:r>
    </w:p>
    <w:p>
      <w:pPr>
        <w:pStyle w:val="28"/>
        <w:spacing w:line="440" w:lineRule="exact"/>
        <w:rPr>
          <w:rFonts w:ascii="Times New Roman"/>
          <w:color w:val="auto"/>
          <w:highlight w:val="none"/>
        </w:rPr>
      </w:pPr>
      <w:r>
        <w:rPr>
          <w:rFonts w:ascii="Times New Roman"/>
          <w:color w:val="auto"/>
          <w:highlight w:val="none"/>
        </w:rPr>
        <w:t>3.11生产商通过 ISO9001：2008生产管理体系和售后服务体系认证</w:t>
      </w:r>
    </w:p>
    <w:p>
      <w:pPr>
        <w:adjustRightInd w:val="0"/>
        <w:snapToGrid w:val="0"/>
        <w:spacing w:line="440" w:lineRule="exact"/>
        <w:rPr>
          <w:b/>
          <w:color w:val="auto"/>
          <w:sz w:val="24"/>
          <w:highlight w:val="none"/>
        </w:rPr>
      </w:pPr>
      <w:r>
        <w:rPr>
          <w:b/>
          <w:color w:val="auto"/>
          <w:sz w:val="24"/>
          <w:highlight w:val="none"/>
        </w:rPr>
        <w:t>4. 仪器配置</w:t>
      </w:r>
    </w:p>
    <w:p>
      <w:pPr>
        <w:pStyle w:val="28"/>
        <w:spacing w:line="440" w:lineRule="exact"/>
        <w:rPr>
          <w:rFonts w:ascii="Times New Roman"/>
          <w:color w:val="auto"/>
          <w:highlight w:val="none"/>
        </w:rPr>
      </w:pPr>
      <w:r>
        <w:rPr>
          <w:rFonts w:ascii="Times New Roman"/>
          <w:color w:val="auto"/>
          <w:highlight w:val="none"/>
        </w:rPr>
        <w:t>4.1 自动加酸仪主机 1台</w:t>
      </w:r>
      <w:r>
        <w:rPr>
          <w:rFonts w:hint="eastAsia" w:ascii="Times New Roman"/>
          <w:color w:val="auto"/>
          <w:highlight w:val="none"/>
        </w:rPr>
        <w:t>、</w:t>
      </w:r>
      <w:r>
        <w:rPr>
          <w:rFonts w:ascii="Times New Roman"/>
          <w:color w:val="auto"/>
          <w:highlight w:val="none"/>
        </w:rPr>
        <w:t>自动酸气排放系统 1套</w:t>
      </w:r>
      <w:r>
        <w:rPr>
          <w:rFonts w:hint="eastAsia" w:ascii="Times New Roman"/>
          <w:color w:val="auto"/>
          <w:highlight w:val="none"/>
        </w:rPr>
        <w:t>、</w:t>
      </w:r>
      <w:r>
        <w:rPr>
          <w:rFonts w:ascii="Times New Roman"/>
          <w:color w:val="auto"/>
          <w:highlight w:val="none"/>
        </w:rPr>
        <w:t>聚四氟乙烯试剂瓶盖 8套</w:t>
      </w:r>
      <w:r>
        <w:rPr>
          <w:rFonts w:hint="eastAsia" w:ascii="Times New Roman"/>
          <w:color w:val="auto"/>
          <w:highlight w:val="none"/>
        </w:rPr>
        <w:t>、</w:t>
      </w:r>
      <w:r>
        <w:rPr>
          <w:rFonts w:ascii="Times New Roman"/>
          <w:color w:val="auto"/>
          <w:highlight w:val="none"/>
        </w:rPr>
        <w:t>48位 50mL消解管支架 3套</w:t>
      </w:r>
      <w:r>
        <w:rPr>
          <w:rFonts w:hint="eastAsia" w:ascii="Times New Roman"/>
          <w:color w:val="auto"/>
          <w:highlight w:val="none"/>
        </w:rPr>
        <w:t>、</w:t>
      </w:r>
      <w:r>
        <w:rPr>
          <w:rFonts w:ascii="Times New Roman"/>
          <w:color w:val="auto"/>
          <w:highlight w:val="none"/>
        </w:rPr>
        <w:t>≥20位的50mL坩埚架 3套</w:t>
      </w:r>
      <w:r>
        <w:rPr>
          <w:rFonts w:hint="eastAsia" w:ascii="Times New Roman"/>
          <w:color w:val="auto"/>
          <w:highlight w:val="none"/>
        </w:rPr>
        <w:t>、</w:t>
      </w:r>
      <w:r>
        <w:rPr>
          <w:rFonts w:ascii="Times New Roman"/>
          <w:color w:val="auto"/>
          <w:highlight w:val="none"/>
        </w:rPr>
        <w:t>智能工作站软件 1套</w:t>
      </w:r>
      <w:r>
        <w:rPr>
          <w:rFonts w:hint="eastAsia" w:ascii="Times New Roman"/>
          <w:color w:val="auto"/>
          <w:highlight w:val="none"/>
        </w:rPr>
        <w:t>；</w:t>
      </w:r>
    </w:p>
    <w:p>
      <w:pPr>
        <w:pStyle w:val="28"/>
        <w:spacing w:line="440" w:lineRule="exact"/>
        <w:rPr>
          <w:rFonts w:ascii="Times New Roman"/>
          <w:color w:val="auto"/>
          <w:highlight w:val="none"/>
        </w:rPr>
      </w:pPr>
      <w:r>
        <w:rPr>
          <w:rFonts w:ascii="Times New Roman"/>
          <w:color w:val="auto"/>
          <w:highlight w:val="none"/>
        </w:rPr>
        <w:t>4.2 数据处理系统1套：需满足仪器控制软件使用要求，支持日后产品软件升级；屏幕尺寸</w:t>
      </w:r>
      <w:r>
        <w:rPr>
          <w:rFonts w:hint="eastAsia" w:ascii="Times New Roman"/>
          <w:color w:val="auto"/>
          <w:highlight w:val="none"/>
        </w:rPr>
        <w:t>：</w:t>
      </w:r>
      <w:r>
        <w:rPr>
          <w:rFonts w:ascii="Times New Roman"/>
          <w:color w:val="auto"/>
          <w:highlight w:val="none"/>
        </w:rPr>
        <w:t xml:space="preserve"> ≥24英寸；CPU： 英特尔酷睿 i7；显卡类型： 独立显卡；显存容量：8GB；固态硬盘： 1TB；内存容量： 16GB；光驱类型： 有光驱；操作系统： 与软件匹配的最高版本；主流品牌激光打印装置。</w:t>
      </w:r>
    </w:p>
    <w:p>
      <w:pPr>
        <w:adjustRightInd w:val="0"/>
        <w:snapToGrid w:val="0"/>
        <w:spacing w:line="440" w:lineRule="exact"/>
        <w:rPr>
          <w:b/>
          <w:color w:val="auto"/>
          <w:sz w:val="24"/>
          <w:highlight w:val="none"/>
        </w:rPr>
      </w:pPr>
      <w:r>
        <w:rPr>
          <w:b/>
          <w:color w:val="auto"/>
          <w:sz w:val="24"/>
          <w:highlight w:val="none"/>
        </w:rPr>
        <w:t>5.技术服务</w:t>
      </w:r>
    </w:p>
    <w:p>
      <w:pPr>
        <w:pStyle w:val="28"/>
        <w:spacing w:line="440" w:lineRule="exact"/>
        <w:rPr>
          <w:rFonts w:ascii="Times New Roman"/>
          <w:color w:val="auto"/>
          <w:highlight w:val="none"/>
        </w:rPr>
      </w:pPr>
      <w:r>
        <w:rPr>
          <w:rFonts w:ascii="Times New Roman"/>
          <w:color w:val="auto"/>
          <w:highlight w:val="none"/>
        </w:rPr>
        <w:t>5.1保证产品为全新原厂设备。</w:t>
      </w:r>
    </w:p>
    <w:p>
      <w:pPr>
        <w:pStyle w:val="28"/>
        <w:spacing w:line="440" w:lineRule="exact"/>
        <w:rPr>
          <w:rFonts w:ascii="Times New Roman"/>
          <w:color w:val="auto"/>
          <w:highlight w:val="none"/>
        </w:rPr>
      </w:pPr>
      <w:r>
        <w:rPr>
          <w:rFonts w:ascii="Times New Roman"/>
          <w:color w:val="auto"/>
          <w:highlight w:val="none"/>
        </w:rPr>
        <w:t>5.2保修服务：自验收合格起，厂家向用户提供至少</w:t>
      </w:r>
      <w:r>
        <w:rPr>
          <w:rFonts w:hint="eastAsia" w:ascii="Times New Roman"/>
          <w:color w:val="auto"/>
          <w:highlight w:val="none"/>
        </w:rPr>
        <w:t>1</w:t>
      </w:r>
      <w:r>
        <w:rPr>
          <w:rFonts w:ascii="Times New Roman"/>
          <w:color w:val="auto"/>
          <w:highlight w:val="none"/>
        </w:rPr>
        <w:t>年的免费保修服务。保修期内所有服务免费，一切配件、耗材免费到场更换。</w:t>
      </w:r>
      <w:bookmarkStart w:id="155" w:name="_Hlk136475319"/>
      <w:r>
        <w:rPr>
          <w:rFonts w:ascii="Times New Roman"/>
          <w:color w:val="auto"/>
          <w:highlight w:val="none"/>
        </w:rPr>
        <w:t>保修期外，能更及时地为用户提供备品备件。</w:t>
      </w:r>
    </w:p>
    <w:bookmarkEnd w:id="155"/>
    <w:p>
      <w:pPr>
        <w:pStyle w:val="28"/>
        <w:spacing w:line="440" w:lineRule="exact"/>
        <w:rPr>
          <w:rFonts w:ascii="Times New Roman"/>
          <w:color w:val="auto"/>
          <w:highlight w:val="none"/>
        </w:rPr>
      </w:pPr>
      <w:r>
        <w:rPr>
          <w:rFonts w:ascii="Times New Roman"/>
          <w:color w:val="auto"/>
          <w:highlight w:val="none"/>
        </w:rPr>
        <w:t>5.3仪器安装验收：合同签订后60天内到货；厂家技术人员到现场安装、调试仪器，进行操作试验，直至运行正常并验收确认。</w:t>
      </w:r>
    </w:p>
    <w:p>
      <w:pPr>
        <w:pStyle w:val="28"/>
        <w:spacing w:line="440" w:lineRule="exact"/>
        <w:rPr>
          <w:rFonts w:ascii="Times New Roman"/>
          <w:color w:val="auto"/>
          <w:highlight w:val="none"/>
        </w:rPr>
      </w:pPr>
      <w:r>
        <w:rPr>
          <w:rFonts w:ascii="Times New Roman"/>
          <w:color w:val="auto"/>
          <w:highlight w:val="none"/>
        </w:rPr>
        <w:t>5.4质量及验收标准：技术指标符合买方要求和厂家规定的出厂要求。如未通过验收，应视情节更换部件或主机，直至退货。</w:t>
      </w:r>
    </w:p>
    <w:p>
      <w:pPr>
        <w:pStyle w:val="28"/>
        <w:spacing w:line="440" w:lineRule="exact"/>
        <w:rPr>
          <w:rFonts w:ascii="Times New Roman"/>
          <w:color w:val="auto"/>
          <w:highlight w:val="none"/>
        </w:rPr>
      </w:pPr>
      <w:r>
        <w:rPr>
          <w:rFonts w:ascii="Times New Roman"/>
          <w:color w:val="auto"/>
          <w:highlight w:val="none"/>
        </w:rPr>
        <w:t>5.5培训：仪器安装现场对2名以上仪器操作人员提供免费的上机操作及日常维护培训，至使用者会操作、使用仪器为止，除仪器中文使用说明书外，应提供安装、使用技术光碟等，便于后期学习维护。</w:t>
      </w:r>
    </w:p>
    <w:p>
      <w:pPr>
        <w:pStyle w:val="28"/>
        <w:spacing w:line="440" w:lineRule="exact"/>
        <w:rPr>
          <w:rFonts w:ascii="Times New Roman"/>
          <w:color w:val="auto"/>
          <w:highlight w:val="none"/>
        </w:rPr>
      </w:pPr>
      <w:r>
        <w:rPr>
          <w:rFonts w:ascii="Times New Roman"/>
          <w:color w:val="auto"/>
          <w:highlight w:val="none"/>
        </w:rPr>
        <w:t>5.6制造厂家应保证用户能得到快捷、完善的售后服务；服务响应时间不大于24小时，故障可以在48小时内到现场维修。</w:t>
      </w:r>
    </w:p>
    <w:p>
      <w:pPr>
        <w:spacing w:line="400" w:lineRule="exact"/>
        <w:rPr>
          <w:color w:val="auto"/>
          <w:highlight w:val="none"/>
        </w:rPr>
      </w:pPr>
      <w:r>
        <w:rPr>
          <w:color w:val="auto"/>
          <w:sz w:val="24"/>
          <w:highlight w:val="none"/>
        </w:rPr>
        <w:t>备注：</w:t>
      </w:r>
      <w:r>
        <w:rPr>
          <w:color w:val="auto"/>
          <w:sz w:val="24"/>
          <w:highlight w:val="none"/>
          <w:lang w:val="zh-CN"/>
        </w:rPr>
        <w:t>带“*”号的为必须满足指标，与技术性能指标一起</w:t>
      </w:r>
      <w:r>
        <w:rPr>
          <w:rFonts w:hint="eastAsia"/>
          <w:color w:val="auto"/>
          <w:sz w:val="24"/>
          <w:highlight w:val="none"/>
          <w:lang w:val="zh-CN"/>
        </w:rPr>
        <w:t>作</w:t>
      </w:r>
      <w:r>
        <w:rPr>
          <w:color w:val="auto"/>
          <w:sz w:val="24"/>
          <w:highlight w:val="none"/>
          <w:lang w:val="zh-CN"/>
        </w:rPr>
        <w:t>为验收指标。</w:t>
      </w:r>
      <w:r>
        <w:rPr>
          <w:color w:val="auto"/>
          <w:sz w:val="24"/>
          <w:highlight w:val="none"/>
        </w:rPr>
        <w:t>验收时须提供</w:t>
      </w:r>
      <w:r>
        <w:rPr>
          <w:rFonts w:hint="eastAsia"/>
          <w:color w:val="auto"/>
          <w:sz w:val="24"/>
          <w:highlight w:val="none"/>
        </w:rPr>
        <w:t>相关</w:t>
      </w:r>
      <w:r>
        <w:rPr>
          <w:color w:val="auto"/>
          <w:sz w:val="24"/>
          <w:highlight w:val="none"/>
        </w:rPr>
        <w:t>技术材料。</w:t>
      </w:r>
    </w:p>
    <w:p>
      <w:pPr>
        <w:pStyle w:val="60"/>
        <w:numPr>
          <w:ilvl w:val="0"/>
          <w:numId w:val="15"/>
        </w:numPr>
        <w:spacing w:line="440" w:lineRule="exact"/>
        <w:ind w:leftChars="0" w:firstLineChars="0"/>
        <w:rPr>
          <w:color w:val="auto"/>
          <w:highlight w:val="none"/>
        </w:rPr>
      </w:pPr>
      <w:r>
        <w:rPr>
          <w:rFonts w:hint="eastAsia"/>
          <w:color w:val="auto"/>
          <w:highlight w:val="none"/>
        </w:rPr>
        <w:t>双光束紫外可见分光光度计</w:t>
      </w:r>
    </w:p>
    <w:p>
      <w:pPr>
        <w:widowControl/>
        <w:autoSpaceDE w:val="0"/>
        <w:autoSpaceDN w:val="0"/>
        <w:snapToGrid w:val="0"/>
        <w:spacing w:line="440" w:lineRule="exact"/>
        <w:rPr>
          <w:b/>
          <w:color w:val="auto"/>
          <w:kern w:val="0"/>
          <w:sz w:val="24"/>
          <w:highlight w:val="none"/>
        </w:rPr>
      </w:pPr>
      <w:r>
        <w:rPr>
          <w:b/>
          <w:color w:val="auto"/>
          <w:kern w:val="0"/>
          <w:sz w:val="24"/>
          <w:highlight w:val="none"/>
        </w:rPr>
        <w:t>1.设备用途</w:t>
      </w:r>
    </w:p>
    <w:p>
      <w:pPr>
        <w:spacing w:line="440" w:lineRule="exact"/>
        <w:rPr>
          <w:color w:val="auto"/>
          <w:sz w:val="24"/>
          <w:highlight w:val="none"/>
          <w:lang w:val="zh-CN"/>
        </w:rPr>
      </w:pPr>
      <w:r>
        <w:rPr>
          <w:color w:val="auto"/>
          <w:sz w:val="24"/>
          <w:highlight w:val="none"/>
          <w:lang w:val="zh-CN"/>
        </w:rPr>
        <w:t>主要用于紫外可见光区域内对物质进行定性、定量分析。</w:t>
      </w:r>
    </w:p>
    <w:p>
      <w:pPr>
        <w:widowControl/>
        <w:shd w:val="clear" w:color="auto" w:fill="FFFFFF"/>
        <w:snapToGrid w:val="0"/>
        <w:spacing w:line="440" w:lineRule="exact"/>
        <w:contextualSpacing/>
        <w:rPr>
          <w:b/>
          <w:bCs/>
          <w:color w:val="auto"/>
          <w:sz w:val="24"/>
          <w:highlight w:val="none"/>
        </w:rPr>
      </w:pPr>
      <w:bookmarkStart w:id="156" w:name="_Hlk136788734"/>
      <w:r>
        <w:rPr>
          <w:b/>
          <w:bCs/>
          <w:color w:val="auto"/>
          <w:sz w:val="24"/>
          <w:highlight w:val="none"/>
        </w:rPr>
        <w:t>2.工作环境</w:t>
      </w:r>
    </w:p>
    <w:p>
      <w:pPr>
        <w:spacing w:line="440" w:lineRule="exact"/>
        <w:rPr>
          <w:color w:val="auto"/>
          <w:sz w:val="24"/>
          <w:highlight w:val="none"/>
          <w:lang w:val="zh-CN"/>
        </w:rPr>
      </w:pPr>
      <w:r>
        <w:rPr>
          <w:color w:val="auto"/>
          <w:sz w:val="24"/>
          <w:highlight w:val="none"/>
          <w:lang w:val="zh-CN"/>
        </w:rPr>
        <w:t>2.1 电源电压：220V±5%，50Hz</w:t>
      </w:r>
    </w:p>
    <w:p>
      <w:pPr>
        <w:spacing w:line="440" w:lineRule="exact"/>
        <w:rPr>
          <w:color w:val="auto"/>
          <w:sz w:val="24"/>
          <w:highlight w:val="none"/>
          <w:lang w:val="zh-CN"/>
        </w:rPr>
      </w:pPr>
      <w:r>
        <w:rPr>
          <w:color w:val="auto"/>
          <w:sz w:val="24"/>
          <w:highlight w:val="none"/>
          <w:lang w:val="zh-CN"/>
        </w:rPr>
        <w:t>2.2 环境温度：0℃-35℃；</w:t>
      </w:r>
    </w:p>
    <w:p>
      <w:pPr>
        <w:spacing w:line="440" w:lineRule="exact"/>
        <w:rPr>
          <w:color w:val="auto"/>
          <w:sz w:val="24"/>
          <w:highlight w:val="none"/>
          <w:lang w:val="zh-CN"/>
        </w:rPr>
      </w:pPr>
      <w:r>
        <w:rPr>
          <w:color w:val="auto"/>
          <w:sz w:val="24"/>
          <w:highlight w:val="none"/>
          <w:lang w:val="zh-CN"/>
        </w:rPr>
        <w:t>2.3 相对湿度：≤80%。</w:t>
      </w:r>
    </w:p>
    <w:p>
      <w:pPr>
        <w:widowControl/>
        <w:shd w:val="clear" w:color="auto" w:fill="FFFFFF"/>
        <w:snapToGrid w:val="0"/>
        <w:spacing w:line="440" w:lineRule="exact"/>
        <w:contextualSpacing/>
        <w:rPr>
          <w:b/>
          <w:bCs/>
          <w:color w:val="auto"/>
          <w:sz w:val="24"/>
          <w:highlight w:val="none"/>
        </w:rPr>
      </w:pPr>
      <w:bookmarkStart w:id="157" w:name="_Hlk136788934"/>
      <w:r>
        <w:rPr>
          <w:b/>
          <w:bCs/>
          <w:color w:val="auto"/>
          <w:sz w:val="24"/>
          <w:highlight w:val="none"/>
        </w:rPr>
        <w:t>3.技术要求</w:t>
      </w:r>
    </w:p>
    <w:bookmarkEnd w:id="156"/>
    <w:bookmarkEnd w:id="157"/>
    <w:p>
      <w:pPr>
        <w:widowControl/>
        <w:tabs>
          <w:tab w:val="left" w:pos="312"/>
        </w:tabs>
        <w:autoSpaceDE w:val="0"/>
        <w:autoSpaceDN w:val="0"/>
        <w:snapToGrid w:val="0"/>
        <w:spacing w:line="440" w:lineRule="exact"/>
        <w:contextualSpacing/>
        <w:rPr>
          <w:b/>
          <w:color w:val="auto"/>
          <w:kern w:val="0"/>
          <w:sz w:val="24"/>
          <w:highlight w:val="none"/>
        </w:rPr>
      </w:pPr>
      <w:r>
        <w:rPr>
          <w:b/>
          <w:color w:val="auto"/>
          <w:kern w:val="0"/>
          <w:sz w:val="24"/>
          <w:highlight w:val="none"/>
        </w:rPr>
        <w:t>3.1性能要求</w:t>
      </w:r>
    </w:p>
    <w:p>
      <w:pPr>
        <w:spacing w:line="440" w:lineRule="exact"/>
        <w:rPr>
          <w:color w:val="auto"/>
          <w:sz w:val="24"/>
          <w:highlight w:val="none"/>
          <w:lang w:val="zh-CN"/>
        </w:rPr>
      </w:pPr>
      <w:r>
        <w:rPr>
          <w:color w:val="auto"/>
          <w:sz w:val="24"/>
          <w:highlight w:val="none"/>
          <w:lang w:val="zh-CN"/>
        </w:rPr>
        <w:t>3.1.1 具有扫描功能，能够显示三维图谱。</w:t>
      </w:r>
    </w:p>
    <w:p>
      <w:pPr>
        <w:spacing w:line="440" w:lineRule="exact"/>
        <w:rPr>
          <w:color w:val="auto"/>
          <w:sz w:val="24"/>
          <w:highlight w:val="none"/>
          <w:lang w:val="zh-CN"/>
        </w:rPr>
      </w:pPr>
      <w:r>
        <w:rPr>
          <w:color w:val="auto"/>
          <w:sz w:val="24"/>
          <w:highlight w:val="none"/>
          <w:lang w:val="zh-CN"/>
        </w:rPr>
        <w:t>3.1.2 主机可采用电脑控制，可打印或输出数据，可与Lims系统连接。</w:t>
      </w:r>
    </w:p>
    <w:p>
      <w:pPr>
        <w:spacing w:line="440" w:lineRule="exact"/>
        <w:rPr>
          <w:color w:val="auto"/>
          <w:sz w:val="24"/>
          <w:highlight w:val="none"/>
          <w:lang w:val="zh-CN"/>
        </w:rPr>
      </w:pPr>
      <w:r>
        <w:rPr>
          <w:color w:val="auto"/>
          <w:sz w:val="24"/>
          <w:highlight w:val="none"/>
          <w:lang w:val="zh-CN"/>
        </w:rPr>
        <w:t>3.1.3 具有自动进样器连接功能，后期增配自动进样器后可实现自动化测试，实现软件反控。</w:t>
      </w:r>
    </w:p>
    <w:p>
      <w:pPr>
        <w:widowControl/>
        <w:autoSpaceDE w:val="0"/>
        <w:autoSpaceDN w:val="0"/>
        <w:snapToGrid w:val="0"/>
        <w:spacing w:line="440" w:lineRule="exact"/>
        <w:rPr>
          <w:b/>
          <w:color w:val="auto"/>
          <w:kern w:val="0"/>
          <w:sz w:val="24"/>
          <w:highlight w:val="none"/>
        </w:rPr>
      </w:pPr>
      <w:r>
        <w:rPr>
          <w:b/>
          <w:color w:val="auto"/>
          <w:kern w:val="0"/>
          <w:sz w:val="24"/>
          <w:highlight w:val="none"/>
        </w:rPr>
        <w:t>3.2技术指标</w:t>
      </w:r>
    </w:p>
    <w:p>
      <w:pPr>
        <w:spacing w:line="440" w:lineRule="exact"/>
        <w:rPr>
          <w:color w:val="auto"/>
          <w:sz w:val="24"/>
          <w:highlight w:val="none"/>
          <w:lang w:val="zh-CN"/>
        </w:rPr>
      </w:pPr>
      <w:r>
        <w:rPr>
          <w:rFonts w:hint="eastAsia"/>
          <w:color w:val="auto"/>
          <w:sz w:val="24"/>
          <w:highlight w:val="none"/>
        </w:rPr>
        <w:t>★</w:t>
      </w:r>
      <w:r>
        <w:rPr>
          <w:color w:val="auto"/>
          <w:sz w:val="24"/>
          <w:highlight w:val="none"/>
          <w:lang w:val="zh-CN"/>
        </w:rPr>
        <w:t>3.2.1 测光方式：双光束</w:t>
      </w:r>
      <w:r>
        <w:rPr>
          <w:rFonts w:hint="eastAsia"/>
          <w:color w:val="auto"/>
          <w:sz w:val="24"/>
          <w:highlight w:val="none"/>
          <w:lang w:val="zh-CN"/>
        </w:rPr>
        <w:t>；</w:t>
      </w:r>
    </w:p>
    <w:p>
      <w:pPr>
        <w:spacing w:line="440" w:lineRule="exact"/>
        <w:rPr>
          <w:color w:val="auto"/>
          <w:sz w:val="24"/>
          <w:highlight w:val="none"/>
          <w:lang w:val="zh-CN"/>
        </w:rPr>
      </w:pPr>
      <w:r>
        <w:rPr>
          <w:color w:val="auto"/>
          <w:sz w:val="24"/>
          <w:highlight w:val="none"/>
          <w:lang w:val="zh-CN"/>
        </w:rPr>
        <w:t>3.2.2 光源：氘灯&amp;钨灯</w:t>
      </w:r>
      <w:r>
        <w:rPr>
          <w:rFonts w:hint="eastAsia"/>
          <w:color w:val="auto"/>
          <w:sz w:val="24"/>
          <w:highlight w:val="none"/>
          <w:lang w:val="zh-CN"/>
        </w:rPr>
        <w:t>；</w:t>
      </w:r>
    </w:p>
    <w:p>
      <w:pPr>
        <w:spacing w:line="440" w:lineRule="exact"/>
        <w:rPr>
          <w:color w:val="auto"/>
          <w:sz w:val="24"/>
          <w:highlight w:val="none"/>
          <w:lang w:val="zh-CN"/>
        </w:rPr>
      </w:pPr>
      <w:r>
        <w:rPr>
          <w:color w:val="auto"/>
          <w:sz w:val="24"/>
          <w:highlight w:val="none"/>
          <w:lang w:val="zh-CN"/>
        </w:rPr>
        <w:t>3.2.3 波长范围：≥190nm～900nm</w:t>
      </w:r>
      <w:r>
        <w:rPr>
          <w:rFonts w:hint="eastAsia"/>
          <w:color w:val="auto"/>
          <w:sz w:val="24"/>
          <w:highlight w:val="none"/>
          <w:lang w:val="zh-CN"/>
        </w:rPr>
        <w:t>；</w:t>
      </w:r>
    </w:p>
    <w:p>
      <w:pPr>
        <w:spacing w:line="440" w:lineRule="exact"/>
        <w:rPr>
          <w:color w:val="auto"/>
          <w:sz w:val="24"/>
          <w:highlight w:val="none"/>
          <w:lang w:val="zh-CN"/>
        </w:rPr>
      </w:pPr>
      <w:r>
        <w:rPr>
          <w:color w:val="auto"/>
          <w:sz w:val="24"/>
          <w:highlight w:val="none"/>
          <w:lang w:val="zh-CN"/>
        </w:rPr>
        <w:t>3.2.4 波长准确性：在±0.1nm之内</w:t>
      </w:r>
      <w:r>
        <w:rPr>
          <w:rFonts w:hint="eastAsia"/>
          <w:color w:val="auto"/>
          <w:sz w:val="24"/>
          <w:highlight w:val="none"/>
          <w:lang w:val="zh-CN"/>
        </w:rPr>
        <w:t>；</w:t>
      </w:r>
    </w:p>
    <w:p>
      <w:pPr>
        <w:spacing w:line="440" w:lineRule="exact"/>
        <w:rPr>
          <w:color w:val="auto"/>
          <w:sz w:val="24"/>
          <w:highlight w:val="none"/>
          <w:lang w:val="zh-CN"/>
        </w:rPr>
      </w:pPr>
      <w:r>
        <w:rPr>
          <w:color w:val="auto"/>
          <w:sz w:val="24"/>
          <w:highlight w:val="none"/>
          <w:lang w:val="zh-CN"/>
        </w:rPr>
        <w:t>3.2.5 波长重复性：≤0.05nm</w:t>
      </w:r>
      <w:r>
        <w:rPr>
          <w:rFonts w:hint="eastAsia"/>
          <w:color w:val="auto"/>
          <w:sz w:val="24"/>
          <w:highlight w:val="none"/>
          <w:lang w:val="zh-CN"/>
        </w:rPr>
        <w:t>；</w:t>
      </w:r>
    </w:p>
    <w:p>
      <w:pPr>
        <w:spacing w:line="440" w:lineRule="exact"/>
        <w:rPr>
          <w:color w:val="auto"/>
          <w:sz w:val="24"/>
          <w:highlight w:val="none"/>
          <w:lang w:val="zh-CN"/>
        </w:rPr>
      </w:pPr>
      <w:r>
        <w:rPr>
          <w:color w:val="auto"/>
          <w:sz w:val="24"/>
          <w:highlight w:val="none"/>
          <w:lang w:val="zh-CN"/>
        </w:rPr>
        <w:t>3.2.6 光谱带宽：0.1nm/1.0nm/2.0nm/5.0nm等多档可调</w:t>
      </w:r>
      <w:r>
        <w:rPr>
          <w:rFonts w:hint="eastAsia"/>
          <w:color w:val="auto"/>
          <w:sz w:val="24"/>
          <w:highlight w:val="none"/>
          <w:lang w:val="zh-CN"/>
        </w:rPr>
        <w:t>；</w:t>
      </w:r>
    </w:p>
    <w:p>
      <w:pPr>
        <w:spacing w:line="440" w:lineRule="exact"/>
        <w:rPr>
          <w:color w:val="auto"/>
          <w:sz w:val="24"/>
          <w:highlight w:val="none"/>
          <w:lang w:val="zh-CN"/>
        </w:rPr>
      </w:pPr>
      <w:r>
        <w:rPr>
          <w:color w:val="auto"/>
          <w:sz w:val="24"/>
          <w:highlight w:val="none"/>
          <w:lang w:val="zh-CN"/>
        </w:rPr>
        <w:t>3.2.7 吸光度范围：-6.0Abs～6.0Abs</w:t>
      </w:r>
      <w:r>
        <w:rPr>
          <w:rFonts w:hint="eastAsia"/>
          <w:color w:val="auto"/>
          <w:sz w:val="24"/>
          <w:highlight w:val="none"/>
          <w:lang w:val="zh-CN"/>
        </w:rPr>
        <w:t>；</w:t>
      </w:r>
    </w:p>
    <w:p>
      <w:pPr>
        <w:spacing w:line="440" w:lineRule="exact"/>
        <w:rPr>
          <w:color w:val="auto"/>
          <w:sz w:val="24"/>
          <w:highlight w:val="none"/>
          <w:lang w:val="zh-CN"/>
        </w:rPr>
      </w:pPr>
      <w:r>
        <w:rPr>
          <w:color w:val="auto"/>
          <w:sz w:val="24"/>
          <w:highlight w:val="none"/>
          <w:lang w:val="zh-CN"/>
        </w:rPr>
        <w:t>*3.2.8 光度准确性：在±0.002Abs （0～0.5 Abs）或±0.3%T之内</w:t>
      </w:r>
      <w:r>
        <w:rPr>
          <w:rFonts w:hint="eastAsia"/>
          <w:color w:val="auto"/>
          <w:sz w:val="24"/>
          <w:highlight w:val="none"/>
          <w:lang w:val="zh-CN"/>
        </w:rPr>
        <w:t>；</w:t>
      </w:r>
    </w:p>
    <w:p>
      <w:pPr>
        <w:spacing w:line="440" w:lineRule="exact"/>
        <w:rPr>
          <w:color w:val="auto"/>
          <w:sz w:val="24"/>
          <w:highlight w:val="none"/>
          <w:lang w:val="zh-CN"/>
        </w:rPr>
      </w:pPr>
      <w:r>
        <w:rPr>
          <w:color w:val="auto"/>
          <w:sz w:val="24"/>
          <w:highlight w:val="none"/>
          <w:lang w:val="zh-CN"/>
        </w:rPr>
        <w:t>*3.2.9 光度重复性：≤0.001Abs (0～0.5 Abs) 或≤0.15%T</w:t>
      </w:r>
      <w:r>
        <w:rPr>
          <w:rFonts w:hint="eastAsia"/>
          <w:color w:val="auto"/>
          <w:sz w:val="24"/>
          <w:highlight w:val="none"/>
          <w:lang w:val="zh-CN"/>
        </w:rPr>
        <w:t>；</w:t>
      </w:r>
    </w:p>
    <w:p>
      <w:pPr>
        <w:spacing w:line="440" w:lineRule="exact"/>
        <w:rPr>
          <w:color w:val="auto"/>
          <w:sz w:val="24"/>
          <w:highlight w:val="none"/>
          <w:lang w:val="zh-CN"/>
        </w:rPr>
      </w:pPr>
      <w:r>
        <w:rPr>
          <w:color w:val="auto"/>
          <w:sz w:val="24"/>
          <w:highlight w:val="none"/>
          <w:lang w:val="zh-CN"/>
        </w:rPr>
        <w:t>*3.2.10 杂散光：≤0.03 %T（220nm，NaI），≤0.05%T（360nm，NaNO2）</w:t>
      </w:r>
      <w:r>
        <w:rPr>
          <w:rFonts w:hint="eastAsia"/>
          <w:color w:val="auto"/>
          <w:sz w:val="24"/>
          <w:highlight w:val="none"/>
          <w:lang w:val="zh-CN"/>
        </w:rPr>
        <w:t>；</w:t>
      </w:r>
    </w:p>
    <w:p>
      <w:pPr>
        <w:spacing w:line="440" w:lineRule="exact"/>
        <w:rPr>
          <w:color w:val="auto"/>
          <w:sz w:val="24"/>
          <w:highlight w:val="none"/>
          <w:lang w:val="zh-CN"/>
        </w:rPr>
      </w:pPr>
      <w:r>
        <w:rPr>
          <w:color w:val="auto"/>
          <w:sz w:val="24"/>
          <w:highlight w:val="none"/>
          <w:lang w:val="zh-CN"/>
        </w:rPr>
        <w:t>*3.2.11 漂移：在±0.0005Abs/h（或0.2%/h）之内（500 nm处预热2h后）</w:t>
      </w:r>
      <w:r>
        <w:rPr>
          <w:rFonts w:hint="eastAsia"/>
          <w:color w:val="auto"/>
          <w:sz w:val="24"/>
          <w:highlight w:val="none"/>
          <w:lang w:val="zh-CN"/>
        </w:rPr>
        <w:t>；</w:t>
      </w:r>
    </w:p>
    <w:p>
      <w:pPr>
        <w:spacing w:line="440" w:lineRule="exact"/>
        <w:rPr>
          <w:color w:val="auto"/>
          <w:sz w:val="24"/>
          <w:highlight w:val="none"/>
          <w:lang w:val="zh-CN"/>
        </w:rPr>
      </w:pPr>
      <w:r>
        <w:rPr>
          <w:color w:val="auto"/>
          <w:sz w:val="24"/>
          <w:highlight w:val="none"/>
          <w:lang w:val="zh-CN"/>
        </w:rPr>
        <w:t>3.2.12 噪声：在±0.0002Abs（或±0.2%）之内</w:t>
      </w:r>
      <w:r>
        <w:rPr>
          <w:rFonts w:hint="eastAsia"/>
          <w:color w:val="auto"/>
          <w:sz w:val="24"/>
          <w:highlight w:val="none"/>
          <w:lang w:val="zh-CN"/>
        </w:rPr>
        <w:t>；</w:t>
      </w:r>
    </w:p>
    <w:p>
      <w:pPr>
        <w:spacing w:line="440" w:lineRule="exact"/>
        <w:rPr>
          <w:color w:val="auto"/>
          <w:sz w:val="24"/>
          <w:highlight w:val="none"/>
          <w:lang w:val="zh-CN"/>
        </w:rPr>
      </w:pPr>
      <w:r>
        <w:rPr>
          <w:color w:val="auto"/>
          <w:sz w:val="24"/>
          <w:highlight w:val="none"/>
          <w:lang w:val="zh-CN"/>
        </w:rPr>
        <w:t>3.2.13 基线平直度：在±0.001Abs之内</w:t>
      </w:r>
      <w:r>
        <w:rPr>
          <w:rFonts w:hint="eastAsia"/>
          <w:color w:val="auto"/>
          <w:sz w:val="24"/>
          <w:highlight w:val="none"/>
          <w:lang w:val="zh-CN"/>
        </w:rPr>
        <w:t>；</w:t>
      </w:r>
    </w:p>
    <w:p>
      <w:pPr>
        <w:spacing w:line="440" w:lineRule="exact"/>
        <w:rPr>
          <w:color w:val="auto"/>
          <w:sz w:val="24"/>
          <w:highlight w:val="none"/>
          <w:lang w:val="zh-CN"/>
        </w:rPr>
      </w:pPr>
      <w:r>
        <w:rPr>
          <w:color w:val="auto"/>
          <w:sz w:val="24"/>
          <w:highlight w:val="none"/>
          <w:lang w:val="zh-CN"/>
        </w:rPr>
        <w:t>3.2.14 检测器：硅光二极管或原装光电倍增管</w:t>
      </w:r>
      <w:r>
        <w:rPr>
          <w:rFonts w:hint="eastAsia"/>
          <w:color w:val="auto"/>
          <w:sz w:val="24"/>
          <w:highlight w:val="none"/>
          <w:lang w:val="zh-CN"/>
        </w:rPr>
        <w:t>；</w:t>
      </w:r>
    </w:p>
    <w:p>
      <w:pPr>
        <w:spacing w:line="440" w:lineRule="exact"/>
        <w:rPr>
          <w:color w:val="auto"/>
          <w:sz w:val="24"/>
          <w:highlight w:val="none"/>
          <w:lang w:val="zh-CN"/>
        </w:rPr>
      </w:pPr>
      <w:r>
        <w:rPr>
          <w:color w:val="auto"/>
          <w:sz w:val="24"/>
          <w:highlight w:val="none"/>
          <w:lang w:val="zh-CN"/>
        </w:rPr>
        <w:t>*3.2.15 样品池架：自动五联池（10mm-～100mm比色皿可用）</w:t>
      </w:r>
      <w:r>
        <w:rPr>
          <w:rFonts w:hint="eastAsia"/>
          <w:color w:val="auto"/>
          <w:sz w:val="24"/>
          <w:highlight w:val="none"/>
          <w:lang w:val="zh-CN"/>
        </w:rPr>
        <w:t>；</w:t>
      </w:r>
    </w:p>
    <w:p>
      <w:pPr>
        <w:spacing w:line="440" w:lineRule="exact"/>
        <w:rPr>
          <w:color w:val="auto"/>
          <w:sz w:val="24"/>
          <w:highlight w:val="none"/>
          <w:lang w:val="zh-CN"/>
        </w:rPr>
      </w:pPr>
      <w:r>
        <w:rPr>
          <w:color w:val="auto"/>
          <w:sz w:val="24"/>
          <w:highlight w:val="none"/>
          <w:lang w:val="zh-CN"/>
        </w:rPr>
        <w:t>3.2.16 光度方式：吸光度、透过率、反射率等。</w:t>
      </w:r>
    </w:p>
    <w:p>
      <w:pPr>
        <w:widowControl/>
        <w:autoSpaceDE w:val="0"/>
        <w:autoSpaceDN w:val="0"/>
        <w:snapToGrid w:val="0"/>
        <w:spacing w:line="440" w:lineRule="exact"/>
        <w:rPr>
          <w:b/>
          <w:bCs/>
          <w:color w:val="auto"/>
          <w:kern w:val="0"/>
          <w:sz w:val="24"/>
          <w:highlight w:val="none"/>
        </w:rPr>
      </w:pPr>
      <w:r>
        <w:rPr>
          <w:b/>
          <w:bCs/>
          <w:color w:val="auto"/>
          <w:kern w:val="0"/>
          <w:sz w:val="24"/>
          <w:highlight w:val="none"/>
        </w:rPr>
        <w:t>*4.仪器配置</w:t>
      </w:r>
    </w:p>
    <w:p>
      <w:pPr>
        <w:spacing w:line="440" w:lineRule="exact"/>
        <w:rPr>
          <w:color w:val="auto"/>
          <w:sz w:val="24"/>
          <w:highlight w:val="none"/>
          <w:lang w:val="zh-CN"/>
        </w:rPr>
      </w:pPr>
      <w:r>
        <w:rPr>
          <w:color w:val="auto"/>
          <w:sz w:val="24"/>
          <w:highlight w:val="none"/>
          <w:lang w:val="zh-CN"/>
        </w:rPr>
        <w:t>4.1 双光束紫外可见分光光度计1台。</w:t>
      </w:r>
    </w:p>
    <w:p>
      <w:pPr>
        <w:spacing w:line="440" w:lineRule="exact"/>
        <w:rPr>
          <w:color w:val="auto"/>
          <w:sz w:val="24"/>
          <w:highlight w:val="none"/>
          <w:lang w:val="zh-CN"/>
        </w:rPr>
      </w:pPr>
      <w:r>
        <w:rPr>
          <w:color w:val="auto"/>
          <w:sz w:val="24"/>
          <w:highlight w:val="none"/>
          <w:lang w:val="zh-CN"/>
        </w:rPr>
        <w:t>4.2 自动五联样品池架（10mm-～100mm比色皿可用）1套。</w:t>
      </w:r>
    </w:p>
    <w:p>
      <w:pPr>
        <w:spacing w:line="440" w:lineRule="exact"/>
        <w:rPr>
          <w:color w:val="auto"/>
          <w:sz w:val="24"/>
          <w:highlight w:val="none"/>
          <w:lang w:val="zh-CN"/>
        </w:rPr>
      </w:pPr>
      <w:r>
        <w:rPr>
          <w:color w:val="auto"/>
          <w:sz w:val="24"/>
          <w:highlight w:val="none"/>
          <w:lang w:val="zh-CN"/>
        </w:rPr>
        <w:t>4.3 石英比色皿（10mm及20mm光程）各5套；玻璃比色皿（10mm、20mm及30mm光程）各5套。</w:t>
      </w:r>
    </w:p>
    <w:p>
      <w:pPr>
        <w:pStyle w:val="28"/>
        <w:spacing w:line="440" w:lineRule="exact"/>
        <w:rPr>
          <w:rFonts w:ascii="Times New Roman"/>
          <w:color w:val="auto"/>
          <w:highlight w:val="none"/>
        </w:rPr>
      </w:pPr>
      <w:r>
        <w:rPr>
          <w:rFonts w:ascii="Times New Roman"/>
          <w:color w:val="auto"/>
          <w:highlight w:val="none"/>
        </w:rPr>
        <w:t>4.</w:t>
      </w:r>
      <w:r>
        <w:rPr>
          <w:rFonts w:hint="eastAsia" w:ascii="Times New Roman"/>
          <w:color w:val="auto"/>
          <w:highlight w:val="none"/>
        </w:rPr>
        <w:t>4</w:t>
      </w:r>
      <w:r>
        <w:rPr>
          <w:rFonts w:ascii="Times New Roman"/>
          <w:color w:val="auto"/>
          <w:highlight w:val="none"/>
        </w:rPr>
        <w:t xml:space="preserve"> 数据处理系统1套：需满足仪器控制软件使用要求，支持日后产品软件升级；屏幕尺寸</w:t>
      </w:r>
      <w:r>
        <w:rPr>
          <w:rFonts w:hint="eastAsia" w:ascii="Times New Roman"/>
          <w:color w:val="auto"/>
          <w:highlight w:val="none"/>
        </w:rPr>
        <w:t>：</w:t>
      </w:r>
      <w:r>
        <w:rPr>
          <w:rFonts w:ascii="Times New Roman"/>
          <w:color w:val="auto"/>
          <w:highlight w:val="none"/>
        </w:rPr>
        <w:t xml:space="preserve"> ≥24英寸；CPU： 英特尔酷睿 i7；显卡类型： 独立显卡；显存容量：8GB；固态硬盘： 1TB；内存容量： 16GB；光驱类型： 有光驱；操作系统： 与软件匹配的最高版本；主流品牌激光打印装置。</w:t>
      </w:r>
    </w:p>
    <w:p>
      <w:pPr>
        <w:spacing w:line="440" w:lineRule="exact"/>
        <w:rPr>
          <w:color w:val="auto"/>
          <w:sz w:val="24"/>
          <w:highlight w:val="none"/>
        </w:rPr>
      </w:pPr>
      <w:r>
        <w:rPr>
          <w:color w:val="auto"/>
          <w:sz w:val="24"/>
          <w:highlight w:val="none"/>
        </w:rPr>
        <w:t>4.</w:t>
      </w:r>
      <w:r>
        <w:rPr>
          <w:rFonts w:hint="eastAsia"/>
          <w:color w:val="auto"/>
          <w:sz w:val="24"/>
          <w:highlight w:val="none"/>
        </w:rPr>
        <w:t>5</w:t>
      </w:r>
      <w:r>
        <w:rPr>
          <w:color w:val="auto"/>
          <w:sz w:val="24"/>
          <w:highlight w:val="none"/>
        </w:rPr>
        <w:t xml:space="preserve"> </w:t>
      </w:r>
      <w:r>
        <w:rPr>
          <w:rFonts w:hint="eastAsia"/>
          <w:color w:val="auto"/>
          <w:sz w:val="24"/>
          <w:highlight w:val="none"/>
          <w:lang w:val="zh-CN"/>
        </w:rPr>
        <w:t>便携式数据处理系统</w:t>
      </w:r>
      <w:r>
        <w:rPr>
          <w:color w:val="auto"/>
          <w:sz w:val="24"/>
          <w:highlight w:val="none"/>
        </w:rPr>
        <w:t>1</w:t>
      </w:r>
      <w:r>
        <w:rPr>
          <w:color w:val="auto"/>
          <w:sz w:val="24"/>
          <w:highlight w:val="none"/>
          <w:lang w:val="zh-CN"/>
        </w:rPr>
        <w:t>套</w:t>
      </w:r>
      <w:r>
        <w:rPr>
          <w:color w:val="auto"/>
          <w:sz w:val="24"/>
          <w:highlight w:val="none"/>
        </w:rPr>
        <w:t>：</w:t>
      </w:r>
      <w:r>
        <w:rPr>
          <w:rFonts w:hint="eastAsia"/>
          <w:color w:val="auto"/>
          <w:sz w:val="24"/>
          <w:highlight w:val="none"/>
        </w:rPr>
        <w:t>CPU</w:t>
      </w:r>
      <w:r>
        <w:rPr>
          <w:rFonts w:hint="eastAsia"/>
          <w:color w:val="auto"/>
          <w:sz w:val="24"/>
          <w:highlight w:val="none"/>
          <w:lang w:val="zh-CN"/>
        </w:rPr>
        <w:t>型号</w:t>
      </w:r>
      <w:r>
        <w:rPr>
          <w:rFonts w:hint="eastAsia"/>
          <w:color w:val="auto"/>
          <w:sz w:val="24"/>
          <w:highlight w:val="none"/>
        </w:rPr>
        <w:t xml:space="preserve">：Intel </w:t>
      </w:r>
      <w:r>
        <w:rPr>
          <w:rFonts w:hint="eastAsia"/>
          <w:color w:val="auto"/>
          <w:sz w:val="24"/>
          <w:highlight w:val="none"/>
          <w:lang w:val="zh-CN"/>
        </w:rPr>
        <w:t>酷睿</w:t>
      </w:r>
      <w:r>
        <w:rPr>
          <w:rFonts w:hint="eastAsia"/>
          <w:color w:val="auto"/>
          <w:sz w:val="24"/>
          <w:highlight w:val="none"/>
        </w:rPr>
        <w:t>i7 1255U；</w:t>
      </w:r>
      <w:r>
        <w:rPr>
          <w:rFonts w:hint="eastAsia"/>
          <w:color w:val="auto"/>
          <w:sz w:val="24"/>
          <w:highlight w:val="none"/>
          <w:lang w:val="zh-CN"/>
        </w:rPr>
        <w:t>内存容量</w:t>
      </w:r>
      <w:r>
        <w:rPr>
          <w:rFonts w:hint="eastAsia"/>
          <w:color w:val="auto"/>
          <w:sz w:val="24"/>
          <w:highlight w:val="none"/>
        </w:rPr>
        <w:t>：16GB；</w:t>
      </w:r>
      <w:r>
        <w:rPr>
          <w:rFonts w:hint="eastAsia"/>
          <w:color w:val="auto"/>
          <w:sz w:val="24"/>
          <w:highlight w:val="none"/>
          <w:lang w:val="zh-CN"/>
        </w:rPr>
        <w:t>硬盘容量</w:t>
      </w:r>
      <w:r>
        <w:rPr>
          <w:rFonts w:hint="eastAsia"/>
          <w:color w:val="auto"/>
          <w:sz w:val="24"/>
          <w:highlight w:val="none"/>
        </w:rPr>
        <w:t>：56GB；</w:t>
      </w:r>
      <w:r>
        <w:rPr>
          <w:rFonts w:hint="eastAsia"/>
          <w:color w:val="auto"/>
          <w:sz w:val="24"/>
          <w:highlight w:val="none"/>
          <w:lang w:val="zh-CN"/>
        </w:rPr>
        <w:t>屏幕尺寸</w:t>
      </w:r>
      <w:r>
        <w:rPr>
          <w:rFonts w:hint="eastAsia"/>
          <w:color w:val="auto"/>
          <w:sz w:val="24"/>
          <w:highlight w:val="none"/>
        </w:rPr>
        <w:t>：13</w:t>
      </w:r>
      <w:r>
        <w:rPr>
          <w:rFonts w:hint="eastAsia"/>
          <w:color w:val="auto"/>
          <w:sz w:val="24"/>
          <w:highlight w:val="none"/>
          <w:lang w:val="zh-CN"/>
        </w:rPr>
        <w:t>英寸</w:t>
      </w:r>
      <w:r>
        <w:rPr>
          <w:rFonts w:hint="eastAsia"/>
          <w:color w:val="auto"/>
          <w:sz w:val="24"/>
          <w:highlight w:val="none"/>
        </w:rPr>
        <w:t>；</w:t>
      </w:r>
      <w:r>
        <w:rPr>
          <w:rFonts w:hint="eastAsia"/>
          <w:color w:val="auto"/>
          <w:sz w:val="24"/>
          <w:highlight w:val="none"/>
          <w:lang w:val="zh-CN"/>
        </w:rPr>
        <w:t>屏幕技术</w:t>
      </w:r>
      <w:r>
        <w:rPr>
          <w:rFonts w:hint="eastAsia"/>
          <w:color w:val="auto"/>
          <w:sz w:val="24"/>
          <w:highlight w:val="none"/>
        </w:rPr>
        <w:t>：PixelSense Flow</w:t>
      </w:r>
      <w:r>
        <w:rPr>
          <w:rFonts w:hint="eastAsia"/>
          <w:color w:val="auto"/>
          <w:sz w:val="24"/>
          <w:highlight w:val="none"/>
          <w:lang w:val="zh-CN"/>
        </w:rPr>
        <w:t>触摸显示屏</w:t>
      </w:r>
      <w:r>
        <w:rPr>
          <w:rFonts w:hint="eastAsia"/>
          <w:color w:val="auto"/>
          <w:sz w:val="24"/>
          <w:highlight w:val="none"/>
        </w:rPr>
        <w:t>，</w:t>
      </w:r>
      <w:r>
        <w:rPr>
          <w:rFonts w:hint="eastAsia"/>
          <w:color w:val="auto"/>
          <w:sz w:val="24"/>
          <w:highlight w:val="none"/>
          <w:lang w:val="zh-CN"/>
        </w:rPr>
        <w:t>自适应色彩调节功能</w:t>
      </w:r>
      <w:r>
        <w:rPr>
          <w:rFonts w:hint="eastAsia"/>
          <w:color w:val="auto"/>
          <w:sz w:val="24"/>
          <w:highlight w:val="none"/>
        </w:rPr>
        <w:t>，</w:t>
      </w:r>
      <w:r>
        <w:rPr>
          <w:rFonts w:hint="eastAsia"/>
          <w:color w:val="auto"/>
          <w:sz w:val="24"/>
          <w:highlight w:val="none"/>
          <w:lang w:val="zh-CN"/>
        </w:rPr>
        <w:t>自动色彩管理</w:t>
      </w:r>
      <w:r>
        <w:rPr>
          <w:rFonts w:hint="eastAsia"/>
          <w:color w:val="auto"/>
          <w:sz w:val="24"/>
          <w:highlight w:val="none"/>
        </w:rPr>
        <w:t>，</w:t>
      </w:r>
      <w:r>
        <w:rPr>
          <w:rFonts w:hint="eastAsia"/>
          <w:color w:val="auto"/>
          <w:sz w:val="24"/>
          <w:highlight w:val="none"/>
          <w:lang w:val="zh-CN"/>
        </w:rPr>
        <w:t>支持</w:t>
      </w:r>
      <w:r>
        <w:rPr>
          <w:rFonts w:hint="eastAsia"/>
          <w:color w:val="auto"/>
          <w:sz w:val="24"/>
          <w:highlight w:val="none"/>
        </w:rPr>
        <w:t>Dolby Vision IQ，</w:t>
      </w:r>
      <w:r>
        <w:rPr>
          <w:rFonts w:hint="eastAsia"/>
          <w:color w:val="auto"/>
          <w:sz w:val="24"/>
          <w:highlight w:val="none"/>
          <w:lang w:val="zh-CN"/>
        </w:rPr>
        <w:t>第</w:t>
      </w:r>
      <w:r>
        <w:rPr>
          <w:rFonts w:hint="eastAsia"/>
          <w:color w:val="auto"/>
          <w:sz w:val="24"/>
          <w:highlight w:val="none"/>
        </w:rPr>
        <w:t>5</w:t>
      </w:r>
      <w:r>
        <w:rPr>
          <w:rFonts w:hint="eastAsia"/>
          <w:color w:val="auto"/>
          <w:sz w:val="24"/>
          <w:highlight w:val="none"/>
          <w:lang w:val="zh-CN"/>
        </w:rPr>
        <w:t>代康宁大猩猩玻璃面板</w:t>
      </w:r>
      <w:r>
        <w:rPr>
          <w:rFonts w:hint="eastAsia"/>
          <w:color w:val="auto"/>
          <w:sz w:val="24"/>
          <w:highlight w:val="none"/>
        </w:rPr>
        <w:t>；</w:t>
      </w:r>
      <w:r>
        <w:rPr>
          <w:rFonts w:hint="eastAsia"/>
          <w:color w:val="auto"/>
          <w:sz w:val="24"/>
          <w:highlight w:val="none"/>
          <w:lang w:val="zh-CN"/>
        </w:rPr>
        <w:t>显卡类型</w:t>
      </w:r>
      <w:r>
        <w:rPr>
          <w:rFonts w:hint="eastAsia"/>
          <w:color w:val="auto"/>
          <w:sz w:val="24"/>
          <w:highlight w:val="none"/>
        </w:rPr>
        <w:t>：</w:t>
      </w:r>
      <w:r>
        <w:rPr>
          <w:rFonts w:hint="eastAsia"/>
          <w:color w:val="auto"/>
          <w:sz w:val="24"/>
          <w:highlight w:val="none"/>
          <w:lang w:val="zh-CN"/>
        </w:rPr>
        <w:t>集成显卡</w:t>
      </w:r>
      <w:r>
        <w:rPr>
          <w:rFonts w:hint="eastAsia"/>
          <w:color w:val="auto"/>
          <w:sz w:val="24"/>
          <w:highlight w:val="none"/>
        </w:rPr>
        <w:t>；</w:t>
      </w:r>
      <w:r>
        <w:rPr>
          <w:rFonts w:hint="eastAsia"/>
          <w:color w:val="auto"/>
          <w:sz w:val="24"/>
          <w:highlight w:val="none"/>
          <w:lang w:val="zh-CN"/>
        </w:rPr>
        <w:t>显卡芯片</w:t>
      </w:r>
      <w:r>
        <w:rPr>
          <w:rFonts w:hint="eastAsia"/>
          <w:color w:val="auto"/>
          <w:sz w:val="24"/>
          <w:highlight w:val="none"/>
        </w:rPr>
        <w:t>：Intel Iris Xe Graphics；</w:t>
      </w:r>
      <w:r>
        <w:rPr>
          <w:rFonts w:hint="eastAsia"/>
          <w:color w:val="auto"/>
          <w:sz w:val="24"/>
          <w:highlight w:val="none"/>
          <w:lang w:val="zh-CN"/>
        </w:rPr>
        <w:t>摄像头</w:t>
      </w:r>
      <w:r>
        <w:rPr>
          <w:rFonts w:hint="eastAsia"/>
          <w:color w:val="auto"/>
          <w:sz w:val="24"/>
          <w:highlight w:val="none"/>
        </w:rPr>
        <w:t>：</w:t>
      </w:r>
      <w:r>
        <w:rPr>
          <w:rFonts w:hint="eastAsia"/>
          <w:color w:val="auto"/>
          <w:sz w:val="24"/>
          <w:highlight w:val="none"/>
          <w:lang w:val="zh-CN"/>
        </w:rPr>
        <w:t>双摄像头</w:t>
      </w:r>
      <w:r>
        <w:rPr>
          <w:rFonts w:hint="eastAsia"/>
          <w:color w:val="auto"/>
          <w:sz w:val="24"/>
          <w:highlight w:val="none"/>
        </w:rPr>
        <w:t>（</w:t>
      </w:r>
      <w:r>
        <w:rPr>
          <w:rFonts w:hint="eastAsia"/>
          <w:color w:val="auto"/>
          <w:sz w:val="24"/>
          <w:highlight w:val="none"/>
          <w:lang w:val="zh-CN"/>
        </w:rPr>
        <w:t>前置</w:t>
      </w:r>
      <w:r>
        <w:rPr>
          <w:rFonts w:hint="eastAsia"/>
          <w:color w:val="auto"/>
          <w:sz w:val="24"/>
          <w:highlight w:val="none"/>
        </w:rPr>
        <w:t>：500</w:t>
      </w:r>
      <w:r>
        <w:rPr>
          <w:rFonts w:hint="eastAsia"/>
          <w:color w:val="auto"/>
          <w:sz w:val="24"/>
          <w:highlight w:val="none"/>
          <w:lang w:val="zh-CN"/>
        </w:rPr>
        <w:t>万像素</w:t>
      </w:r>
      <w:r>
        <w:rPr>
          <w:rFonts w:hint="eastAsia"/>
          <w:color w:val="auto"/>
          <w:sz w:val="24"/>
          <w:highlight w:val="none"/>
        </w:rPr>
        <w:t>1080p IR，</w:t>
      </w:r>
      <w:r>
        <w:rPr>
          <w:rFonts w:hint="eastAsia"/>
          <w:color w:val="auto"/>
          <w:sz w:val="24"/>
          <w:highlight w:val="none"/>
          <w:lang w:val="zh-CN"/>
        </w:rPr>
        <w:t>后置</w:t>
      </w:r>
      <w:r>
        <w:rPr>
          <w:rFonts w:hint="eastAsia"/>
          <w:color w:val="auto"/>
          <w:sz w:val="24"/>
          <w:highlight w:val="none"/>
        </w:rPr>
        <w:t>：1000</w:t>
      </w:r>
      <w:r>
        <w:rPr>
          <w:rFonts w:hint="eastAsia"/>
          <w:color w:val="auto"/>
          <w:sz w:val="24"/>
          <w:highlight w:val="none"/>
          <w:lang w:val="zh-CN"/>
        </w:rPr>
        <w:t>万像素</w:t>
      </w:r>
      <w:r>
        <w:rPr>
          <w:rFonts w:hint="eastAsia"/>
          <w:color w:val="auto"/>
          <w:sz w:val="24"/>
          <w:highlight w:val="none"/>
        </w:rPr>
        <w:t>4K）；</w:t>
      </w:r>
      <w:r>
        <w:rPr>
          <w:rFonts w:hint="eastAsia"/>
          <w:color w:val="auto"/>
          <w:sz w:val="24"/>
          <w:highlight w:val="none"/>
          <w:lang w:val="zh-CN"/>
        </w:rPr>
        <w:t>包装清单</w:t>
      </w:r>
      <w:r>
        <w:rPr>
          <w:rFonts w:hint="eastAsia"/>
          <w:color w:val="auto"/>
          <w:sz w:val="24"/>
          <w:highlight w:val="none"/>
        </w:rPr>
        <w:t>：</w:t>
      </w:r>
      <w:r>
        <w:rPr>
          <w:rFonts w:hint="eastAsia"/>
          <w:color w:val="auto"/>
          <w:sz w:val="24"/>
          <w:highlight w:val="none"/>
          <w:lang w:val="zh-CN"/>
        </w:rPr>
        <w:t>便携式数据处理主机</w:t>
      </w:r>
      <w:r>
        <w:rPr>
          <w:rFonts w:hint="eastAsia"/>
          <w:color w:val="auto"/>
          <w:sz w:val="24"/>
          <w:highlight w:val="none"/>
        </w:rPr>
        <w:t xml:space="preserve"> x</w:t>
      </w:r>
      <w:r>
        <w:rPr>
          <w:rFonts w:hint="eastAsia"/>
          <w:color w:val="auto"/>
          <w:sz w:val="24"/>
          <w:highlight w:val="none"/>
          <w:vertAlign w:val="subscript"/>
        </w:rPr>
        <w:t>1</w:t>
      </w:r>
      <w:r>
        <w:rPr>
          <w:rFonts w:hint="eastAsia"/>
          <w:color w:val="auto"/>
          <w:sz w:val="24"/>
          <w:highlight w:val="none"/>
          <w:lang w:val="zh-CN"/>
        </w:rPr>
        <w:t>电源适配器</w:t>
      </w:r>
      <w:r>
        <w:rPr>
          <w:rFonts w:hint="eastAsia"/>
          <w:color w:val="auto"/>
          <w:sz w:val="24"/>
          <w:highlight w:val="none"/>
        </w:rPr>
        <w:t xml:space="preserve"> x</w:t>
      </w:r>
      <w:r>
        <w:rPr>
          <w:rFonts w:hint="eastAsia"/>
          <w:color w:val="auto"/>
          <w:sz w:val="24"/>
          <w:highlight w:val="none"/>
          <w:vertAlign w:val="subscript"/>
        </w:rPr>
        <w:t>1</w:t>
      </w:r>
      <w:r>
        <w:rPr>
          <w:rFonts w:hint="eastAsia"/>
          <w:color w:val="auto"/>
          <w:sz w:val="24"/>
          <w:highlight w:val="none"/>
          <w:lang w:val="zh-CN"/>
        </w:rPr>
        <w:t>键盘</w:t>
      </w:r>
      <w:r>
        <w:rPr>
          <w:rFonts w:hint="eastAsia"/>
          <w:color w:val="auto"/>
          <w:sz w:val="24"/>
          <w:highlight w:val="none"/>
        </w:rPr>
        <w:t>x</w:t>
      </w:r>
      <w:r>
        <w:rPr>
          <w:rFonts w:hint="eastAsia"/>
          <w:color w:val="auto"/>
          <w:sz w:val="24"/>
          <w:highlight w:val="none"/>
          <w:vertAlign w:val="subscript"/>
        </w:rPr>
        <w:t>1</w:t>
      </w:r>
      <w:r>
        <w:rPr>
          <w:rFonts w:hint="eastAsia"/>
          <w:color w:val="auto"/>
          <w:sz w:val="24"/>
          <w:highlight w:val="none"/>
          <w:lang w:val="zh-CN"/>
        </w:rPr>
        <w:t>转换器</w:t>
      </w:r>
      <w:r>
        <w:rPr>
          <w:rFonts w:hint="eastAsia"/>
          <w:color w:val="auto"/>
          <w:sz w:val="24"/>
          <w:highlight w:val="none"/>
        </w:rPr>
        <w:t>x</w:t>
      </w:r>
      <w:r>
        <w:rPr>
          <w:rFonts w:hint="eastAsia"/>
          <w:color w:val="auto"/>
          <w:sz w:val="24"/>
          <w:highlight w:val="none"/>
          <w:vertAlign w:val="subscript"/>
        </w:rPr>
        <w:t>1</w:t>
      </w:r>
      <w:r>
        <w:rPr>
          <w:rFonts w:hint="eastAsia"/>
          <w:color w:val="auto"/>
          <w:sz w:val="24"/>
          <w:highlight w:val="none"/>
        </w:rPr>
        <w:t>（</w:t>
      </w:r>
      <w:r>
        <w:rPr>
          <w:rFonts w:hint="eastAsia"/>
          <w:color w:val="auto"/>
          <w:sz w:val="24"/>
          <w:highlight w:val="none"/>
          <w:lang w:val="zh-CN"/>
        </w:rPr>
        <w:t>全功能</w:t>
      </w:r>
      <w:r>
        <w:rPr>
          <w:rFonts w:hint="eastAsia"/>
          <w:color w:val="auto"/>
          <w:sz w:val="24"/>
          <w:highlight w:val="none"/>
        </w:rPr>
        <w:t>Type-c</w:t>
      </w:r>
      <w:r>
        <w:rPr>
          <w:rFonts w:hint="eastAsia"/>
          <w:color w:val="auto"/>
          <w:sz w:val="24"/>
          <w:highlight w:val="none"/>
          <w:lang w:val="zh-CN"/>
        </w:rPr>
        <w:t>扩展坞雷电</w:t>
      </w:r>
      <w:r>
        <w:rPr>
          <w:rFonts w:hint="eastAsia"/>
          <w:color w:val="auto"/>
          <w:sz w:val="24"/>
          <w:highlight w:val="none"/>
        </w:rPr>
        <w:t>4</w:t>
      </w:r>
      <w:r>
        <w:rPr>
          <w:rFonts w:hint="eastAsia"/>
          <w:color w:val="auto"/>
          <w:sz w:val="24"/>
          <w:highlight w:val="none"/>
          <w:lang w:val="zh-CN"/>
        </w:rPr>
        <w:t>视频</w:t>
      </w:r>
      <w:r>
        <w:rPr>
          <w:rFonts w:hint="eastAsia"/>
          <w:color w:val="auto"/>
          <w:sz w:val="24"/>
          <w:highlight w:val="none"/>
        </w:rPr>
        <w:t>VGA/HDMI</w:t>
      </w:r>
      <w:r>
        <w:rPr>
          <w:rFonts w:hint="eastAsia"/>
          <w:color w:val="auto"/>
          <w:sz w:val="24"/>
          <w:highlight w:val="none"/>
          <w:lang w:val="zh-CN"/>
        </w:rPr>
        <w:t>投影转换头</w:t>
      </w:r>
      <w:r>
        <w:rPr>
          <w:rFonts w:hint="eastAsia"/>
          <w:color w:val="auto"/>
          <w:sz w:val="24"/>
          <w:highlight w:val="none"/>
        </w:rPr>
        <w:t>USB-C</w:t>
      </w:r>
      <w:r>
        <w:rPr>
          <w:rFonts w:hint="eastAsia"/>
          <w:color w:val="auto"/>
          <w:sz w:val="24"/>
          <w:highlight w:val="none"/>
          <w:lang w:val="zh-CN"/>
        </w:rPr>
        <w:t>千兆网口</w:t>
      </w:r>
      <w:r>
        <w:rPr>
          <w:rFonts w:hint="eastAsia"/>
          <w:color w:val="auto"/>
          <w:sz w:val="24"/>
          <w:highlight w:val="none"/>
        </w:rPr>
        <w:t>HUB</w:t>
      </w:r>
      <w:r>
        <w:rPr>
          <w:rFonts w:hint="eastAsia"/>
          <w:color w:val="auto"/>
          <w:sz w:val="24"/>
          <w:highlight w:val="none"/>
          <w:lang w:val="zh-CN"/>
        </w:rPr>
        <w:t>分线连接器</w:t>
      </w:r>
      <w:r>
        <w:rPr>
          <w:rFonts w:hint="eastAsia"/>
          <w:color w:val="auto"/>
          <w:sz w:val="24"/>
          <w:highlight w:val="none"/>
        </w:rPr>
        <w:t xml:space="preserve"> </w:t>
      </w:r>
      <w:r>
        <w:rPr>
          <w:rFonts w:hint="eastAsia"/>
          <w:color w:val="auto"/>
          <w:sz w:val="24"/>
          <w:highlight w:val="none"/>
          <w:lang w:val="zh-CN"/>
        </w:rPr>
        <w:t>轻薄</w:t>
      </w:r>
      <w:r>
        <w:rPr>
          <w:rFonts w:hint="eastAsia"/>
          <w:color w:val="auto"/>
          <w:sz w:val="24"/>
          <w:highlight w:val="none"/>
        </w:rPr>
        <w:t>HDMI+</w:t>
      </w:r>
      <w:r>
        <w:rPr>
          <w:rFonts w:hint="eastAsia"/>
          <w:color w:val="auto"/>
          <w:sz w:val="24"/>
          <w:highlight w:val="none"/>
          <w:lang w:val="zh-CN"/>
        </w:rPr>
        <w:t>千兆网口</w:t>
      </w:r>
      <w:r>
        <w:rPr>
          <w:rFonts w:hint="eastAsia"/>
          <w:color w:val="auto"/>
          <w:sz w:val="24"/>
          <w:highlight w:val="none"/>
        </w:rPr>
        <w:t>+2*USB3.0+</w:t>
      </w:r>
      <w:r>
        <w:rPr>
          <w:rFonts w:hint="eastAsia"/>
          <w:color w:val="auto"/>
          <w:sz w:val="24"/>
          <w:highlight w:val="none"/>
          <w:lang w:val="zh-CN"/>
        </w:rPr>
        <w:t>充电</w:t>
      </w:r>
      <w:r>
        <w:rPr>
          <w:rFonts w:hint="eastAsia"/>
          <w:color w:val="auto"/>
          <w:sz w:val="24"/>
          <w:highlight w:val="none"/>
        </w:rPr>
        <w:t>）</w:t>
      </w:r>
      <w:r>
        <w:rPr>
          <w:rFonts w:hint="eastAsia"/>
          <w:color w:val="auto"/>
          <w:sz w:val="24"/>
          <w:highlight w:val="none"/>
          <w:lang w:val="zh-CN"/>
        </w:rPr>
        <w:t>无线鼠标</w:t>
      </w:r>
      <w:r>
        <w:rPr>
          <w:rFonts w:hint="eastAsia"/>
          <w:color w:val="auto"/>
          <w:sz w:val="24"/>
          <w:highlight w:val="none"/>
        </w:rPr>
        <w:t>x</w:t>
      </w:r>
      <w:r>
        <w:rPr>
          <w:rFonts w:hint="eastAsia"/>
          <w:color w:val="auto"/>
          <w:sz w:val="24"/>
          <w:highlight w:val="none"/>
          <w:vertAlign w:val="subscript"/>
        </w:rPr>
        <w:t>1</w:t>
      </w:r>
      <w:r>
        <w:rPr>
          <w:color w:val="auto"/>
          <w:sz w:val="24"/>
          <w:highlight w:val="none"/>
          <w:lang w:val="zh-CN"/>
        </w:rPr>
        <w:t>。</w:t>
      </w:r>
    </w:p>
    <w:p>
      <w:pPr>
        <w:widowControl/>
        <w:shd w:val="clear" w:color="auto" w:fill="FFFFFF"/>
        <w:snapToGrid w:val="0"/>
        <w:spacing w:line="440" w:lineRule="exact"/>
        <w:contextualSpacing/>
        <w:rPr>
          <w:b/>
          <w:color w:val="auto"/>
          <w:kern w:val="0"/>
          <w:sz w:val="24"/>
          <w:highlight w:val="none"/>
        </w:rPr>
      </w:pPr>
      <w:r>
        <w:rPr>
          <w:b/>
          <w:color w:val="auto"/>
          <w:kern w:val="0"/>
          <w:sz w:val="24"/>
          <w:highlight w:val="none"/>
        </w:rPr>
        <w:t>5.技术服务</w:t>
      </w:r>
    </w:p>
    <w:p>
      <w:pPr>
        <w:spacing w:line="440" w:lineRule="exact"/>
        <w:rPr>
          <w:color w:val="auto"/>
          <w:sz w:val="24"/>
          <w:highlight w:val="none"/>
          <w:lang w:val="zh-CN"/>
        </w:rPr>
      </w:pPr>
      <w:r>
        <w:rPr>
          <w:color w:val="auto"/>
          <w:sz w:val="24"/>
          <w:highlight w:val="none"/>
          <w:lang w:val="zh-CN"/>
        </w:rPr>
        <w:t>5.1保证产品为最新型全新原厂设备。</w:t>
      </w:r>
    </w:p>
    <w:p>
      <w:pPr>
        <w:spacing w:line="440" w:lineRule="exact"/>
        <w:rPr>
          <w:color w:val="auto"/>
          <w:sz w:val="24"/>
          <w:highlight w:val="none"/>
          <w:lang w:val="zh-CN"/>
        </w:rPr>
      </w:pPr>
      <w:r>
        <w:rPr>
          <w:color w:val="auto"/>
          <w:sz w:val="24"/>
          <w:highlight w:val="none"/>
          <w:lang w:val="zh-CN"/>
        </w:rPr>
        <w:t>5.2仪器安装验收：供货商在接到用户安装通知后，须在10工作日内安排有经验的工程师到现场安装仪器，并在</w:t>
      </w:r>
      <w:r>
        <w:rPr>
          <w:rFonts w:hint="eastAsia"/>
          <w:color w:val="auto"/>
          <w:sz w:val="24"/>
          <w:highlight w:val="none"/>
        </w:rPr>
        <w:t>3</w:t>
      </w:r>
      <w:r>
        <w:rPr>
          <w:color w:val="auto"/>
          <w:sz w:val="24"/>
          <w:highlight w:val="none"/>
          <w:lang w:val="zh-CN"/>
        </w:rPr>
        <w:t>0工作日内安装、调试完毕，进行操作试验，直至运行正常并验收确认。</w:t>
      </w:r>
    </w:p>
    <w:p>
      <w:pPr>
        <w:spacing w:line="440" w:lineRule="exact"/>
        <w:rPr>
          <w:color w:val="auto"/>
          <w:sz w:val="24"/>
          <w:highlight w:val="none"/>
          <w:lang w:val="zh-CN"/>
        </w:rPr>
      </w:pPr>
      <w:r>
        <w:rPr>
          <w:color w:val="auto"/>
          <w:sz w:val="24"/>
          <w:highlight w:val="none"/>
          <w:lang w:val="zh-CN"/>
        </w:rPr>
        <w:t>5.3保修服务：自验收合格起，厂家向用户提供至少1年的免费保修服务，终生维修。保修期内所有服务免费，一切配件、耗材免费到场更换。保修期外，能更及时地为用户提供备品备件。</w:t>
      </w:r>
    </w:p>
    <w:p>
      <w:pPr>
        <w:spacing w:line="440" w:lineRule="exact"/>
        <w:rPr>
          <w:color w:val="auto"/>
          <w:sz w:val="24"/>
          <w:highlight w:val="none"/>
          <w:lang w:val="zh-CN"/>
        </w:rPr>
      </w:pPr>
      <w:r>
        <w:rPr>
          <w:color w:val="auto"/>
          <w:sz w:val="24"/>
          <w:highlight w:val="none"/>
          <w:lang w:val="zh-CN"/>
        </w:rPr>
        <w:t>5.4质量及验收标准：安装工程师对本标书中提出的性能指标须逐项验收，所有验收指标要求一次完成。</w:t>
      </w:r>
      <w:r>
        <w:rPr>
          <w:rFonts w:hint="eastAsia"/>
          <w:color w:val="auto"/>
          <w:sz w:val="24"/>
          <w:highlight w:val="none"/>
        </w:rPr>
        <w:t>证书</w:t>
      </w:r>
      <w:r>
        <w:rPr>
          <w:color w:val="auto"/>
          <w:sz w:val="24"/>
          <w:highlight w:val="none"/>
          <w:lang w:val="zh-CN"/>
        </w:rPr>
        <w:t>技术指标符合买方要求和厂家规定的出厂要求，如未通过验收，视情节更换部件或主机，直至退货</w:t>
      </w:r>
      <w:r>
        <w:rPr>
          <w:rFonts w:hint="eastAsia"/>
          <w:color w:val="auto"/>
          <w:sz w:val="24"/>
          <w:highlight w:val="none"/>
          <w:lang w:val="zh-CN"/>
        </w:rPr>
        <w:t>；安装调试完成后厂家需找有资质的机构或单位对仪器进行检定</w:t>
      </w:r>
      <w:r>
        <w:rPr>
          <w:rFonts w:hint="eastAsia"/>
          <w:color w:val="auto"/>
          <w:sz w:val="24"/>
          <w:highlight w:val="none"/>
        </w:rPr>
        <w:t>/校准，并提供检定/校准证书，检定/校准结果满足相关检定/校准规程要求。</w:t>
      </w:r>
    </w:p>
    <w:p>
      <w:pPr>
        <w:pStyle w:val="28"/>
        <w:spacing w:line="440" w:lineRule="exact"/>
        <w:rPr>
          <w:rFonts w:ascii="Times New Roman"/>
          <w:color w:val="auto"/>
          <w:highlight w:val="none"/>
        </w:rPr>
      </w:pPr>
      <w:r>
        <w:rPr>
          <w:rFonts w:ascii="Times New Roman"/>
          <w:color w:val="auto"/>
          <w:kern w:val="2"/>
          <w:szCs w:val="24"/>
          <w:highlight w:val="none"/>
          <w:lang w:val="zh-CN"/>
        </w:rPr>
        <w:t>5.5 培训：仪</w:t>
      </w:r>
      <w:r>
        <w:rPr>
          <w:rFonts w:ascii="Times New Roman"/>
          <w:color w:val="auto"/>
          <w:highlight w:val="none"/>
        </w:rPr>
        <w:t>器安装现场对2名以上仪器操作人员提供免费的上机操作及日常维护培训，至使用者会操作、使用仪器为止，除仪器中文使用说明书外，应提供安装、使用技术光碟等，便于后期学习维护。</w:t>
      </w:r>
    </w:p>
    <w:p>
      <w:pPr>
        <w:spacing w:line="440" w:lineRule="exact"/>
        <w:rPr>
          <w:color w:val="auto"/>
          <w:sz w:val="24"/>
          <w:highlight w:val="none"/>
          <w:lang w:val="zh-CN"/>
        </w:rPr>
      </w:pPr>
      <w:r>
        <w:rPr>
          <w:color w:val="auto"/>
          <w:sz w:val="24"/>
          <w:highlight w:val="none"/>
          <w:lang w:val="zh-CN"/>
        </w:rPr>
        <w:t>5.6应有制造商的售后和技术工程师常驻新疆，有提供完善的售后服务的能力。服务响应时间不大于24小时，故障可以在48小时内到现场维修。</w:t>
      </w:r>
    </w:p>
    <w:p>
      <w:pPr>
        <w:spacing w:line="440" w:lineRule="exact"/>
        <w:rPr>
          <w:color w:val="auto"/>
          <w:sz w:val="24"/>
          <w:highlight w:val="none"/>
          <w:lang w:val="zh-CN"/>
        </w:rPr>
      </w:pPr>
      <w:r>
        <w:rPr>
          <w:color w:val="auto"/>
          <w:sz w:val="24"/>
          <w:highlight w:val="none"/>
          <w:lang w:val="zh-CN"/>
        </w:rPr>
        <w:t>5.7提供不定期的仪器应用技术培训服务，及时免费提供技术咨询，定期免费现场回访。</w:t>
      </w:r>
    </w:p>
    <w:p>
      <w:pPr>
        <w:spacing w:line="400" w:lineRule="exact"/>
        <w:rPr>
          <w:color w:val="auto"/>
          <w:highlight w:val="none"/>
        </w:rPr>
      </w:pPr>
      <w:r>
        <w:rPr>
          <w:color w:val="auto"/>
          <w:sz w:val="24"/>
          <w:highlight w:val="none"/>
        </w:rPr>
        <w:t>备注：</w:t>
      </w:r>
      <w:r>
        <w:rPr>
          <w:color w:val="auto"/>
          <w:sz w:val="24"/>
          <w:highlight w:val="none"/>
          <w:lang w:val="zh-CN"/>
        </w:rPr>
        <w:t>带“*”号的为必须满足指标，与技术性能指标一起</w:t>
      </w:r>
      <w:r>
        <w:rPr>
          <w:rFonts w:hint="eastAsia"/>
          <w:color w:val="auto"/>
          <w:sz w:val="24"/>
          <w:highlight w:val="none"/>
          <w:lang w:val="zh-CN"/>
        </w:rPr>
        <w:t>作</w:t>
      </w:r>
      <w:r>
        <w:rPr>
          <w:color w:val="auto"/>
          <w:sz w:val="24"/>
          <w:highlight w:val="none"/>
          <w:lang w:val="zh-CN"/>
        </w:rPr>
        <w:t>为验收指标。</w:t>
      </w:r>
      <w:r>
        <w:rPr>
          <w:color w:val="auto"/>
          <w:sz w:val="24"/>
          <w:highlight w:val="none"/>
        </w:rPr>
        <w:t>验收时须提供精密度等技术材料。</w:t>
      </w:r>
    </w:p>
    <w:p>
      <w:pPr>
        <w:pStyle w:val="60"/>
        <w:numPr>
          <w:ilvl w:val="0"/>
          <w:numId w:val="15"/>
        </w:numPr>
        <w:spacing w:line="440" w:lineRule="exact"/>
        <w:ind w:leftChars="0" w:firstLineChars="0"/>
        <w:rPr>
          <w:color w:val="auto"/>
          <w:highlight w:val="none"/>
        </w:rPr>
      </w:pPr>
      <w:r>
        <w:rPr>
          <w:rFonts w:hint="eastAsia"/>
          <w:color w:val="auto"/>
          <w:highlight w:val="none"/>
        </w:rPr>
        <w:t>X荧光压片机</w:t>
      </w:r>
    </w:p>
    <w:p>
      <w:pPr>
        <w:widowControl/>
        <w:autoSpaceDE w:val="0"/>
        <w:autoSpaceDN w:val="0"/>
        <w:snapToGrid w:val="0"/>
        <w:spacing w:line="440" w:lineRule="exact"/>
        <w:rPr>
          <w:b/>
          <w:bCs/>
          <w:color w:val="auto"/>
          <w:kern w:val="0"/>
          <w:sz w:val="24"/>
          <w:highlight w:val="none"/>
        </w:rPr>
      </w:pPr>
      <w:r>
        <w:rPr>
          <w:b/>
          <w:bCs/>
          <w:color w:val="auto"/>
          <w:kern w:val="0"/>
          <w:sz w:val="24"/>
          <w:highlight w:val="none"/>
        </w:rPr>
        <w:t>1.设备用途</w:t>
      </w:r>
    </w:p>
    <w:p>
      <w:pPr>
        <w:pStyle w:val="28"/>
        <w:spacing w:line="440" w:lineRule="exact"/>
        <w:rPr>
          <w:rFonts w:ascii="Times New Roman"/>
          <w:color w:val="auto"/>
          <w:highlight w:val="none"/>
          <w:lang w:val="zh-CN"/>
        </w:rPr>
      </w:pPr>
      <w:r>
        <w:rPr>
          <w:rFonts w:ascii="Times New Roman"/>
          <w:color w:val="auto"/>
          <w:highlight w:val="none"/>
          <w:lang w:val="zh-CN"/>
        </w:rPr>
        <w:t>用于</w:t>
      </w:r>
      <w:bookmarkStart w:id="158" w:name="OLE_LINK1"/>
      <w:r>
        <w:rPr>
          <w:rFonts w:ascii="Times New Roman"/>
          <w:color w:val="auto"/>
          <w:highlight w:val="none"/>
          <w:lang w:val="zh-CN"/>
        </w:rPr>
        <w:t>X荧光光谱仪上固体样品制样及各种小型粉末压片成型。</w:t>
      </w:r>
      <w:bookmarkEnd w:id="158"/>
      <w:r>
        <w:rPr>
          <w:rFonts w:ascii="Times New Roman"/>
          <w:color w:val="auto"/>
          <w:highlight w:val="none"/>
          <w:lang w:val="zh-CN"/>
        </w:rPr>
        <w:t>可用于硼酸、钢环、铝杯、塑料环等各类压样方式。</w:t>
      </w:r>
    </w:p>
    <w:p>
      <w:pPr>
        <w:spacing w:line="440" w:lineRule="exact"/>
        <w:rPr>
          <w:b/>
          <w:bCs/>
          <w:color w:val="auto"/>
          <w:kern w:val="0"/>
          <w:sz w:val="24"/>
          <w:highlight w:val="none"/>
        </w:rPr>
      </w:pPr>
      <w:r>
        <w:rPr>
          <w:b/>
          <w:bCs/>
          <w:color w:val="auto"/>
          <w:kern w:val="0"/>
          <w:sz w:val="24"/>
          <w:highlight w:val="none"/>
        </w:rPr>
        <w:t>2.工作环境</w:t>
      </w:r>
    </w:p>
    <w:p>
      <w:pPr>
        <w:pStyle w:val="28"/>
        <w:spacing w:line="440" w:lineRule="exact"/>
        <w:rPr>
          <w:rFonts w:ascii="Times New Roman"/>
          <w:color w:val="auto"/>
          <w:highlight w:val="none"/>
          <w:lang w:val="zh-CN"/>
        </w:rPr>
      </w:pPr>
      <w:r>
        <w:rPr>
          <w:rFonts w:ascii="Times New Roman"/>
          <w:color w:val="auto"/>
          <w:highlight w:val="none"/>
          <w:lang w:val="zh-CN"/>
        </w:rPr>
        <w:t>2.1电源：AC 380V±5%，50Hz，三相五线制；</w:t>
      </w:r>
    </w:p>
    <w:p>
      <w:pPr>
        <w:pStyle w:val="28"/>
        <w:spacing w:line="440" w:lineRule="exact"/>
        <w:rPr>
          <w:rFonts w:ascii="Times New Roman"/>
          <w:color w:val="auto"/>
          <w:highlight w:val="none"/>
          <w:lang w:val="zh-CN"/>
        </w:rPr>
      </w:pPr>
      <w:r>
        <w:rPr>
          <w:rFonts w:ascii="Times New Roman"/>
          <w:color w:val="auto"/>
          <w:highlight w:val="none"/>
          <w:lang w:val="zh-CN"/>
        </w:rPr>
        <w:t>2.2温度：10-40</w:t>
      </w:r>
      <w:r>
        <w:rPr>
          <w:rFonts w:ascii="Times New Roman"/>
          <w:color w:val="auto"/>
          <w:highlight w:val="none"/>
          <w:lang w:val="zh-CN"/>
        </w:rPr>
        <w:sym w:font="Symbol" w:char="F0B0"/>
      </w:r>
      <w:r>
        <w:rPr>
          <w:rFonts w:ascii="Times New Roman"/>
          <w:color w:val="auto"/>
          <w:highlight w:val="none"/>
          <w:lang w:val="zh-CN"/>
        </w:rPr>
        <w:t>C；</w:t>
      </w:r>
    </w:p>
    <w:p>
      <w:pPr>
        <w:pStyle w:val="28"/>
        <w:spacing w:line="440" w:lineRule="exact"/>
        <w:rPr>
          <w:rFonts w:ascii="Times New Roman"/>
          <w:color w:val="auto"/>
          <w:highlight w:val="none"/>
          <w:lang w:val="zh-CN"/>
        </w:rPr>
      </w:pPr>
      <w:r>
        <w:rPr>
          <w:rFonts w:ascii="Times New Roman"/>
          <w:color w:val="auto"/>
          <w:highlight w:val="none"/>
          <w:lang w:val="zh-CN"/>
        </w:rPr>
        <w:t>2.3湿度：20%-80%。</w:t>
      </w:r>
    </w:p>
    <w:p>
      <w:pPr>
        <w:autoSpaceDE w:val="0"/>
        <w:autoSpaceDN w:val="0"/>
        <w:adjustRightInd w:val="0"/>
        <w:spacing w:line="440" w:lineRule="exact"/>
        <w:rPr>
          <w:b/>
          <w:bCs/>
          <w:color w:val="auto"/>
          <w:sz w:val="24"/>
          <w:highlight w:val="none"/>
        </w:rPr>
      </w:pPr>
      <w:r>
        <w:rPr>
          <w:b/>
          <w:bCs/>
          <w:color w:val="auto"/>
          <w:sz w:val="24"/>
          <w:highlight w:val="none"/>
        </w:rPr>
        <w:t>3. 技术要求</w:t>
      </w:r>
    </w:p>
    <w:p>
      <w:pPr>
        <w:pStyle w:val="28"/>
        <w:spacing w:line="440" w:lineRule="exact"/>
        <w:rPr>
          <w:rFonts w:ascii="Times New Roman"/>
          <w:color w:val="auto"/>
          <w:highlight w:val="none"/>
          <w:lang w:val="zh-CN"/>
        </w:rPr>
      </w:pPr>
      <w:r>
        <w:rPr>
          <w:rFonts w:hint="eastAsia"/>
          <w:color w:val="auto"/>
          <w:highlight w:val="none"/>
        </w:rPr>
        <w:t>★</w:t>
      </w:r>
      <w:r>
        <w:rPr>
          <w:rFonts w:ascii="Times New Roman"/>
          <w:color w:val="auto"/>
          <w:highlight w:val="none"/>
          <w:lang w:val="zh-CN"/>
        </w:rPr>
        <w:t>3.1 可与帕纳科公司WD-XRF（Axios) X荧光检测仪配套使用；</w:t>
      </w:r>
    </w:p>
    <w:p>
      <w:pPr>
        <w:pStyle w:val="28"/>
        <w:spacing w:line="440" w:lineRule="exact"/>
        <w:rPr>
          <w:rFonts w:ascii="Times New Roman"/>
          <w:color w:val="auto"/>
          <w:highlight w:val="none"/>
          <w:lang w:val="zh-CN"/>
        </w:rPr>
      </w:pPr>
      <w:r>
        <w:rPr>
          <w:rFonts w:ascii="Times New Roman"/>
          <w:color w:val="auto"/>
          <w:highlight w:val="none"/>
          <w:lang w:val="zh-CN"/>
        </w:rPr>
        <w:t>3.2控制方式：触摸屏操作，PLC程序控制；压力表设置压力值；一键式操作，自动完成压样、脱模，自动复位；</w:t>
      </w:r>
    </w:p>
    <w:p>
      <w:pPr>
        <w:pStyle w:val="28"/>
        <w:spacing w:line="440" w:lineRule="exact"/>
        <w:rPr>
          <w:rFonts w:ascii="Times New Roman"/>
          <w:color w:val="auto"/>
          <w:highlight w:val="none"/>
          <w:lang w:val="zh-CN"/>
        </w:rPr>
      </w:pPr>
      <w:r>
        <w:rPr>
          <w:rFonts w:ascii="Times New Roman"/>
          <w:color w:val="auto"/>
          <w:highlight w:val="none"/>
          <w:lang w:val="zh-CN"/>
        </w:rPr>
        <w:t>*3.3 模具类型：硼酸；</w:t>
      </w:r>
    </w:p>
    <w:p>
      <w:pPr>
        <w:pStyle w:val="28"/>
        <w:spacing w:line="440" w:lineRule="exact"/>
        <w:rPr>
          <w:rFonts w:ascii="Times New Roman"/>
          <w:color w:val="auto"/>
          <w:highlight w:val="none"/>
          <w:lang w:val="zh-CN"/>
        </w:rPr>
      </w:pPr>
      <w:r>
        <w:rPr>
          <w:rFonts w:ascii="Times New Roman"/>
          <w:color w:val="auto"/>
          <w:highlight w:val="none"/>
          <w:lang w:val="zh-CN"/>
        </w:rPr>
        <w:t>*3.4 模具尺寸（外径/内径）：40mm/34mm；</w:t>
      </w:r>
    </w:p>
    <w:p>
      <w:pPr>
        <w:pStyle w:val="28"/>
        <w:spacing w:line="440" w:lineRule="exact"/>
        <w:rPr>
          <w:rFonts w:ascii="Times New Roman"/>
          <w:color w:val="auto"/>
          <w:highlight w:val="none"/>
          <w:lang w:val="zh-CN"/>
        </w:rPr>
      </w:pPr>
      <w:r>
        <w:rPr>
          <w:rFonts w:ascii="Times New Roman"/>
          <w:color w:val="auto"/>
          <w:highlight w:val="none"/>
          <w:lang w:val="zh-CN"/>
        </w:rPr>
        <w:t>*3.5 最大压力：40T（400kN）；</w:t>
      </w:r>
    </w:p>
    <w:p>
      <w:pPr>
        <w:pStyle w:val="28"/>
        <w:spacing w:line="440" w:lineRule="exact"/>
        <w:rPr>
          <w:rFonts w:ascii="Times New Roman"/>
          <w:color w:val="auto"/>
          <w:highlight w:val="none"/>
          <w:lang w:val="zh-CN"/>
        </w:rPr>
      </w:pPr>
      <w:r>
        <w:rPr>
          <w:rFonts w:ascii="Times New Roman"/>
          <w:color w:val="auto"/>
          <w:highlight w:val="none"/>
          <w:lang w:val="zh-CN"/>
        </w:rPr>
        <w:t>3.6 保压时间：0～999s可调；</w:t>
      </w:r>
    </w:p>
    <w:p>
      <w:pPr>
        <w:pStyle w:val="28"/>
        <w:spacing w:line="440" w:lineRule="exact"/>
        <w:rPr>
          <w:rFonts w:ascii="Times New Roman"/>
          <w:color w:val="auto"/>
          <w:highlight w:val="none"/>
          <w:lang w:val="zh-CN"/>
        </w:rPr>
      </w:pPr>
      <w:r>
        <w:rPr>
          <w:rFonts w:ascii="Times New Roman"/>
          <w:color w:val="auto"/>
          <w:highlight w:val="none"/>
          <w:lang w:val="zh-CN"/>
        </w:rPr>
        <w:t>3.7 最大行程：≥50（mm）；</w:t>
      </w:r>
    </w:p>
    <w:p>
      <w:pPr>
        <w:pStyle w:val="28"/>
        <w:spacing w:line="440" w:lineRule="exact"/>
        <w:rPr>
          <w:rFonts w:ascii="Times New Roman"/>
          <w:color w:val="auto"/>
          <w:highlight w:val="none"/>
          <w:lang w:val="zh-CN"/>
        </w:rPr>
      </w:pPr>
      <w:r>
        <w:rPr>
          <w:rFonts w:ascii="Times New Roman"/>
          <w:color w:val="auto"/>
          <w:highlight w:val="none"/>
          <w:lang w:val="zh-CN"/>
        </w:rPr>
        <w:t>3.8 柱 开 度：220（mm）；</w:t>
      </w:r>
    </w:p>
    <w:p>
      <w:pPr>
        <w:pStyle w:val="28"/>
        <w:spacing w:line="440" w:lineRule="exact"/>
        <w:rPr>
          <w:rFonts w:ascii="Times New Roman"/>
          <w:color w:val="auto"/>
          <w:highlight w:val="none"/>
          <w:lang w:val="zh-CN"/>
        </w:rPr>
      </w:pPr>
      <w:r>
        <w:rPr>
          <w:rFonts w:ascii="Times New Roman"/>
          <w:color w:val="auto"/>
          <w:highlight w:val="none"/>
          <w:lang w:val="zh-CN"/>
        </w:rPr>
        <w:t>3.9 外形尺寸：约580×550×1100（mm）；</w:t>
      </w:r>
    </w:p>
    <w:p>
      <w:pPr>
        <w:pStyle w:val="28"/>
        <w:spacing w:line="440" w:lineRule="exact"/>
        <w:rPr>
          <w:rFonts w:ascii="Times New Roman"/>
          <w:color w:val="auto"/>
          <w:highlight w:val="none"/>
          <w:lang w:val="zh-CN"/>
        </w:rPr>
      </w:pPr>
      <w:r>
        <w:rPr>
          <w:rFonts w:ascii="Times New Roman"/>
          <w:color w:val="auto"/>
          <w:highlight w:val="none"/>
          <w:lang w:val="zh-CN"/>
        </w:rPr>
        <w:t>3.10 自有的液压系统，可长期高效的连续使用。</w:t>
      </w:r>
    </w:p>
    <w:p>
      <w:pPr>
        <w:adjustRightInd w:val="0"/>
        <w:snapToGrid w:val="0"/>
        <w:spacing w:line="440" w:lineRule="exact"/>
        <w:rPr>
          <w:b/>
          <w:color w:val="auto"/>
          <w:sz w:val="24"/>
          <w:highlight w:val="none"/>
        </w:rPr>
      </w:pPr>
      <w:r>
        <w:rPr>
          <w:b/>
          <w:color w:val="auto"/>
          <w:sz w:val="24"/>
          <w:highlight w:val="none"/>
        </w:rPr>
        <w:t>4. 仪器配置</w:t>
      </w:r>
    </w:p>
    <w:p>
      <w:pPr>
        <w:pStyle w:val="28"/>
        <w:spacing w:line="440" w:lineRule="exact"/>
        <w:rPr>
          <w:rFonts w:ascii="Times New Roman"/>
          <w:color w:val="auto"/>
          <w:highlight w:val="none"/>
          <w:lang w:val="zh-CN"/>
        </w:rPr>
      </w:pPr>
      <w:r>
        <w:rPr>
          <w:rFonts w:ascii="Times New Roman"/>
          <w:color w:val="auto"/>
          <w:highlight w:val="none"/>
          <w:lang w:val="zh-CN"/>
        </w:rPr>
        <w:t>4.1 压样机 1台；</w:t>
      </w:r>
    </w:p>
    <w:p>
      <w:pPr>
        <w:pStyle w:val="28"/>
        <w:spacing w:line="440" w:lineRule="exact"/>
        <w:rPr>
          <w:rFonts w:ascii="Times New Roman"/>
          <w:color w:val="auto"/>
          <w:highlight w:val="none"/>
          <w:lang w:val="zh-CN"/>
        </w:rPr>
      </w:pPr>
      <w:r>
        <w:rPr>
          <w:rFonts w:ascii="Times New Roman"/>
          <w:color w:val="auto"/>
          <w:highlight w:val="none"/>
          <w:lang w:val="zh-CN"/>
        </w:rPr>
        <w:t>4.2 X荧光检测仪耗材（国产，适用于帕纳科公司WD-XRF（Axios</w:t>
      </w:r>
      <w:r>
        <w:rPr>
          <w:rFonts w:hint="eastAsia" w:ascii="Times New Roman"/>
          <w:color w:val="auto"/>
          <w:highlight w:val="none"/>
          <w:lang w:val="zh-CN"/>
        </w:rPr>
        <w:t>）</w:t>
      </w:r>
      <w:r>
        <w:rPr>
          <w:rFonts w:ascii="Times New Roman"/>
          <w:color w:val="auto"/>
          <w:highlight w:val="none"/>
          <w:lang w:val="zh-CN"/>
        </w:rPr>
        <w:t>）</w:t>
      </w:r>
    </w:p>
    <w:p>
      <w:pPr>
        <w:pStyle w:val="28"/>
        <w:spacing w:line="440" w:lineRule="exact"/>
        <w:rPr>
          <w:rFonts w:ascii="Times New Roman"/>
          <w:color w:val="auto"/>
          <w:highlight w:val="none"/>
          <w:lang w:val="zh-CN"/>
        </w:rPr>
      </w:pPr>
      <w:r>
        <w:rPr>
          <w:rFonts w:ascii="Times New Roman"/>
          <w:color w:val="auto"/>
          <w:highlight w:val="none"/>
          <w:lang w:val="zh-CN"/>
        </w:rPr>
        <w:t>4.2.1 32mm不锈钢材质样品杯 100个；</w:t>
      </w:r>
    </w:p>
    <w:p>
      <w:pPr>
        <w:pStyle w:val="28"/>
        <w:spacing w:line="440" w:lineRule="exact"/>
        <w:rPr>
          <w:rFonts w:ascii="Times New Roman"/>
          <w:color w:val="auto"/>
          <w:highlight w:val="none"/>
          <w:lang w:val="zh-CN"/>
        </w:rPr>
      </w:pPr>
      <w:r>
        <w:rPr>
          <w:rFonts w:ascii="Times New Roman"/>
          <w:color w:val="auto"/>
          <w:highlight w:val="none"/>
          <w:lang w:val="zh-CN"/>
        </w:rPr>
        <w:t>4.2.2 进样条  5个；</w:t>
      </w:r>
    </w:p>
    <w:p>
      <w:pPr>
        <w:pStyle w:val="28"/>
        <w:spacing w:line="440" w:lineRule="exact"/>
        <w:rPr>
          <w:rFonts w:ascii="Times New Roman"/>
          <w:color w:val="auto"/>
          <w:highlight w:val="none"/>
          <w:lang w:val="zh-CN"/>
        </w:rPr>
      </w:pPr>
      <w:r>
        <w:rPr>
          <w:rFonts w:ascii="Times New Roman"/>
          <w:color w:val="auto"/>
          <w:highlight w:val="none"/>
          <w:lang w:val="zh-CN"/>
        </w:rPr>
        <w:t>4.2.3 压环  10个；</w:t>
      </w:r>
    </w:p>
    <w:p>
      <w:pPr>
        <w:widowControl/>
        <w:autoSpaceDE w:val="0"/>
        <w:autoSpaceDN w:val="0"/>
        <w:snapToGrid w:val="0"/>
        <w:spacing w:line="440" w:lineRule="exact"/>
        <w:rPr>
          <w:b/>
          <w:bCs/>
          <w:color w:val="auto"/>
          <w:kern w:val="0"/>
          <w:sz w:val="24"/>
          <w:highlight w:val="none"/>
        </w:rPr>
      </w:pPr>
      <w:r>
        <w:rPr>
          <w:b/>
          <w:bCs/>
          <w:color w:val="auto"/>
          <w:kern w:val="0"/>
          <w:sz w:val="24"/>
          <w:highlight w:val="none"/>
        </w:rPr>
        <w:t>5.技术服务</w:t>
      </w:r>
    </w:p>
    <w:p>
      <w:pPr>
        <w:pStyle w:val="28"/>
        <w:spacing w:line="440" w:lineRule="exact"/>
        <w:rPr>
          <w:rFonts w:ascii="Times New Roman"/>
          <w:color w:val="auto"/>
          <w:highlight w:val="none"/>
          <w:lang w:val="zh-CN"/>
        </w:rPr>
      </w:pPr>
      <w:r>
        <w:rPr>
          <w:rFonts w:ascii="Times New Roman"/>
          <w:color w:val="auto"/>
          <w:highlight w:val="none"/>
          <w:lang w:val="zh-CN"/>
        </w:rPr>
        <w:t>5.1保证产品为全新原厂设备。</w:t>
      </w:r>
    </w:p>
    <w:p>
      <w:pPr>
        <w:pStyle w:val="28"/>
        <w:spacing w:line="440" w:lineRule="exact"/>
        <w:rPr>
          <w:rFonts w:ascii="Times New Roman"/>
          <w:color w:val="auto"/>
          <w:highlight w:val="none"/>
          <w:lang w:val="zh-CN"/>
        </w:rPr>
      </w:pPr>
      <w:r>
        <w:rPr>
          <w:rFonts w:ascii="Times New Roman"/>
          <w:color w:val="auto"/>
          <w:highlight w:val="none"/>
          <w:lang w:val="zh-CN"/>
        </w:rPr>
        <w:t>5.2仪器安装验收：供货商在接到用户安装通知后，须在</w:t>
      </w:r>
      <w:r>
        <w:rPr>
          <w:rFonts w:hint="eastAsia" w:ascii="Times New Roman"/>
          <w:color w:val="auto"/>
          <w:highlight w:val="none"/>
        </w:rPr>
        <w:t>2</w:t>
      </w:r>
      <w:r>
        <w:rPr>
          <w:rFonts w:ascii="Times New Roman"/>
          <w:color w:val="auto"/>
          <w:highlight w:val="none"/>
          <w:lang w:val="zh-CN"/>
        </w:rPr>
        <w:t>0工作日内安排工程师到现场安装仪器，仪器调试运行正常后验收确认。</w:t>
      </w:r>
    </w:p>
    <w:p>
      <w:pPr>
        <w:pStyle w:val="28"/>
        <w:spacing w:line="440" w:lineRule="exact"/>
        <w:rPr>
          <w:rFonts w:ascii="Times New Roman"/>
          <w:color w:val="auto"/>
          <w:highlight w:val="none"/>
          <w:lang w:val="zh-CN"/>
        </w:rPr>
      </w:pPr>
      <w:r>
        <w:rPr>
          <w:rFonts w:ascii="Times New Roman"/>
          <w:color w:val="auto"/>
          <w:highlight w:val="none"/>
          <w:lang w:val="zh-CN"/>
        </w:rPr>
        <w:t>5.3保修服务：自验收合格起，厂家向用户提供至少1年的免费保修服务，终生维修。保修期内所有服务免费，一切配件、耗材免费到场更换。保修期外，能更及时地为用户提供备品备件。</w:t>
      </w:r>
    </w:p>
    <w:p>
      <w:pPr>
        <w:pStyle w:val="28"/>
        <w:spacing w:line="440" w:lineRule="exact"/>
        <w:rPr>
          <w:rFonts w:ascii="Times New Roman"/>
          <w:color w:val="auto"/>
          <w:highlight w:val="none"/>
          <w:lang w:val="zh-CN"/>
        </w:rPr>
      </w:pPr>
      <w:r>
        <w:rPr>
          <w:rFonts w:ascii="Times New Roman"/>
          <w:color w:val="auto"/>
          <w:highlight w:val="none"/>
          <w:lang w:val="zh-CN"/>
        </w:rPr>
        <w:t>5.4质量及验收标准：技术指标符合买方要求和厂家规定的出厂要求。如未通过验收，视情节更换部件或主机，直至退货。</w:t>
      </w:r>
    </w:p>
    <w:p>
      <w:pPr>
        <w:pStyle w:val="28"/>
        <w:spacing w:line="440" w:lineRule="exact"/>
        <w:rPr>
          <w:rFonts w:ascii="Times New Roman"/>
          <w:color w:val="auto"/>
          <w:highlight w:val="none"/>
          <w:lang w:val="zh-CN"/>
        </w:rPr>
      </w:pPr>
      <w:r>
        <w:rPr>
          <w:rFonts w:ascii="Times New Roman"/>
          <w:color w:val="auto"/>
          <w:highlight w:val="none"/>
          <w:lang w:val="zh-CN"/>
        </w:rPr>
        <w:t>5.5培训：仪器安装现场对2名以上仪器操作人员提供免费的上机操作及日常维护培训，至使用者会操作、使用仪器为止。</w:t>
      </w:r>
    </w:p>
    <w:p>
      <w:pPr>
        <w:pStyle w:val="28"/>
        <w:spacing w:line="440" w:lineRule="exact"/>
        <w:rPr>
          <w:rFonts w:ascii="Times New Roman"/>
          <w:color w:val="auto"/>
          <w:highlight w:val="none"/>
          <w:lang w:val="zh-CN"/>
        </w:rPr>
      </w:pPr>
      <w:r>
        <w:rPr>
          <w:rFonts w:ascii="Times New Roman"/>
          <w:color w:val="auto"/>
          <w:highlight w:val="none"/>
          <w:lang w:val="zh-CN"/>
        </w:rPr>
        <w:t>备注：带“*”号的为必须满足指标，与技术性能指标一起做为验收指标。验收时须提供</w:t>
      </w:r>
      <w:r>
        <w:rPr>
          <w:rFonts w:hint="eastAsia" w:ascii="Times New Roman"/>
          <w:color w:val="auto"/>
          <w:highlight w:val="none"/>
          <w:lang w:val="zh-CN"/>
        </w:rPr>
        <w:t>相关</w:t>
      </w:r>
      <w:r>
        <w:rPr>
          <w:rFonts w:ascii="Times New Roman"/>
          <w:color w:val="auto"/>
          <w:highlight w:val="none"/>
          <w:lang w:val="zh-CN"/>
        </w:rPr>
        <w:t>技术材料。</w:t>
      </w:r>
    </w:p>
    <w:p>
      <w:pPr>
        <w:pStyle w:val="60"/>
        <w:numPr>
          <w:ilvl w:val="0"/>
          <w:numId w:val="15"/>
        </w:numPr>
        <w:spacing w:line="440" w:lineRule="exact"/>
        <w:ind w:leftChars="0" w:firstLineChars="0"/>
        <w:rPr>
          <w:color w:val="auto"/>
          <w:highlight w:val="none"/>
        </w:rPr>
      </w:pPr>
      <w:r>
        <w:rPr>
          <w:rFonts w:hint="eastAsia"/>
          <w:color w:val="auto"/>
          <w:highlight w:val="none"/>
        </w:rPr>
        <w:t>实验用水制备仪</w:t>
      </w:r>
    </w:p>
    <w:p>
      <w:pPr>
        <w:widowControl/>
        <w:autoSpaceDE w:val="0"/>
        <w:autoSpaceDN w:val="0"/>
        <w:snapToGrid w:val="0"/>
        <w:spacing w:line="440" w:lineRule="exact"/>
        <w:rPr>
          <w:b/>
          <w:bCs/>
          <w:color w:val="auto"/>
          <w:kern w:val="0"/>
          <w:sz w:val="24"/>
          <w:highlight w:val="none"/>
        </w:rPr>
      </w:pPr>
      <w:r>
        <w:rPr>
          <w:b/>
          <w:bCs/>
          <w:color w:val="auto"/>
          <w:kern w:val="0"/>
          <w:sz w:val="24"/>
          <w:highlight w:val="none"/>
        </w:rPr>
        <w:t>1.</w:t>
      </w:r>
      <w:r>
        <w:rPr>
          <w:rFonts w:hint="eastAsia"/>
          <w:b/>
          <w:bCs/>
          <w:color w:val="auto"/>
          <w:kern w:val="0"/>
          <w:sz w:val="24"/>
          <w:highlight w:val="none"/>
        </w:rPr>
        <w:t>设备用途</w:t>
      </w:r>
    </w:p>
    <w:p>
      <w:pPr>
        <w:widowControl/>
        <w:autoSpaceDE w:val="0"/>
        <w:autoSpaceDN w:val="0"/>
        <w:snapToGrid w:val="0"/>
        <w:spacing w:line="440" w:lineRule="exact"/>
        <w:rPr>
          <w:color w:val="auto"/>
          <w:kern w:val="0"/>
          <w:sz w:val="24"/>
          <w:highlight w:val="none"/>
        </w:rPr>
      </w:pPr>
      <w:r>
        <w:rPr>
          <w:rFonts w:hint="eastAsia"/>
          <w:color w:val="auto"/>
          <w:kern w:val="0"/>
          <w:sz w:val="24"/>
          <w:highlight w:val="none"/>
        </w:rPr>
        <w:t>用于离子色谱、重金属检测、痕量金属分析、微量元素的定量分析、高纯标准溶液配制、</w:t>
      </w:r>
      <w:r>
        <w:rPr>
          <w:color w:val="auto"/>
          <w:kern w:val="0"/>
          <w:sz w:val="24"/>
          <w:highlight w:val="none"/>
        </w:rPr>
        <w:t>HPLC</w:t>
      </w:r>
      <w:r>
        <w:rPr>
          <w:rFonts w:hint="eastAsia"/>
          <w:color w:val="auto"/>
          <w:kern w:val="0"/>
          <w:sz w:val="24"/>
          <w:highlight w:val="none"/>
        </w:rPr>
        <w:t>高效液相色谱、毒性检测、</w:t>
      </w:r>
      <w:r>
        <w:rPr>
          <w:color w:val="auto"/>
          <w:kern w:val="0"/>
          <w:sz w:val="24"/>
          <w:highlight w:val="none"/>
        </w:rPr>
        <w:t>TOC</w:t>
      </w:r>
      <w:r>
        <w:rPr>
          <w:rFonts w:hint="eastAsia"/>
          <w:color w:val="auto"/>
          <w:kern w:val="0"/>
          <w:sz w:val="24"/>
          <w:highlight w:val="none"/>
        </w:rPr>
        <w:t>分析、</w:t>
      </w:r>
      <w:r>
        <w:rPr>
          <w:color w:val="auto"/>
          <w:kern w:val="0"/>
          <w:sz w:val="24"/>
          <w:highlight w:val="none"/>
        </w:rPr>
        <w:t>IC</w:t>
      </w:r>
      <w:r>
        <w:rPr>
          <w:rFonts w:hint="eastAsia"/>
          <w:color w:val="auto"/>
          <w:kern w:val="0"/>
          <w:sz w:val="24"/>
          <w:highlight w:val="none"/>
        </w:rPr>
        <w:t>、</w:t>
      </w:r>
      <w:r>
        <w:rPr>
          <w:color w:val="auto"/>
          <w:kern w:val="0"/>
          <w:sz w:val="24"/>
          <w:highlight w:val="none"/>
        </w:rPr>
        <w:t>GC/MS</w:t>
      </w:r>
      <w:r>
        <w:rPr>
          <w:rFonts w:hint="eastAsia"/>
          <w:color w:val="auto"/>
          <w:kern w:val="0"/>
          <w:sz w:val="24"/>
          <w:highlight w:val="none"/>
        </w:rPr>
        <w:t>、</w:t>
      </w:r>
      <w:r>
        <w:rPr>
          <w:color w:val="auto"/>
          <w:kern w:val="0"/>
          <w:sz w:val="24"/>
          <w:highlight w:val="none"/>
        </w:rPr>
        <w:t>ICP/MS</w:t>
      </w:r>
      <w:r>
        <w:rPr>
          <w:rFonts w:hint="eastAsia"/>
          <w:color w:val="auto"/>
          <w:kern w:val="0"/>
          <w:sz w:val="24"/>
          <w:highlight w:val="none"/>
        </w:rPr>
        <w:t>分析等实验用水的制备。</w:t>
      </w:r>
    </w:p>
    <w:p>
      <w:pPr>
        <w:widowControl/>
        <w:autoSpaceDE w:val="0"/>
        <w:autoSpaceDN w:val="0"/>
        <w:snapToGrid w:val="0"/>
        <w:spacing w:line="440" w:lineRule="exact"/>
        <w:rPr>
          <w:b/>
          <w:bCs/>
          <w:color w:val="auto"/>
          <w:kern w:val="0"/>
          <w:sz w:val="24"/>
          <w:highlight w:val="none"/>
        </w:rPr>
      </w:pPr>
      <w:r>
        <w:rPr>
          <w:b/>
          <w:bCs/>
          <w:color w:val="auto"/>
          <w:kern w:val="0"/>
          <w:sz w:val="24"/>
          <w:highlight w:val="none"/>
        </w:rPr>
        <w:t>2.工作环境</w:t>
      </w:r>
    </w:p>
    <w:p>
      <w:pPr>
        <w:autoSpaceDE w:val="0"/>
        <w:autoSpaceDN w:val="0"/>
        <w:adjustRightInd w:val="0"/>
        <w:spacing w:line="440" w:lineRule="exact"/>
        <w:rPr>
          <w:bCs/>
          <w:color w:val="auto"/>
          <w:sz w:val="24"/>
          <w:highlight w:val="none"/>
        </w:rPr>
      </w:pPr>
      <w:r>
        <w:rPr>
          <w:bCs/>
          <w:color w:val="auto"/>
          <w:sz w:val="24"/>
          <w:highlight w:val="none"/>
        </w:rPr>
        <w:t>2.1 电源：AC 220V±10%，50（±1）Hz；</w:t>
      </w:r>
    </w:p>
    <w:p>
      <w:pPr>
        <w:autoSpaceDE w:val="0"/>
        <w:autoSpaceDN w:val="0"/>
        <w:adjustRightInd w:val="0"/>
        <w:spacing w:line="440" w:lineRule="exact"/>
        <w:rPr>
          <w:bCs/>
          <w:color w:val="auto"/>
          <w:sz w:val="24"/>
          <w:highlight w:val="none"/>
        </w:rPr>
      </w:pPr>
      <w:r>
        <w:rPr>
          <w:bCs/>
          <w:color w:val="auto"/>
          <w:sz w:val="24"/>
          <w:highlight w:val="none"/>
        </w:rPr>
        <w:t>2.2 温度：10-40</w:t>
      </w:r>
      <w:r>
        <w:rPr>
          <w:bCs/>
          <w:color w:val="auto"/>
          <w:sz w:val="24"/>
          <w:highlight w:val="none"/>
        </w:rPr>
        <w:sym w:font="Symbol" w:char="F0B0"/>
      </w:r>
      <w:r>
        <w:rPr>
          <w:bCs/>
          <w:color w:val="auto"/>
          <w:sz w:val="24"/>
          <w:highlight w:val="none"/>
        </w:rPr>
        <w:t>C；</w:t>
      </w:r>
    </w:p>
    <w:p>
      <w:pPr>
        <w:autoSpaceDE w:val="0"/>
        <w:autoSpaceDN w:val="0"/>
        <w:adjustRightInd w:val="0"/>
        <w:spacing w:line="440" w:lineRule="exact"/>
        <w:rPr>
          <w:b/>
          <w:bCs/>
          <w:color w:val="auto"/>
          <w:kern w:val="0"/>
          <w:sz w:val="24"/>
          <w:highlight w:val="none"/>
        </w:rPr>
      </w:pPr>
      <w:r>
        <w:rPr>
          <w:bCs/>
          <w:color w:val="auto"/>
          <w:sz w:val="24"/>
          <w:highlight w:val="none"/>
        </w:rPr>
        <w:t>2.3 湿度：20%-80%。</w:t>
      </w:r>
    </w:p>
    <w:p>
      <w:pPr>
        <w:widowControl/>
        <w:autoSpaceDE w:val="0"/>
        <w:autoSpaceDN w:val="0"/>
        <w:snapToGrid w:val="0"/>
        <w:spacing w:line="440" w:lineRule="exact"/>
        <w:rPr>
          <w:b/>
          <w:bCs/>
          <w:color w:val="auto"/>
          <w:kern w:val="0"/>
          <w:sz w:val="24"/>
          <w:highlight w:val="none"/>
        </w:rPr>
      </w:pPr>
      <w:r>
        <w:rPr>
          <w:b/>
          <w:bCs/>
          <w:color w:val="auto"/>
          <w:kern w:val="0"/>
          <w:sz w:val="24"/>
          <w:highlight w:val="none"/>
        </w:rPr>
        <w:t>3.</w:t>
      </w:r>
      <w:r>
        <w:rPr>
          <w:rFonts w:hint="eastAsia"/>
          <w:b/>
          <w:bCs/>
          <w:color w:val="auto"/>
          <w:kern w:val="0"/>
          <w:sz w:val="24"/>
          <w:highlight w:val="none"/>
        </w:rPr>
        <w:t>技术要求</w:t>
      </w:r>
    </w:p>
    <w:p>
      <w:pPr>
        <w:widowControl/>
        <w:autoSpaceDE w:val="0"/>
        <w:autoSpaceDN w:val="0"/>
        <w:snapToGrid w:val="0"/>
        <w:spacing w:line="440" w:lineRule="exact"/>
        <w:rPr>
          <w:b/>
          <w:bCs/>
          <w:color w:val="auto"/>
          <w:kern w:val="0"/>
          <w:sz w:val="24"/>
          <w:highlight w:val="none"/>
        </w:rPr>
      </w:pPr>
      <w:r>
        <w:rPr>
          <w:rFonts w:hint="eastAsia"/>
          <w:b/>
          <w:bCs/>
          <w:color w:val="auto"/>
          <w:kern w:val="0"/>
          <w:sz w:val="24"/>
          <w:highlight w:val="none"/>
        </w:rPr>
        <w:t>3</w:t>
      </w:r>
      <w:r>
        <w:rPr>
          <w:b/>
          <w:bCs/>
          <w:color w:val="auto"/>
          <w:kern w:val="0"/>
          <w:sz w:val="24"/>
          <w:highlight w:val="none"/>
        </w:rPr>
        <w:t>.1</w:t>
      </w:r>
      <w:r>
        <w:rPr>
          <w:rFonts w:hint="eastAsia"/>
          <w:b/>
          <w:bCs/>
          <w:color w:val="auto"/>
          <w:kern w:val="0"/>
          <w:sz w:val="24"/>
          <w:highlight w:val="none"/>
        </w:rPr>
        <w:t>性能要求</w:t>
      </w:r>
    </w:p>
    <w:p>
      <w:pPr>
        <w:widowControl/>
        <w:autoSpaceDE w:val="0"/>
        <w:autoSpaceDN w:val="0"/>
        <w:snapToGrid w:val="0"/>
        <w:spacing w:line="440" w:lineRule="exact"/>
        <w:rPr>
          <w:color w:val="auto"/>
          <w:kern w:val="0"/>
          <w:sz w:val="24"/>
          <w:highlight w:val="none"/>
        </w:rPr>
      </w:pPr>
      <w:r>
        <w:rPr>
          <w:color w:val="auto"/>
          <w:kern w:val="0"/>
          <w:sz w:val="24"/>
          <w:highlight w:val="none"/>
        </w:rPr>
        <w:t>*3.1.1</w:t>
      </w:r>
      <w:r>
        <w:rPr>
          <w:rFonts w:hint="eastAsia"/>
          <w:color w:val="auto"/>
          <w:kern w:val="0"/>
          <w:sz w:val="24"/>
          <w:highlight w:val="none"/>
        </w:rPr>
        <w:t>采用双极反渗透工艺，适应新疆各种不同硬度进水水源，全封闭管路设计，系统在非取水期间定期自动循环，保证产水水质稳定；</w:t>
      </w:r>
    </w:p>
    <w:p>
      <w:pPr>
        <w:widowControl/>
        <w:autoSpaceDE w:val="0"/>
        <w:autoSpaceDN w:val="0"/>
        <w:snapToGrid w:val="0"/>
        <w:spacing w:line="440" w:lineRule="exact"/>
        <w:rPr>
          <w:color w:val="auto"/>
          <w:kern w:val="0"/>
          <w:sz w:val="24"/>
          <w:highlight w:val="none"/>
        </w:rPr>
      </w:pPr>
      <w:r>
        <w:rPr>
          <w:color w:val="auto"/>
          <w:kern w:val="0"/>
          <w:sz w:val="24"/>
          <w:highlight w:val="none"/>
        </w:rPr>
        <w:t xml:space="preserve">3.1.2 </w:t>
      </w:r>
      <w:r>
        <w:rPr>
          <w:rFonts w:hint="eastAsia"/>
          <w:color w:val="auto"/>
          <w:kern w:val="0"/>
          <w:sz w:val="24"/>
          <w:highlight w:val="none"/>
        </w:rPr>
        <w:t>具有纯水、超纯水一键消毒功能，可实现RO膜、循环管路和水箱一键快速消毒；</w:t>
      </w:r>
    </w:p>
    <w:p>
      <w:pPr>
        <w:widowControl/>
        <w:autoSpaceDE w:val="0"/>
        <w:autoSpaceDN w:val="0"/>
        <w:snapToGrid w:val="0"/>
        <w:spacing w:line="440" w:lineRule="exact"/>
        <w:rPr>
          <w:color w:val="auto"/>
          <w:kern w:val="0"/>
          <w:sz w:val="24"/>
          <w:highlight w:val="none"/>
        </w:rPr>
      </w:pPr>
      <w:r>
        <w:rPr>
          <w:color w:val="auto"/>
          <w:kern w:val="0"/>
          <w:sz w:val="24"/>
          <w:highlight w:val="none"/>
        </w:rPr>
        <w:t>*</w:t>
      </w:r>
      <w:r>
        <w:rPr>
          <w:rFonts w:hint="eastAsia"/>
          <w:color w:val="auto"/>
          <w:kern w:val="0"/>
          <w:sz w:val="24"/>
          <w:highlight w:val="none"/>
        </w:rPr>
        <w:t>3</w:t>
      </w:r>
      <w:r>
        <w:rPr>
          <w:color w:val="auto"/>
          <w:kern w:val="0"/>
          <w:sz w:val="24"/>
          <w:highlight w:val="none"/>
        </w:rPr>
        <w:t>.1.3</w:t>
      </w:r>
      <w:r>
        <w:rPr>
          <w:rFonts w:hint="eastAsia"/>
          <w:color w:val="auto"/>
          <w:kern w:val="0"/>
          <w:sz w:val="24"/>
          <w:highlight w:val="none"/>
        </w:rPr>
        <w:t>液晶触</w:t>
      </w:r>
      <w:r>
        <w:rPr>
          <w:color w:val="auto"/>
          <w:kern w:val="0"/>
          <w:sz w:val="24"/>
          <w:highlight w:val="none"/>
        </w:rPr>
        <w:t>膜</w:t>
      </w:r>
      <w:r>
        <w:rPr>
          <w:rFonts w:hint="eastAsia"/>
          <w:color w:val="auto"/>
          <w:kern w:val="0"/>
          <w:sz w:val="24"/>
          <w:highlight w:val="none"/>
        </w:rPr>
        <w:t>屏控制，可在线实时监测出水电导率、电阻率、水温等水质参数；实时监测各路耗材寿命使用状态，可根据不同规格灵活设定并调取使用记录；具备故障自动检测指示、自动诊断系统、水质超标报警、缺水、断电自动保护报警、系统缺水时自动报警停机、造水满后自动处于待机状态；具有漏水报警功能；</w:t>
      </w:r>
    </w:p>
    <w:p>
      <w:pPr>
        <w:widowControl/>
        <w:autoSpaceDE w:val="0"/>
        <w:autoSpaceDN w:val="0"/>
        <w:snapToGrid w:val="0"/>
        <w:spacing w:line="440" w:lineRule="exact"/>
        <w:rPr>
          <w:color w:val="auto"/>
          <w:kern w:val="0"/>
          <w:sz w:val="24"/>
          <w:highlight w:val="none"/>
        </w:rPr>
      </w:pPr>
      <w:r>
        <w:rPr>
          <w:rFonts w:hint="eastAsia"/>
          <w:color w:val="auto"/>
          <w:kern w:val="0"/>
          <w:sz w:val="24"/>
          <w:highlight w:val="none"/>
        </w:rPr>
        <w:t>3</w:t>
      </w:r>
      <w:r>
        <w:rPr>
          <w:color w:val="auto"/>
          <w:kern w:val="0"/>
          <w:sz w:val="24"/>
          <w:highlight w:val="none"/>
        </w:rPr>
        <w:t>.1.4</w:t>
      </w:r>
      <w:r>
        <w:rPr>
          <w:rFonts w:hint="eastAsia"/>
          <w:color w:val="auto"/>
          <w:kern w:val="0"/>
          <w:sz w:val="24"/>
          <w:highlight w:val="none"/>
        </w:rPr>
        <w:t>具有定时取水功能，可随意设置取水量并按键取水，达到相应水量后自动关闭，避免水满溢出现象；</w:t>
      </w:r>
    </w:p>
    <w:p>
      <w:pPr>
        <w:widowControl/>
        <w:autoSpaceDE w:val="0"/>
        <w:autoSpaceDN w:val="0"/>
        <w:snapToGrid w:val="0"/>
        <w:spacing w:line="440" w:lineRule="exact"/>
        <w:rPr>
          <w:color w:val="auto"/>
          <w:kern w:val="0"/>
          <w:sz w:val="24"/>
          <w:highlight w:val="none"/>
        </w:rPr>
      </w:pPr>
      <w:r>
        <w:rPr>
          <w:rFonts w:hint="eastAsia"/>
          <w:color w:val="auto"/>
          <w:kern w:val="0"/>
          <w:sz w:val="24"/>
          <w:highlight w:val="none"/>
        </w:rPr>
        <w:t>3</w:t>
      </w:r>
      <w:r>
        <w:rPr>
          <w:color w:val="auto"/>
          <w:kern w:val="0"/>
          <w:sz w:val="24"/>
          <w:highlight w:val="none"/>
        </w:rPr>
        <w:t>.1.5</w:t>
      </w:r>
      <w:r>
        <w:rPr>
          <w:rFonts w:hint="eastAsia"/>
          <w:color w:val="auto"/>
          <w:kern w:val="0"/>
          <w:sz w:val="24"/>
          <w:highlight w:val="none"/>
        </w:rPr>
        <w:t>企业通过</w:t>
      </w:r>
      <w:r>
        <w:rPr>
          <w:color w:val="auto"/>
          <w:kern w:val="0"/>
          <w:sz w:val="24"/>
          <w:highlight w:val="none"/>
        </w:rPr>
        <w:t>ISO45001</w:t>
      </w:r>
      <w:r>
        <w:rPr>
          <w:rFonts w:hint="eastAsia"/>
          <w:color w:val="auto"/>
          <w:kern w:val="0"/>
          <w:sz w:val="24"/>
          <w:highlight w:val="none"/>
        </w:rPr>
        <w:t>职业健康安全管理体系认证及</w:t>
      </w:r>
      <w:r>
        <w:rPr>
          <w:color w:val="auto"/>
          <w:kern w:val="0"/>
          <w:sz w:val="24"/>
          <w:highlight w:val="none"/>
        </w:rPr>
        <w:t>ISO14001</w:t>
      </w:r>
      <w:r>
        <w:rPr>
          <w:rFonts w:hint="eastAsia"/>
          <w:color w:val="auto"/>
          <w:kern w:val="0"/>
          <w:sz w:val="24"/>
          <w:highlight w:val="none"/>
        </w:rPr>
        <w:t>环境管理体系认证。</w:t>
      </w:r>
    </w:p>
    <w:p>
      <w:pPr>
        <w:widowControl/>
        <w:autoSpaceDE w:val="0"/>
        <w:autoSpaceDN w:val="0"/>
        <w:snapToGrid w:val="0"/>
        <w:spacing w:line="440" w:lineRule="exact"/>
        <w:rPr>
          <w:color w:val="auto"/>
          <w:kern w:val="0"/>
          <w:sz w:val="24"/>
          <w:highlight w:val="none"/>
        </w:rPr>
      </w:pPr>
      <w:r>
        <w:rPr>
          <w:color w:val="auto"/>
          <w:kern w:val="0"/>
          <w:sz w:val="24"/>
          <w:highlight w:val="none"/>
        </w:rPr>
        <w:t>3.2.</w:t>
      </w:r>
      <w:r>
        <w:rPr>
          <w:rFonts w:hint="eastAsia"/>
          <w:color w:val="auto"/>
          <w:kern w:val="0"/>
          <w:sz w:val="24"/>
          <w:highlight w:val="none"/>
        </w:rPr>
        <w:t>技术指标</w:t>
      </w:r>
    </w:p>
    <w:p>
      <w:pPr>
        <w:widowControl/>
        <w:autoSpaceDE w:val="0"/>
        <w:autoSpaceDN w:val="0"/>
        <w:snapToGrid w:val="0"/>
        <w:spacing w:line="440" w:lineRule="exact"/>
        <w:rPr>
          <w:color w:val="auto"/>
          <w:kern w:val="0"/>
          <w:sz w:val="24"/>
          <w:highlight w:val="none"/>
        </w:rPr>
      </w:pPr>
      <w:r>
        <w:rPr>
          <w:color w:val="auto"/>
          <w:kern w:val="0"/>
          <w:sz w:val="24"/>
          <w:highlight w:val="none"/>
        </w:rPr>
        <w:t>3.2.1</w:t>
      </w:r>
      <w:r>
        <w:rPr>
          <w:rFonts w:hint="eastAsia"/>
          <w:color w:val="auto"/>
          <w:kern w:val="0"/>
          <w:sz w:val="24"/>
          <w:highlight w:val="none"/>
        </w:rPr>
        <w:t>进水水源：城市自来水，水温</w:t>
      </w:r>
      <w:r>
        <w:rPr>
          <w:color w:val="auto"/>
          <w:kern w:val="0"/>
          <w:sz w:val="24"/>
          <w:highlight w:val="none"/>
        </w:rPr>
        <w:t>5-40℃</w:t>
      </w:r>
      <w:r>
        <w:rPr>
          <w:rFonts w:hint="eastAsia"/>
          <w:color w:val="auto"/>
          <w:kern w:val="0"/>
          <w:sz w:val="24"/>
          <w:highlight w:val="none"/>
        </w:rPr>
        <w:t xml:space="preserve">，水压1～6bar </w:t>
      </w:r>
      <w:r>
        <w:rPr>
          <w:color w:val="auto"/>
          <w:kern w:val="0"/>
          <w:sz w:val="24"/>
          <w:highlight w:val="none"/>
        </w:rPr>
        <w:t xml:space="preserve"> </w:t>
      </w:r>
      <w:r>
        <w:rPr>
          <w:rFonts w:hint="eastAsia"/>
          <w:color w:val="auto"/>
          <w:kern w:val="0"/>
          <w:sz w:val="24"/>
          <w:highlight w:val="none"/>
        </w:rPr>
        <w:t>，</w:t>
      </w:r>
      <w:r>
        <w:rPr>
          <w:color w:val="auto"/>
          <w:kern w:val="0"/>
          <w:sz w:val="24"/>
          <w:highlight w:val="none"/>
        </w:rPr>
        <w:t>TDS≤ 420ppm</w:t>
      </w:r>
      <w:r>
        <w:rPr>
          <w:rFonts w:hint="eastAsia"/>
          <w:color w:val="auto"/>
          <w:kern w:val="0"/>
          <w:sz w:val="24"/>
          <w:highlight w:val="none"/>
        </w:rPr>
        <w:t>。</w:t>
      </w:r>
    </w:p>
    <w:p>
      <w:pPr>
        <w:widowControl/>
        <w:autoSpaceDE w:val="0"/>
        <w:autoSpaceDN w:val="0"/>
        <w:snapToGrid w:val="0"/>
        <w:spacing w:line="440" w:lineRule="exact"/>
        <w:rPr>
          <w:color w:val="auto"/>
          <w:kern w:val="0"/>
          <w:sz w:val="24"/>
          <w:highlight w:val="none"/>
        </w:rPr>
      </w:pPr>
      <w:r>
        <w:rPr>
          <w:rFonts w:hint="eastAsia"/>
          <w:color w:val="auto"/>
          <w:sz w:val="24"/>
          <w:highlight w:val="none"/>
        </w:rPr>
        <w:t>★</w:t>
      </w:r>
      <w:r>
        <w:rPr>
          <w:color w:val="auto"/>
          <w:kern w:val="0"/>
          <w:sz w:val="24"/>
          <w:highlight w:val="none"/>
        </w:rPr>
        <w:t>3.2.2</w:t>
      </w:r>
      <w:r>
        <w:rPr>
          <w:rFonts w:hint="eastAsia"/>
          <w:color w:val="auto"/>
          <w:kern w:val="0"/>
          <w:sz w:val="24"/>
          <w:highlight w:val="none"/>
        </w:rPr>
        <w:t>出水水质</w:t>
      </w:r>
    </w:p>
    <w:p>
      <w:pPr>
        <w:widowControl/>
        <w:autoSpaceDE w:val="0"/>
        <w:autoSpaceDN w:val="0"/>
        <w:snapToGrid w:val="0"/>
        <w:spacing w:line="440" w:lineRule="exact"/>
        <w:rPr>
          <w:color w:val="auto"/>
          <w:kern w:val="0"/>
          <w:sz w:val="24"/>
          <w:highlight w:val="none"/>
        </w:rPr>
      </w:pPr>
      <w:r>
        <w:rPr>
          <w:color w:val="auto"/>
          <w:kern w:val="0"/>
          <w:sz w:val="24"/>
          <w:highlight w:val="none"/>
        </w:rPr>
        <w:t>RO</w:t>
      </w:r>
      <w:r>
        <w:rPr>
          <w:rFonts w:hint="eastAsia"/>
          <w:color w:val="auto"/>
          <w:kern w:val="0"/>
          <w:sz w:val="24"/>
          <w:highlight w:val="none"/>
        </w:rPr>
        <w:t>纯水水质：电导率≤</w:t>
      </w:r>
      <w:r>
        <w:rPr>
          <w:color w:val="auto"/>
          <w:kern w:val="0"/>
          <w:sz w:val="24"/>
          <w:highlight w:val="none"/>
        </w:rPr>
        <w:t>5μs/cm</w:t>
      </w:r>
      <w:r>
        <w:rPr>
          <w:rFonts w:hint="eastAsia"/>
          <w:color w:val="auto"/>
          <w:kern w:val="0"/>
          <w:sz w:val="24"/>
          <w:highlight w:val="none"/>
        </w:rPr>
        <w:t>（</w:t>
      </w:r>
      <w:r>
        <w:rPr>
          <w:color w:val="auto"/>
          <w:kern w:val="0"/>
          <w:sz w:val="24"/>
          <w:highlight w:val="none"/>
        </w:rPr>
        <w:t>25℃</w:t>
      </w:r>
      <w:r>
        <w:rPr>
          <w:rFonts w:hint="eastAsia"/>
          <w:color w:val="auto"/>
          <w:kern w:val="0"/>
          <w:sz w:val="24"/>
          <w:highlight w:val="none"/>
        </w:rPr>
        <w:t>）；电阻率≥</w:t>
      </w:r>
      <w:r>
        <w:rPr>
          <w:color w:val="auto"/>
          <w:kern w:val="0"/>
          <w:sz w:val="24"/>
          <w:highlight w:val="none"/>
        </w:rPr>
        <w:t>0.2MΩ/cm</w:t>
      </w:r>
      <w:r>
        <w:rPr>
          <w:rFonts w:hint="eastAsia"/>
          <w:color w:val="auto"/>
          <w:kern w:val="0"/>
          <w:sz w:val="24"/>
          <w:highlight w:val="none"/>
        </w:rPr>
        <w:t>（</w:t>
      </w:r>
      <w:r>
        <w:rPr>
          <w:color w:val="auto"/>
          <w:kern w:val="0"/>
          <w:sz w:val="24"/>
          <w:highlight w:val="none"/>
        </w:rPr>
        <w:t>25℃</w:t>
      </w:r>
      <w:r>
        <w:rPr>
          <w:rFonts w:hint="eastAsia"/>
          <w:color w:val="auto"/>
          <w:kern w:val="0"/>
          <w:sz w:val="24"/>
          <w:highlight w:val="none"/>
        </w:rPr>
        <w:t>）；微生物去除率：≥</w:t>
      </w:r>
      <w:r>
        <w:rPr>
          <w:color w:val="auto"/>
          <w:kern w:val="0"/>
          <w:sz w:val="24"/>
          <w:highlight w:val="none"/>
        </w:rPr>
        <w:t>99%</w:t>
      </w:r>
      <w:r>
        <w:rPr>
          <w:rFonts w:hint="eastAsia"/>
          <w:color w:val="auto"/>
          <w:kern w:val="0"/>
          <w:sz w:val="24"/>
          <w:highlight w:val="none"/>
        </w:rPr>
        <w:t>；有机物去除率：≥</w:t>
      </w:r>
      <w:r>
        <w:rPr>
          <w:color w:val="auto"/>
          <w:kern w:val="0"/>
          <w:sz w:val="24"/>
          <w:highlight w:val="none"/>
        </w:rPr>
        <w:t>99%</w:t>
      </w:r>
      <w:r>
        <w:rPr>
          <w:rFonts w:hint="eastAsia"/>
          <w:color w:val="auto"/>
          <w:kern w:val="0"/>
          <w:sz w:val="24"/>
          <w:highlight w:val="none"/>
        </w:rPr>
        <w:t>；无机离子去除率：≥</w:t>
      </w:r>
      <w:r>
        <w:rPr>
          <w:color w:val="auto"/>
          <w:kern w:val="0"/>
          <w:sz w:val="24"/>
          <w:highlight w:val="none"/>
        </w:rPr>
        <w:t>96%</w:t>
      </w:r>
      <w:r>
        <w:rPr>
          <w:rFonts w:hint="eastAsia"/>
          <w:color w:val="auto"/>
          <w:kern w:val="0"/>
          <w:sz w:val="24"/>
          <w:highlight w:val="none"/>
        </w:rPr>
        <w:t>；颗粒和细菌去除率：≥</w:t>
      </w:r>
      <w:r>
        <w:rPr>
          <w:color w:val="auto"/>
          <w:kern w:val="0"/>
          <w:sz w:val="24"/>
          <w:highlight w:val="none"/>
        </w:rPr>
        <w:t>99%</w:t>
      </w:r>
      <w:r>
        <w:rPr>
          <w:rFonts w:hint="eastAsia"/>
          <w:color w:val="auto"/>
          <w:kern w:val="0"/>
          <w:sz w:val="24"/>
          <w:highlight w:val="none"/>
        </w:rPr>
        <w:t>；水质标准优于中国国家分析实验室用水（</w:t>
      </w:r>
      <w:r>
        <w:rPr>
          <w:color w:val="auto"/>
          <w:kern w:val="0"/>
          <w:sz w:val="24"/>
          <w:highlight w:val="none"/>
        </w:rPr>
        <w:t>GB/T 6682-2008</w:t>
      </w:r>
      <w:r>
        <w:rPr>
          <w:rFonts w:hint="eastAsia"/>
          <w:color w:val="auto"/>
          <w:kern w:val="0"/>
          <w:sz w:val="24"/>
          <w:highlight w:val="none"/>
        </w:rPr>
        <w:t>）三级水标准。</w:t>
      </w:r>
    </w:p>
    <w:p>
      <w:pPr>
        <w:widowControl/>
        <w:autoSpaceDE w:val="0"/>
        <w:autoSpaceDN w:val="0"/>
        <w:snapToGrid w:val="0"/>
        <w:spacing w:line="440" w:lineRule="exact"/>
        <w:rPr>
          <w:color w:val="auto"/>
          <w:kern w:val="0"/>
          <w:sz w:val="24"/>
          <w:highlight w:val="none"/>
        </w:rPr>
      </w:pPr>
      <w:r>
        <w:rPr>
          <w:color w:val="auto"/>
          <w:kern w:val="0"/>
          <w:sz w:val="24"/>
          <w:highlight w:val="none"/>
        </w:rPr>
        <w:t>UP</w:t>
      </w:r>
      <w:r>
        <w:rPr>
          <w:rFonts w:hint="eastAsia"/>
          <w:color w:val="auto"/>
          <w:kern w:val="0"/>
          <w:sz w:val="24"/>
          <w:highlight w:val="none"/>
        </w:rPr>
        <w:t>超纯水水质：电导率≤</w:t>
      </w:r>
      <w:r>
        <w:rPr>
          <w:color w:val="auto"/>
          <w:kern w:val="0"/>
          <w:sz w:val="24"/>
          <w:highlight w:val="none"/>
        </w:rPr>
        <w:t>0.1μs/cm</w:t>
      </w:r>
      <w:r>
        <w:rPr>
          <w:rFonts w:hint="eastAsia"/>
          <w:color w:val="auto"/>
          <w:kern w:val="0"/>
          <w:sz w:val="24"/>
          <w:highlight w:val="none"/>
        </w:rPr>
        <w:t>（</w:t>
      </w:r>
      <w:r>
        <w:rPr>
          <w:color w:val="auto"/>
          <w:kern w:val="0"/>
          <w:sz w:val="24"/>
          <w:highlight w:val="none"/>
        </w:rPr>
        <w:t>25℃</w:t>
      </w:r>
      <w:r>
        <w:rPr>
          <w:rFonts w:hint="eastAsia"/>
          <w:color w:val="auto"/>
          <w:kern w:val="0"/>
          <w:sz w:val="24"/>
          <w:highlight w:val="none"/>
        </w:rPr>
        <w:t>）；电阻率≥</w:t>
      </w:r>
      <w:r>
        <w:rPr>
          <w:color w:val="auto"/>
          <w:kern w:val="0"/>
          <w:sz w:val="24"/>
          <w:highlight w:val="none"/>
        </w:rPr>
        <w:t>18.2MΩ/cm</w:t>
      </w:r>
      <w:r>
        <w:rPr>
          <w:rFonts w:hint="eastAsia"/>
          <w:color w:val="auto"/>
          <w:kern w:val="0"/>
          <w:sz w:val="24"/>
          <w:highlight w:val="none"/>
        </w:rPr>
        <w:t>（</w:t>
      </w:r>
      <w:r>
        <w:rPr>
          <w:color w:val="auto"/>
          <w:kern w:val="0"/>
          <w:sz w:val="24"/>
          <w:highlight w:val="none"/>
        </w:rPr>
        <w:t>25℃</w:t>
      </w:r>
      <w:r>
        <w:rPr>
          <w:rFonts w:hint="eastAsia"/>
          <w:color w:val="auto"/>
          <w:kern w:val="0"/>
          <w:sz w:val="24"/>
          <w:highlight w:val="none"/>
        </w:rPr>
        <w:t>）；优于中国实验室用水规格GB6682-2008一级水标准，可达到中国国家电子一级水标准；吸光度≤</w:t>
      </w:r>
      <w:r>
        <w:rPr>
          <w:color w:val="auto"/>
          <w:kern w:val="0"/>
          <w:sz w:val="24"/>
          <w:highlight w:val="none"/>
        </w:rPr>
        <w:t>0.001</w:t>
      </w:r>
      <w:r>
        <w:rPr>
          <w:rFonts w:hint="eastAsia"/>
          <w:color w:val="auto"/>
          <w:kern w:val="0"/>
          <w:sz w:val="24"/>
          <w:highlight w:val="none"/>
        </w:rPr>
        <w:t>（</w:t>
      </w:r>
      <w:r>
        <w:rPr>
          <w:color w:val="auto"/>
          <w:kern w:val="0"/>
          <w:sz w:val="24"/>
          <w:highlight w:val="none"/>
        </w:rPr>
        <w:t>254nm</w:t>
      </w:r>
      <w:r>
        <w:rPr>
          <w:rFonts w:hint="eastAsia"/>
          <w:color w:val="auto"/>
          <w:kern w:val="0"/>
          <w:sz w:val="24"/>
          <w:highlight w:val="none"/>
        </w:rPr>
        <w:t>，</w:t>
      </w:r>
      <w:r>
        <w:rPr>
          <w:color w:val="auto"/>
          <w:kern w:val="0"/>
          <w:sz w:val="24"/>
          <w:highlight w:val="none"/>
        </w:rPr>
        <w:t xml:space="preserve">1cm </w:t>
      </w:r>
      <w:r>
        <w:rPr>
          <w:rFonts w:hint="eastAsia"/>
          <w:color w:val="auto"/>
          <w:kern w:val="0"/>
          <w:sz w:val="24"/>
          <w:highlight w:val="none"/>
        </w:rPr>
        <w:t>光程）</w:t>
      </w:r>
      <w:r>
        <w:rPr>
          <w:color w:val="auto"/>
          <w:kern w:val="0"/>
          <w:sz w:val="24"/>
          <w:highlight w:val="none"/>
        </w:rPr>
        <w:t xml:space="preserve"> </w:t>
      </w:r>
      <w:r>
        <w:rPr>
          <w:rFonts w:hint="eastAsia"/>
          <w:color w:val="auto"/>
          <w:kern w:val="0"/>
          <w:sz w:val="24"/>
          <w:highlight w:val="none"/>
        </w:rPr>
        <w:t>可溶性硅以（</w:t>
      </w:r>
      <w:r>
        <w:rPr>
          <w:color w:val="auto"/>
          <w:kern w:val="0"/>
          <w:sz w:val="24"/>
          <w:highlight w:val="none"/>
        </w:rPr>
        <w:t>SiO2</w:t>
      </w:r>
      <w:r>
        <w:rPr>
          <w:rFonts w:hint="eastAsia"/>
          <w:color w:val="auto"/>
          <w:kern w:val="0"/>
          <w:sz w:val="24"/>
          <w:highlight w:val="none"/>
        </w:rPr>
        <w:t>）计≤</w:t>
      </w:r>
      <w:r>
        <w:rPr>
          <w:color w:val="auto"/>
          <w:kern w:val="0"/>
          <w:sz w:val="24"/>
          <w:highlight w:val="none"/>
        </w:rPr>
        <w:t xml:space="preserve"> 0.01mg/L</w:t>
      </w:r>
      <w:r>
        <w:rPr>
          <w:rFonts w:hint="eastAsia"/>
          <w:color w:val="auto"/>
          <w:kern w:val="0"/>
          <w:sz w:val="24"/>
          <w:highlight w:val="none"/>
        </w:rPr>
        <w:t>；颗粒（</w:t>
      </w:r>
      <w:r>
        <w:rPr>
          <w:color w:val="auto"/>
          <w:kern w:val="0"/>
          <w:sz w:val="24"/>
          <w:highlight w:val="none"/>
        </w:rPr>
        <w:t>0.22µm</w:t>
      </w:r>
      <w:r>
        <w:rPr>
          <w:rFonts w:hint="eastAsia"/>
          <w:color w:val="auto"/>
          <w:kern w:val="0"/>
          <w:sz w:val="24"/>
          <w:highlight w:val="none"/>
        </w:rPr>
        <w:t>）＜</w:t>
      </w:r>
      <w:r>
        <w:rPr>
          <w:color w:val="auto"/>
          <w:kern w:val="0"/>
          <w:sz w:val="24"/>
          <w:highlight w:val="none"/>
        </w:rPr>
        <w:t>1/ml</w:t>
      </w:r>
      <w:r>
        <w:rPr>
          <w:rFonts w:hint="eastAsia"/>
          <w:color w:val="auto"/>
          <w:kern w:val="0"/>
          <w:sz w:val="24"/>
          <w:highlight w:val="none"/>
        </w:rPr>
        <w:t>；微生物＜</w:t>
      </w:r>
      <w:r>
        <w:rPr>
          <w:color w:val="auto"/>
          <w:kern w:val="0"/>
          <w:sz w:val="24"/>
          <w:highlight w:val="none"/>
        </w:rPr>
        <w:t>1 CFU/ml</w:t>
      </w:r>
      <w:r>
        <w:rPr>
          <w:rFonts w:hint="eastAsia"/>
          <w:color w:val="auto"/>
          <w:kern w:val="0"/>
          <w:sz w:val="24"/>
          <w:highlight w:val="none"/>
        </w:rPr>
        <w:t>；热源＜</w:t>
      </w:r>
      <w:r>
        <w:rPr>
          <w:color w:val="auto"/>
          <w:kern w:val="0"/>
          <w:sz w:val="24"/>
          <w:highlight w:val="none"/>
        </w:rPr>
        <w:t>0.001EU/ml</w:t>
      </w:r>
      <w:r>
        <w:rPr>
          <w:rFonts w:hint="eastAsia"/>
          <w:color w:val="auto"/>
          <w:kern w:val="0"/>
          <w:sz w:val="24"/>
          <w:highlight w:val="none"/>
        </w:rPr>
        <w:t>；</w:t>
      </w:r>
      <w:r>
        <w:rPr>
          <w:color w:val="auto"/>
          <w:kern w:val="0"/>
          <w:sz w:val="24"/>
          <w:highlight w:val="none"/>
        </w:rPr>
        <w:t>TOC</w:t>
      </w:r>
      <w:r>
        <w:rPr>
          <w:rFonts w:hint="eastAsia"/>
          <w:color w:val="auto"/>
          <w:kern w:val="0"/>
          <w:sz w:val="24"/>
          <w:highlight w:val="none"/>
        </w:rPr>
        <w:t>≤</w:t>
      </w:r>
      <w:r>
        <w:rPr>
          <w:color w:val="auto"/>
          <w:kern w:val="0"/>
          <w:sz w:val="24"/>
          <w:highlight w:val="none"/>
        </w:rPr>
        <w:t>2ppb</w:t>
      </w:r>
      <w:r>
        <w:rPr>
          <w:rFonts w:hint="eastAsia"/>
          <w:color w:val="auto"/>
          <w:kern w:val="0"/>
          <w:sz w:val="24"/>
          <w:highlight w:val="none"/>
        </w:rPr>
        <w:t>。</w:t>
      </w:r>
    </w:p>
    <w:p>
      <w:pPr>
        <w:widowControl/>
        <w:autoSpaceDE w:val="0"/>
        <w:autoSpaceDN w:val="0"/>
        <w:snapToGrid w:val="0"/>
        <w:spacing w:line="440" w:lineRule="exact"/>
        <w:rPr>
          <w:color w:val="auto"/>
          <w:kern w:val="0"/>
          <w:sz w:val="24"/>
          <w:highlight w:val="none"/>
        </w:rPr>
      </w:pPr>
      <w:r>
        <w:rPr>
          <w:color w:val="auto"/>
          <w:kern w:val="0"/>
          <w:sz w:val="24"/>
          <w:highlight w:val="none"/>
        </w:rPr>
        <w:t>*3.2.3</w:t>
      </w:r>
      <w:r>
        <w:rPr>
          <w:rFonts w:hint="eastAsia"/>
          <w:color w:val="auto"/>
          <w:kern w:val="0"/>
          <w:sz w:val="24"/>
          <w:highlight w:val="none"/>
        </w:rPr>
        <w:t>制水量：≥</w:t>
      </w:r>
      <w:r>
        <w:rPr>
          <w:color w:val="auto"/>
          <w:kern w:val="0"/>
          <w:sz w:val="24"/>
          <w:highlight w:val="none"/>
        </w:rPr>
        <w:t>60L/</w:t>
      </w:r>
      <w:r>
        <w:rPr>
          <w:rFonts w:hint="eastAsia"/>
          <w:color w:val="auto"/>
          <w:kern w:val="0"/>
          <w:sz w:val="24"/>
          <w:highlight w:val="none"/>
        </w:rPr>
        <w:t>h；取水流速</w:t>
      </w:r>
      <w:r>
        <w:rPr>
          <w:color w:val="auto"/>
          <w:kern w:val="0"/>
          <w:sz w:val="24"/>
          <w:highlight w:val="none"/>
        </w:rPr>
        <w:t>≥1L/min</w:t>
      </w:r>
      <w:r>
        <w:rPr>
          <w:rFonts w:hint="eastAsia"/>
          <w:color w:val="auto"/>
          <w:kern w:val="0"/>
          <w:sz w:val="24"/>
          <w:highlight w:val="none"/>
        </w:rPr>
        <w:t>。</w:t>
      </w:r>
    </w:p>
    <w:p>
      <w:pPr>
        <w:widowControl/>
        <w:autoSpaceDE w:val="0"/>
        <w:autoSpaceDN w:val="0"/>
        <w:snapToGrid w:val="0"/>
        <w:spacing w:line="440" w:lineRule="exact"/>
        <w:rPr>
          <w:color w:val="auto"/>
          <w:kern w:val="0"/>
          <w:sz w:val="24"/>
          <w:highlight w:val="none"/>
        </w:rPr>
      </w:pPr>
      <w:r>
        <w:rPr>
          <w:color w:val="auto"/>
          <w:kern w:val="0"/>
          <w:sz w:val="24"/>
          <w:highlight w:val="none"/>
        </w:rPr>
        <w:t>*3.2.4</w:t>
      </w:r>
      <w:r>
        <w:rPr>
          <w:rFonts w:hint="eastAsia"/>
          <w:color w:val="auto"/>
          <w:kern w:val="0"/>
          <w:sz w:val="24"/>
          <w:highlight w:val="none"/>
        </w:rPr>
        <w:t>纯水机压力桶体积：≥</w:t>
      </w:r>
      <w:r>
        <w:rPr>
          <w:color w:val="auto"/>
          <w:kern w:val="0"/>
          <w:sz w:val="24"/>
          <w:highlight w:val="none"/>
        </w:rPr>
        <w:t>120L</w:t>
      </w:r>
      <w:r>
        <w:rPr>
          <w:rFonts w:hint="eastAsia"/>
          <w:color w:val="auto"/>
          <w:kern w:val="0"/>
          <w:sz w:val="24"/>
          <w:highlight w:val="none"/>
        </w:rPr>
        <w:t>。</w:t>
      </w:r>
    </w:p>
    <w:p>
      <w:pPr>
        <w:widowControl/>
        <w:autoSpaceDE w:val="0"/>
        <w:autoSpaceDN w:val="0"/>
        <w:snapToGrid w:val="0"/>
        <w:spacing w:line="440" w:lineRule="exact"/>
        <w:rPr>
          <w:b/>
          <w:bCs/>
          <w:color w:val="auto"/>
          <w:kern w:val="0"/>
          <w:sz w:val="24"/>
          <w:highlight w:val="none"/>
        </w:rPr>
      </w:pPr>
      <w:r>
        <w:rPr>
          <w:b/>
          <w:bCs/>
          <w:color w:val="auto"/>
          <w:kern w:val="0"/>
          <w:sz w:val="24"/>
          <w:highlight w:val="none"/>
        </w:rPr>
        <w:t>4.</w:t>
      </w:r>
      <w:r>
        <w:rPr>
          <w:rFonts w:hint="eastAsia"/>
          <w:b/>
          <w:bCs/>
          <w:color w:val="auto"/>
          <w:kern w:val="0"/>
          <w:sz w:val="24"/>
          <w:highlight w:val="none"/>
        </w:rPr>
        <w:t>仪器配置</w:t>
      </w:r>
    </w:p>
    <w:p>
      <w:pPr>
        <w:widowControl/>
        <w:autoSpaceDE w:val="0"/>
        <w:autoSpaceDN w:val="0"/>
        <w:snapToGrid w:val="0"/>
        <w:spacing w:line="440" w:lineRule="exact"/>
        <w:rPr>
          <w:color w:val="auto"/>
          <w:kern w:val="0"/>
          <w:sz w:val="24"/>
          <w:highlight w:val="none"/>
        </w:rPr>
      </w:pPr>
      <w:bookmarkStart w:id="159" w:name="OLE_LINK48"/>
      <w:r>
        <w:rPr>
          <w:color w:val="auto"/>
          <w:kern w:val="0"/>
          <w:sz w:val="24"/>
          <w:highlight w:val="none"/>
        </w:rPr>
        <w:t>4.1</w:t>
      </w:r>
      <w:r>
        <w:rPr>
          <w:rFonts w:hint="eastAsia"/>
          <w:color w:val="auto"/>
          <w:kern w:val="0"/>
          <w:sz w:val="24"/>
          <w:highlight w:val="none"/>
        </w:rPr>
        <w:t>实验用水制备仪</w:t>
      </w:r>
      <w:r>
        <w:rPr>
          <w:color w:val="auto"/>
          <w:kern w:val="0"/>
          <w:sz w:val="24"/>
          <w:highlight w:val="none"/>
        </w:rPr>
        <w:t>1</w:t>
      </w:r>
      <w:r>
        <w:rPr>
          <w:rFonts w:hint="eastAsia"/>
          <w:color w:val="auto"/>
          <w:kern w:val="0"/>
          <w:sz w:val="24"/>
          <w:highlight w:val="none"/>
        </w:rPr>
        <w:t>台。</w:t>
      </w:r>
    </w:p>
    <w:p>
      <w:pPr>
        <w:widowControl/>
        <w:autoSpaceDE w:val="0"/>
        <w:autoSpaceDN w:val="0"/>
        <w:snapToGrid w:val="0"/>
        <w:spacing w:line="440" w:lineRule="exact"/>
        <w:rPr>
          <w:color w:val="auto"/>
          <w:kern w:val="0"/>
          <w:sz w:val="24"/>
          <w:highlight w:val="none"/>
        </w:rPr>
      </w:pPr>
      <w:r>
        <w:rPr>
          <w:color w:val="auto"/>
          <w:kern w:val="0"/>
          <w:sz w:val="24"/>
          <w:highlight w:val="none"/>
        </w:rPr>
        <w:t>4.2</w:t>
      </w:r>
      <w:r>
        <w:rPr>
          <w:rFonts w:hint="eastAsia"/>
          <w:color w:val="auto"/>
          <w:kern w:val="0"/>
          <w:sz w:val="24"/>
          <w:highlight w:val="none"/>
        </w:rPr>
        <w:t>源水预处理组件（外置）</w:t>
      </w:r>
      <w:r>
        <w:rPr>
          <w:color w:val="auto"/>
          <w:kern w:val="0"/>
          <w:sz w:val="24"/>
          <w:highlight w:val="none"/>
        </w:rPr>
        <w:t>1</w:t>
      </w:r>
      <w:r>
        <w:rPr>
          <w:rFonts w:hint="eastAsia"/>
          <w:color w:val="auto"/>
          <w:kern w:val="0"/>
          <w:sz w:val="24"/>
          <w:highlight w:val="none"/>
        </w:rPr>
        <w:t>组。</w:t>
      </w:r>
    </w:p>
    <w:p>
      <w:pPr>
        <w:widowControl/>
        <w:autoSpaceDE w:val="0"/>
        <w:autoSpaceDN w:val="0"/>
        <w:snapToGrid w:val="0"/>
        <w:spacing w:line="440" w:lineRule="exact"/>
        <w:rPr>
          <w:color w:val="auto"/>
          <w:kern w:val="0"/>
          <w:sz w:val="24"/>
          <w:highlight w:val="none"/>
        </w:rPr>
      </w:pPr>
      <w:r>
        <w:rPr>
          <w:color w:val="auto"/>
          <w:kern w:val="0"/>
          <w:sz w:val="24"/>
          <w:highlight w:val="none"/>
        </w:rPr>
        <w:t>4.3</w:t>
      </w:r>
      <w:r>
        <w:rPr>
          <w:rFonts w:hint="eastAsia"/>
          <w:color w:val="auto"/>
          <w:kern w:val="0"/>
          <w:sz w:val="24"/>
          <w:highlight w:val="none"/>
        </w:rPr>
        <w:t>≥</w:t>
      </w:r>
      <w:r>
        <w:rPr>
          <w:color w:val="auto"/>
          <w:kern w:val="0"/>
          <w:sz w:val="24"/>
          <w:highlight w:val="none"/>
        </w:rPr>
        <w:t>120L</w:t>
      </w:r>
      <w:r>
        <w:rPr>
          <w:rFonts w:hint="eastAsia"/>
          <w:color w:val="auto"/>
          <w:kern w:val="0"/>
          <w:sz w:val="24"/>
          <w:highlight w:val="none"/>
        </w:rPr>
        <w:t>压力储水桶（外置）</w:t>
      </w:r>
      <w:r>
        <w:rPr>
          <w:color w:val="auto"/>
          <w:kern w:val="0"/>
          <w:sz w:val="24"/>
          <w:highlight w:val="none"/>
        </w:rPr>
        <w:t>1</w:t>
      </w:r>
      <w:r>
        <w:rPr>
          <w:rFonts w:hint="eastAsia"/>
          <w:color w:val="auto"/>
          <w:kern w:val="0"/>
          <w:sz w:val="24"/>
          <w:highlight w:val="none"/>
        </w:rPr>
        <w:t>个。</w:t>
      </w:r>
    </w:p>
    <w:p>
      <w:pPr>
        <w:widowControl/>
        <w:autoSpaceDE w:val="0"/>
        <w:autoSpaceDN w:val="0"/>
        <w:snapToGrid w:val="0"/>
        <w:spacing w:line="440" w:lineRule="exact"/>
        <w:rPr>
          <w:color w:val="auto"/>
          <w:kern w:val="0"/>
          <w:sz w:val="24"/>
          <w:highlight w:val="none"/>
        </w:rPr>
      </w:pPr>
      <w:r>
        <w:rPr>
          <w:color w:val="auto"/>
          <w:kern w:val="0"/>
          <w:sz w:val="24"/>
          <w:highlight w:val="none"/>
        </w:rPr>
        <w:t>4.4</w:t>
      </w:r>
      <w:r>
        <w:rPr>
          <w:rFonts w:hint="eastAsia"/>
          <w:color w:val="auto"/>
          <w:kern w:val="0"/>
          <w:sz w:val="24"/>
          <w:highlight w:val="none"/>
        </w:rPr>
        <w:t>整套原装</w:t>
      </w:r>
      <w:bookmarkEnd w:id="159"/>
      <w:r>
        <w:rPr>
          <w:rFonts w:hint="eastAsia"/>
          <w:color w:val="auto"/>
          <w:kern w:val="0"/>
          <w:sz w:val="24"/>
          <w:highlight w:val="none"/>
        </w:rPr>
        <w:t>纯水机耗材（包括主机耗材及预处理组件耗材）：</w:t>
      </w:r>
      <w:r>
        <w:rPr>
          <w:color w:val="auto"/>
          <w:kern w:val="0"/>
          <w:sz w:val="24"/>
          <w:highlight w:val="none"/>
        </w:rPr>
        <w:t>2</w:t>
      </w:r>
      <w:r>
        <w:rPr>
          <w:rFonts w:hint="eastAsia"/>
          <w:color w:val="auto"/>
          <w:kern w:val="0"/>
          <w:sz w:val="24"/>
          <w:highlight w:val="none"/>
        </w:rPr>
        <w:t>套。</w:t>
      </w:r>
    </w:p>
    <w:p>
      <w:pPr>
        <w:spacing w:line="440" w:lineRule="exact"/>
        <w:rPr>
          <w:color w:val="auto"/>
          <w:kern w:val="0"/>
          <w:sz w:val="24"/>
          <w:highlight w:val="none"/>
          <w:lang w:val="zh-CN"/>
        </w:rPr>
      </w:pPr>
      <w:r>
        <w:rPr>
          <w:color w:val="auto"/>
          <w:kern w:val="0"/>
          <w:sz w:val="24"/>
          <w:highlight w:val="none"/>
        </w:rPr>
        <w:t>4.5</w:t>
      </w:r>
      <w:r>
        <w:rPr>
          <w:rFonts w:hint="eastAsia"/>
          <w:color w:val="auto"/>
          <w:kern w:val="0"/>
          <w:sz w:val="24"/>
          <w:highlight w:val="none"/>
        </w:rPr>
        <w:t>溶解氧仪（荧光法）</w:t>
      </w:r>
      <w:r>
        <w:rPr>
          <w:color w:val="auto"/>
          <w:kern w:val="0"/>
          <w:sz w:val="24"/>
          <w:highlight w:val="none"/>
        </w:rPr>
        <w:t>1</w:t>
      </w:r>
      <w:r>
        <w:rPr>
          <w:rFonts w:hint="eastAsia"/>
          <w:color w:val="auto"/>
          <w:kern w:val="0"/>
          <w:sz w:val="24"/>
          <w:highlight w:val="none"/>
        </w:rPr>
        <w:t>套。包括</w:t>
      </w:r>
      <w:r>
        <w:rPr>
          <w:color w:val="auto"/>
          <w:sz w:val="24"/>
          <w:highlight w:val="none"/>
          <w:lang w:val="zh-CN"/>
        </w:rPr>
        <w:t>溶氧仪主机、溶解氧电极</w:t>
      </w:r>
      <w:r>
        <w:rPr>
          <w:rFonts w:hint="eastAsia"/>
          <w:color w:val="auto"/>
          <w:sz w:val="24"/>
          <w:highlight w:val="none"/>
          <w:lang w:val="zh-CN"/>
        </w:rPr>
        <w:t>（荧光法）</w:t>
      </w:r>
      <w:r>
        <w:rPr>
          <w:color w:val="auto"/>
          <w:sz w:val="24"/>
          <w:highlight w:val="none"/>
          <w:lang w:val="zh-CN"/>
        </w:rPr>
        <w:t>、1米长电极电缆、电池</w:t>
      </w:r>
      <w:r>
        <w:rPr>
          <w:rFonts w:hint="eastAsia"/>
          <w:color w:val="auto"/>
          <w:sz w:val="24"/>
          <w:highlight w:val="none"/>
          <w:lang w:val="zh-CN"/>
        </w:rPr>
        <w:t>。</w:t>
      </w:r>
    </w:p>
    <w:p>
      <w:pPr>
        <w:spacing w:line="440" w:lineRule="exact"/>
        <w:rPr>
          <w:color w:val="auto"/>
          <w:sz w:val="24"/>
          <w:highlight w:val="none"/>
          <w:lang w:val="zh-CN"/>
        </w:rPr>
      </w:pPr>
      <w:r>
        <w:rPr>
          <w:color w:val="auto"/>
          <w:sz w:val="24"/>
          <w:highlight w:val="none"/>
          <w:lang w:val="zh-CN"/>
        </w:rPr>
        <w:t>*4.5.1</w:t>
      </w:r>
      <w:r>
        <w:rPr>
          <w:rFonts w:hint="eastAsia"/>
          <w:color w:val="auto"/>
          <w:sz w:val="24"/>
          <w:highlight w:val="none"/>
          <w:lang w:val="zh-CN"/>
        </w:rPr>
        <w:t>测定方法为</w:t>
      </w:r>
      <w:r>
        <w:rPr>
          <w:rFonts w:hint="eastAsia"/>
          <w:color w:val="auto"/>
          <w:kern w:val="0"/>
          <w:sz w:val="24"/>
          <w:highlight w:val="none"/>
        </w:rPr>
        <w:t>荧光法，</w:t>
      </w:r>
      <w:r>
        <w:rPr>
          <w:color w:val="auto"/>
          <w:sz w:val="24"/>
          <w:highlight w:val="none"/>
          <w:lang w:val="zh-CN"/>
        </w:rPr>
        <w:t>支持读数锁定和故障自检信息提示功能</w:t>
      </w:r>
      <w:r>
        <w:rPr>
          <w:rFonts w:hint="eastAsia"/>
          <w:color w:val="auto"/>
          <w:sz w:val="24"/>
          <w:highlight w:val="none"/>
          <w:lang w:val="zh-CN"/>
        </w:rPr>
        <w:t>。</w:t>
      </w:r>
    </w:p>
    <w:p>
      <w:pPr>
        <w:spacing w:line="440" w:lineRule="exact"/>
        <w:rPr>
          <w:color w:val="auto"/>
          <w:sz w:val="24"/>
          <w:highlight w:val="none"/>
          <w:lang w:val="zh-CN"/>
        </w:rPr>
      </w:pPr>
      <w:r>
        <w:rPr>
          <w:rFonts w:hint="eastAsia"/>
          <w:color w:val="auto"/>
          <w:sz w:val="24"/>
          <w:highlight w:val="none"/>
          <w:lang w:val="zh-CN"/>
        </w:rPr>
        <w:t>*</w:t>
      </w:r>
      <w:r>
        <w:rPr>
          <w:color w:val="auto"/>
          <w:sz w:val="24"/>
          <w:highlight w:val="none"/>
          <w:lang w:val="zh-CN"/>
        </w:rPr>
        <w:t>4.5.2溶解氧</w:t>
      </w:r>
      <w:r>
        <w:rPr>
          <w:rFonts w:hint="eastAsia"/>
          <w:color w:val="auto"/>
          <w:sz w:val="24"/>
          <w:highlight w:val="none"/>
          <w:lang w:val="zh-CN"/>
        </w:rPr>
        <w:t>：</w:t>
      </w:r>
      <w:r>
        <w:rPr>
          <w:color w:val="auto"/>
          <w:sz w:val="24"/>
          <w:highlight w:val="none"/>
          <w:lang w:val="zh-CN"/>
        </w:rPr>
        <w:t>测量范围0.0</w:t>
      </w:r>
      <w:r>
        <w:rPr>
          <w:rFonts w:hint="eastAsia"/>
          <w:color w:val="auto"/>
          <w:sz w:val="24"/>
          <w:highlight w:val="none"/>
          <w:lang w:val="zh-CN"/>
        </w:rPr>
        <w:t>1</w:t>
      </w:r>
      <w:r>
        <w:rPr>
          <w:color w:val="auto"/>
          <w:sz w:val="24"/>
          <w:highlight w:val="none"/>
          <w:lang w:val="zh-CN"/>
        </w:rPr>
        <w:t>~20.00 mg/L</w:t>
      </w:r>
      <w:r>
        <w:rPr>
          <w:rFonts w:hint="eastAsia"/>
          <w:color w:val="auto"/>
          <w:sz w:val="24"/>
          <w:highlight w:val="none"/>
          <w:lang w:val="zh-CN"/>
        </w:rPr>
        <w:t>，0</w:t>
      </w:r>
      <w:r>
        <w:rPr>
          <w:color w:val="auto"/>
          <w:sz w:val="24"/>
          <w:highlight w:val="none"/>
          <w:lang w:val="zh-CN"/>
        </w:rPr>
        <w:t xml:space="preserve">~200% </w:t>
      </w:r>
      <w:r>
        <w:rPr>
          <w:rFonts w:hint="eastAsia"/>
          <w:color w:val="auto"/>
          <w:sz w:val="24"/>
          <w:highlight w:val="none"/>
          <w:lang w:val="zh-CN"/>
        </w:rPr>
        <w:t>饱和度；</w:t>
      </w:r>
      <w:r>
        <w:rPr>
          <w:color w:val="auto"/>
          <w:sz w:val="24"/>
          <w:highlight w:val="none"/>
          <w:lang w:val="zh-CN"/>
        </w:rPr>
        <w:t>分辨率</w:t>
      </w:r>
      <w:r>
        <w:rPr>
          <w:rFonts w:hint="eastAsia"/>
          <w:color w:val="auto"/>
          <w:sz w:val="24"/>
          <w:highlight w:val="none"/>
          <w:lang w:val="zh-CN"/>
        </w:rPr>
        <w:t>≤</w:t>
      </w:r>
      <w:r>
        <w:rPr>
          <w:color w:val="auto"/>
          <w:sz w:val="24"/>
          <w:highlight w:val="none"/>
          <w:lang w:val="zh-CN"/>
        </w:rPr>
        <w:t>0.01 mg/</w:t>
      </w:r>
      <w:r>
        <w:rPr>
          <w:rFonts w:hint="eastAsia"/>
          <w:color w:val="auto"/>
          <w:sz w:val="24"/>
          <w:highlight w:val="none"/>
          <w:lang w:val="zh-CN"/>
        </w:rPr>
        <w:t>L</w:t>
      </w:r>
      <w:r>
        <w:rPr>
          <w:color w:val="auto"/>
          <w:sz w:val="24"/>
          <w:highlight w:val="none"/>
          <w:lang w:val="zh-CN"/>
        </w:rPr>
        <w:t xml:space="preserve"> (ppm)</w:t>
      </w:r>
      <w:r>
        <w:rPr>
          <w:rFonts w:hint="eastAsia"/>
          <w:color w:val="auto"/>
          <w:sz w:val="24"/>
          <w:highlight w:val="none"/>
          <w:lang w:val="zh-CN"/>
        </w:rPr>
        <w:t>；准确度</w:t>
      </w:r>
      <w:r>
        <w:rPr>
          <w:color w:val="auto"/>
          <w:sz w:val="24"/>
          <w:highlight w:val="none"/>
          <w:lang w:val="zh-CN"/>
        </w:rPr>
        <w:t>0.1~8 mg/L</w:t>
      </w:r>
      <w:r>
        <w:rPr>
          <w:rFonts w:hint="eastAsia"/>
          <w:color w:val="auto"/>
          <w:sz w:val="24"/>
          <w:highlight w:val="none"/>
          <w:lang w:val="zh-CN"/>
        </w:rPr>
        <w:t>时，≤</w:t>
      </w:r>
      <w:r>
        <w:rPr>
          <w:color w:val="auto"/>
          <w:sz w:val="24"/>
          <w:highlight w:val="none"/>
          <w:lang w:val="zh-CN"/>
        </w:rPr>
        <w:t xml:space="preserve"> ±0.1 mg/L</w:t>
      </w:r>
      <w:r>
        <w:rPr>
          <w:rFonts w:hint="eastAsia"/>
          <w:color w:val="auto"/>
          <w:sz w:val="24"/>
          <w:highlight w:val="none"/>
          <w:lang w:val="zh-CN"/>
        </w:rPr>
        <w:t>；大于</w:t>
      </w:r>
      <w:r>
        <w:rPr>
          <w:color w:val="auto"/>
          <w:sz w:val="24"/>
          <w:highlight w:val="none"/>
          <w:lang w:val="zh-CN"/>
        </w:rPr>
        <w:t>8.0 mg/L</w:t>
      </w:r>
      <w:r>
        <w:rPr>
          <w:rFonts w:hint="eastAsia"/>
          <w:color w:val="auto"/>
          <w:sz w:val="24"/>
          <w:highlight w:val="none"/>
          <w:lang w:val="zh-CN"/>
        </w:rPr>
        <w:t>时，≤</w:t>
      </w:r>
      <w:r>
        <w:rPr>
          <w:color w:val="auto"/>
          <w:sz w:val="24"/>
          <w:highlight w:val="none"/>
          <w:lang w:val="zh-CN"/>
        </w:rPr>
        <w:t>±0.2 mg/L</w:t>
      </w:r>
      <w:r>
        <w:rPr>
          <w:rFonts w:hint="eastAsia"/>
          <w:color w:val="auto"/>
          <w:sz w:val="24"/>
          <w:highlight w:val="none"/>
          <w:lang w:val="zh-CN"/>
        </w:rPr>
        <w:t>；</w:t>
      </w:r>
    </w:p>
    <w:p>
      <w:pPr>
        <w:spacing w:line="440" w:lineRule="exact"/>
        <w:rPr>
          <w:color w:val="auto"/>
          <w:sz w:val="24"/>
          <w:highlight w:val="none"/>
          <w:lang w:val="zh-CN"/>
        </w:rPr>
      </w:pPr>
      <w:r>
        <w:rPr>
          <w:color w:val="auto"/>
          <w:sz w:val="24"/>
          <w:highlight w:val="none"/>
          <w:lang w:val="zh-CN"/>
        </w:rPr>
        <w:t>*4.5.3温度：测量范围0.0 - 50.0°C</w:t>
      </w:r>
      <w:r>
        <w:rPr>
          <w:rFonts w:hint="eastAsia"/>
          <w:color w:val="auto"/>
          <w:sz w:val="24"/>
          <w:highlight w:val="none"/>
          <w:lang w:val="zh-CN"/>
        </w:rPr>
        <w:t>；</w:t>
      </w:r>
      <w:r>
        <w:rPr>
          <w:color w:val="auto"/>
          <w:sz w:val="24"/>
          <w:highlight w:val="none"/>
          <w:lang w:val="zh-CN"/>
        </w:rPr>
        <w:t>分辨率</w:t>
      </w:r>
      <w:r>
        <w:rPr>
          <w:rFonts w:hint="eastAsia"/>
          <w:color w:val="auto"/>
          <w:sz w:val="24"/>
          <w:highlight w:val="none"/>
          <w:lang w:val="zh-CN"/>
        </w:rPr>
        <w:t>≤</w:t>
      </w:r>
      <w:r>
        <w:rPr>
          <w:color w:val="auto"/>
          <w:sz w:val="24"/>
          <w:highlight w:val="none"/>
          <w:lang w:val="zh-CN"/>
        </w:rPr>
        <w:t>0.1℃</w:t>
      </w:r>
      <w:r>
        <w:rPr>
          <w:rFonts w:hint="eastAsia"/>
          <w:color w:val="auto"/>
          <w:sz w:val="24"/>
          <w:highlight w:val="none"/>
          <w:lang w:val="zh-CN"/>
        </w:rPr>
        <w:t>；准确度≤</w:t>
      </w:r>
      <w:r>
        <w:rPr>
          <w:color w:val="auto"/>
          <w:sz w:val="24"/>
          <w:highlight w:val="none"/>
          <w:lang w:val="zh-CN"/>
        </w:rPr>
        <w:t>±0.3℃</w:t>
      </w:r>
      <w:r>
        <w:rPr>
          <w:rFonts w:hint="eastAsia"/>
          <w:color w:val="auto"/>
          <w:sz w:val="24"/>
          <w:highlight w:val="none"/>
          <w:lang w:val="zh-CN"/>
        </w:rPr>
        <w:t>；</w:t>
      </w:r>
    </w:p>
    <w:p>
      <w:pPr>
        <w:spacing w:line="440" w:lineRule="exact"/>
        <w:rPr>
          <w:color w:val="auto"/>
          <w:sz w:val="24"/>
          <w:highlight w:val="none"/>
          <w:lang w:val="zh-CN"/>
        </w:rPr>
      </w:pPr>
      <w:r>
        <w:rPr>
          <w:color w:val="auto"/>
          <w:sz w:val="24"/>
          <w:highlight w:val="none"/>
          <w:lang w:val="zh-CN"/>
        </w:rPr>
        <w:t>4.5.4温度</w:t>
      </w:r>
      <w:r>
        <w:rPr>
          <w:rFonts w:hint="eastAsia"/>
          <w:color w:val="auto"/>
          <w:sz w:val="24"/>
          <w:highlight w:val="none"/>
          <w:lang w:val="zh-CN"/>
        </w:rPr>
        <w:t>校正：关闭、自动和手动可选择；</w:t>
      </w:r>
    </w:p>
    <w:p>
      <w:pPr>
        <w:spacing w:line="440" w:lineRule="exact"/>
        <w:rPr>
          <w:color w:val="auto"/>
          <w:sz w:val="24"/>
          <w:highlight w:val="none"/>
          <w:lang w:val="zh-CN"/>
        </w:rPr>
      </w:pPr>
      <w:r>
        <w:rPr>
          <w:color w:val="auto"/>
          <w:sz w:val="24"/>
          <w:highlight w:val="none"/>
          <w:lang w:val="zh-CN"/>
        </w:rPr>
        <w:t>4.5.5显示：可显示</w:t>
      </w:r>
      <w:r>
        <w:rPr>
          <w:rFonts w:hint="eastAsia"/>
          <w:color w:val="auto"/>
          <w:sz w:val="24"/>
          <w:highlight w:val="none"/>
          <w:lang w:val="zh-CN"/>
        </w:rPr>
        <w:t>溶解氧、</w:t>
      </w:r>
      <w:r>
        <w:rPr>
          <w:color w:val="auto"/>
          <w:sz w:val="24"/>
          <w:highlight w:val="none"/>
          <w:lang w:val="zh-CN"/>
        </w:rPr>
        <w:t>温度</w:t>
      </w:r>
      <w:r>
        <w:rPr>
          <w:rFonts w:hint="eastAsia"/>
          <w:color w:val="auto"/>
          <w:sz w:val="24"/>
          <w:highlight w:val="none"/>
          <w:lang w:val="zh-CN"/>
        </w:rPr>
        <w:t>；</w:t>
      </w:r>
    </w:p>
    <w:p>
      <w:pPr>
        <w:spacing w:line="440" w:lineRule="exact"/>
        <w:rPr>
          <w:color w:val="auto"/>
          <w:sz w:val="24"/>
          <w:highlight w:val="none"/>
          <w:lang w:val="zh-CN"/>
        </w:rPr>
      </w:pPr>
      <w:r>
        <w:rPr>
          <w:color w:val="auto"/>
          <w:sz w:val="24"/>
          <w:highlight w:val="none"/>
          <w:lang w:val="zh-CN"/>
        </w:rPr>
        <w:t>4.5.6数据内存</w:t>
      </w:r>
      <w:r>
        <w:rPr>
          <w:rFonts w:hint="eastAsia"/>
          <w:color w:val="auto"/>
          <w:sz w:val="24"/>
          <w:highlight w:val="none"/>
          <w:lang w:val="zh-CN"/>
        </w:rPr>
        <w:t>：≥</w:t>
      </w:r>
      <w:r>
        <w:rPr>
          <w:color w:val="auto"/>
          <w:sz w:val="24"/>
          <w:highlight w:val="none"/>
          <w:lang w:val="zh-CN"/>
        </w:rPr>
        <w:t>500</w:t>
      </w:r>
      <w:r>
        <w:rPr>
          <w:rFonts w:hint="eastAsia"/>
          <w:color w:val="auto"/>
          <w:sz w:val="24"/>
          <w:highlight w:val="none"/>
          <w:lang w:val="zh-CN"/>
        </w:rPr>
        <w:t>0</w:t>
      </w:r>
      <w:r>
        <w:rPr>
          <w:color w:val="auto"/>
          <w:sz w:val="24"/>
          <w:highlight w:val="none"/>
          <w:lang w:val="zh-CN"/>
        </w:rPr>
        <w:t xml:space="preserve"> 组数据</w:t>
      </w:r>
      <w:r>
        <w:rPr>
          <w:rFonts w:hint="eastAsia"/>
          <w:color w:val="auto"/>
          <w:sz w:val="24"/>
          <w:highlight w:val="none"/>
          <w:lang w:val="zh-CN"/>
        </w:rPr>
        <w:t>；</w:t>
      </w:r>
    </w:p>
    <w:p>
      <w:pPr>
        <w:spacing w:line="440" w:lineRule="exact"/>
        <w:rPr>
          <w:color w:val="auto"/>
          <w:sz w:val="24"/>
          <w:highlight w:val="none"/>
        </w:rPr>
      </w:pPr>
      <w:r>
        <w:rPr>
          <w:color w:val="auto"/>
          <w:sz w:val="24"/>
          <w:highlight w:val="none"/>
        </w:rPr>
        <w:t xml:space="preserve">4.6 </w:t>
      </w:r>
      <w:r>
        <w:rPr>
          <w:rFonts w:hint="eastAsia"/>
          <w:color w:val="auto"/>
          <w:sz w:val="24"/>
          <w:highlight w:val="none"/>
        </w:rPr>
        <w:t>电导率仪（实验室）2套。每套应包括电导率仪、铂黑电极、温度传感器、多功能电极架、通用电源</w:t>
      </w:r>
      <w:r>
        <w:rPr>
          <w:color w:val="auto"/>
          <w:sz w:val="24"/>
          <w:highlight w:val="none"/>
        </w:rPr>
        <w:t>(9VDC，800mA，</w:t>
      </w:r>
      <w:r>
        <w:rPr>
          <w:rFonts w:hint="eastAsia"/>
          <w:color w:val="auto"/>
          <w:sz w:val="24"/>
          <w:highlight w:val="none"/>
        </w:rPr>
        <w:t>内正外负）、</w:t>
      </w:r>
      <w:r>
        <w:rPr>
          <w:color w:val="auto"/>
          <w:sz w:val="24"/>
          <w:highlight w:val="none"/>
        </w:rPr>
        <w:t>USB</w:t>
      </w:r>
      <w:r>
        <w:rPr>
          <w:rFonts w:hint="eastAsia"/>
          <w:color w:val="auto"/>
          <w:sz w:val="24"/>
          <w:highlight w:val="none"/>
        </w:rPr>
        <w:t>接口连接线、数据采集软件、防尘罩。</w:t>
      </w:r>
    </w:p>
    <w:p>
      <w:pPr>
        <w:spacing w:line="440" w:lineRule="exact"/>
        <w:jc w:val="left"/>
        <w:rPr>
          <w:color w:val="auto"/>
          <w:sz w:val="24"/>
          <w:highlight w:val="none"/>
        </w:rPr>
      </w:pPr>
      <w:r>
        <w:rPr>
          <w:color w:val="auto"/>
          <w:sz w:val="24"/>
          <w:highlight w:val="none"/>
        </w:rPr>
        <w:t>4.6.1</w:t>
      </w:r>
      <w:r>
        <w:rPr>
          <w:rFonts w:hint="eastAsia"/>
          <w:color w:val="auto"/>
          <w:sz w:val="24"/>
          <w:highlight w:val="none"/>
        </w:rPr>
        <w:t>测量参数：电导率、电阻率、</w:t>
      </w:r>
      <w:r>
        <w:rPr>
          <w:color w:val="auto"/>
          <w:sz w:val="24"/>
          <w:highlight w:val="none"/>
        </w:rPr>
        <w:t>TDS</w:t>
      </w:r>
      <w:r>
        <w:rPr>
          <w:rFonts w:hint="eastAsia"/>
          <w:color w:val="auto"/>
          <w:sz w:val="24"/>
          <w:highlight w:val="none"/>
        </w:rPr>
        <w:t>、盐度值、温度值；</w:t>
      </w:r>
    </w:p>
    <w:p>
      <w:pPr>
        <w:spacing w:line="440" w:lineRule="exact"/>
        <w:jc w:val="left"/>
        <w:rPr>
          <w:color w:val="auto"/>
          <w:sz w:val="24"/>
          <w:highlight w:val="none"/>
        </w:rPr>
      </w:pPr>
      <w:r>
        <w:rPr>
          <w:color w:val="auto"/>
          <w:sz w:val="24"/>
          <w:highlight w:val="none"/>
        </w:rPr>
        <w:t>4.6.2</w:t>
      </w:r>
      <w:r>
        <w:rPr>
          <w:rFonts w:hint="eastAsia"/>
          <w:color w:val="auto"/>
          <w:sz w:val="24"/>
          <w:highlight w:val="none"/>
        </w:rPr>
        <w:t>测量范围：电导率</w:t>
      </w:r>
      <w:r>
        <w:rPr>
          <w:color w:val="auto"/>
          <w:sz w:val="24"/>
          <w:highlight w:val="none"/>
        </w:rPr>
        <w:t>0.000</w:t>
      </w:r>
      <w:r>
        <w:rPr>
          <w:rFonts w:hint="eastAsia"/>
          <w:color w:val="auto"/>
          <w:sz w:val="24"/>
          <w:highlight w:val="none"/>
        </w:rPr>
        <w:t>μ</w:t>
      </w:r>
      <w:r>
        <w:rPr>
          <w:color w:val="auto"/>
          <w:sz w:val="24"/>
          <w:highlight w:val="none"/>
        </w:rPr>
        <w:t>S/cm</w:t>
      </w:r>
      <w:r>
        <w:rPr>
          <w:rFonts w:hint="eastAsia"/>
          <w:color w:val="auto"/>
          <w:sz w:val="24"/>
          <w:highlight w:val="none"/>
        </w:rPr>
        <w:t>～</w:t>
      </w:r>
      <w:r>
        <w:rPr>
          <w:color w:val="auto"/>
          <w:sz w:val="24"/>
          <w:highlight w:val="none"/>
        </w:rPr>
        <w:t xml:space="preserve">199.9mS/cm; </w:t>
      </w:r>
      <w:r>
        <w:rPr>
          <w:rFonts w:hint="eastAsia"/>
          <w:color w:val="auto"/>
          <w:sz w:val="24"/>
          <w:highlight w:val="none"/>
        </w:rPr>
        <w:t>电阻率</w:t>
      </w:r>
      <w:r>
        <w:rPr>
          <w:color w:val="auto"/>
          <w:sz w:val="24"/>
          <w:highlight w:val="none"/>
        </w:rPr>
        <w:t>5.00</w:t>
      </w:r>
      <w:r>
        <w:rPr>
          <w:rFonts w:hint="eastAsia"/>
          <w:color w:val="auto"/>
          <w:sz w:val="24"/>
          <w:highlight w:val="none"/>
        </w:rPr>
        <w:t>Ω</w:t>
      </w:r>
      <w:r>
        <w:rPr>
          <w:color w:val="auto"/>
          <w:sz w:val="24"/>
          <w:highlight w:val="none"/>
        </w:rPr>
        <w:t>.cm~20.00M</w:t>
      </w:r>
      <w:r>
        <w:rPr>
          <w:rFonts w:hint="eastAsia"/>
          <w:color w:val="auto"/>
          <w:sz w:val="24"/>
          <w:highlight w:val="none"/>
        </w:rPr>
        <w:t>Ω</w:t>
      </w:r>
      <w:r>
        <w:rPr>
          <w:color w:val="auto"/>
          <w:sz w:val="24"/>
          <w:highlight w:val="none"/>
        </w:rPr>
        <w:t>.cm; TDS 0.000 mg/L</w:t>
      </w:r>
      <w:r>
        <w:rPr>
          <w:rFonts w:hint="eastAsia"/>
          <w:color w:val="auto"/>
          <w:sz w:val="24"/>
          <w:highlight w:val="none"/>
        </w:rPr>
        <w:t>～</w:t>
      </w:r>
      <w:r>
        <w:rPr>
          <w:color w:val="auto"/>
          <w:sz w:val="24"/>
          <w:highlight w:val="none"/>
        </w:rPr>
        <w:t xml:space="preserve">99.9g/L; </w:t>
      </w:r>
      <w:r>
        <w:rPr>
          <w:rFonts w:hint="eastAsia"/>
          <w:color w:val="auto"/>
          <w:sz w:val="24"/>
          <w:highlight w:val="none"/>
        </w:rPr>
        <w:t>盐度</w:t>
      </w:r>
      <w:r>
        <w:rPr>
          <w:color w:val="auto"/>
          <w:sz w:val="24"/>
          <w:highlight w:val="none"/>
        </w:rPr>
        <w:t xml:space="preserve"> (0.00</w:t>
      </w:r>
      <w:r>
        <w:rPr>
          <w:rFonts w:hint="eastAsia"/>
          <w:color w:val="auto"/>
          <w:sz w:val="24"/>
          <w:highlight w:val="none"/>
        </w:rPr>
        <w:t>～</w:t>
      </w:r>
      <w:r>
        <w:rPr>
          <w:color w:val="auto"/>
          <w:sz w:val="24"/>
          <w:highlight w:val="none"/>
        </w:rPr>
        <w:t>8.00)%</w:t>
      </w:r>
      <w:r>
        <w:rPr>
          <w:rFonts w:hint="eastAsia"/>
          <w:color w:val="auto"/>
          <w:sz w:val="24"/>
          <w:highlight w:val="none"/>
        </w:rPr>
        <w:t>；温度（</w:t>
      </w:r>
      <w:r>
        <w:rPr>
          <w:color w:val="auto"/>
          <w:sz w:val="24"/>
          <w:highlight w:val="none"/>
        </w:rPr>
        <w:t>-5.0</w:t>
      </w:r>
      <w:r>
        <w:rPr>
          <w:rFonts w:hint="eastAsia"/>
          <w:color w:val="auto"/>
          <w:sz w:val="24"/>
          <w:highlight w:val="none"/>
        </w:rPr>
        <w:t>～</w:t>
      </w:r>
      <w:r>
        <w:rPr>
          <w:color w:val="auto"/>
          <w:sz w:val="24"/>
          <w:highlight w:val="none"/>
        </w:rPr>
        <w:t>110.0</w:t>
      </w:r>
      <w:r>
        <w:rPr>
          <w:rFonts w:hint="eastAsia"/>
          <w:color w:val="auto"/>
          <w:sz w:val="24"/>
          <w:highlight w:val="none"/>
        </w:rPr>
        <w:t>）℃；</w:t>
      </w:r>
    </w:p>
    <w:p>
      <w:pPr>
        <w:spacing w:line="440" w:lineRule="exact"/>
        <w:jc w:val="left"/>
        <w:rPr>
          <w:color w:val="auto"/>
          <w:sz w:val="24"/>
          <w:highlight w:val="none"/>
        </w:rPr>
      </w:pPr>
      <w:r>
        <w:rPr>
          <w:rFonts w:hint="eastAsia"/>
          <w:color w:val="auto"/>
          <w:sz w:val="24"/>
          <w:highlight w:val="none"/>
        </w:rPr>
        <w:t>*</w:t>
      </w:r>
      <w:r>
        <w:rPr>
          <w:color w:val="auto"/>
          <w:sz w:val="24"/>
          <w:highlight w:val="none"/>
        </w:rPr>
        <w:t>4.6.3</w:t>
      </w:r>
      <w:r>
        <w:rPr>
          <w:rFonts w:hint="eastAsia"/>
          <w:color w:val="auto"/>
          <w:sz w:val="24"/>
          <w:highlight w:val="none"/>
        </w:rPr>
        <w:t>基本误差</w:t>
      </w:r>
      <w:r>
        <w:rPr>
          <w:color w:val="auto"/>
          <w:sz w:val="24"/>
          <w:highlight w:val="none"/>
        </w:rPr>
        <w:t xml:space="preserve">： </w:t>
      </w:r>
      <w:r>
        <w:rPr>
          <w:rFonts w:hint="eastAsia"/>
          <w:color w:val="auto"/>
          <w:sz w:val="24"/>
          <w:highlight w:val="none"/>
        </w:rPr>
        <w:t>电导率</w:t>
      </w:r>
      <w:r>
        <w:rPr>
          <w:color w:val="auto"/>
          <w:sz w:val="24"/>
          <w:highlight w:val="none"/>
        </w:rPr>
        <w:t>：</w:t>
      </w:r>
      <w:r>
        <w:rPr>
          <w:rFonts w:hint="eastAsia"/>
          <w:color w:val="auto"/>
          <w:sz w:val="24"/>
          <w:highlight w:val="none"/>
        </w:rPr>
        <w:t>±</w:t>
      </w:r>
      <w:r>
        <w:rPr>
          <w:color w:val="auto"/>
          <w:sz w:val="24"/>
          <w:highlight w:val="none"/>
        </w:rPr>
        <w:t>0.5%</w:t>
      </w:r>
      <w:r>
        <w:rPr>
          <w:rFonts w:hint="eastAsia"/>
          <w:color w:val="auto"/>
          <w:sz w:val="24"/>
          <w:highlight w:val="none"/>
        </w:rPr>
        <w:t>（</w:t>
      </w:r>
      <w:r>
        <w:rPr>
          <w:color w:val="auto"/>
          <w:sz w:val="24"/>
          <w:highlight w:val="none"/>
        </w:rPr>
        <w:t>FS</w:t>
      </w:r>
      <w:r>
        <w:rPr>
          <w:rFonts w:hint="eastAsia"/>
          <w:color w:val="auto"/>
          <w:sz w:val="24"/>
          <w:highlight w:val="none"/>
        </w:rPr>
        <w:t>）；</w:t>
      </w:r>
      <w:r>
        <w:rPr>
          <w:color w:val="auto"/>
          <w:sz w:val="24"/>
          <w:highlight w:val="none"/>
        </w:rPr>
        <w:t>TDS：</w:t>
      </w:r>
      <w:r>
        <w:rPr>
          <w:rFonts w:hint="eastAsia"/>
          <w:color w:val="auto"/>
          <w:sz w:val="24"/>
          <w:highlight w:val="none"/>
        </w:rPr>
        <w:t>±</w:t>
      </w:r>
      <w:r>
        <w:rPr>
          <w:color w:val="auto"/>
          <w:sz w:val="24"/>
          <w:highlight w:val="none"/>
        </w:rPr>
        <w:t>0.5%</w:t>
      </w:r>
      <w:r>
        <w:rPr>
          <w:rFonts w:hint="eastAsia"/>
          <w:color w:val="auto"/>
          <w:sz w:val="24"/>
          <w:highlight w:val="none"/>
        </w:rPr>
        <w:t>（</w:t>
      </w:r>
      <w:r>
        <w:rPr>
          <w:color w:val="auto"/>
          <w:sz w:val="24"/>
          <w:highlight w:val="none"/>
        </w:rPr>
        <w:t>FS</w:t>
      </w:r>
      <w:r>
        <w:rPr>
          <w:rFonts w:hint="eastAsia"/>
          <w:color w:val="auto"/>
          <w:sz w:val="24"/>
          <w:highlight w:val="none"/>
        </w:rPr>
        <w:t>）；盐度</w:t>
      </w:r>
      <w:r>
        <w:rPr>
          <w:color w:val="auto"/>
          <w:sz w:val="24"/>
          <w:highlight w:val="none"/>
        </w:rPr>
        <w:t>：</w:t>
      </w:r>
      <w:r>
        <w:rPr>
          <w:rFonts w:hint="eastAsia"/>
          <w:color w:val="auto"/>
          <w:sz w:val="24"/>
          <w:highlight w:val="none"/>
        </w:rPr>
        <w:t>±</w:t>
      </w:r>
      <w:r>
        <w:rPr>
          <w:color w:val="auto"/>
          <w:sz w:val="24"/>
          <w:highlight w:val="none"/>
        </w:rPr>
        <w:t>0.1%;</w:t>
      </w:r>
      <w:r>
        <w:rPr>
          <w:rFonts w:hint="eastAsia"/>
          <w:color w:val="auto"/>
          <w:sz w:val="24"/>
          <w:highlight w:val="none"/>
        </w:rPr>
        <w:t>温度</w:t>
      </w:r>
      <w:r>
        <w:rPr>
          <w:color w:val="auto"/>
          <w:sz w:val="24"/>
          <w:highlight w:val="none"/>
        </w:rPr>
        <w:t>：</w:t>
      </w:r>
      <w:r>
        <w:rPr>
          <w:rFonts w:hint="eastAsia"/>
          <w:color w:val="auto"/>
          <w:sz w:val="24"/>
          <w:highlight w:val="none"/>
        </w:rPr>
        <w:t>±</w:t>
      </w:r>
      <w:r>
        <w:rPr>
          <w:color w:val="auto"/>
          <w:sz w:val="24"/>
          <w:highlight w:val="none"/>
        </w:rPr>
        <w:t>0.2</w:t>
      </w:r>
      <w:r>
        <w:rPr>
          <w:rFonts w:hint="eastAsia"/>
          <w:color w:val="auto"/>
          <w:sz w:val="24"/>
          <w:highlight w:val="none"/>
        </w:rPr>
        <w:t>℃；</w:t>
      </w:r>
    </w:p>
    <w:p>
      <w:pPr>
        <w:spacing w:line="440" w:lineRule="exact"/>
        <w:jc w:val="left"/>
        <w:rPr>
          <w:color w:val="auto"/>
          <w:sz w:val="24"/>
          <w:highlight w:val="none"/>
        </w:rPr>
      </w:pPr>
      <w:r>
        <w:rPr>
          <w:color w:val="auto"/>
          <w:sz w:val="24"/>
          <w:highlight w:val="none"/>
        </w:rPr>
        <w:t>4.6.4</w:t>
      </w:r>
      <w:r>
        <w:rPr>
          <w:rFonts w:hint="eastAsia"/>
          <w:color w:val="auto"/>
          <w:sz w:val="24"/>
          <w:highlight w:val="none"/>
        </w:rPr>
        <w:t>稳定性</w:t>
      </w:r>
      <w:r>
        <w:rPr>
          <w:color w:val="auto"/>
          <w:sz w:val="24"/>
          <w:highlight w:val="none"/>
        </w:rPr>
        <w:t>： (</w:t>
      </w:r>
      <w:r>
        <w:rPr>
          <w:rFonts w:hint="eastAsia"/>
          <w:color w:val="auto"/>
          <w:sz w:val="24"/>
          <w:highlight w:val="none"/>
        </w:rPr>
        <w:t>±</w:t>
      </w:r>
      <w:r>
        <w:rPr>
          <w:color w:val="auto"/>
          <w:sz w:val="24"/>
          <w:highlight w:val="none"/>
        </w:rPr>
        <w:t>0.3%(FS))/3h</w:t>
      </w:r>
      <w:r>
        <w:rPr>
          <w:rFonts w:hint="eastAsia"/>
          <w:color w:val="auto"/>
          <w:sz w:val="24"/>
          <w:highlight w:val="none"/>
        </w:rPr>
        <w:t>；</w:t>
      </w:r>
    </w:p>
    <w:p>
      <w:pPr>
        <w:spacing w:line="440" w:lineRule="exact"/>
        <w:jc w:val="left"/>
        <w:rPr>
          <w:color w:val="auto"/>
          <w:sz w:val="24"/>
          <w:highlight w:val="none"/>
        </w:rPr>
      </w:pPr>
      <w:r>
        <w:rPr>
          <w:color w:val="auto"/>
          <w:sz w:val="24"/>
          <w:highlight w:val="none"/>
        </w:rPr>
        <w:t>4.6.5</w:t>
      </w:r>
      <w:r>
        <w:rPr>
          <w:rFonts w:hint="eastAsia"/>
          <w:color w:val="auto"/>
          <w:sz w:val="24"/>
          <w:highlight w:val="none"/>
        </w:rPr>
        <w:t>温度补偿</w:t>
      </w:r>
      <w:r>
        <w:rPr>
          <w:color w:val="auto"/>
          <w:sz w:val="24"/>
          <w:highlight w:val="none"/>
        </w:rPr>
        <w:t>：</w:t>
      </w:r>
      <w:r>
        <w:rPr>
          <w:rFonts w:hint="eastAsia"/>
          <w:color w:val="auto"/>
          <w:sz w:val="24"/>
          <w:highlight w:val="none"/>
        </w:rPr>
        <w:t>自动（</w:t>
      </w:r>
      <w:r>
        <w:rPr>
          <w:color w:val="auto"/>
          <w:sz w:val="24"/>
          <w:highlight w:val="none"/>
        </w:rPr>
        <w:t>-5.0</w:t>
      </w:r>
      <w:r>
        <w:rPr>
          <w:rFonts w:hint="eastAsia"/>
          <w:color w:val="auto"/>
          <w:sz w:val="24"/>
          <w:highlight w:val="none"/>
        </w:rPr>
        <w:t>～</w:t>
      </w:r>
      <w:r>
        <w:rPr>
          <w:color w:val="auto"/>
          <w:sz w:val="24"/>
          <w:highlight w:val="none"/>
        </w:rPr>
        <w:t>110.0</w:t>
      </w:r>
      <w:r>
        <w:rPr>
          <w:rFonts w:hint="eastAsia"/>
          <w:color w:val="auto"/>
          <w:sz w:val="24"/>
          <w:highlight w:val="none"/>
        </w:rPr>
        <w:t>）℃；</w:t>
      </w:r>
    </w:p>
    <w:p>
      <w:pPr>
        <w:spacing w:line="440" w:lineRule="exact"/>
        <w:jc w:val="left"/>
        <w:rPr>
          <w:color w:val="auto"/>
          <w:sz w:val="24"/>
          <w:highlight w:val="none"/>
        </w:rPr>
      </w:pPr>
      <w:r>
        <w:rPr>
          <w:color w:val="auto"/>
          <w:sz w:val="24"/>
          <w:highlight w:val="none"/>
        </w:rPr>
        <w:t>4.6.6</w:t>
      </w:r>
      <w:r>
        <w:rPr>
          <w:rFonts w:hint="eastAsia"/>
          <w:color w:val="auto"/>
          <w:sz w:val="24"/>
          <w:highlight w:val="none"/>
        </w:rPr>
        <w:t>电源</w:t>
      </w:r>
      <w:r>
        <w:rPr>
          <w:color w:val="auto"/>
          <w:sz w:val="24"/>
          <w:highlight w:val="none"/>
        </w:rPr>
        <w:t xml:space="preserve">： </w:t>
      </w:r>
      <w:r>
        <w:rPr>
          <w:rFonts w:hint="eastAsia"/>
          <w:color w:val="auto"/>
          <w:sz w:val="24"/>
          <w:highlight w:val="none"/>
        </w:rPr>
        <w:t>通用电源</w:t>
      </w:r>
      <w:r>
        <w:rPr>
          <w:color w:val="auto"/>
          <w:sz w:val="24"/>
          <w:highlight w:val="none"/>
        </w:rPr>
        <w:t>(9VDC，800mA</w:t>
      </w:r>
      <w:r>
        <w:rPr>
          <w:rFonts w:hint="eastAsia"/>
          <w:color w:val="auto"/>
          <w:sz w:val="24"/>
          <w:highlight w:val="none"/>
        </w:rPr>
        <w:t>，内正外负</w:t>
      </w:r>
      <w:r>
        <w:rPr>
          <w:color w:val="auto"/>
          <w:sz w:val="24"/>
          <w:highlight w:val="none"/>
        </w:rPr>
        <w:t>)</w:t>
      </w:r>
      <w:r>
        <w:rPr>
          <w:rFonts w:hint="eastAsia"/>
          <w:color w:val="auto"/>
          <w:sz w:val="24"/>
          <w:highlight w:val="none"/>
        </w:rPr>
        <w:t>；</w:t>
      </w:r>
    </w:p>
    <w:p>
      <w:pPr>
        <w:spacing w:line="440" w:lineRule="exact"/>
        <w:jc w:val="left"/>
        <w:rPr>
          <w:color w:val="auto"/>
          <w:sz w:val="24"/>
          <w:highlight w:val="none"/>
        </w:rPr>
      </w:pPr>
      <w:r>
        <w:rPr>
          <w:rFonts w:hint="eastAsia"/>
          <w:color w:val="auto"/>
          <w:sz w:val="24"/>
          <w:highlight w:val="none"/>
        </w:rPr>
        <w:t>4.6.7</w:t>
      </w:r>
      <w:r>
        <w:rPr>
          <w:color w:val="auto"/>
          <w:sz w:val="24"/>
          <w:highlight w:val="none"/>
        </w:rPr>
        <w:t xml:space="preserve"> </w:t>
      </w:r>
      <w:r>
        <w:rPr>
          <w:rFonts w:hint="eastAsia"/>
          <w:color w:val="auto"/>
          <w:sz w:val="24"/>
          <w:highlight w:val="none"/>
        </w:rPr>
        <w:t>LCD显示全中文操作界面；</w:t>
      </w:r>
    </w:p>
    <w:p>
      <w:pPr>
        <w:spacing w:line="440" w:lineRule="exact"/>
        <w:jc w:val="left"/>
        <w:rPr>
          <w:rFonts w:ascii="宋体"/>
          <w:color w:val="auto"/>
          <w:sz w:val="24"/>
          <w:highlight w:val="none"/>
        </w:rPr>
      </w:pPr>
      <w:r>
        <w:rPr>
          <w:rFonts w:hint="eastAsia"/>
          <w:color w:val="auto"/>
          <w:sz w:val="24"/>
          <w:highlight w:val="none"/>
        </w:rPr>
        <w:t>4.6.8具有自动温度补偿校准，量程自动切换，断电保护功能。</w:t>
      </w:r>
    </w:p>
    <w:p>
      <w:pPr>
        <w:widowControl/>
        <w:autoSpaceDE w:val="0"/>
        <w:autoSpaceDN w:val="0"/>
        <w:snapToGrid w:val="0"/>
        <w:spacing w:line="440" w:lineRule="exact"/>
        <w:rPr>
          <w:b/>
          <w:bCs/>
          <w:color w:val="auto"/>
          <w:kern w:val="0"/>
          <w:sz w:val="24"/>
          <w:highlight w:val="none"/>
        </w:rPr>
      </w:pPr>
      <w:r>
        <w:rPr>
          <w:b/>
          <w:bCs/>
          <w:color w:val="auto"/>
          <w:kern w:val="0"/>
          <w:sz w:val="24"/>
          <w:highlight w:val="none"/>
        </w:rPr>
        <w:t>5.</w:t>
      </w:r>
      <w:r>
        <w:rPr>
          <w:rFonts w:hint="eastAsia"/>
          <w:b/>
          <w:bCs/>
          <w:color w:val="auto"/>
          <w:kern w:val="0"/>
          <w:sz w:val="24"/>
          <w:highlight w:val="none"/>
        </w:rPr>
        <w:t>技术服务</w:t>
      </w:r>
    </w:p>
    <w:p>
      <w:pPr>
        <w:widowControl/>
        <w:autoSpaceDE w:val="0"/>
        <w:autoSpaceDN w:val="0"/>
        <w:snapToGrid w:val="0"/>
        <w:spacing w:line="440" w:lineRule="exact"/>
        <w:rPr>
          <w:color w:val="auto"/>
          <w:kern w:val="0"/>
          <w:sz w:val="24"/>
          <w:highlight w:val="none"/>
        </w:rPr>
      </w:pPr>
      <w:r>
        <w:rPr>
          <w:color w:val="auto"/>
          <w:kern w:val="0"/>
          <w:sz w:val="24"/>
          <w:highlight w:val="none"/>
        </w:rPr>
        <w:t>5.1</w:t>
      </w:r>
      <w:r>
        <w:rPr>
          <w:rFonts w:hint="eastAsia"/>
          <w:color w:val="auto"/>
          <w:kern w:val="0"/>
          <w:sz w:val="24"/>
          <w:highlight w:val="none"/>
        </w:rPr>
        <w:t>保证产品为全新原厂设备。</w:t>
      </w:r>
    </w:p>
    <w:p>
      <w:pPr>
        <w:widowControl/>
        <w:autoSpaceDE w:val="0"/>
        <w:autoSpaceDN w:val="0"/>
        <w:snapToGrid w:val="0"/>
        <w:spacing w:line="440" w:lineRule="exact"/>
        <w:rPr>
          <w:color w:val="auto"/>
          <w:kern w:val="0"/>
          <w:sz w:val="24"/>
          <w:highlight w:val="none"/>
        </w:rPr>
      </w:pPr>
      <w:r>
        <w:rPr>
          <w:color w:val="auto"/>
          <w:kern w:val="0"/>
          <w:sz w:val="24"/>
          <w:highlight w:val="none"/>
        </w:rPr>
        <w:t>5.1</w:t>
      </w:r>
      <w:r>
        <w:rPr>
          <w:rFonts w:hint="eastAsia"/>
          <w:color w:val="auto"/>
          <w:kern w:val="0"/>
          <w:sz w:val="24"/>
          <w:highlight w:val="none"/>
        </w:rPr>
        <w:t>保修服务：自验收合格起，厂家向用户提供至少</w:t>
      </w:r>
      <w:r>
        <w:rPr>
          <w:color w:val="auto"/>
          <w:kern w:val="0"/>
          <w:sz w:val="24"/>
          <w:highlight w:val="none"/>
        </w:rPr>
        <w:t>24</w:t>
      </w:r>
      <w:r>
        <w:rPr>
          <w:rFonts w:hint="eastAsia"/>
          <w:color w:val="auto"/>
          <w:kern w:val="0"/>
          <w:sz w:val="24"/>
          <w:highlight w:val="none"/>
        </w:rPr>
        <w:t>个月的免费保修服务。保修期内所有服务免费，一切配件、耗材免费到场更换。</w:t>
      </w:r>
    </w:p>
    <w:p>
      <w:pPr>
        <w:widowControl/>
        <w:autoSpaceDE w:val="0"/>
        <w:autoSpaceDN w:val="0"/>
        <w:snapToGrid w:val="0"/>
        <w:spacing w:line="440" w:lineRule="exact"/>
        <w:rPr>
          <w:color w:val="auto"/>
          <w:kern w:val="0"/>
          <w:sz w:val="24"/>
          <w:highlight w:val="none"/>
        </w:rPr>
      </w:pPr>
      <w:r>
        <w:rPr>
          <w:color w:val="auto"/>
          <w:kern w:val="0"/>
          <w:sz w:val="24"/>
          <w:highlight w:val="none"/>
        </w:rPr>
        <w:t>5.2</w:t>
      </w:r>
      <w:r>
        <w:rPr>
          <w:rFonts w:hint="eastAsia"/>
          <w:color w:val="auto"/>
          <w:kern w:val="0"/>
          <w:sz w:val="24"/>
          <w:highlight w:val="none"/>
        </w:rPr>
        <w:t>仪器安装验收：厂家技术人员到现场安装、调试仪器，进行操作试验，直至运行正常并验收确认。</w:t>
      </w:r>
    </w:p>
    <w:p>
      <w:pPr>
        <w:widowControl/>
        <w:autoSpaceDE w:val="0"/>
        <w:autoSpaceDN w:val="0"/>
        <w:snapToGrid w:val="0"/>
        <w:spacing w:line="440" w:lineRule="exact"/>
        <w:rPr>
          <w:color w:val="auto"/>
          <w:kern w:val="0"/>
          <w:sz w:val="24"/>
          <w:highlight w:val="none"/>
        </w:rPr>
      </w:pPr>
      <w:r>
        <w:rPr>
          <w:color w:val="auto"/>
          <w:kern w:val="0"/>
          <w:sz w:val="24"/>
          <w:highlight w:val="none"/>
        </w:rPr>
        <w:t>5.3</w:t>
      </w:r>
      <w:r>
        <w:rPr>
          <w:rFonts w:hint="eastAsia"/>
          <w:color w:val="auto"/>
          <w:kern w:val="0"/>
          <w:sz w:val="24"/>
          <w:highlight w:val="none"/>
        </w:rPr>
        <w:t>质量及验收标准：技术指标符合买方要求和厂家规定的出厂要求。如未通过验收，应视情节更换部件或主机，直至退货。</w:t>
      </w:r>
    </w:p>
    <w:p>
      <w:pPr>
        <w:widowControl/>
        <w:autoSpaceDE w:val="0"/>
        <w:autoSpaceDN w:val="0"/>
        <w:snapToGrid w:val="0"/>
        <w:spacing w:line="440" w:lineRule="exact"/>
        <w:rPr>
          <w:color w:val="auto"/>
          <w:kern w:val="0"/>
          <w:sz w:val="24"/>
          <w:highlight w:val="none"/>
        </w:rPr>
      </w:pPr>
      <w:r>
        <w:rPr>
          <w:color w:val="auto"/>
          <w:kern w:val="0"/>
          <w:sz w:val="24"/>
          <w:highlight w:val="none"/>
        </w:rPr>
        <w:t>5.4</w:t>
      </w:r>
      <w:r>
        <w:rPr>
          <w:rFonts w:hint="eastAsia"/>
          <w:color w:val="auto"/>
          <w:kern w:val="0"/>
          <w:sz w:val="24"/>
          <w:highlight w:val="none"/>
        </w:rPr>
        <w:t>培训：仪器安装现场对</w:t>
      </w:r>
      <w:r>
        <w:rPr>
          <w:color w:val="auto"/>
          <w:kern w:val="0"/>
          <w:sz w:val="24"/>
          <w:highlight w:val="none"/>
        </w:rPr>
        <w:t xml:space="preserve">2 </w:t>
      </w:r>
      <w:r>
        <w:rPr>
          <w:rFonts w:hint="eastAsia"/>
          <w:color w:val="auto"/>
          <w:kern w:val="0"/>
          <w:sz w:val="24"/>
          <w:highlight w:val="none"/>
        </w:rPr>
        <w:t>名以上仪器操作人员提供免费的上机操作及日常维护培训，至使用者会操作、使用仪器为止。</w:t>
      </w:r>
    </w:p>
    <w:p>
      <w:pPr>
        <w:widowControl/>
        <w:autoSpaceDE w:val="0"/>
        <w:autoSpaceDN w:val="0"/>
        <w:snapToGrid w:val="0"/>
        <w:spacing w:line="440" w:lineRule="exact"/>
        <w:rPr>
          <w:color w:val="auto"/>
          <w:kern w:val="0"/>
          <w:sz w:val="24"/>
          <w:highlight w:val="none"/>
        </w:rPr>
      </w:pPr>
      <w:r>
        <w:rPr>
          <w:color w:val="auto"/>
          <w:kern w:val="0"/>
          <w:sz w:val="24"/>
          <w:highlight w:val="none"/>
        </w:rPr>
        <w:t>5.5</w:t>
      </w:r>
      <w:r>
        <w:rPr>
          <w:rFonts w:hint="eastAsia"/>
          <w:color w:val="auto"/>
          <w:kern w:val="0"/>
          <w:sz w:val="24"/>
          <w:highlight w:val="none"/>
        </w:rPr>
        <w:t>制造厂家有驻疆技术工程师来保证用户能得到快捷、完善的售后服务；服务响应时间不大于</w:t>
      </w:r>
      <w:r>
        <w:rPr>
          <w:color w:val="auto"/>
          <w:kern w:val="0"/>
          <w:sz w:val="24"/>
          <w:highlight w:val="none"/>
        </w:rPr>
        <w:t>24</w:t>
      </w:r>
      <w:r>
        <w:rPr>
          <w:rFonts w:hint="eastAsia"/>
          <w:color w:val="auto"/>
          <w:kern w:val="0"/>
          <w:sz w:val="24"/>
          <w:highlight w:val="none"/>
        </w:rPr>
        <w:t>小时，故障可以在</w:t>
      </w:r>
      <w:r>
        <w:rPr>
          <w:color w:val="auto"/>
          <w:kern w:val="0"/>
          <w:sz w:val="24"/>
          <w:highlight w:val="none"/>
        </w:rPr>
        <w:t>48</w:t>
      </w:r>
      <w:r>
        <w:rPr>
          <w:rFonts w:hint="eastAsia"/>
          <w:color w:val="auto"/>
          <w:kern w:val="0"/>
          <w:sz w:val="24"/>
          <w:highlight w:val="none"/>
        </w:rPr>
        <w:t>小时内得到解除。</w:t>
      </w:r>
    </w:p>
    <w:p>
      <w:pPr>
        <w:widowControl/>
        <w:autoSpaceDE w:val="0"/>
        <w:autoSpaceDN w:val="0"/>
        <w:snapToGrid w:val="0"/>
        <w:spacing w:line="440" w:lineRule="exact"/>
        <w:rPr>
          <w:color w:val="auto"/>
          <w:kern w:val="0"/>
          <w:sz w:val="24"/>
          <w:highlight w:val="none"/>
        </w:rPr>
      </w:pPr>
      <w:r>
        <w:rPr>
          <w:color w:val="auto"/>
          <w:kern w:val="0"/>
          <w:sz w:val="24"/>
          <w:highlight w:val="none"/>
        </w:rPr>
        <w:t>5.6</w:t>
      </w:r>
      <w:r>
        <w:rPr>
          <w:rFonts w:hint="eastAsia"/>
          <w:color w:val="auto"/>
          <w:kern w:val="0"/>
          <w:sz w:val="24"/>
          <w:highlight w:val="none"/>
        </w:rPr>
        <w:t>自安装之日起，终身负责提供技术支持。每年至少</w:t>
      </w:r>
      <w:r>
        <w:rPr>
          <w:color w:val="auto"/>
          <w:kern w:val="0"/>
          <w:sz w:val="24"/>
          <w:highlight w:val="none"/>
        </w:rPr>
        <w:t>2</w:t>
      </w:r>
      <w:r>
        <w:rPr>
          <w:rFonts w:hint="eastAsia"/>
          <w:color w:val="auto"/>
          <w:kern w:val="0"/>
          <w:sz w:val="24"/>
          <w:highlight w:val="none"/>
        </w:rPr>
        <w:t>次免费技术和维护回访、更换耗材，帮助用户解决软硬件使用中出现的技术问题。</w:t>
      </w:r>
    </w:p>
    <w:p>
      <w:pPr>
        <w:spacing w:line="400" w:lineRule="exact"/>
        <w:rPr>
          <w:color w:val="auto"/>
          <w:highlight w:val="none"/>
        </w:rPr>
      </w:pPr>
      <w:r>
        <w:rPr>
          <w:color w:val="auto"/>
          <w:sz w:val="24"/>
          <w:highlight w:val="none"/>
        </w:rPr>
        <w:t>备注：</w:t>
      </w:r>
      <w:r>
        <w:rPr>
          <w:color w:val="auto"/>
          <w:sz w:val="24"/>
          <w:highlight w:val="none"/>
          <w:lang w:val="zh-CN"/>
        </w:rPr>
        <w:t>带“*”号的为必须满足指标，与技术性能指标一起</w:t>
      </w:r>
      <w:r>
        <w:rPr>
          <w:rFonts w:hint="eastAsia"/>
          <w:color w:val="auto"/>
          <w:sz w:val="24"/>
          <w:highlight w:val="none"/>
          <w:lang w:val="zh-CN"/>
        </w:rPr>
        <w:t>作</w:t>
      </w:r>
      <w:r>
        <w:rPr>
          <w:color w:val="auto"/>
          <w:sz w:val="24"/>
          <w:highlight w:val="none"/>
          <w:lang w:val="zh-CN"/>
        </w:rPr>
        <w:t>为验收指标。</w:t>
      </w:r>
      <w:r>
        <w:rPr>
          <w:color w:val="auto"/>
          <w:sz w:val="24"/>
          <w:highlight w:val="none"/>
        </w:rPr>
        <w:t>验收时须提供</w:t>
      </w:r>
      <w:r>
        <w:rPr>
          <w:rFonts w:hint="eastAsia"/>
          <w:color w:val="auto"/>
          <w:sz w:val="24"/>
          <w:highlight w:val="none"/>
        </w:rPr>
        <w:t>相关</w:t>
      </w:r>
      <w:r>
        <w:rPr>
          <w:color w:val="auto"/>
          <w:sz w:val="24"/>
          <w:highlight w:val="none"/>
        </w:rPr>
        <w:t>技术材料。</w:t>
      </w:r>
    </w:p>
    <w:p>
      <w:pPr>
        <w:spacing w:before="120" w:line="440" w:lineRule="exact"/>
        <w:rPr>
          <w:color w:val="auto"/>
          <w:kern w:val="0"/>
          <w:sz w:val="24"/>
          <w:highlight w:val="none"/>
        </w:rPr>
      </w:pPr>
      <w:r>
        <w:rPr>
          <w:rFonts w:hint="eastAsia"/>
          <w:b/>
          <w:bCs/>
          <w:color w:val="auto"/>
          <w:kern w:val="0"/>
          <w:sz w:val="24"/>
          <w:highlight w:val="none"/>
        </w:rPr>
        <w:t>第二包</w:t>
      </w:r>
    </w:p>
    <w:p>
      <w:pPr>
        <w:pStyle w:val="718"/>
        <w:widowControl/>
        <w:numPr>
          <w:ilvl w:val="0"/>
          <w:numId w:val="17"/>
        </w:numPr>
        <w:autoSpaceDE w:val="0"/>
        <w:autoSpaceDN w:val="0"/>
        <w:snapToGrid w:val="0"/>
        <w:spacing w:line="440" w:lineRule="exact"/>
        <w:ind w:firstLineChars="0"/>
        <w:contextualSpacing/>
        <w:rPr>
          <w:color w:val="auto"/>
          <w:highlight w:val="none"/>
        </w:rPr>
      </w:pPr>
      <w:r>
        <w:rPr>
          <w:rFonts w:hint="eastAsia"/>
          <w:color w:val="auto"/>
          <w:highlight w:val="none"/>
        </w:rPr>
        <w:t>全自动土壤样品制备仪</w:t>
      </w:r>
    </w:p>
    <w:p>
      <w:pPr>
        <w:widowControl/>
        <w:autoSpaceDE w:val="0"/>
        <w:autoSpaceDN w:val="0"/>
        <w:snapToGrid w:val="0"/>
        <w:spacing w:line="400" w:lineRule="exact"/>
        <w:rPr>
          <w:b/>
          <w:bCs/>
          <w:color w:val="auto"/>
          <w:kern w:val="0"/>
          <w:sz w:val="24"/>
          <w:highlight w:val="none"/>
        </w:rPr>
      </w:pPr>
      <w:r>
        <w:rPr>
          <w:b/>
          <w:bCs/>
          <w:color w:val="auto"/>
          <w:kern w:val="0"/>
          <w:sz w:val="24"/>
          <w:highlight w:val="none"/>
        </w:rPr>
        <w:t>1.设备用途</w:t>
      </w:r>
    </w:p>
    <w:p>
      <w:pPr>
        <w:pStyle w:val="28"/>
        <w:spacing w:line="400" w:lineRule="exact"/>
        <w:ind w:firstLine="480" w:firstLineChars="200"/>
        <w:jc w:val="both"/>
        <w:rPr>
          <w:rFonts w:ascii="Times New Roman"/>
          <w:color w:val="auto"/>
          <w:highlight w:val="none"/>
          <w:lang w:val="zh-CN"/>
        </w:rPr>
      </w:pPr>
      <w:r>
        <w:rPr>
          <w:rFonts w:ascii="Times New Roman"/>
          <w:color w:val="auto"/>
          <w:highlight w:val="none"/>
          <w:lang w:val="zh-CN"/>
        </w:rPr>
        <w:t>用于土壤样品的全自动逐级研磨、混匀、标准法筛分、分样称量、装样、二维扫码、系统清洁、全流程智能化、一体化、自动化操作，一次进样可自动逐级完成10目/60目/100目三个规格土壤粒度的制备。</w:t>
      </w:r>
    </w:p>
    <w:p>
      <w:pPr>
        <w:widowControl/>
        <w:autoSpaceDE w:val="0"/>
        <w:autoSpaceDN w:val="0"/>
        <w:snapToGrid w:val="0"/>
        <w:spacing w:line="400" w:lineRule="exact"/>
        <w:rPr>
          <w:b/>
          <w:bCs/>
          <w:color w:val="auto"/>
          <w:kern w:val="0"/>
          <w:sz w:val="24"/>
          <w:highlight w:val="none"/>
        </w:rPr>
      </w:pPr>
      <w:r>
        <w:rPr>
          <w:b/>
          <w:bCs/>
          <w:color w:val="auto"/>
          <w:kern w:val="0"/>
          <w:sz w:val="24"/>
          <w:highlight w:val="none"/>
        </w:rPr>
        <w:t>2.工作环境</w:t>
      </w:r>
    </w:p>
    <w:p>
      <w:pPr>
        <w:pStyle w:val="28"/>
        <w:spacing w:line="400" w:lineRule="exact"/>
        <w:jc w:val="both"/>
        <w:rPr>
          <w:rFonts w:ascii="Times New Roman"/>
          <w:color w:val="auto"/>
          <w:highlight w:val="none"/>
          <w:lang w:val="zh-CN"/>
        </w:rPr>
      </w:pPr>
      <w:r>
        <w:rPr>
          <w:rFonts w:ascii="Times New Roman"/>
          <w:color w:val="auto"/>
          <w:highlight w:val="none"/>
          <w:lang w:val="zh-CN"/>
        </w:rPr>
        <w:t>2.1电源：AC 220V±10%，50（±1）Hz；</w:t>
      </w:r>
    </w:p>
    <w:p>
      <w:pPr>
        <w:pStyle w:val="28"/>
        <w:spacing w:line="400" w:lineRule="exact"/>
        <w:jc w:val="both"/>
        <w:rPr>
          <w:rFonts w:ascii="Times New Roman"/>
          <w:color w:val="auto"/>
          <w:highlight w:val="none"/>
          <w:lang w:val="zh-CN"/>
        </w:rPr>
      </w:pPr>
      <w:r>
        <w:rPr>
          <w:rFonts w:ascii="Times New Roman"/>
          <w:color w:val="auto"/>
          <w:highlight w:val="none"/>
          <w:lang w:val="zh-CN"/>
        </w:rPr>
        <w:t>2.2温度：10-40</w:t>
      </w:r>
      <w:r>
        <w:rPr>
          <w:rFonts w:ascii="Times New Roman"/>
          <w:color w:val="auto"/>
          <w:highlight w:val="none"/>
          <w:lang w:val="zh-CN"/>
        </w:rPr>
        <w:sym w:font="Symbol" w:char="F0B0"/>
      </w:r>
      <w:r>
        <w:rPr>
          <w:rFonts w:ascii="Times New Roman"/>
          <w:color w:val="auto"/>
          <w:highlight w:val="none"/>
          <w:lang w:val="zh-CN"/>
        </w:rPr>
        <w:t>C；</w:t>
      </w:r>
    </w:p>
    <w:p>
      <w:pPr>
        <w:pStyle w:val="28"/>
        <w:spacing w:line="400" w:lineRule="exact"/>
        <w:jc w:val="both"/>
        <w:rPr>
          <w:rFonts w:ascii="Times New Roman"/>
          <w:color w:val="auto"/>
          <w:highlight w:val="none"/>
          <w:lang w:val="zh-CN"/>
        </w:rPr>
      </w:pPr>
      <w:r>
        <w:rPr>
          <w:rFonts w:ascii="Times New Roman"/>
          <w:color w:val="auto"/>
          <w:highlight w:val="none"/>
          <w:lang w:val="zh-CN"/>
        </w:rPr>
        <w:t>2.3湿度：20%-80%。</w:t>
      </w:r>
    </w:p>
    <w:p>
      <w:pPr>
        <w:autoSpaceDE w:val="0"/>
        <w:autoSpaceDN w:val="0"/>
        <w:adjustRightInd w:val="0"/>
        <w:spacing w:line="400" w:lineRule="exact"/>
        <w:rPr>
          <w:b/>
          <w:bCs/>
          <w:color w:val="auto"/>
          <w:sz w:val="24"/>
          <w:highlight w:val="none"/>
        </w:rPr>
      </w:pPr>
      <w:r>
        <w:rPr>
          <w:b/>
          <w:bCs/>
          <w:color w:val="auto"/>
          <w:sz w:val="24"/>
          <w:highlight w:val="none"/>
        </w:rPr>
        <w:t>3. 技术要求</w:t>
      </w:r>
    </w:p>
    <w:p>
      <w:pPr>
        <w:pStyle w:val="28"/>
        <w:spacing w:line="400" w:lineRule="exact"/>
        <w:jc w:val="both"/>
        <w:rPr>
          <w:rFonts w:ascii="Times New Roman"/>
          <w:color w:val="auto"/>
          <w:highlight w:val="none"/>
          <w:lang w:val="zh-CN"/>
        </w:rPr>
      </w:pPr>
      <w:r>
        <w:rPr>
          <w:rFonts w:ascii="Times New Roman"/>
          <w:color w:val="auto"/>
          <w:highlight w:val="none"/>
          <w:lang w:val="zh-CN"/>
        </w:rPr>
        <w:t>3.1 工作原理：按照《 HJ/T 166-2004土壤环境监测测技术规范》等相关技术规范要求操作，完全模拟手工制备流程。土壤干样经粗磨后通过10目筛网进行筛分，过筛的样品在混匀装置中经充分混匀后根据设置留样重量自动装瓶；剩余样品进入细磨模块，分别通过60目和100目筛网后，根据设置留样重量自动装瓶。完成制备后设备进行自动清洁，避免交叉污染。</w:t>
      </w:r>
    </w:p>
    <w:p>
      <w:pPr>
        <w:pStyle w:val="28"/>
        <w:spacing w:line="400" w:lineRule="exact"/>
        <w:jc w:val="both"/>
        <w:rPr>
          <w:rFonts w:ascii="Times New Roman"/>
          <w:color w:val="auto"/>
          <w:highlight w:val="none"/>
          <w:lang w:val="zh-CN"/>
        </w:rPr>
      </w:pPr>
      <w:r>
        <w:rPr>
          <w:rFonts w:ascii="Times New Roman"/>
          <w:color w:val="auto"/>
          <w:highlight w:val="none"/>
          <w:lang w:val="zh-CN"/>
        </w:rPr>
        <w:t>3.2 操作模块：集成式制样操作模块，完成土壤样品研磨，不同粒度的梯度制备。</w:t>
      </w:r>
    </w:p>
    <w:p>
      <w:pPr>
        <w:pStyle w:val="28"/>
        <w:spacing w:line="400" w:lineRule="exact"/>
        <w:jc w:val="both"/>
        <w:rPr>
          <w:rFonts w:ascii="Times New Roman"/>
          <w:color w:val="auto"/>
          <w:highlight w:val="none"/>
          <w:lang w:val="zh-CN"/>
        </w:rPr>
      </w:pPr>
      <w:r>
        <w:rPr>
          <w:rFonts w:ascii="Times New Roman"/>
          <w:color w:val="auto"/>
          <w:highlight w:val="none"/>
          <w:lang w:val="zh-CN"/>
        </w:rPr>
        <w:t>3.3 进样模块：≥1个样品位，土壤干样样品进样，样品进样量：500-2500g。</w:t>
      </w:r>
    </w:p>
    <w:p>
      <w:pPr>
        <w:pStyle w:val="28"/>
        <w:spacing w:line="400" w:lineRule="exact"/>
        <w:jc w:val="both"/>
        <w:rPr>
          <w:rFonts w:ascii="Times New Roman"/>
          <w:color w:val="auto"/>
          <w:highlight w:val="none"/>
          <w:lang w:val="zh-CN"/>
        </w:rPr>
      </w:pPr>
      <w:r>
        <w:rPr>
          <w:rFonts w:ascii="Times New Roman"/>
          <w:color w:val="auto"/>
          <w:highlight w:val="none"/>
          <w:lang w:val="zh-CN"/>
        </w:rPr>
        <w:t>3.4 研磨筛分模块</w:t>
      </w:r>
    </w:p>
    <w:p>
      <w:pPr>
        <w:pStyle w:val="28"/>
        <w:spacing w:line="400" w:lineRule="exact"/>
        <w:jc w:val="both"/>
        <w:rPr>
          <w:rFonts w:ascii="Times New Roman"/>
          <w:color w:val="auto"/>
          <w:highlight w:val="none"/>
          <w:lang w:val="zh-CN"/>
        </w:rPr>
      </w:pPr>
      <w:r>
        <w:rPr>
          <w:rFonts w:ascii="Times New Roman"/>
          <w:color w:val="auto"/>
          <w:highlight w:val="none"/>
          <w:lang w:val="zh-CN"/>
        </w:rPr>
        <w:t>*3.4.1 粗磨筛分模块：采用二级颚式研磨方式，土壤样品通过一级颚式粗磨后，经10目筛网进行筛分，过筛样品进入混匀装置，未过筛的样品进入二级颚式粗磨模块继续研磨并再次通过10目筛网。粗磨过程须确保土壤团粒微结构完整，土壤晶格不受机械强力破碎，防止样品研磨过细而影响最终检测结果。</w:t>
      </w:r>
    </w:p>
    <w:p>
      <w:pPr>
        <w:pStyle w:val="28"/>
        <w:spacing w:line="400" w:lineRule="exact"/>
        <w:jc w:val="both"/>
        <w:rPr>
          <w:rFonts w:ascii="Times New Roman"/>
          <w:color w:val="auto"/>
          <w:highlight w:val="none"/>
          <w:lang w:val="zh-CN"/>
        </w:rPr>
      </w:pPr>
      <w:r>
        <w:rPr>
          <w:rFonts w:ascii="Times New Roman"/>
          <w:color w:val="auto"/>
          <w:highlight w:val="none"/>
          <w:lang w:val="zh-CN"/>
        </w:rPr>
        <w:t>3.4.2 细磨筛分模块：采用碰撞式研磨方式，配置60目和100目两个细磨模块，实现土壤样品的梯度制备。</w:t>
      </w:r>
    </w:p>
    <w:p>
      <w:pPr>
        <w:pStyle w:val="28"/>
        <w:spacing w:line="400" w:lineRule="exact"/>
        <w:jc w:val="both"/>
        <w:rPr>
          <w:rFonts w:ascii="Times New Roman"/>
          <w:color w:val="auto"/>
          <w:highlight w:val="none"/>
          <w:lang w:val="zh-CN"/>
        </w:rPr>
      </w:pPr>
      <w:r>
        <w:rPr>
          <w:rFonts w:ascii="Times New Roman"/>
          <w:color w:val="auto"/>
          <w:highlight w:val="none"/>
          <w:lang w:val="zh-CN"/>
        </w:rPr>
        <w:t>*3.4.3 研磨过程中与样品直接接触的部位为非金属材质，杜绝制样过程中的外源性污染。</w:t>
      </w:r>
    </w:p>
    <w:p>
      <w:pPr>
        <w:pStyle w:val="28"/>
        <w:spacing w:line="400" w:lineRule="exact"/>
        <w:jc w:val="both"/>
        <w:rPr>
          <w:rFonts w:ascii="Times New Roman"/>
          <w:color w:val="auto"/>
          <w:highlight w:val="none"/>
          <w:lang w:val="zh-CN"/>
        </w:rPr>
      </w:pPr>
      <w:r>
        <w:rPr>
          <w:rFonts w:ascii="Times New Roman"/>
          <w:color w:val="auto"/>
          <w:highlight w:val="none"/>
          <w:lang w:val="zh-CN"/>
        </w:rPr>
        <w:t>*3.4.4 研磨罐体及样品温度≤40℃，防止土壤样品易挥发元素损失。</w:t>
      </w:r>
    </w:p>
    <w:p>
      <w:pPr>
        <w:pStyle w:val="28"/>
        <w:spacing w:line="400" w:lineRule="exact"/>
        <w:jc w:val="both"/>
        <w:rPr>
          <w:rFonts w:ascii="Times New Roman"/>
          <w:color w:val="auto"/>
          <w:highlight w:val="none"/>
          <w:lang w:val="zh-CN"/>
        </w:rPr>
      </w:pPr>
      <w:r>
        <w:rPr>
          <w:rFonts w:ascii="Times New Roman"/>
          <w:color w:val="auto"/>
          <w:highlight w:val="none"/>
          <w:lang w:val="zh-CN"/>
        </w:rPr>
        <w:t>3.5 混匀模块</w:t>
      </w:r>
    </w:p>
    <w:p>
      <w:pPr>
        <w:pStyle w:val="28"/>
        <w:spacing w:line="400" w:lineRule="exact"/>
        <w:jc w:val="both"/>
        <w:rPr>
          <w:rFonts w:ascii="Times New Roman"/>
          <w:color w:val="auto"/>
          <w:highlight w:val="none"/>
          <w:lang w:val="zh-CN"/>
        </w:rPr>
      </w:pPr>
      <w:r>
        <w:rPr>
          <w:rFonts w:ascii="Times New Roman"/>
          <w:color w:val="auto"/>
          <w:highlight w:val="none"/>
          <w:lang w:val="zh-CN"/>
        </w:rPr>
        <w:t>3.5.1采用二维振动整体混匀方式，确保过筛后的全部样品无死角进行上下左右充分混匀。</w:t>
      </w:r>
    </w:p>
    <w:p>
      <w:pPr>
        <w:pStyle w:val="28"/>
        <w:spacing w:line="400" w:lineRule="exact"/>
        <w:jc w:val="both"/>
        <w:rPr>
          <w:rFonts w:ascii="Times New Roman"/>
          <w:color w:val="auto"/>
          <w:highlight w:val="none"/>
          <w:lang w:val="zh-CN"/>
        </w:rPr>
      </w:pPr>
      <w:r>
        <w:rPr>
          <w:rFonts w:ascii="Times New Roman"/>
          <w:color w:val="auto"/>
          <w:highlight w:val="none"/>
          <w:lang w:val="zh-CN"/>
        </w:rPr>
        <w:t>*3.5.2 混匀装置材质不含待测金属元素（提供材质元素分析报告复印件）。</w:t>
      </w:r>
    </w:p>
    <w:p>
      <w:pPr>
        <w:pStyle w:val="28"/>
        <w:spacing w:line="400" w:lineRule="exact"/>
        <w:jc w:val="both"/>
        <w:rPr>
          <w:rFonts w:ascii="Times New Roman"/>
          <w:color w:val="auto"/>
          <w:highlight w:val="none"/>
          <w:lang w:val="zh-CN"/>
        </w:rPr>
      </w:pPr>
      <w:r>
        <w:rPr>
          <w:rFonts w:ascii="Times New Roman"/>
          <w:color w:val="auto"/>
          <w:highlight w:val="none"/>
          <w:lang w:val="zh-CN"/>
        </w:rPr>
        <w:t>3.6 称量模块：内置称量模块，可自动称量样品</w:t>
      </w:r>
      <w:r>
        <w:rPr>
          <w:rFonts w:hint="eastAsia" w:ascii="Times New Roman"/>
          <w:color w:val="auto"/>
          <w:highlight w:val="none"/>
          <w:lang w:val="zh-CN"/>
        </w:rPr>
        <w:t>。</w:t>
      </w:r>
    </w:p>
    <w:p>
      <w:pPr>
        <w:pStyle w:val="28"/>
        <w:spacing w:line="400" w:lineRule="exact"/>
        <w:jc w:val="both"/>
        <w:rPr>
          <w:rFonts w:ascii="Times New Roman"/>
          <w:color w:val="auto"/>
          <w:highlight w:val="none"/>
          <w:lang w:val="zh-CN"/>
        </w:rPr>
      </w:pPr>
      <w:r>
        <w:rPr>
          <w:rFonts w:ascii="Times New Roman"/>
          <w:color w:val="auto"/>
          <w:highlight w:val="none"/>
          <w:lang w:val="zh-CN"/>
        </w:rPr>
        <w:t>3.7 装样模块：粗磨样品配置≥1个样品盘，≥6个样品位，可自动装入500ml样品瓶；细磨样品配置≥2个样品位，可自动装入250ml样品瓶；用户可自行设置相应目数的样品重量。</w:t>
      </w:r>
    </w:p>
    <w:p>
      <w:pPr>
        <w:pStyle w:val="28"/>
        <w:spacing w:line="400" w:lineRule="exact"/>
        <w:jc w:val="both"/>
        <w:rPr>
          <w:rFonts w:ascii="Times New Roman"/>
          <w:color w:val="auto"/>
          <w:highlight w:val="none"/>
          <w:lang w:val="zh-CN"/>
        </w:rPr>
      </w:pPr>
      <w:r>
        <w:rPr>
          <w:rFonts w:ascii="Times New Roman"/>
          <w:color w:val="auto"/>
          <w:highlight w:val="none"/>
          <w:lang w:val="zh-CN"/>
        </w:rPr>
        <w:t>*3.8 清洁模块：研磨模块、物料盘、混匀模块等样品直接接触部件能通过物理接触和高压吹扫清洁负压吸附等清洁方式进行自动清洁，防止样品交叉污染（提供加盖厂家公章的清洁模块的实物照片，成交后供货产品须与所提供照片中的产品一致）。</w:t>
      </w:r>
    </w:p>
    <w:p>
      <w:pPr>
        <w:pStyle w:val="28"/>
        <w:spacing w:line="400" w:lineRule="exact"/>
        <w:jc w:val="both"/>
        <w:rPr>
          <w:rFonts w:ascii="Times New Roman"/>
          <w:color w:val="auto"/>
          <w:highlight w:val="none"/>
          <w:lang w:val="zh-CN"/>
        </w:rPr>
      </w:pPr>
      <w:r>
        <w:rPr>
          <w:rFonts w:ascii="Times New Roman"/>
          <w:color w:val="auto"/>
          <w:highlight w:val="none"/>
          <w:lang w:val="zh-CN"/>
        </w:rPr>
        <w:t>3.9 样品管理模块：二维码编码扫描、射频码自动识别，样品制备全流程可追溯，自动生成数据原始记录表。</w:t>
      </w:r>
    </w:p>
    <w:p>
      <w:pPr>
        <w:pStyle w:val="28"/>
        <w:spacing w:line="400" w:lineRule="exact"/>
        <w:jc w:val="both"/>
        <w:rPr>
          <w:rFonts w:ascii="Times New Roman"/>
          <w:color w:val="auto"/>
          <w:highlight w:val="none"/>
          <w:lang w:val="zh-CN"/>
        </w:rPr>
      </w:pPr>
      <w:r>
        <w:rPr>
          <w:rFonts w:ascii="Times New Roman"/>
          <w:color w:val="auto"/>
          <w:highlight w:val="none"/>
          <w:lang w:val="zh-CN"/>
        </w:rPr>
        <w:t>3.10 制样效率：≤30min/个。</w:t>
      </w:r>
    </w:p>
    <w:p>
      <w:pPr>
        <w:pStyle w:val="28"/>
        <w:spacing w:line="400" w:lineRule="exact"/>
        <w:jc w:val="both"/>
        <w:rPr>
          <w:rFonts w:ascii="Times New Roman"/>
          <w:color w:val="auto"/>
          <w:highlight w:val="none"/>
          <w:lang w:val="zh-CN"/>
        </w:rPr>
      </w:pPr>
      <w:r>
        <w:rPr>
          <w:rFonts w:hint="eastAsia"/>
          <w:color w:val="auto"/>
          <w:highlight w:val="none"/>
        </w:rPr>
        <w:t>★</w:t>
      </w:r>
      <w:r>
        <w:rPr>
          <w:rFonts w:ascii="Times New Roman"/>
          <w:color w:val="auto"/>
          <w:highlight w:val="none"/>
          <w:lang w:val="zh-CN"/>
        </w:rPr>
        <w:t>3.11 研磨方式：自动逐级研磨。</w:t>
      </w:r>
    </w:p>
    <w:p>
      <w:pPr>
        <w:pStyle w:val="28"/>
        <w:spacing w:line="400" w:lineRule="exact"/>
        <w:jc w:val="both"/>
        <w:rPr>
          <w:rFonts w:ascii="Times New Roman"/>
          <w:color w:val="auto"/>
          <w:highlight w:val="none"/>
          <w:lang w:val="zh-CN"/>
        </w:rPr>
      </w:pPr>
      <w:r>
        <w:rPr>
          <w:rFonts w:ascii="Times New Roman"/>
          <w:color w:val="auto"/>
          <w:highlight w:val="none"/>
          <w:lang w:val="zh-CN"/>
        </w:rPr>
        <w:t>3.12 控制系统UPS断电保护。</w:t>
      </w:r>
    </w:p>
    <w:p>
      <w:pPr>
        <w:pStyle w:val="28"/>
        <w:spacing w:line="400" w:lineRule="exact"/>
        <w:jc w:val="both"/>
        <w:rPr>
          <w:rFonts w:ascii="Times New Roman"/>
          <w:color w:val="auto"/>
          <w:highlight w:val="none"/>
          <w:lang w:val="zh-CN"/>
        </w:rPr>
      </w:pPr>
      <w:r>
        <w:rPr>
          <w:rFonts w:ascii="Times New Roman"/>
          <w:color w:val="auto"/>
          <w:highlight w:val="none"/>
          <w:lang w:val="zh-CN"/>
        </w:rPr>
        <w:t>3.13 操作软件：系统软件控制土壤样品运输传动、研磨、分装等全过程（响应文件中提供相应软件的著作登记证书）。</w:t>
      </w:r>
    </w:p>
    <w:p>
      <w:pPr>
        <w:pStyle w:val="28"/>
        <w:spacing w:line="400" w:lineRule="exact"/>
        <w:jc w:val="both"/>
        <w:rPr>
          <w:rFonts w:ascii="Times New Roman"/>
          <w:color w:val="auto"/>
          <w:highlight w:val="none"/>
          <w:lang w:val="zh-CN"/>
        </w:rPr>
      </w:pPr>
      <w:r>
        <w:rPr>
          <w:rFonts w:ascii="Times New Roman"/>
          <w:color w:val="auto"/>
          <w:highlight w:val="none"/>
          <w:lang w:val="zh-CN"/>
        </w:rPr>
        <w:t>3.14 设备对场地条件的要求：主机占地面积≤1.2米*1.2米，重量≤500kg，额定功率≤3.5KW。</w:t>
      </w:r>
    </w:p>
    <w:p>
      <w:pPr>
        <w:adjustRightInd w:val="0"/>
        <w:snapToGrid w:val="0"/>
        <w:spacing w:line="400" w:lineRule="exact"/>
        <w:rPr>
          <w:b/>
          <w:color w:val="auto"/>
          <w:sz w:val="24"/>
          <w:highlight w:val="none"/>
        </w:rPr>
      </w:pPr>
      <w:r>
        <w:rPr>
          <w:b/>
          <w:color w:val="auto"/>
          <w:sz w:val="24"/>
          <w:highlight w:val="none"/>
        </w:rPr>
        <w:t>4. 仪器配置</w:t>
      </w:r>
    </w:p>
    <w:p>
      <w:pPr>
        <w:pStyle w:val="28"/>
        <w:spacing w:line="400" w:lineRule="exact"/>
        <w:jc w:val="both"/>
        <w:rPr>
          <w:rFonts w:ascii="Times New Roman"/>
          <w:color w:val="auto"/>
          <w:highlight w:val="none"/>
          <w:lang w:val="zh-CN"/>
        </w:rPr>
      </w:pPr>
      <w:r>
        <w:rPr>
          <w:rFonts w:ascii="Times New Roman"/>
          <w:color w:val="auto"/>
          <w:highlight w:val="none"/>
          <w:lang w:val="zh-CN"/>
        </w:rPr>
        <w:t>4.1 主机 1台；</w:t>
      </w:r>
    </w:p>
    <w:p>
      <w:pPr>
        <w:pStyle w:val="28"/>
        <w:spacing w:line="400" w:lineRule="exact"/>
        <w:jc w:val="both"/>
        <w:rPr>
          <w:rFonts w:ascii="Times New Roman"/>
          <w:color w:val="auto"/>
          <w:highlight w:val="none"/>
          <w:lang w:val="zh-CN"/>
        </w:rPr>
      </w:pPr>
      <w:r>
        <w:rPr>
          <w:rFonts w:ascii="Times New Roman"/>
          <w:color w:val="auto"/>
          <w:highlight w:val="none"/>
          <w:lang w:val="zh-CN"/>
        </w:rPr>
        <w:t>4.2 打印纸 10卷；</w:t>
      </w:r>
    </w:p>
    <w:p>
      <w:pPr>
        <w:pStyle w:val="28"/>
        <w:spacing w:line="400" w:lineRule="exact"/>
        <w:jc w:val="both"/>
        <w:rPr>
          <w:rFonts w:ascii="Times New Roman"/>
          <w:color w:val="auto"/>
          <w:highlight w:val="none"/>
          <w:lang w:val="zh-CN"/>
        </w:rPr>
      </w:pPr>
      <w:r>
        <w:rPr>
          <w:rFonts w:ascii="Times New Roman"/>
          <w:color w:val="auto"/>
          <w:highlight w:val="none"/>
          <w:lang w:val="zh-CN"/>
        </w:rPr>
        <w:t>4.3 NFC贴 5000个。</w:t>
      </w:r>
    </w:p>
    <w:p>
      <w:pPr>
        <w:spacing w:line="440" w:lineRule="exact"/>
        <w:rPr>
          <w:color w:val="auto"/>
          <w:sz w:val="24"/>
          <w:highlight w:val="none"/>
          <w:lang w:val="zh-CN"/>
        </w:rPr>
      </w:pPr>
      <w:r>
        <w:rPr>
          <w:rFonts w:hint="eastAsia"/>
          <w:color w:val="auto"/>
          <w:sz w:val="24"/>
          <w:highlight w:val="none"/>
          <w:lang w:val="zh-CN"/>
        </w:rPr>
        <w:t>4.</w:t>
      </w:r>
      <w:r>
        <w:rPr>
          <w:rFonts w:hint="eastAsia"/>
          <w:color w:val="auto"/>
          <w:sz w:val="24"/>
          <w:highlight w:val="none"/>
        </w:rPr>
        <w:t>4</w:t>
      </w:r>
      <w:r>
        <w:rPr>
          <w:color w:val="auto"/>
          <w:sz w:val="24"/>
          <w:highlight w:val="none"/>
          <w:lang w:val="zh-CN"/>
        </w:rPr>
        <w:t>不间断电源1套</w:t>
      </w:r>
    </w:p>
    <w:p>
      <w:pPr>
        <w:spacing w:line="440" w:lineRule="exact"/>
        <w:rPr>
          <w:color w:val="auto"/>
          <w:sz w:val="24"/>
          <w:highlight w:val="none"/>
          <w:lang w:val="zh-CN"/>
        </w:rPr>
      </w:pPr>
      <w:r>
        <w:rPr>
          <w:rFonts w:hint="eastAsia"/>
          <w:color w:val="auto"/>
          <w:sz w:val="24"/>
          <w:highlight w:val="none"/>
          <w:lang w:val="zh-CN"/>
        </w:rPr>
        <w:t>4.</w:t>
      </w:r>
      <w:r>
        <w:rPr>
          <w:rFonts w:hint="eastAsia"/>
          <w:color w:val="auto"/>
          <w:sz w:val="24"/>
          <w:highlight w:val="none"/>
        </w:rPr>
        <w:t>4</w:t>
      </w:r>
      <w:r>
        <w:rPr>
          <w:color w:val="auto"/>
          <w:sz w:val="24"/>
          <w:highlight w:val="none"/>
          <w:lang w:val="zh-CN"/>
        </w:rPr>
        <w:t>.1UPS主机：输入指标</w:t>
      </w:r>
      <w:r>
        <w:rPr>
          <w:rFonts w:hint="eastAsia"/>
          <w:color w:val="auto"/>
          <w:sz w:val="24"/>
          <w:highlight w:val="none"/>
          <w:lang w:val="zh-CN"/>
        </w:rPr>
        <w:t>：</w:t>
      </w:r>
      <w:r>
        <w:rPr>
          <w:color w:val="auto"/>
          <w:sz w:val="24"/>
          <w:highlight w:val="none"/>
          <w:lang w:val="zh-CN"/>
        </w:rPr>
        <w:t>容量：40KVA（三进三出</w:t>
      </w:r>
      <w:r>
        <w:rPr>
          <w:rFonts w:hint="eastAsia"/>
          <w:color w:val="auto"/>
          <w:sz w:val="24"/>
          <w:highlight w:val="none"/>
          <w:lang w:val="zh-CN"/>
        </w:rPr>
        <w:t>；</w:t>
      </w:r>
      <w:r>
        <w:rPr>
          <w:color w:val="auto"/>
          <w:sz w:val="24"/>
          <w:highlight w:val="none"/>
          <w:lang w:val="zh-CN"/>
        </w:rPr>
        <w:t>输入电压：190-520VAC(3相)50%负载；305-478VAC(3相)</w:t>
      </w:r>
      <w:r>
        <w:rPr>
          <w:rFonts w:hint="eastAsia"/>
          <w:color w:val="auto"/>
          <w:sz w:val="24"/>
          <w:highlight w:val="none"/>
          <w:lang w:val="zh-CN"/>
        </w:rPr>
        <w:t>；</w:t>
      </w:r>
      <w:r>
        <w:rPr>
          <w:color w:val="auto"/>
          <w:sz w:val="24"/>
          <w:highlight w:val="none"/>
          <w:lang w:val="zh-CN"/>
        </w:rPr>
        <w:t>100%负载</w:t>
      </w:r>
      <w:r>
        <w:rPr>
          <w:rFonts w:hint="eastAsia"/>
          <w:color w:val="auto"/>
          <w:sz w:val="24"/>
          <w:highlight w:val="none"/>
          <w:lang w:val="zh-CN"/>
        </w:rPr>
        <w:t>；</w:t>
      </w:r>
      <w:r>
        <w:rPr>
          <w:color w:val="auto"/>
          <w:sz w:val="24"/>
          <w:highlight w:val="none"/>
          <w:lang w:val="zh-CN"/>
        </w:rPr>
        <w:t>输入电压可变范围：±20%：输入频率：50Hz±10%</w:t>
      </w:r>
      <w:r>
        <w:rPr>
          <w:rFonts w:hint="eastAsia"/>
          <w:color w:val="auto"/>
          <w:sz w:val="24"/>
          <w:highlight w:val="none"/>
          <w:lang w:val="zh-CN"/>
        </w:rPr>
        <w:t>：</w:t>
      </w:r>
      <w:r>
        <w:rPr>
          <w:color w:val="auto"/>
          <w:sz w:val="24"/>
          <w:highlight w:val="none"/>
          <w:lang w:val="zh-CN"/>
        </w:rPr>
        <w:t>电流谐波含量：&lt;10%</w:t>
      </w:r>
      <w:r>
        <w:rPr>
          <w:rFonts w:hint="eastAsia"/>
          <w:color w:val="auto"/>
          <w:sz w:val="24"/>
          <w:highlight w:val="none"/>
          <w:lang w:val="zh-CN"/>
        </w:rPr>
        <w:t>：</w:t>
      </w:r>
      <w:r>
        <w:rPr>
          <w:color w:val="auto"/>
          <w:sz w:val="24"/>
          <w:highlight w:val="none"/>
          <w:lang w:val="zh-CN"/>
        </w:rPr>
        <w:t>功率因数：0.9</w:t>
      </w:r>
      <w:r>
        <w:rPr>
          <w:rFonts w:hint="eastAsia"/>
          <w:color w:val="auto"/>
          <w:sz w:val="24"/>
          <w:highlight w:val="none"/>
          <w:lang w:val="zh-CN"/>
        </w:rPr>
        <w:t>）。</w:t>
      </w:r>
    </w:p>
    <w:p>
      <w:pPr>
        <w:spacing w:line="440" w:lineRule="exact"/>
        <w:rPr>
          <w:color w:val="auto"/>
          <w:sz w:val="24"/>
          <w:highlight w:val="none"/>
          <w:lang w:val="zh-CN"/>
        </w:rPr>
      </w:pPr>
      <w:r>
        <w:rPr>
          <w:rFonts w:hint="eastAsia"/>
          <w:color w:val="auto"/>
          <w:sz w:val="24"/>
          <w:highlight w:val="none"/>
          <w:lang w:val="zh-CN"/>
        </w:rPr>
        <w:t>4.</w:t>
      </w:r>
      <w:r>
        <w:rPr>
          <w:rFonts w:hint="eastAsia"/>
          <w:color w:val="auto"/>
          <w:sz w:val="24"/>
          <w:highlight w:val="none"/>
        </w:rPr>
        <w:t>4</w:t>
      </w:r>
      <w:r>
        <w:rPr>
          <w:rFonts w:hint="eastAsia"/>
          <w:color w:val="auto"/>
          <w:sz w:val="24"/>
          <w:highlight w:val="none"/>
          <w:lang w:val="zh-CN"/>
        </w:rPr>
        <w:t>.2</w:t>
      </w:r>
      <w:r>
        <w:rPr>
          <w:color w:val="auto"/>
          <w:sz w:val="24"/>
          <w:highlight w:val="none"/>
          <w:lang w:val="zh-CN"/>
        </w:rPr>
        <w:t>输出指标：输出电压：3*400VAC(3相+N)</w:t>
      </w:r>
      <w:r>
        <w:rPr>
          <w:rFonts w:hint="eastAsia"/>
          <w:color w:val="auto"/>
          <w:sz w:val="24"/>
          <w:highlight w:val="none"/>
          <w:lang w:val="zh-CN"/>
        </w:rPr>
        <w:t>；</w:t>
      </w:r>
      <w:r>
        <w:rPr>
          <w:color w:val="auto"/>
          <w:sz w:val="24"/>
          <w:highlight w:val="none"/>
          <w:lang w:val="zh-CN"/>
        </w:rPr>
        <w:t>稳压精度；&lt;±1%；电压瞬变范围：土3%</w:t>
      </w:r>
      <w:r>
        <w:rPr>
          <w:rFonts w:hint="eastAsia"/>
          <w:color w:val="auto"/>
          <w:sz w:val="24"/>
          <w:highlight w:val="none"/>
          <w:lang w:val="zh-CN"/>
        </w:rPr>
        <w:t>；</w:t>
      </w:r>
      <w:r>
        <w:rPr>
          <w:color w:val="auto"/>
          <w:sz w:val="24"/>
          <w:highlight w:val="none"/>
          <w:lang w:val="zh-CN"/>
        </w:rPr>
        <w:t>瞬变恢复时间：20ms</w:t>
      </w:r>
      <w:r>
        <w:rPr>
          <w:rFonts w:hint="eastAsia"/>
          <w:color w:val="auto"/>
          <w:sz w:val="24"/>
          <w:highlight w:val="none"/>
          <w:lang w:val="zh-CN"/>
        </w:rPr>
        <w:t>；</w:t>
      </w:r>
      <w:r>
        <w:rPr>
          <w:color w:val="auto"/>
          <w:sz w:val="24"/>
          <w:highlight w:val="none"/>
          <w:lang w:val="zh-CN"/>
        </w:rPr>
        <w:t>输出功率因数：0.8（滞后）</w:t>
      </w:r>
      <w:r>
        <w:rPr>
          <w:rFonts w:hint="eastAsia"/>
          <w:color w:val="auto"/>
          <w:sz w:val="24"/>
          <w:highlight w:val="none"/>
          <w:lang w:val="zh-CN"/>
        </w:rPr>
        <w:t>；</w:t>
      </w:r>
      <w:r>
        <w:rPr>
          <w:color w:val="auto"/>
          <w:sz w:val="24"/>
          <w:highlight w:val="none"/>
          <w:lang w:val="zh-CN"/>
        </w:rPr>
        <w:t>输出频率精度（电池逆变工作方式）:50hz士1%</w:t>
      </w:r>
      <w:r>
        <w:rPr>
          <w:rFonts w:hint="eastAsia"/>
          <w:color w:val="auto"/>
          <w:sz w:val="24"/>
          <w:highlight w:val="none"/>
          <w:lang w:val="zh-CN"/>
        </w:rPr>
        <w:t>；</w:t>
      </w:r>
      <w:r>
        <w:rPr>
          <w:color w:val="auto"/>
          <w:sz w:val="24"/>
          <w:highlight w:val="none"/>
          <w:lang w:val="zh-CN"/>
        </w:rPr>
        <w:t xml:space="preserve">市电电池切换时间：0ms：旁路逆变切换时间（逆变器故障切换时）:&lt; 1ms </w:t>
      </w:r>
      <w:r>
        <w:rPr>
          <w:rFonts w:hint="eastAsia"/>
          <w:color w:val="auto"/>
          <w:sz w:val="24"/>
          <w:highlight w:val="none"/>
          <w:lang w:val="zh-CN"/>
        </w:rPr>
        <w:t>；</w:t>
      </w:r>
      <w:r>
        <w:rPr>
          <w:color w:val="auto"/>
          <w:sz w:val="24"/>
          <w:highlight w:val="none"/>
          <w:lang w:val="zh-CN"/>
        </w:rPr>
        <w:t>输出电压不平衡度；&lt;2%；输出电压相位偏差（平衡线性负载）:0°</w:t>
      </w:r>
      <w:r>
        <w:rPr>
          <w:rFonts w:hint="eastAsia"/>
          <w:color w:val="auto"/>
          <w:sz w:val="24"/>
          <w:highlight w:val="none"/>
          <w:lang w:val="zh-CN"/>
        </w:rPr>
        <w:t>；</w:t>
      </w:r>
      <w:r>
        <w:rPr>
          <w:color w:val="auto"/>
          <w:sz w:val="24"/>
          <w:highlight w:val="none"/>
          <w:lang w:val="zh-CN"/>
        </w:rPr>
        <w:t>具有输出隔离变压器，整机工作效率≥85%</w:t>
      </w:r>
      <w:r>
        <w:rPr>
          <w:rFonts w:hint="eastAsia"/>
          <w:color w:val="auto"/>
          <w:sz w:val="24"/>
          <w:highlight w:val="none"/>
          <w:lang w:val="zh-CN"/>
        </w:rPr>
        <w:t>；</w:t>
      </w:r>
      <w:r>
        <w:rPr>
          <w:color w:val="auto"/>
          <w:sz w:val="24"/>
          <w:highlight w:val="none"/>
          <w:lang w:val="zh-CN"/>
        </w:rPr>
        <w:t>过载能力</w:t>
      </w:r>
      <w:r>
        <w:rPr>
          <w:rFonts w:hint="eastAsia"/>
          <w:color w:val="auto"/>
          <w:sz w:val="24"/>
          <w:highlight w:val="none"/>
          <w:lang w:val="zh-CN"/>
        </w:rPr>
        <w:t>；</w:t>
      </w:r>
      <w:r>
        <w:rPr>
          <w:color w:val="auto"/>
          <w:sz w:val="24"/>
          <w:highlight w:val="none"/>
          <w:lang w:val="zh-CN"/>
        </w:rPr>
        <w:t>输出为额定容量的125%:10min：输出为额定容量的150%:1min</w:t>
      </w:r>
      <w:r>
        <w:rPr>
          <w:rFonts w:hint="eastAsia"/>
          <w:color w:val="auto"/>
          <w:sz w:val="24"/>
          <w:highlight w:val="none"/>
          <w:lang w:val="zh-CN"/>
        </w:rPr>
        <w:t>；</w:t>
      </w:r>
      <w:r>
        <w:rPr>
          <w:color w:val="auto"/>
          <w:sz w:val="24"/>
          <w:highlight w:val="none"/>
          <w:lang w:val="zh-CN"/>
        </w:rPr>
        <w:t>并机负载电流不均衡度：≤5%；并机空载环流：≤5a</w:t>
      </w:r>
      <w:r>
        <w:rPr>
          <w:rFonts w:hint="eastAsia"/>
          <w:color w:val="auto"/>
          <w:sz w:val="24"/>
          <w:highlight w:val="none"/>
          <w:lang w:val="zh-CN"/>
        </w:rPr>
        <w:t>；</w:t>
      </w:r>
      <w:r>
        <w:rPr>
          <w:color w:val="auto"/>
          <w:sz w:val="24"/>
          <w:highlight w:val="none"/>
          <w:lang w:val="zh-CN"/>
        </w:rPr>
        <w:t>全数字触摸屏大屏幕 LCD 中文显示</w:t>
      </w:r>
      <w:r>
        <w:rPr>
          <w:rFonts w:hint="eastAsia"/>
          <w:color w:val="auto"/>
          <w:sz w:val="24"/>
          <w:highlight w:val="none"/>
          <w:lang w:val="zh-CN"/>
        </w:rPr>
        <w:t>；</w:t>
      </w:r>
      <w:r>
        <w:rPr>
          <w:color w:val="auto"/>
          <w:sz w:val="24"/>
          <w:highlight w:val="none"/>
          <w:lang w:val="zh-CN"/>
        </w:rPr>
        <w:t>输出短路保护</w:t>
      </w:r>
      <w:r>
        <w:rPr>
          <w:rFonts w:hint="eastAsia"/>
          <w:color w:val="auto"/>
          <w:sz w:val="24"/>
          <w:highlight w:val="none"/>
          <w:lang w:val="zh-CN"/>
        </w:rPr>
        <w:t>、</w:t>
      </w:r>
      <w:r>
        <w:rPr>
          <w:color w:val="auto"/>
          <w:sz w:val="24"/>
          <w:highlight w:val="none"/>
          <w:lang w:val="zh-CN"/>
        </w:rPr>
        <w:t>输出过载保护</w:t>
      </w:r>
      <w:r>
        <w:rPr>
          <w:rFonts w:hint="eastAsia"/>
          <w:color w:val="auto"/>
          <w:sz w:val="24"/>
          <w:highlight w:val="none"/>
          <w:lang w:val="zh-CN"/>
        </w:rPr>
        <w:t>、</w:t>
      </w:r>
      <w:r>
        <w:rPr>
          <w:color w:val="auto"/>
          <w:sz w:val="24"/>
          <w:highlight w:val="none"/>
          <w:lang w:val="zh-CN"/>
        </w:rPr>
        <w:t>过温度保护</w:t>
      </w:r>
      <w:r>
        <w:rPr>
          <w:rFonts w:hint="eastAsia"/>
          <w:color w:val="auto"/>
          <w:sz w:val="24"/>
          <w:highlight w:val="none"/>
          <w:lang w:val="zh-CN"/>
        </w:rPr>
        <w:t>； UPS 必须能在0-40度带满载运行,在机房环境40摄氏度时, UPS 可带满载2小时以上；蓄电池电压低保护、输出过欠压保护、输入过欠压保护。</w:t>
      </w:r>
    </w:p>
    <w:p>
      <w:pPr>
        <w:pStyle w:val="28"/>
        <w:spacing w:line="400" w:lineRule="exact"/>
        <w:jc w:val="both"/>
        <w:rPr>
          <w:rFonts w:ascii="Times New Roman"/>
          <w:color w:val="auto"/>
          <w:highlight w:val="none"/>
        </w:rPr>
      </w:pPr>
      <w:r>
        <w:rPr>
          <w:rFonts w:hint="eastAsia" w:ascii="Times New Roman"/>
          <w:color w:val="auto"/>
          <w:kern w:val="2"/>
          <w:szCs w:val="24"/>
          <w:highlight w:val="none"/>
          <w:lang w:val="zh-CN"/>
        </w:rPr>
        <w:t>4.</w:t>
      </w:r>
      <w:r>
        <w:rPr>
          <w:rFonts w:hint="eastAsia" w:ascii="Times New Roman"/>
          <w:color w:val="auto"/>
          <w:kern w:val="2"/>
          <w:szCs w:val="24"/>
          <w:highlight w:val="none"/>
        </w:rPr>
        <w:t>4</w:t>
      </w:r>
      <w:r>
        <w:rPr>
          <w:rFonts w:hint="eastAsia" w:ascii="Times New Roman"/>
          <w:color w:val="auto"/>
          <w:kern w:val="2"/>
          <w:szCs w:val="24"/>
          <w:highlight w:val="none"/>
          <w:lang w:val="zh-CN"/>
        </w:rPr>
        <w:t>.3UPS</w:t>
      </w:r>
      <w:r>
        <w:rPr>
          <w:rFonts w:hint="eastAsia"/>
          <w:color w:val="auto"/>
          <w:highlight w:val="none"/>
          <w:lang w:val="zh-CN"/>
        </w:rPr>
        <w:t xml:space="preserve"> 蓄电池：</w:t>
      </w:r>
      <w:r>
        <w:rPr>
          <w:rFonts w:hint="eastAsia"/>
          <w:color w:val="auto"/>
          <w:highlight w:val="none"/>
        </w:rPr>
        <w:t>应采用电压为12V单体蓄电池；电池无论立放或卧放均不会发生泄漏；蓄电池应能自由安装，维护方便，不必定期补加水或电解液；应具有安全阀自动开启和关闭功能，防止外部气体被吸入蓄电池内部，而破坏蓄电池性能；要求电池在25℃浮充使用寿命&gt;6年，蓄电池配置单机后备时间不低于120min；外观：蓄电池槽、盖采用高强度ABS材料制造，蓄电池外观不得有变形、漏液、裂纹及污迹，标志要清晰；阻燃性能：</w:t>
      </w:r>
      <w:r>
        <w:rPr>
          <w:rFonts w:ascii="Times New Roman"/>
          <w:color w:val="auto"/>
          <w:highlight w:val="none"/>
        </w:rPr>
        <w:t>蓄电池壳、盖符合GB/T2408-1996中的第832FH-1(水平级)和第932FV-0(垂直级)的要求。</w:t>
      </w:r>
    </w:p>
    <w:p>
      <w:pPr>
        <w:pStyle w:val="28"/>
        <w:spacing w:line="400" w:lineRule="exact"/>
        <w:jc w:val="both"/>
        <w:rPr>
          <w:color w:val="auto"/>
          <w:highlight w:val="none"/>
        </w:rPr>
      </w:pPr>
      <w:r>
        <w:rPr>
          <w:rFonts w:ascii="Times New Roman"/>
          <w:color w:val="auto"/>
          <w:highlight w:val="none"/>
        </w:rPr>
        <w:t>4.5 数码复合机 1套：颜色类型彩色，涵盖功能复印/打印/扫描，速度类型高速，最大原稿尺寸A3</w:t>
      </w:r>
      <w:r>
        <w:rPr>
          <w:rFonts w:hint="eastAsia" w:ascii="Times New Roman"/>
          <w:color w:val="auto"/>
          <w:highlight w:val="none"/>
        </w:rPr>
        <w:t>，内存容量4GB，硬盘容量320GB，10.1寸彩色中文液晶触摸屏，供纸容量标配落地式纸盒：500页（4个），手送纸盒：90页，介质重量纸盘：52-300gsm，手送纸盘：52-300gsm，双面器标配，自动输稿器标配，双面自动输稿器，容量130页，网络功能支持有线网络打印，接口类型标配：USB2.0，10Base-T/100Base-TX，打印复印速度黑白：55cpm，彩色：55cpm，打印分辨率1200×2400dpi，复印原稿尺寸320×450mm，预热时间少于30秒，主电源开启的情况下少于24秒（室温20℃），首页复印时间黑白：4.9秒，彩色：6.7秒，连续复印页数1-999页，缩放范围25-400%（以1%为单位），无图像区域稿头: 4mm以内，稿尾: 2mm以内，左/右: 2mm以内，灰度等级256级，打印分辨率1200×2400dpi，打印语言标配：PCL6，PCL5，Adobe PostScript 3TM（专业彩色打印语言，可打印国网绿、电信蓝），扫描分辨率600×600dpi，扫描速度：154ppm，输出格式黑白双色：TIFF，DocuWorks文件，PDF，XPS，灰度色阶：TIFF，JPEG，DocuWorks文件，PDF，XPS，全彩：TIFF，JPEG，DocuWorks文件，PDF，XPS，高压缩DocuWorks文件，高压缩PDF，高压缩XPS，平行电子分页，小册子复印，网络打印、扫描等彩色多功能数码一体机，支持1.2米加长打印，A3+，可打硫酸纸、透明胶片、胶片封套。数字倾斜矫正传输技术。</w:t>
      </w:r>
    </w:p>
    <w:p>
      <w:pPr>
        <w:widowControl/>
        <w:autoSpaceDE w:val="0"/>
        <w:autoSpaceDN w:val="0"/>
        <w:snapToGrid w:val="0"/>
        <w:spacing w:line="400" w:lineRule="exact"/>
        <w:rPr>
          <w:b/>
          <w:bCs/>
          <w:color w:val="auto"/>
          <w:kern w:val="0"/>
          <w:sz w:val="24"/>
          <w:highlight w:val="none"/>
        </w:rPr>
      </w:pPr>
      <w:r>
        <w:rPr>
          <w:b/>
          <w:bCs/>
          <w:color w:val="auto"/>
          <w:kern w:val="0"/>
          <w:sz w:val="24"/>
          <w:highlight w:val="none"/>
        </w:rPr>
        <w:t>5.技术服务</w:t>
      </w:r>
    </w:p>
    <w:p>
      <w:pPr>
        <w:pStyle w:val="28"/>
        <w:spacing w:line="400" w:lineRule="exact"/>
        <w:jc w:val="both"/>
        <w:rPr>
          <w:rFonts w:ascii="Times New Roman"/>
          <w:color w:val="auto"/>
          <w:highlight w:val="none"/>
          <w:lang w:val="zh-CN"/>
        </w:rPr>
      </w:pPr>
      <w:r>
        <w:rPr>
          <w:rFonts w:ascii="Times New Roman"/>
          <w:color w:val="auto"/>
          <w:highlight w:val="none"/>
          <w:lang w:val="zh-CN"/>
        </w:rPr>
        <w:t>5.1保证产品为全新原厂设备。</w:t>
      </w:r>
    </w:p>
    <w:p>
      <w:pPr>
        <w:pStyle w:val="28"/>
        <w:spacing w:line="400" w:lineRule="exact"/>
        <w:jc w:val="both"/>
        <w:rPr>
          <w:rFonts w:ascii="Times New Roman"/>
          <w:color w:val="auto"/>
          <w:highlight w:val="none"/>
          <w:lang w:val="zh-CN"/>
        </w:rPr>
      </w:pPr>
      <w:r>
        <w:rPr>
          <w:rFonts w:ascii="Times New Roman"/>
          <w:color w:val="auto"/>
          <w:highlight w:val="none"/>
          <w:lang w:val="zh-CN"/>
        </w:rPr>
        <w:t>5.2仪器安装验收：供货商在接到用户安装通知后，须在10工作日内安排有经验的工程师到现场安装仪器，并在</w:t>
      </w:r>
      <w:r>
        <w:rPr>
          <w:rFonts w:hint="eastAsia" w:ascii="Times New Roman"/>
          <w:color w:val="auto"/>
          <w:highlight w:val="none"/>
        </w:rPr>
        <w:t>3</w:t>
      </w:r>
      <w:r>
        <w:rPr>
          <w:rFonts w:ascii="Times New Roman"/>
          <w:color w:val="auto"/>
          <w:highlight w:val="none"/>
          <w:lang w:val="zh-CN"/>
        </w:rPr>
        <w:t>0工作日内安装、调试完毕，进行操作试验，直至运行正常并验收确认。</w:t>
      </w:r>
    </w:p>
    <w:p>
      <w:pPr>
        <w:pStyle w:val="28"/>
        <w:spacing w:line="400" w:lineRule="exact"/>
        <w:jc w:val="both"/>
        <w:rPr>
          <w:rFonts w:ascii="Times New Roman"/>
          <w:color w:val="auto"/>
          <w:highlight w:val="none"/>
          <w:lang w:val="zh-CN"/>
        </w:rPr>
      </w:pPr>
      <w:r>
        <w:rPr>
          <w:rFonts w:ascii="Times New Roman"/>
          <w:color w:val="auto"/>
          <w:highlight w:val="none"/>
          <w:lang w:val="zh-CN"/>
        </w:rPr>
        <w:t>5.3保修服务：自验收合格起，厂家向用户提供至少1年的免费保修服务，终生维修。保修期内所有服务免费，一切配件、耗材免费到场更换。保修期外，能更及时地为用户提供备品备件。</w:t>
      </w:r>
    </w:p>
    <w:p>
      <w:pPr>
        <w:pStyle w:val="28"/>
        <w:spacing w:line="400" w:lineRule="exact"/>
        <w:jc w:val="both"/>
        <w:rPr>
          <w:rFonts w:ascii="Times New Roman"/>
          <w:color w:val="auto"/>
          <w:highlight w:val="none"/>
          <w:lang w:val="zh-CN"/>
        </w:rPr>
      </w:pPr>
      <w:r>
        <w:rPr>
          <w:rFonts w:ascii="Times New Roman"/>
          <w:color w:val="auto"/>
          <w:highlight w:val="none"/>
          <w:lang w:val="zh-CN"/>
        </w:rPr>
        <w:t>5.4质量及验收标准：安装工程师对本标书中提出的性能指标须逐项验收，所有验收指标要求一次完成。技术指标符合买方要求和厂家规定的出厂要求。如未通过验收，视情节更换部件或主机，直至退货。</w:t>
      </w:r>
    </w:p>
    <w:p>
      <w:pPr>
        <w:pStyle w:val="28"/>
        <w:spacing w:line="400" w:lineRule="exact"/>
        <w:jc w:val="both"/>
        <w:rPr>
          <w:rFonts w:ascii="Times New Roman"/>
          <w:color w:val="auto"/>
          <w:highlight w:val="none"/>
          <w:lang w:val="zh-CN"/>
        </w:rPr>
      </w:pPr>
      <w:r>
        <w:rPr>
          <w:rFonts w:ascii="Times New Roman"/>
          <w:color w:val="auto"/>
          <w:highlight w:val="none"/>
          <w:lang w:val="zh-CN"/>
        </w:rPr>
        <w:t>5.5培训：仪器安装现场对2名以上仪器操作人员提供免费的上机操作及日常维护培训，至使用者会操作、使用仪器为止，除仪器中文使用说明书外，应提供安装、使用技术光碟等，便于后期学习维护。</w:t>
      </w:r>
    </w:p>
    <w:p>
      <w:pPr>
        <w:pStyle w:val="28"/>
        <w:spacing w:line="400" w:lineRule="exact"/>
        <w:jc w:val="both"/>
        <w:rPr>
          <w:rFonts w:ascii="Times New Roman"/>
          <w:color w:val="auto"/>
          <w:highlight w:val="none"/>
          <w:lang w:val="zh-CN"/>
        </w:rPr>
      </w:pPr>
      <w:r>
        <w:rPr>
          <w:rFonts w:ascii="Times New Roman"/>
          <w:color w:val="auto"/>
          <w:highlight w:val="none"/>
          <w:lang w:val="zh-CN"/>
        </w:rPr>
        <w:t>5.6制造厂家应保证用户能得到快捷、完善的售后服务；服务响应时间不大于24小时，故障可以在48小时内到现场维修。</w:t>
      </w:r>
    </w:p>
    <w:p>
      <w:pPr>
        <w:pStyle w:val="28"/>
        <w:spacing w:line="400" w:lineRule="exact"/>
        <w:jc w:val="both"/>
        <w:rPr>
          <w:rFonts w:ascii="Times New Roman"/>
          <w:color w:val="auto"/>
          <w:highlight w:val="none"/>
          <w:lang w:val="zh-CN"/>
        </w:rPr>
      </w:pPr>
      <w:r>
        <w:rPr>
          <w:rFonts w:ascii="Times New Roman"/>
          <w:color w:val="auto"/>
          <w:highlight w:val="none"/>
          <w:lang w:val="zh-CN"/>
        </w:rPr>
        <w:t>5.7 及时免费提供技术咨询。</w:t>
      </w:r>
    </w:p>
    <w:p>
      <w:pPr>
        <w:pStyle w:val="28"/>
        <w:spacing w:line="400" w:lineRule="exact"/>
        <w:jc w:val="both"/>
        <w:rPr>
          <w:rFonts w:ascii="Times New Roman"/>
          <w:color w:val="auto"/>
          <w:highlight w:val="none"/>
          <w:lang w:val="zh-CN"/>
        </w:rPr>
      </w:pPr>
      <w:r>
        <w:rPr>
          <w:rFonts w:ascii="Times New Roman"/>
          <w:color w:val="auto"/>
          <w:highlight w:val="none"/>
          <w:lang w:val="zh-CN"/>
        </w:rPr>
        <w:t>5.8自安装之日起，每年至少2次免费技术和维护回访，帮助用户解决软硬件使用中出现的技术问题。</w:t>
      </w:r>
    </w:p>
    <w:p>
      <w:pPr>
        <w:pStyle w:val="28"/>
        <w:spacing w:line="400" w:lineRule="exact"/>
        <w:jc w:val="both"/>
        <w:rPr>
          <w:rFonts w:ascii="Times New Roman"/>
          <w:color w:val="auto"/>
          <w:highlight w:val="none"/>
          <w:lang w:val="zh-CN"/>
        </w:rPr>
      </w:pPr>
      <w:r>
        <w:rPr>
          <w:rFonts w:ascii="Times New Roman"/>
          <w:color w:val="auto"/>
          <w:highlight w:val="none"/>
          <w:lang w:val="zh-CN"/>
        </w:rPr>
        <w:t>备注：带“*”号的为必须满足指标，与技术性能指标一起做为验收指标。</w:t>
      </w:r>
    </w:p>
    <w:p>
      <w:pPr>
        <w:pStyle w:val="718"/>
        <w:widowControl/>
        <w:numPr>
          <w:ilvl w:val="0"/>
          <w:numId w:val="17"/>
        </w:numPr>
        <w:autoSpaceDE w:val="0"/>
        <w:autoSpaceDN w:val="0"/>
        <w:snapToGrid w:val="0"/>
        <w:spacing w:line="440" w:lineRule="exact"/>
        <w:ind w:firstLineChars="0"/>
        <w:contextualSpacing/>
        <w:rPr>
          <w:color w:val="auto"/>
          <w:highlight w:val="none"/>
        </w:rPr>
      </w:pPr>
      <w:r>
        <w:rPr>
          <w:rFonts w:hint="eastAsia"/>
          <w:color w:val="auto"/>
          <w:highlight w:val="none"/>
        </w:rPr>
        <w:t>土壤提取前处理装置</w:t>
      </w:r>
    </w:p>
    <w:p>
      <w:pPr>
        <w:widowControl/>
        <w:shd w:val="clear" w:color="auto" w:fill="FFFFFF"/>
        <w:suppressAutoHyphens/>
        <w:snapToGrid w:val="0"/>
        <w:spacing w:line="400" w:lineRule="exact"/>
        <w:contextualSpacing/>
        <w:rPr>
          <w:b/>
          <w:bCs/>
          <w:color w:val="auto"/>
          <w:sz w:val="24"/>
          <w:highlight w:val="none"/>
        </w:rPr>
      </w:pPr>
      <w:r>
        <w:rPr>
          <w:b/>
          <w:bCs/>
          <w:color w:val="auto"/>
          <w:sz w:val="24"/>
          <w:highlight w:val="none"/>
        </w:rPr>
        <w:t>1.设备用途</w:t>
      </w:r>
    </w:p>
    <w:p>
      <w:pPr>
        <w:pStyle w:val="28"/>
        <w:spacing w:line="400" w:lineRule="exact"/>
        <w:ind w:firstLine="480" w:firstLineChars="200"/>
        <w:rPr>
          <w:rFonts w:ascii="Times New Roman"/>
          <w:color w:val="auto"/>
          <w:highlight w:val="none"/>
          <w:lang w:val="zh-CN"/>
        </w:rPr>
      </w:pPr>
      <w:r>
        <w:rPr>
          <w:rFonts w:ascii="Times New Roman"/>
          <w:color w:val="auto"/>
          <w:highlight w:val="none"/>
          <w:lang w:val="zh-CN"/>
        </w:rPr>
        <w:t>适用一切固体及半固体（乳品）样品的高温高压条件下萃取</w:t>
      </w:r>
      <w:r>
        <w:rPr>
          <w:rFonts w:hint="eastAsia" w:ascii="Times New Roman"/>
          <w:color w:val="auto"/>
          <w:highlight w:val="none"/>
          <w:lang w:val="zh-CN"/>
        </w:rPr>
        <w:t>等前处理</w:t>
      </w:r>
      <w:r>
        <w:rPr>
          <w:rFonts w:ascii="Times New Roman"/>
          <w:color w:val="auto"/>
          <w:highlight w:val="none"/>
          <w:lang w:val="zh-CN"/>
        </w:rPr>
        <w:t>。</w:t>
      </w:r>
    </w:p>
    <w:p>
      <w:pPr>
        <w:widowControl/>
        <w:shd w:val="clear" w:color="auto" w:fill="FFFFFF"/>
        <w:suppressAutoHyphens/>
        <w:snapToGrid w:val="0"/>
        <w:spacing w:line="400" w:lineRule="exact"/>
        <w:contextualSpacing/>
        <w:rPr>
          <w:b/>
          <w:bCs/>
          <w:color w:val="auto"/>
          <w:sz w:val="24"/>
          <w:highlight w:val="none"/>
        </w:rPr>
      </w:pPr>
      <w:r>
        <w:rPr>
          <w:b/>
          <w:bCs/>
          <w:color w:val="auto"/>
          <w:sz w:val="24"/>
          <w:highlight w:val="none"/>
        </w:rPr>
        <w:t>2.工作环境</w:t>
      </w:r>
    </w:p>
    <w:p>
      <w:pPr>
        <w:pStyle w:val="28"/>
        <w:spacing w:line="400" w:lineRule="exact"/>
        <w:rPr>
          <w:rFonts w:ascii="Times New Roman"/>
          <w:color w:val="auto"/>
          <w:highlight w:val="none"/>
          <w:lang w:val="zh-CN"/>
        </w:rPr>
      </w:pPr>
      <w:r>
        <w:rPr>
          <w:rFonts w:ascii="Times New Roman"/>
          <w:color w:val="auto"/>
          <w:highlight w:val="none"/>
          <w:lang w:val="zh-CN"/>
        </w:rPr>
        <w:t xml:space="preserve">2.1电源电压：220VAC </w:t>
      </w:r>
      <w:r>
        <w:rPr>
          <w:rFonts w:ascii="Times New Roman"/>
          <w:color w:val="auto"/>
          <w:szCs w:val="24"/>
          <w:highlight w:val="none"/>
          <w:lang w:val="zh-CN"/>
        </w:rPr>
        <w:t>50（±1）Hz</w:t>
      </w:r>
      <w:r>
        <w:rPr>
          <w:rFonts w:ascii="Times New Roman"/>
          <w:color w:val="auto"/>
          <w:highlight w:val="none"/>
          <w:lang w:val="zh-CN"/>
        </w:rPr>
        <w:t>；</w:t>
      </w:r>
    </w:p>
    <w:p>
      <w:pPr>
        <w:pStyle w:val="28"/>
        <w:spacing w:line="400" w:lineRule="exact"/>
        <w:rPr>
          <w:rFonts w:ascii="Times New Roman"/>
          <w:color w:val="auto"/>
          <w:highlight w:val="none"/>
          <w:lang w:val="zh-CN"/>
        </w:rPr>
      </w:pPr>
      <w:r>
        <w:rPr>
          <w:rFonts w:ascii="Times New Roman"/>
          <w:color w:val="auto"/>
          <w:highlight w:val="none"/>
          <w:lang w:val="zh-CN"/>
        </w:rPr>
        <w:t>2.2环境温度：0℃-35℃；</w:t>
      </w:r>
    </w:p>
    <w:p>
      <w:pPr>
        <w:pStyle w:val="28"/>
        <w:spacing w:line="400" w:lineRule="exact"/>
        <w:rPr>
          <w:rFonts w:ascii="Times New Roman"/>
          <w:color w:val="auto"/>
          <w:highlight w:val="none"/>
          <w:lang w:val="zh-CN"/>
        </w:rPr>
      </w:pPr>
      <w:r>
        <w:rPr>
          <w:rFonts w:ascii="Times New Roman"/>
          <w:color w:val="auto"/>
          <w:highlight w:val="none"/>
          <w:lang w:val="zh-CN"/>
        </w:rPr>
        <w:t>2.3相对湿度：≤80%。</w:t>
      </w:r>
    </w:p>
    <w:p>
      <w:pPr>
        <w:widowControl/>
        <w:shd w:val="clear" w:color="auto" w:fill="FFFFFF"/>
        <w:suppressAutoHyphens/>
        <w:snapToGrid w:val="0"/>
        <w:spacing w:line="400" w:lineRule="exact"/>
        <w:contextualSpacing/>
        <w:rPr>
          <w:b/>
          <w:bCs/>
          <w:color w:val="auto"/>
          <w:sz w:val="24"/>
          <w:highlight w:val="none"/>
        </w:rPr>
      </w:pPr>
      <w:r>
        <w:rPr>
          <w:b/>
          <w:bCs/>
          <w:color w:val="auto"/>
          <w:sz w:val="24"/>
          <w:highlight w:val="none"/>
        </w:rPr>
        <w:t>3.技术要求</w:t>
      </w:r>
    </w:p>
    <w:p>
      <w:pPr>
        <w:pStyle w:val="28"/>
        <w:spacing w:line="400" w:lineRule="exact"/>
        <w:rPr>
          <w:rFonts w:ascii="Times New Roman"/>
          <w:color w:val="auto"/>
          <w:highlight w:val="none"/>
        </w:rPr>
      </w:pPr>
      <w:r>
        <w:rPr>
          <w:rFonts w:ascii="Times New Roman"/>
          <w:color w:val="auto"/>
          <w:highlight w:val="none"/>
        </w:rPr>
        <w:t>3.1萃取技术要求</w:t>
      </w:r>
    </w:p>
    <w:p>
      <w:pPr>
        <w:pStyle w:val="28"/>
        <w:spacing w:line="400" w:lineRule="exact"/>
        <w:rPr>
          <w:rFonts w:ascii="Times New Roman"/>
          <w:color w:val="auto"/>
          <w:highlight w:val="none"/>
        </w:rPr>
      </w:pPr>
      <w:r>
        <w:rPr>
          <w:rFonts w:hint="eastAsia" w:ascii="Times New Roman"/>
          <w:color w:val="auto"/>
          <w:highlight w:val="none"/>
        </w:rPr>
        <w:t>★</w:t>
      </w:r>
      <w:r>
        <w:rPr>
          <w:rFonts w:ascii="Times New Roman"/>
          <w:color w:val="auto"/>
          <w:highlight w:val="none"/>
        </w:rPr>
        <w:t>3.1萃取模式：并联萃取模式。8小时可以处理不少于96个样品。每个通道均具有独立的压力传感器及控制阀</w:t>
      </w:r>
      <w:r>
        <w:rPr>
          <w:rFonts w:hint="eastAsia" w:ascii="Times New Roman"/>
          <w:color w:val="auto"/>
          <w:highlight w:val="none"/>
        </w:rPr>
        <w:t>；</w:t>
      </w:r>
    </w:p>
    <w:p>
      <w:pPr>
        <w:pStyle w:val="28"/>
        <w:spacing w:line="400" w:lineRule="exact"/>
        <w:rPr>
          <w:rFonts w:ascii="Times New Roman"/>
          <w:color w:val="auto"/>
          <w:highlight w:val="none"/>
        </w:rPr>
      </w:pPr>
      <w:r>
        <w:rPr>
          <w:rFonts w:ascii="Times New Roman"/>
          <w:color w:val="auto"/>
          <w:highlight w:val="none"/>
        </w:rPr>
        <w:t>3.2萃取池体积：</w:t>
      </w:r>
      <w:r>
        <w:rPr>
          <w:rFonts w:hint="eastAsia" w:ascii="Times New Roman"/>
          <w:color w:val="auto"/>
          <w:highlight w:val="none"/>
        </w:rPr>
        <w:t>≥</w:t>
      </w:r>
      <w:r>
        <w:rPr>
          <w:rFonts w:ascii="Times New Roman"/>
          <w:color w:val="auto"/>
          <w:highlight w:val="none"/>
        </w:rPr>
        <w:t>40ml</w:t>
      </w:r>
      <w:r>
        <w:rPr>
          <w:rFonts w:hint="eastAsia" w:ascii="Times New Roman"/>
          <w:color w:val="auto"/>
          <w:highlight w:val="none"/>
        </w:rPr>
        <w:t>；</w:t>
      </w:r>
    </w:p>
    <w:p>
      <w:pPr>
        <w:pStyle w:val="28"/>
        <w:spacing w:line="400" w:lineRule="exact"/>
        <w:rPr>
          <w:rFonts w:ascii="Times New Roman"/>
          <w:color w:val="auto"/>
          <w:highlight w:val="none"/>
        </w:rPr>
      </w:pPr>
      <w:r>
        <w:rPr>
          <w:rFonts w:ascii="Times New Roman"/>
          <w:color w:val="auto"/>
          <w:highlight w:val="none"/>
        </w:rPr>
        <w:t>3.3溶剂泵、萃取池及管路标配可耐0.1M酸或碱，系统自动检测密封状态，仪器自动清洗，</w:t>
      </w:r>
      <w:r>
        <w:rPr>
          <w:rFonts w:hint="eastAsia" w:ascii="Times New Roman"/>
          <w:color w:val="auto"/>
          <w:highlight w:val="none"/>
        </w:rPr>
        <w:t>并</w:t>
      </w:r>
      <w:r>
        <w:rPr>
          <w:rFonts w:ascii="Times New Roman"/>
          <w:color w:val="auto"/>
          <w:highlight w:val="none"/>
        </w:rPr>
        <w:t>将废液排入专</w:t>
      </w:r>
      <w:r>
        <w:rPr>
          <w:rFonts w:hint="eastAsia" w:ascii="Times New Roman"/>
          <w:color w:val="auto"/>
          <w:highlight w:val="none"/>
        </w:rPr>
        <w:t>用</w:t>
      </w:r>
      <w:r>
        <w:rPr>
          <w:rFonts w:ascii="Times New Roman"/>
          <w:color w:val="auto"/>
          <w:highlight w:val="none"/>
        </w:rPr>
        <w:t>废液瓶中</w:t>
      </w:r>
      <w:r>
        <w:rPr>
          <w:rFonts w:hint="eastAsia" w:ascii="Times New Roman"/>
          <w:color w:val="auto"/>
          <w:highlight w:val="none"/>
        </w:rPr>
        <w:t>；</w:t>
      </w:r>
    </w:p>
    <w:p>
      <w:pPr>
        <w:pStyle w:val="28"/>
        <w:spacing w:line="400" w:lineRule="exact"/>
        <w:rPr>
          <w:rFonts w:ascii="Times New Roman"/>
          <w:color w:val="auto"/>
          <w:highlight w:val="none"/>
        </w:rPr>
      </w:pPr>
      <w:r>
        <w:rPr>
          <w:rFonts w:ascii="Times New Roman"/>
          <w:color w:val="auto"/>
          <w:highlight w:val="none"/>
        </w:rPr>
        <w:t>3.4单个萃取池上下不多于4个密封件</w:t>
      </w:r>
      <w:r>
        <w:rPr>
          <w:rFonts w:hint="eastAsia" w:ascii="Times New Roman"/>
          <w:color w:val="auto"/>
          <w:highlight w:val="none"/>
          <w:lang w:eastAsia="zh-CN"/>
        </w:rPr>
        <w:t>；</w:t>
      </w:r>
      <w:r>
        <w:rPr>
          <w:rFonts w:ascii="Times New Roman"/>
          <w:color w:val="auto"/>
          <w:highlight w:val="none"/>
        </w:rPr>
        <w:t>不同的萃取池耗材通用</w:t>
      </w:r>
      <w:r>
        <w:rPr>
          <w:rFonts w:hint="eastAsia" w:ascii="Times New Roman"/>
          <w:color w:val="auto"/>
          <w:highlight w:val="none"/>
        </w:rPr>
        <w:t>；</w:t>
      </w:r>
    </w:p>
    <w:p>
      <w:pPr>
        <w:pStyle w:val="28"/>
        <w:spacing w:line="400" w:lineRule="exact"/>
        <w:rPr>
          <w:rFonts w:ascii="Times New Roman"/>
          <w:color w:val="auto"/>
          <w:highlight w:val="none"/>
        </w:rPr>
      </w:pPr>
      <w:r>
        <w:rPr>
          <w:rFonts w:ascii="Times New Roman"/>
          <w:color w:val="auto"/>
          <w:highlight w:val="none"/>
        </w:rPr>
        <w:t>3.5可以兼容应用于Soxhlet、自动Soxhlet、超声波萃取、微波萃取、SFE等方法中使用的各种广泛的萃取溶剂</w:t>
      </w:r>
      <w:r>
        <w:rPr>
          <w:rFonts w:hint="eastAsia" w:ascii="Times New Roman"/>
          <w:color w:val="auto"/>
          <w:highlight w:val="none"/>
        </w:rPr>
        <w:t>；</w:t>
      </w:r>
    </w:p>
    <w:p>
      <w:pPr>
        <w:pStyle w:val="28"/>
        <w:spacing w:line="400" w:lineRule="exact"/>
        <w:rPr>
          <w:rFonts w:ascii="Times New Roman"/>
          <w:color w:val="auto"/>
          <w:highlight w:val="none"/>
        </w:rPr>
      </w:pPr>
      <w:r>
        <w:rPr>
          <w:rFonts w:ascii="Times New Roman"/>
          <w:color w:val="auto"/>
          <w:highlight w:val="none"/>
        </w:rPr>
        <w:t>3.6收集瓶的体积：60、220毫升；无需转移样品，可直接用于浓缩</w:t>
      </w:r>
      <w:r>
        <w:rPr>
          <w:rFonts w:hint="eastAsia" w:ascii="Times New Roman"/>
          <w:color w:val="auto"/>
          <w:highlight w:val="none"/>
        </w:rPr>
        <w:t>；</w:t>
      </w:r>
    </w:p>
    <w:p>
      <w:pPr>
        <w:pStyle w:val="28"/>
        <w:spacing w:line="400" w:lineRule="exact"/>
        <w:rPr>
          <w:rFonts w:ascii="Times New Roman"/>
          <w:color w:val="auto"/>
          <w:highlight w:val="none"/>
        </w:rPr>
      </w:pPr>
      <w:r>
        <w:rPr>
          <w:rFonts w:ascii="Times New Roman"/>
          <w:color w:val="auto"/>
          <w:highlight w:val="none"/>
        </w:rPr>
        <w:t>*3.7混合器：不少于4种溶剂混合器，根据分析物不同可灵活配置溶剂，并以任意比例混合萃取，每个样品消耗的溶剂5-200毫升可以设定</w:t>
      </w:r>
      <w:r>
        <w:rPr>
          <w:rFonts w:hint="eastAsia" w:ascii="Times New Roman"/>
          <w:color w:val="auto"/>
          <w:highlight w:val="none"/>
        </w:rPr>
        <w:t>；</w:t>
      </w:r>
    </w:p>
    <w:p>
      <w:pPr>
        <w:pStyle w:val="28"/>
        <w:spacing w:line="400" w:lineRule="exact"/>
        <w:rPr>
          <w:rFonts w:ascii="Times New Roman"/>
          <w:color w:val="auto"/>
          <w:highlight w:val="none"/>
        </w:rPr>
      </w:pPr>
      <w:r>
        <w:rPr>
          <w:rFonts w:ascii="Times New Roman"/>
          <w:color w:val="auto"/>
          <w:highlight w:val="none"/>
        </w:rPr>
        <w:t>3.8温度范围30-200℃</w:t>
      </w:r>
      <w:r>
        <w:rPr>
          <w:rFonts w:hint="eastAsia" w:ascii="Times New Roman"/>
          <w:color w:val="auto"/>
          <w:highlight w:val="none"/>
        </w:rPr>
        <w:t>；</w:t>
      </w:r>
      <w:r>
        <w:rPr>
          <w:rFonts w:ascii="Times New Roman"/>
          <w:color w:val="auto"/>
          <w:highlight w:val="none"/>
        </w:rPr>
        <w:t xml:space="preserve"> </w:t>
      </w:r>
    </w:p>
    <w:p>
      <w:pPr>
        <w:pStyle w:val="28"/>
        <w:spacing w:line="400" w:lineRule="exact"/>
        <w:rPr>
          <w:rFonts w:ascii="Times New Roman"/>
          <w:color w:val="auto"/>
          <w:highlight w:val="none"/>
        </w:rPr>
      </w:pPr>
      <w:r>
        <w:rPr>
          <w:rFonts w:ascii="Times New Roman"/>
          <w:color w:val="auto"/>
          <w:highlight w:val="none"/>
        </w:rPr>
        <w:t>3.9压力范围50-150bar，可自行调节；</w:t>
      </w:r>
    </w:p>
    <w:p>
      <w:pPr>
        <w:pStyle w:val="28"/>
        <w:spacing w:line="400" w:lineRule="exact"/>
        <w:rPr>
          <w:rFonts w:ascii="Times New Roman"/>
          <w:color w:val="auto"/>
          <w:highlight w:val="none"/>
        </w:rPr>
      </w:pPr>
      <w:r>
        <w:rPr>
          <w:rFonts w:ascii="Times New Roman"/>
          <w:color w:val="auto"/>
          <w:highlight w:val="none"/>
        </w:rPr>
        <w:t>3.10安全保护：具有过温过压保护功能，温度传感器在过温情况下会被激活，压力传感器会在过压情况下会被激活；具有其他保证操作安全的措施，例如配备安全门传感器，样品架在位传感器等</w:t>
      </w:r>
      <w:r>
        <w:rPr>
          <w:rFonts w:hint="eastAsia" w:ascii="Times New Roman"/>
          <w:color w:val="auto"/>
          <w:highlight w:val="none"/>
        </w:rPr>
        <w:t>；</w:t>
      </w:r>
    </w:p>
    <w:p>
      <w:pPr>
        <w:pStyle w:val="28"/>
        <w:spacing w:line="400" w:lineRule="exact"/>
        <w:rPr>
          <w:rFonts w:ascii="Times New Roman"/>
          <w:color w:val="auto"/>
          <w:highlight w:val="none"/>
        </w:rPr>
      </w:pPr>
      <w:r>
        <w:rPr>
          <w:rFonts w:ascii="Times New Roman"/>
          <w:color w:val="auto"/>
          <w:highlight w:val="none"/>
        </w:rPr>
        <w:t>3.11萃取池全自动密封技术</w:t>
      </w:r>
      <w:r>
        <w:rPr>
          <w:rFonts w:hint="eastAsia" w:ascii="Times New Roman"/>
          <w:color w:val="auto"/>
          <w:highlight w:val="none"/>
        </w:rPr>
        <w:t>；</w:t>
      </w:r>
      <w:r>
        <w:rPr>
          <w:rFonts w:ascii="Times New Roman"/>
          <w:color w:val="auto"/>
          <w:highlight w:val="none"/>
        </w:rPr>
        <w:t xml:space="preserve"> </w:t>
      </w:r>
    </w:p>
    <w:p>
      <w:pPr>
        <w:pStyle w:val="28"/>
        <w:spacing w:line="400" w:lineRule="exact"/>
        <w:rPr>
          <w:rFonts w:ascii="Times New Roman"/>
          <w:color w:val="auto"/>
          <w:highlight w:val="none"/>
        </w:rPr>
      </w:pPr>
      <w:r>
        <w:rPr>
          <w:rFonts w:ascii="Times New Roman"/>
          <w:color w:val="auto"/>
          <w:highlight w:val="none"/>
        </w:rPr>
        <w:t>3.12具有可自动验检测系统的密封性功能</w:t>
      </w:r>
      <w:r>
        <w:rPr>
          <w:rFonts w:hint="eastAsia" w:ascii="Times New Roman"/>
          <w:color w:val="auto"/>
          <w:highlight w:val="none"/>
        </w:rPr>
        <w:t>；</w:t>
      </w:r>
    </w:p>
    <w:p>
      <w:pPr>
        <w:pStyle w:val="28"/>
        <w:spacing w:line="400" w:lineRule="exact"/>
        <w:rPr>
          <w:rFonts w:ascii="Times New Roman"/>
          <w:color w:val="auto"/>
          <w:highlight w:val="none"/>
        </w:rPr>
      </w:pPr>
      <w:r>
        <w:rPr>
          <w:rFonts w:ascii="Times New Roman"/>
          <w:color w:val="auto"/>
          <w:highlight w:val="none"/>
        </w:rPr>
        <w:t>3.13萃取完成后自动关闭加热功能</w:t>
      </w:r>
      <w:r>
        <w:rPr>
          <w:rFonts w:hint="eastAsia" w:ascii="Times New Roman"/>
          <w:color w:val="auto"/>
          <w:highlight w:val="none"/>
        </w:rPr>
        <w:t>；</w:t>
      </w:r>
    </w:p>
    <w:p>
      <w:pPr>
        <w:pStyle w:val="28"/>
        <w:spacing w:line="400" w:lineRule="exact"/>
        <w:rPr>
          <w:rFonts w:ascii="Times New Roman"/>
          <w:color w:val="auto"/>
          <w:highlight w:val="none"/>
        </w:rPr>
      </w:pPr>
      <w:r>
        <w:rPr>
          <w:rFonts w:ascii="Times New Roman"/>
          <w:color w:val="auto"/>
          <w:highlight w:val="none"/>
        </w:rPr>
        <w:t>3.14通过图形化面板设定方法，统计液体量，控制收集瓶液面</w:t>
      </w:r>
      <w:r>
        <w:rPr>
          <w:rFonts w:hint="eastAsia" w:ascii="Times New Roman"/>
          <w:color w:val="auto"/>
          <w:highlight w:val="none"/>
        </w:rPr>
        <w:t>；</w:t>
      </w:r>
    </w:p>
    <w:p>
      <w:pPr>
        <w:pStyle w:val="28"/>
        <w:spacing w:line="400" w:lineRule="exact"/>
        <w:rPr>
          <w:rFonts w:ascii="Times New Roman"/>
          <w:color w:val="auto"/>
          <w:highlight w:val="none"/>
        </w:rPr>
      </w:pPr>
      <w:r>
        <w:rPr>
          <w:rFonts w:ascii="Times New Roman"/>
          <w:color w:val="auto"/>
          <w:highlight w:val="none"/>
        </w:rPr>
        <w:t>3.15仪器可存储不少于100种萃取程序，不少于20种溶剂，10种固定溶剂，10种客户自设溶剂</w:t>
      </w:r>
      <w:r>
        <w:rPr>
          <w:rFonts w:hint="eastAsia" w:ascii="Times New Roman"/>
          <w:color w:val="auto"/>
          <w:highlight w:val="none"/>
        </w:rPr>
        <w:t>；</w:t>
      </w:r>
    </w:p>
    <w:p>
      <w:pPr>
        <w:pStyle w:val="28"/>
        <w:spacing w:line="400" w:lineRule="exact"/>
        <w:rPr>
          <w:rFonts w:ascii="Times New Roman"/>
          <w:color w:val="auto"/>
          <w:highlight w:val="none"/>
        </w:rPr>
      </w:pPr>
      <w:r>
        <w:rPr>
          <w:rFonts w:ascii="Times New Roman"/>
          <w:color w:val="auto"/>
          <w:highlight w:val="none"/>
        </w:rPr>
        <w:t>3.16控制：主机面板控制单元，中文操作界面，可显示萃取过程和萃取参数；具有操作过程自动提示功能；可以和电脑连接，在电脑上可通过软件操控萃取仪，建立、编辑、保存萃取方法，实时显示工作状态（图形化显示不同阶段的压力、温度变化及每个萃取池的工作状态），记录所有意外如暂停、数据变更等，显示所有参数，数据输出采用PDF和CSV的格式，接口：USB2.0</w:t>
      </w:r>
      <w:r>
        <w:rPr>
          <w:rFonts w:hint="eastAsia" w:ascii="Times New Roman"/>
          <w:color w:val="auto"/>
          <w:highlight w:val="none"/>
        </w:rPr>
        <w:t>；</w:t>
      </w:r>
    </w:p>
    <w:p>
      <w:pPr>
        <w:adjustRightInd w:val="0"/>
        <w:snapToGrid w:val="0"/>
        <w:spacing w:line="400" w:lineRule="exact"/>
        <w:rPr>
          <w:b/>
          <w:color w:val="auto"/>
          <w:sz w:val="24"/>
          <w:highlight w:val="none"/>
        </w:rPr>
      </w:pPr>
      <w:r>
        <w:rPr>
          <w:b/>
          <w:color w:val="auto"/>
          <w:sz w:val="24"/>
          <w:highlight w:val="none"/>
        </w:rPr>
        <w:t>4. 仪器配置</w:t>
      </w:r>
    </w:p>
    <w:p>
      <w:pPr>
        <w:pStyle w:val="28"/>
        <w:spacing w:line="400" w:lineRule="exact"/>
        <w:rPr>
          <w:rFonts w:ascii="Times New Roman"/>
          <w:color w:val="auto"/>
          <w:highlight w:val="none"/>
        </w:rPr>
      </w:pPr>
      <w:r>
        <w:rPr>
          <w:rFonts w:ascii="Times New Roman"/>
          <w:color w:val="auto"/>
          <w:highlight w:val="none"/>
        </w:rPr>
        <w:t>4.1主机1套</w:t>
      </w:r>
      <w:r>
        <w:rPr>
          <w:rFonts w:hint="eastAsia" w:ascii="Times New Roman"/>
          <w:color w:val="auto"/>
          <w:highlight w:val="none"/>
        </w:rPr>
        <w:t>；</w:t>
      </w:r>
    </w:p>
    <w:p>
      <w:pPr>
        <w:pStyle w:val="28"/>
        <w:spacing w:line="400" w:lineRule="exact"/>
        <w:rPr>
          <w:rFonts w:ascii="Times New Roman"/>
          <w:color w:val="auto"/>
          <w:highlight w:val="none"/>
        </w:rPr>
      </w:pPr>
      <w:r>
        <w:rPr>
          <w:rFonts w:ascii="Times New Roman"/>
          <w:color w:val="auto"/>
          <w:highlight w:val="none"/>
        </w:rPr>
        <w:t>4.2 2端口混合器</w:t>
      </w:r>
      <w:r>
        <w:rPr>
          <w:rFonts w:hint="eastAsia" w:ascii="Times New Roman"/>
          <w:color w:val="auto"/>
          <w:highlight w:val="none"/>
        </w:rPr>
        <w:t>；</w:t>
      </w:r>
    </w:p>
    <w:p>
      <w:pPr>
        <w:pStyle w:val="28"/>
        <w:spacing w:line="400" w:lineRule="exact"/>
        <w:rPr>
          <w:rFonts w:ascii="Times New Roman"/>
          <w:color w:val="auto"/>
          <w:highlight w:val="none"/>
        </w:rPr>
      </w:pPr>
      <w:r>
        <w:rPr>
          <w:rFonts w:ascii="Times New Roman"/>
          <w:color w:val="auto"/>
          <w:highlight w:val="none"/>
        </w:rPr>
        <w:t>4.3 40ml萃取池</w:t>
      </w:r>
      <w:r>
        <w:rPr>
          <w:rFonts w:hint="eastAsia" w:ascii="Times New Roman"/>
          <w:color w:val="auto"/>
          <w:highlight w:val="none"/>
        </w:rPr>
        <w:t>6</w:t>
      </w:r>
      <w:r>
        <w:rPr>
          <w:rFonts w:ascii="Times New Roman"/>
          <w:color w:val="auto"/>
          <w:highlight w:val="none"/>
        </w:rPr>
        <w:t>个，萃取池架3个溶剂杯</w:t>
      </w:r>
      <w:r>
        <w:rPr>
          <w:rFonts w:hint="eastAsia" w:ascii="Times New Roman"/>
          <w:color w:val="auto"/>
          <w:highlight w:val="none"/>
        </w:rPr>
        <w:t>6</w:t>
      </w:r>
      <w:r>
        <w:rPr>
          <w:rFonts w:ascii="Times New Roman"/>
          <w:color w:val="auto"/>
          <w:highlight w:val="none"/>
        </w:rPr>
        <w:t>个，上下滤纸片各800个</w:t>
      </w:r>
      <w:r>
        <w:rPr>
          <w:rFonts w:hint="eastAsia" w:ascii="Times New Roman"/>
          <w:color w:val="auto"/>
          <w:highlight w:val="none"/>
        </w:rPr>
        <w:t>；</w:t>
      </w:r>
    </w:p>
    <w:p>
      <w:pPr>
        <w:pStyle w:val="28"/>
        <w:spacing w:line="400" w:lineRule="exact"/>
        <w:rPr>
          <w:rFonts w:ascii="Times New Roman"/>
          <w:color w:val="auto"/>
          <w:highlight w:val="none"/>
        </w:rPr>
      </w:pPr>
      <w:r>
        <w:rPr>
          <w:rFonts w:ascii="Times New Roman"/>
          <w:color w:val="auto"/>
          <w:highlight w:val="none"/>
        </w:rPr>
        <w:t>4.4能进行完整归档和方法制定的软件（可制备、编辑和保存任意数目的萃取方法）；在线显示所有活动；随机含DEMO软件。</w:t>
      </w:r>
    </w:p>
    <w:p>
      <w:pPr>
        <w:pStyle w:val="28"/>
        <w:spacing w:line="400" w:lineRule="exact"/>
        <w:jc w:val="both"/>
        <w:rPr>
          <w:rFonts w:ascii="Times New Roman"/>
          <w:color w:val="auto"/>
          <w:highlight w:val="none"/>
        </w:rPr>
      </w:pPr>
      <w:r>
        <w:rPr>
          <w:rFonts w:ascii="Times New Roman"/>
          <w:color w:val="auto"/>
          <w:highlight w:val="none"/>
        </w:rPr>
        <w:t>4.</w:t>
      </w:r>
      <w:r>
        <w:rPr>
          <w:rFonts w:hint="eastAsia" w:ascii="Times New Roman"/>
          <w:color w:val="auto"/>
          <w:highlight w:val="none"/>
        </w:rPr>
        <w:t>6数据服务系统1套：能实现数据备份、能实现模型程序运行。CPU：2U8C intel Xeon</w:t>
      </w:r>
    </w:p>
    <w:p>
      <w:pPr>
        <w:pStyle w:val="28"/>
        <w:spacing w:line="400" w:lineRule="exact"/>
        <w:jc w:val="both"/>
        <w:rPr>
          <w:rFonts w:ascii="Times New Roman"/>
          <w:color w:val="auto"/>
          <w:highlight w:val="none"/>
          <w:lang w:val="zh-CN"/>
        </w:rPr>
      </w:pPr>
      <w:r>
        <w:rPr>
          <w:rFonts w:hint="eastAsia" w:ascii="Times New Roman"/>
          <w:color w:val="auto"/>
          <w:highlight w:val="none"/>
        </w:rPr>
        <w:t>内存：64G DDR，硬盘：4块4T硬盘，电源：支持双电源、网卡：支持千兆设备选用一线知名品牌、配备配套机柜1个、配备4口交换机2个、千兆路由器4个、配备正版操作系统且提供系统光盘（操作系统：2台windows和1台linux）、配备4个实验室防静电304不锈钢升降圆凳。</w:t>
      </w:r>
    </w:p>
    <w:p>
      <w:pPr>
        <w:pStyle w:val="28"/>
        <w:spacing w:line="400" w:lineRule="exact"/>
        <w:rPr>
          <w:rFonts w:ascii="Times New Roman"/>
          <w:b/>
          <w:bCs/>
          <w:color w:val="auto"/>
          <w:kern w:val="2"/>
          <w:szCs w:val="24"/>
          <w:highlight w:val="none"/>
        </w:rPr>
      </w:pPr>
      <w:r>
        <w:rPr>
          <w:rFonts w:ascii="Times New Roman"/>
          <w:b/>
          <w:bCs/>
          <w:color w:val="auto"/>
          <w:kern w:val="2"/>
          <w:szCs w:val="24"/>
          <w:highlight w:val="none"/>
        </w:rPr>
        <w:t>5. 技术服务</w:t>
      </w:r>
    </w:p>
    <w:p>
      <w:pPr>
        <w:pStyle w:val="28"/>
        <w:spacing w:line="400" w:lineRule="exact"/>
        <w:jc w:val="both"/>
        <w:rPr>
          <w:rFonts w:ascii="Times New Roman"/>
          <w:color w:val="auto"/>
          <w:highlight w:val="none"/>
          <w:lang w:val="zh-CN"/>
        </w:rPr>
      </w:pPr>
      <w:r>
        <w:rPr>
          <w:rFonts w:ascii="Times New Roman"/>
          <w:color w:val="auto"/>
          <w:highlight w:val="none"/>
          <w:lang w:val="zh-CN"/>
        </w:rPr>
        <w:t>5.1保证产品为全新原厂设备。</w:t>
      </w:r>
    </w:p>
    <w:p>
      <w:pPr>
        <w:pStyle w:val="28"/>
        <w:spacing w:line="400" w:lineRule="exact"/>
        <w:jc w:val="both"/>
        <w:rPr>
          <w:rFonts w:ascii="Times New Roman"/>
          <w:color w:val="auto"/>
          <w:highlight w:val="none"/>
          <w:lang w:val="zh-CN"/>
        </w:rPr>
      </w:pPr>
      <w:r>
        <w:rPr>
          <w:rFonts w:ascii="Times New Roman"/>
          <w:color w:val="auto"/>
          <w:highlight w:val="none"/>
          <w:lang w:val="zh-CN"/>
        </w:rPr>
        <w:t>5.2仪器安装验收：供货商在接到用户安装通知后，须在10工作日内安排有经验的工程师到现场安装仪器，并在</w:t>
      </w:r>
      <w:r>
        <w:rPr>
          <w:rFonts w:hint="eastAsia" w:ascii="Times New Roman"/>
          <w:color w:val="auto"/>
          <w:highlight w:val="none"/>
        </w:rPr>
        <w:t>3</w:t>
      </w:r>
      <w:r>
        <w:rPr>
          <w:rFonts w:ascii="Times New Roman"/>
          <w:color w:val="auto"/>
          <w:highlight w:val="none"/>
          <w:lang w:val="zh-CN"/>
        </w:rPr>
        <w:t>0工作日内安装、调试完毕，进行操作试验，直至运行正常并验收确认。</w:t>
      </w:r>
    </w:p>
    <w:p>
      <w:pPr>
        <w:pStyle w:val="28"/>
        <w:spacing w:line="400" w:lineRule="exact"/>
        <w:jc w:val="both"/>
        <w:rPr>
          <w:rFonts w:ascii="Times New Roman"/>
          <w:color w:val="auto"/>
          <w:highlight w:val="none"/>
          <w:lang w:val="zh-CN"/>
        </w:rPr>
      </w:pPr>
      <w:r>
        <w:rPr>
          <w:rFonts w:ascii="Times New Roman"/>
          <w:color w:val="auto"/>
          <w:highlight w:val="none"/>
          <w:lang w:val="zh-CN"/>
        </w:rPr>
        <w:t>5.3保修服务：自验收合格起，厂家向用户提供至少1年的免费保修服务，终生维修。保修期内所有服务免费，一切配件、耗材免费到场更换。保修期外，能更及时地为用户提供备品备件。</w:t>
      </w:r>
    </w:p>
    <w:p>
      <w:pPr>
        <w:pStyle w:val="28"/>
        <w:spacing w:line="400" w:lineRule="exact"/>
        <w:jc w:val="both"/>
        <w:rPr>
          <w:rFonts w:ascii="Times New Roman"/>
          <w:color w:val="auto"/>
          <w:highlight w:val="none"/>
          <w:lang w:val="zh-CN"/>
        </w:rPr>
      </w:pPr>
      <w:r>
        <w:rPr>
          <w:rFonts w:ascii="Times New Roman"/>
          <w:color w:val="auto"/>
          <w:highlight w:val="none"/>
          <w:lang w:val="zh-CN"/>
        </w:rPr>
        <w:t>5.4质量及验收标准：安装工程师对本标书中提出的性能指标须逐项验收，所有验收指标要求一次完成。技术指标符合买方要求和厂家规定的出厂要求。如未通过验收，视情节更换部件或主机，直至退货。</w:t>
      </w:r>
    </w:p>
    <w:p>
      <w:pPr>
        <w:pStyle w:val="28"/>
        <w:spacing w:line="400" w:lineRule="exact"/>
        <w:jc w:val="both"/>
        <w:rPr>
          <w:rFonts w:ascii="Times New Roman"/>
          <w:color w:val="auto"/>
          <w:highlight w:val="none"/>
          <w:lang w:val="zh-CN"/>
        </w:rPr>
      </w:pPr>
      <w:r>
        <w:rPr>
          <w:rFonts w:ascii="Times New Roman"/>
          <w:color w:val="auto"/>
          <w:highlight w:val="none"/>
          <w:lang w:val="zh-CN"/>
        </w:rPr>
        <w:t>5.5培训：仪器安装现场对2名以上仪器操作人员提供免费的上机操作及日常维护培训，至使用者会操作、使用仪器为止，除仪器中文使用说明书外，应提供安装、使用技术光碟等，便于后期学习维护。</w:t>
      </w:r>
    </w:p>
    <w:p>
      <w:pPr>
        <w:pStyle w:val="28"/>
        <w:spacing w:line="400" w:lineRule="exact"/>
        <w:jc w:val="both"/>
        <w:rPr>
          <w:rFonts w:ascii="Times New Roman"/>
          <w:color w:val="auto"/>
          <w:highlight w:val="none"/>
          <w:lang w:val="zh-CN"/>
        </w:rPr>
      </w:pPr>
      <w:r>
        <w:rPr>
          <w:rFonts w:ascii="Times New Roman"/>
          <w:color w:val="auto"/>
          <w:highlight w:val="none"/>
          <w:lang w:val="zh-CN"/>
        </w:rPr>
        <w:t>5.6制造厂家应保证用户能得到快捷、完善的售后服务；服务响应时间不大于24小时，故障可以在48小时内到现场维修。</w:t>
      </w:r>
    </w:p>
    <w:p>
      <w:pPr>
        <w:pStyle w:val="28"/>
        <w:spacing w:line="400" w:lineRule="exact"/>
        <w:jc w:val="both"/>
        <w:rPr>
          <w:rFonts w:ascii="Times New Roman"/>
          <w:color w:val="auto"/>
          <w:highlight w:val="none"/>
          <w:lang w:val="zh-CN"/>
        </w:rPr>
      </w:pPr>
      <w:r>
        <w:rPr>
          <w:rFonts w:ascii="Times New Roman"/>
          <w:color w:val="auto"/>
          <w:highlight w:val="none"/>
          <w:lang w:val="zh-CN"/>
        </w:rPr>
        <w:t>5.7 及时免费提供技术咨询。</w:t>
      </w:r>
    </w:p>
    <w:p>
      <w:pPr>
        <w:pStyle w:val="28"/>
        <w:spacing w:line="400" w:lineRule="exact"/>
        <w:jc w:val="both"/>
        <w:rPr>
          <w:rFonts w:ascii="Times New Roman"/>
          <w:color w:val="auto"/>
          <w:highlight w:val="none"/>
          <w:lang w:val="zh-CN"/>
        </w:rPr>
      </w:pPr>
      <w:r>
        <w:rPr>
          <w:rFonts w:ascii="Times New Roman"/>
          <w:color w:val="auto"/>
          <w:highlight w:val="none"/>
          <w:lang w:val="zh-CN"/>
        </w:rPr>
        <w:t>5.8自安装之日起，每年至少2次免费技术和维护回访，帮助用户解决软硬件使用中出现的技术问题。</w:t>
      </w:r>
    </w:p>
    <w:p>
      <w:pPr>
        <w:pStyle w:val="28"/>
        <w:spacing w:line="400" w:lineRule="exact"/>
        <w:jc w:val="both"/>
        <w:rPr>
          <w:rFonts w:ascii="Times New Roman"/>
          <w:color w:val="auto"/>
          <w:highlight w:val="none"/>
          <w:lang w:val="zh-CN"/>
        </w:rPr>
      </w:pPr>
      <w:r>
        <w:rPr>
          <w:rFonts w:ascii="Times New Roman"/>
          <w:color w:val="auto"/>
          <w:highlight w:val="none"/>
          <w:lang w:val="zh-CN"/>
        </w:rPr>
        <w:t>备注：带“*”号的为必须满足指标，与技术性能指标一起做为验收指标。</w:t>
      </w:r>
    </w:p>
    <w:p>
      <w:pPr>
        <w:pStyle w:val="718"/>
        <w:widowControl/>
        <w:numPr>
          <w:ilvl w:val="0"/>
          <w:numId w:val="17"/>
        </w:numPr>
        <w:autoSpaceDE w:val="0"/>
        <w:autoSpaceDN w:val="0"/>
        <w:snapToGrid w:val="0"/>
        <w:spacing w:line="440" w:lineRule="exact"/>
        <w:ind w:firstLineChars="0"/>
        <w:contextualSpacing/>
        <w:rPr>
          <w:color w:val="auto"/>
          <w:highlight w:val="none"/>
        </w:rPr>
      </w:pPr>
      <w:r>
        <w:rPr>
          <w:rFonts w:hint="eastAsia"/>
          <w:color w:val="auto"/>
          <w:highlight w:val="none"/>
        </w:rPr>
        <w:t>土壤浓缩前处理装置</w:t>
      </w:r>
    </w:p>
    <w:p>
      <w:pPr>
        <w:widowControl/>
        <w:shd w:val="clear" w:color="auto" w:fill="FFFFFF"/>
        <w:suppressAutoHyphens/>
        <w:snapToGrid w:val="0"/>
        <w:spacing w:line="400" w:lineRule="exact"/>
        <w:contextualSpacing/>
        <w:rPr>
          <w:color w:val="auto"/>
          <w:sz w:val="24"/>
          <w:highlight w:val="none"/>
        </w:rPr>
      </w:pPr>
      <w:r>
        <w:rPr>
          <w:b/>
          <w:bCs/>
          <w:color w:val="auto"/>
          <w:sz w:val="24"/>
          <w:highlight w:val="none"/>
        </w:rPr>
        <w:t>1.设备用途</w:t>
      </w:r>
      <w:r>
        <w:rPr>
          <w:color w:val="auto"/>
          <w:sz w:val="24"/>
          <w:highlight w:val="none"/>
        </w:rPr>
        <w:t xml:space="preserve"> </w:t>
      </w:r>
    </w:p>
    <w:p>
      <w:pPr>
        <w:pStyle w:val="28"/>
        <w:spacing w:line="400" w:lineRule="exact"/>
        <w:ind w:firstLine="480" w:firstLineChars="200"/>
        <w:rPr>
          <w:rFonts w:ascii="Times New Roman"/>
          <w:color w:val="auto"/>
          <w:highlight w:val="none"/>
          <w:lang w:val="zh-CN"/>
        </w:rPr>
      </w:pPr>
      <w:r>
        <w:rPr>
          <w:rFonts w:hint="eastAsia" w:ascii="Times New Roman"/>
          <w:color w:val="auto"/>
          <w:highlight w:val="none"/>
        </w:rPr>
        <w:t>用于检测土壤样品的前处理</w:t>
      </w:r>
      <w:r>
        <w:rPr>
          <w:rFonts w:ascii="Times New Roman"/>
          <w:color w:val="auto"/>
          <w:highlight w:val="none"/>
        </w:rPr>
        <w:t>,</w:t>
      </w:r>
      <w:r>
        <w:rPr>
          <w:rFonts w:hint="eastAsia" w:ascii="Times New Roman"/>
          <w:color w:val="auto"/>
          <w:highlight w:val="none"/>
        </w:rPr>
        <w:t>实现多样品在真空负压的状态下进行快速且平行蒸发和定量浓缩</w:t>
      </w:r>
      <w:r>
        <w:rPr>
          <w:rFonts w:ascii="Times New Roman"/>
          <w:color w:val="auto"/>
          <w:highlight w:val="none"/>
          <w:lang w:val="zh-CN"/>
        </w:rPr>
        <w:t>。</w:t>
      </w:r>
    </w:p>
    <w:p>
      <w:pPr>
        <w:widowControl/>
        <w:shd w:val="clear" w:color="auto" w:fill="FFFFFF"/>
        <w:suppressAutoHyphens/>
        <w:snapToGrid w:val="0"/>
        <w:spacing w:line="400" w:lineRule="exact"/>
        <w:contextualSpacing/>
        <w:rPr>
          <w:b/>
          <w:bCs/>
          <w:color w:val="auto"/>
          <w:sz w:val="24"/>
          <w:highlight w:val="none"/>
        </w:rPr>
      </w:pPr>
      <w:r>
        <w:rPr>
          <w:b/>
          <w:bCs/>
          <w:color w:val="auto"/>
          <w:sz w:val="24"/>
          <w:highlight w:val="none"/>
        </w:rPr>
        <w:t>2.工作环境</w:t>
      </w:r>
    </w:p>
    <w:p>
      <w:pPr>
        <w:pStyle w:val="28"/>
        <w:spacing w:line="400" w:lineRule="exact"/>
        <w:rPr>
          <w:rFonts w:ascii="Times New Roman"/>
          <w:color w:val="auto"/>
          <w:highlight w:val="none"/>
          <w:lang w:val="zh-CN"/>
        </w:rPr>
      </w:pPr>
      <w:r>
        <w:rPr>
          <w:rFonts w:ascii="Times New Roman"/>
          <w:color w:val="auto"/>
          <w:highlight w:val="none"/>
          <w:lang w:val="zh-CN"/>
        </w:rPr>
        <w:t xml:space="preserve">2.1电源电压：220VAC </w:t>
      </w:r>
      <w:r>
        <w:rPr>
          <w:rFonts w:ascii="Times New Roman"/>
          <w:color w:val="auto"/>
          <w:szCs w:val="24"/>
          <w:highlight w:val="none"/>
          <w:lang w:val="zh-CN"/>
        </w:rPr>
        <w:t>50（±1）Hz</w:t>
      </w:r>
      <w:r>
        <w:rPr>
          <w:rFonts w:ascii="Times New Roman"/>
          <w:color w:val="auto"/>
          <w:highlight w:val="none"/>
          <w:lang w:val="zh-CN"/>
        </w:rPr>
        <w:t>；</w:t>
      </w:r>
    </w:p>
    <w:p>
      <w:pPr>
        <w:pStyle w:val="28"/>
        <w:spacing w:line="400" w:lineRule="exact"/>
        <w:rPr>
          <w:rFonts w:ascii="Times New Roman"/>
          <w:color w:val="auto"/>
          <w:highlight w:val="none"/>
          <w:lang w:val="zh-CN"/>
        </w:rPr>
      </w:pPr>
      <w:r>
        <w:rPr>
          <w:rFonts w:ascii="Times New Roman"/>
          <w:color w:val="auto"/>
          <w:highlight w:val="none"/>
          <w:lang w:val="zh-CN"/>
        </w:rPr>
        <w:t>2.2环境温度：0℃-35℃；</w:t>
      </w:r>
    </w:p>
    <w:p>
      <w:pPr>
        <w:pStyle w:val="28"/>
        <w:spacing w:line="400" w:lineRule="exact"/>
        <w:rPr>
          <w:rFonts w:ascii="Times New Roman"/>
          <w:color w:val="auto"/>
          <w:highlight w:val="none"/>
          <w:lang w:val="zh-CN"/>
        </w:rPr>
      </w:pPr>
      <w:r>
        <w:rPr>
          <w:rFonts w:ascii="Times New Roman"/>
          <w:color w:val="auto"/>
          <w:highlight w:val="none"/>
          <w:lang w:val="zh-CN"/>
        </w:rPr>
        <w:t>2.3相对湿度：≤80%。</w:t>
      </w:r>
    </w:p>
    <w:p>
      <w:pPr>
        <w:widowControl/>
        <w:shd w:val="clear" w:color="auto" w:fill="FFFFFF"/>
        <w:suppressAutoHyphens/>
        <w:snapToGrid w:val="0"/>
        <w:spacing w:line="400" w:lineRule="exact"/>
        <w:contextualSpacing/>
        <w:rPr>
          <w:b/>
          <w:bCs/>
          <w:color w:val="auto"/>
          <w:sz w:val="24"/>
          <w:highlight w:val="none"/>
        </w:rPr>
      </w:pPr>
      <w:r>
        <w:rPr>
          <w:rFonts w:hint="eastAsia"/>
          <w:b/>
          <w:bCs/>
          <w:color w:val="auto"/>
          <w:sz w:val="24"/>
          <w:highlight w:val="none"/>
        </w:rPr>
        <w:t>3技术要求</w:t>
      </w:r>
    </w:p>
    <w:p>
      <w:pPr>
        <w:pStyle w:val="28"/>
        <w:spacing w:line="400" w:lineRule="exact"/>
        <w:rPr>
          <w:rFonts w:ascii="Times New Roman"/>
          <w:color w:val="auto"/>
          <w:highlight w:val="none"/>
        </w:rPr>
      </w:pPr>
      <w:r>
        <w:rPr>
          <w:rFonts w:ascii="Times New Roman"/>
          <w:color w:val="auto"/>
          <w:highlight w:val="none"/>
        </w:rPr>
        <w:t xml:space="preserve">3.1平行定量浓缩过程：在抽真空（压力控制）/加热/旋涡振荡三种方式同时作用下，自动将批量样品（12位）浓缩至1ml,浓缩完成后浓缩过程自动停止； </w:t>
      </w:r>
    </w:p>
    <w:p>
      <w:pPr>
        <w:pStyle w:val="28"/>
        <w:spacing w:line="400" w:lineRule="exact"/>
        <w:rPr>
          <w:rFonts w:ascii="Times New Roman"/>
          <w:color w:val="auto"/>
          <w:highlight w:val="none"/>
        </w:rPr>
      </w:pPr>
      <w:r>
        <w:rPr>
          <w:rFonts w:ascii="Times New Roman"/>
          <w:color w:val="auto"/>
          <w:highlight w:val="none"/>
        </w:rPr>
        <w:t>3.2 定量浓缩单元模块</w:t>
      </w:r>
    </w:p>
    <w:p>
      <w:pPr>
        <w:pStyle w:val="28"/>
        <w:spacing w:line="400" w:lineRule="exact"/>
        <w:rPr>
          <w:rFonts w:ascii="Times New Roman"/>
          <w:color w:val="auto"/>
          <w:highlight w:val="none"/>
        </w:rPr>
      </w:pPr>
      <w:r>
        <w:rPr>
          <w:rFonts w:ascii="Times New Roman"/>
          <w:color w:val="auto"/>
          <w:highlight w:val="none"/>
        </w:rPr>
        <w:t>3.2.1 蒸发单元: ≥12个单元</w:t>
      </w:r>
      <w:r>
        <w:rPr>
          <w:rFonts w:hint="eastAsia" w:ascii="Times New Roman"/>
          <w:color w:val="auto"/>
          <w:highlight w:val="none"/>
        </w:rPr>
        <w:t>；</w:t>
      </w:r>
    </w:p>
    <w:p>
      <w:pPr>
        <w:pStyle w:val="28"/>
        <w:spacing w:line="400" w:lineRule="exact"/>
        <w:rPr>
          <w:rFonts w:ascii="Times New Roman"/>
          <w:color w:val="auto"/>
          <w:highlight w:val="none"/>
        </w:rPr>
      </w:pPr>
      <w:r>
        <w:rPr>
          <w:rFonts w:ascii="Times New Roman"/>
          <w:color w:val="auto"/>
          <w:highlight w:val="none"/>
        </w:rPr>
        <w:t>3.2.2单元蒸发样品量:1-130ml</w:t>
      </w:r>
      <w:r>
        <w:rPr>
          <w:rFonts w:hint="eastAsia" w:ascii="Times New Roman"/>
          <w:color w:val="auto"/>
          <w:highlight w:val="none"/>
        </w:rPr>
        <w:t>；</w:t>
      </w:r>
    </w:p>
    <w:p>
      <w:pPr>
        <w:pStyle w:val="28"/>
        <w:spacing w:line="400" w:lineRule="exact"/>
        <w:rPr>
          <w:rFonts w:ascii="Times New Roman"/>
          <w:color w:val="auto"/>
          <w:highlight w:val="none"/>
        </w:rPr>
      </w:pPr>
      <w:r>
        <w:rPr>
          <w:rFonts w:ascii="Times New Roman"/>
          <w:color w:val="auto"/>
          <w:highlight w:val="none"/>
        </w:rPr>
        <w:t>3.2.3压力范围：1mbar-常压</w:t>
      </w:r>
      <w:r>
        <w:rPr>
          <w:rFonts w:hint="eastAsia" w:ascii="Times New Roman"/>
          <w:color w:val="auto"/>
          <w:highlight w:val="none"/>
        </w:rPr>
        <w:t>；</w:t>
      </w:r>
    </w:p>
    <w:p>
      <w:pPr>
        <w:pStyle w:val="28"/>
        <w:spacing w:line="400" w:lineRule="exact"/>
        <w:rPr>
          <w:rFonts w:ascii="Times New Roman"/>
          <w:color w:val="auto"/>
          <w:highlight w:val="none"/>
        </w:rPr>
      </w:pPr>
      <w:r>
        <w:rPr>
          <w:rFonts w:ascii="Times New Roman"/>
          <w:color w:val="auto"/>
          <w:highlight w:val="none"/>
        </w:rPr>
        <w:t>3.2.4 定量浓缩体积：1ml</w:t>
      </w:r>
      <w:r>
        <w:rPr>
          <w:rFonts w:hint="eastAsia" w:ascii="Times New Roman"/>
          <w:color w:val="auto"/>
          <w:highlight w:val="none"/>
        </w:rPr>
        <w:t>；</w:t>
      </w:r>
    </w:p>
    <w:p>
      <w:pPr>
        <w:pStyle w:val="28"/>
        <w:spacing w:line="400" w:lineRule="exact"/>
        <w:rPr>
          <w:rFonts w:ascii="Times New Roman"/>
          <w:color w:val="auto"/>
          <w:highlight w:val="none"/>
        </w:rPr>
      </w:pPr>
      <w:r>
        <w:rPr>
          <w:rFonts w:ascii="Times New Roman"/>
          <w:color w:val="auto"/>
          <w:highlight w:val="none"/>
        </w:rPr>
        <w:t>3.3加热单元</w:t>
      </w:r>
    </w:p>
    <w:p>
      <w:pPr>
        <w:pStyle w:val="28"/>
        <w:spacing w:line="400" w:lineRule="exact"/>
        <w:rPr>
          <w:rFonts w:ascii="Times New Roman"/>
          <w:color w:val="auto"/>
          <w:highlight w:val="none"/>
        </w:rPr>
      </w:pPr>
      <w:r>
        <w:rPr>
          <w:rFonts w:ascii="Times New Roman"/>
          <w:color w:val="auto"/>
          <w:highlight w:val="none"/>
        </w:rPr>
        <w:t>3.3.1 加热单元: 整体单元加热</w:t>
      </w:r>
      <w:r>
        <w:rPr>
          <w:rFonts w:hint="eastAsia" w:ascii="Times New Roman"/>
          <w:color w:val="auto"/>
          <w:highlight w:val="none"/>
        </w:rPr>
        <w:t>；</w:t>
      </w:r>
    </w:p>
    <w:p>
      <w:pPr>
        <w:pStyle w:val="28"/>
        <w:spacing w:line="400" w:lineRule="exact"/>
        <w:rPr>
          <w:rFonts w:ascii="Times New Roman"/>
          <w:color w:val="auto"/>
          <w:highlight w:val="none"/>
        </w:rPr>
      </w:pPr>
      <w:r>
        <w:rPr>
          <w:rFonts w:ascii="Times New Roman"/>
          <w:color w:val="auto"/>
          <w:highlight w:val="none"/>
        </w:rPr>
        <w:t>3.3.2加热方式</w:t>
      </w:r>
      <w:r>
        <w:rPr>
          <w:rFonts w:hint="eastAsia" w:ascii="Times New Roman"/>
          <w:color w:val="auto"/>
          <w:highlight w:val="none"/>
        </w:rPr>
        <w:t>：</w:t>
      </w:r>
      <w:r>
        <w:rPr>
          <w:rFonts w:ascii="Times New Roman"/>
          <w:color w:val="auto"/>
          <w:highlight w:val="none"/>
        </w:rPr>
        <w:t>铝块加热</w:t>
      </w:r>
      <w:r>
        <w:rPr>
          <w:rFonts w:hint="eastAsia" w:ascii="Times New Roman"/>
          <w:color w:val="auto"/>
          <w:highlight w:val="none"/>
        </w:rPr>
        <w:t>；</w:t>
      </w:r>
    </w:p>
    <w:p>
      <w:pPr>
        <w:pStyle w:val="28"/>
        <w:spacing w:line="400" w:lineRule="exact"/>
        <w:rPr>
          <w:rFonts w:ascii="Times New Roman"/>
          <w:color w:val="auto"/>
          <w:highlight w:val="none"/>
        </w:rPr>
      </w:pPr>
      <w:r>
        <w:rPr>
          <w:rFonts w:ascii="Times New Roman"/>
          <w:color w:val="auto"/>
          <w:highlight w:val="none"/>
        </w:rPr>
        <w:t>*3.3.3最高加热温度</w:t>
      </w:r>
      <w:r>
        <w:rPr>
          <w:rFonts w:hint="eastAsia" w:ascii="Times New Roman"/>
          <w:color w:val="auto"/>
          <w:highlight w:val="none"/>
        </w:rPr>
        <w:t>：</w:t>
      </w:r>
      <w:r>
        <w:rPr>
          <w:rFonts w:ascii="Times New Roman"/>
          <w:color w:val="auto"/>
          <w:highlight w:val="none"/>
        </w:rPr>
        <w:t>150℃</w:t>
      </w:r>
      <w:r>
        <w:rPr>
          <w:rFonts w:hint="eastAsia" w:ascii="Times New Roman"/>
          <w:color w:val="auto"/>
          <w:highlight w:val="none"/>
        </w:rPr>
        <w:t>；</w:t>
      </w:r>
    </w:p>
    <w:p>
      <w:pPr>
        <w:pStyle w:val="28"/>
        <w:spacing w:line="400" w:lineRule="exact"/>
        <w:rPr>
          <w:rFonts w:ascii="Times New Roman"/>
          <w:color w:val="auto"/>
          <w:highlight w:val="none"/>
        </w:rPr>
      </w:pPr>
      <w:r>
        <w:rPr>
          <w:rFonts w:ascii="Times New Roman"/>
          <w:color w:val="auto"/>
          <w:highlight w:val="none"/>
        </w:rPr>
        <w:t>3.3.4升温时间：＜4min</w:t>
      </w:r>
      <w:r>
        <w:rPr>
          <w:rFonts w:hint="eastAsia" w:ascii="Times New Roman"/>
          <w:color w:val="auto"/>
          <w:highlight w:val="none"/>
        </w:rPr>
        <w:t>；</w:t>
      </w:r>
    </w:p>
    <w:p>
      <w:pPr>
        <w:pStyle w:val="28"/>
        <w:spacing w:line="400" w:lineRule="exact"/>
        <w:rPr>
          <w:rFonts w:ascii="Times New Roman"/>
          <w:color w:val="auto"/>
          <w:highlight w:val="none"/>
        </w:rPr>
      </w:pPr>
      <w:r>
        <w:rPr>
          <w:rFonts w:ascii="Times New Roman"/>
          <w:color w:val="auto"/>
          <w:highlight w:val="none"/>
        </w:rPr>
        <w:t>*3.</w:t>
      </w:r>
      <w:r>
        <w:rPr>
          <w:rFonts w:hint="eastAsia" w:ascii="Times New Roman"/>
          <w:color w:val="auto"/>
          <w:highlight w:val="none"/>
        </w:rPr>
        <w:t>3</w:t>
      </w:r>
      <w:r>
        <w:rPr>
          <w:rFonts w:ascii="Times New Roman"/>
          <w:color w:val="auto"/>
          <w:highlight w:val="none"/>
        </w:rPr>
        <w:t>.5转速：0 ~600 rpm；</w:t>
      </w:r>
    </w:p>
    <w:p>
      <w:pPr>
        <w:pStyle w:val="28"/>
        <w:spacing w:line="400" w:lineRule="exact"/>
        <w:rPr>
          <w:rFonts w:ascii="Times New Roman"/>
          <w:color w:val="auto"/>
          <w:highlight w:val="none"/>
        </w:rPr>
      </w:pPr>
      <w:r>
        <w:rPr>
          <w:rFonts w:ascii="Times New Roman"/>
          <w:color w:val="auto"/>
          <w:highlight w:val="none"/>
        </w:rPr>
        <w:t>3.</w:t>
      </w:r>
      <w:r>
        <w:rPr>
          <w:rFonts w:hint="eastAsia" w:ascii="Times New Roman"/>
          <w:color w:val="auto"/>
          <w:highlight w:val="none"/>
        </w:rPr>
        <w:t>3</w:t>
      </w:r>
      <w:r>
        <w:rPr>
          <w:rFonts w:ascii="Times New Roman"/>
          <w:color w:val="auto"/>
          <w:highlight w:val="none"/>
        </w:rPr>
        <w:t>.6离心率：0 ~ 10 mm</w:t>
      </w:r>
      <w:r>
        <w:rPr>
          <w:rFonts w:hint="eastAsia" w:ascii="Times New Roman"/>
          <w:color w:val="auto"/>
          <w:highlight w:val="none"/>
        </w:rPr>
        <w:t>；</w:t>
      </w:r>
    </w:p>
    <w:p>
      <w:pPr>
        <w:pStyle w:val="28"/>
        <w:spacing w:line="400" w:lineRule="exact"/>
        <w:rPr>
          <w:rFonts w:ascii="Times New Roman"/>
          <w:color w:val="auto"/>
          <w:highlight w:val="none"/>
        </w:rPr>
      </w:pPr>
      <w:r>
        <w:rPr>
          <w:rFonts w:hint="eastAsia" w:ascii="Times New Roman"/>
          <w:color w:val="auto"/>
          <w:highlight w:val="none"/>
        </w:rPr>
        <w:t>3.4</w:t>
      </w:r>
      <w:r>
        <w:rPr>
          <w:rFonts w:ascii="Times New Roman"/>
          <w:color w:val="auto"/>
          <w:highlight w:val="none"/>
        </w:rPr>
        <w:t>溶媒控制单元</w:t>
      </w:r>
      <w:r>
        <w:rPr>
          <w:rFonts w:ascii="Times New Roman"/>
          <w:color w:val="auto"/>
          <w:highlight w:val="none"/>
        </w:rPr>
        <w:tab/>
      </w:r>
    </w:p>
    <w:p>
      <w:pPr>
        <w:pStyle w:val="28"/>
        <w:spacing w:line="400" w:lineRule="exact"/>
        <w:rPr>
          <w:rFonts w:ascii="Times New Roman"/>
          <w:color w:val="auto"/>
          <w:highlight w:val="none"/>
        </w:rPr>
      </w:pPr>
      <w:r>
        <w:rPr>
          <w:rFonts w:hint="eastAsia" w:ascii="Times New Roman"/>
          <w:color w:val="auto"/>
          <w:highlight w:val="none"/>
        </w:rPr>
        <w:t>3.4</w:t>
      </w:r>
      <w:r>
        <w:rPr>
          <w:rFonts w:ascii="Times New Roman"/>
          <w:color w:val="auto"/>
          <w:highlight w:val="none"/>
        </w:rPr>
        <w:t>.1溶媒冷却方式：外置冷凝管</w:t>
      </w:r>
      <w:r>
        <w:rPr>
          <w:rFonts w:hint="eastAsia" w:ascii="Times New Roman"/>
          <w:color w:val="auto"/>
          <w:highlight w:val="none"/>
        </w:rPr>
        <w:t>、</w:t>
      </w:r>
      <w:r>
        <w:rPr>
          <w:rFonts w:ascii="Times New Roman"/>
          <w:color w:val="auto"/>
          <w:highlight w:val="none"/>
        </w:rPr>
        <w:t>真空隔膜泵</w:t>
      </w:r>
      <w:r>
        <w:rPr>
          <w:rFonts w:hint="eastAsia" w:ascii="Times New Roman"/>
          <w:color w:val="auto"/>
          <w:highlight w:val="none"/>
        </w:rPr>
        <w:t>、</w:t>
      </w:r>
      <w:r>
        <w:rPr>
          <w:rFonts w:ascii="Times New Roman"/>
          <w:color w:val="auto"/>
          <w:highlight w:val="none"/>
        </w:rPr>
        <w:t>冷却循环水机</w:t>
      </w:r>
      <w:r>
        <w:rPr>
          <w:rFonts w:hint="eastAsia" w:ascii="Times New Roman"/>
          <w:color w:val="auto"/>
          <w:highlight w:val="none"/>
        </w:rPr>
        <w:t>；</w:t>
      </w:r>
    </w:p>
    <w:p>
      <w:pPr>
        <w:pStyle w:val="28"/>
        <w:spacing w:line="400" w:lineRule="exact"/>
        <w:rPr>
          <w:rFonts w:ascii="Times New Roman"/>
          <w:color w:val="auto"/>
          <w:highlight w:val="none"/>
        </w:rPr>
      </w:pPr>
      <w:r>
        <w:rPr>
          <w:rFonts w:hint="eastAsia" w:ascii="Times New Roman"/>
          <w:color w:val="auto"/>
          <w:highlight w:val="none"/>
        </w:rPr>
        <w:t>3.4</w:t>
      </w:r>
      <w:r>
        <w:rPr>
          <w:rFonts w:ascii="Times New Roman"/>
          <w:color w:val="auto"/>
          <w:highlight w:val="none"/>
        </w:rPr>
        <w:t>.2冷却循环水温度控制方式：PID温控</w:t>
      </w:r>
      <w:r>
        <w:rPr>
          <w:rFonts w:hint="eastAsia" w:ascii="Times New Roman"/>
          <w:color w:val="auto"/>
          <w:highlight w:val="none"/>
        </w:rPr>
        <w:t>；</w:t>
      </w:r>
    </w:p>
    <w:p>
      <w:pPr>
        <w:pStyle w:val="28"/>
        <w:spacing w:line="400" w:lineRule="exact"/>
        <w:rPr>
          <w:rFonts w:ascii="Times New Roman"/>
          <w:color w:val="auto"/>
          <w:highlight w:val="none"/>
        </w:rPr>
      </w:pPr>
      <w:r>
        <w:rPr>
          <w:rFonts w:hint="eastAsia" w:ascii="Times New Roman"/>
          <w:color w:val="auto"/>
          <w:highlight w:val="none"/>
        </w:rPr>
        <w:t>3.4</w:t>
      </w:r>
      <w:r>
        <w:rPr>
          <w:rFonts w:ascii="Times New Roman"/>
          <w:color w:val="auto"/>
          <w:highlight w:val="none"/>
        </w:rPr>
        <w:t>.3样品防氧化性能：具惰性气体防氧化保护装置</w:t>
      </w:r>
      <w:r>
        <w:rPr>
          <w:rFonts w:hint="eastAsia" w:ascii="Times New Roman"/>
          <w:color w:val="auto"/>
          <w:highlight w:val="none"/>
        </w:rPr>
        <w:t>；</w:t>
      </w:r>
    </w:p>
    <w:p>
      <w:pPr>
        <w:pStyle w:val="28"/>
        <w:spacing w:line="400" w:lineRule="exact"/>
        <w:rPr>
          <w:rFonts w:ascii="Times New Roman"/>
          <w:color w:val="auto"/>
          <w:highlight w:val="none"/>
        </w:rPr>
      </w:pPr>
      <w:r>
        <w:rPr>
          <w:rFonts w:hint="eastAsia" w:ascii="Times New Roman"/>
          <w:color w:val="auto"/>
          <w:highlight w:val="none"/>
        </w:rPr>
        <w:t>3.4</w:t>
      </w:r>
      <w:r>
        <w:rPr>
          <w:rFonts w:ascii="Times New Roman"/>
          <w:color w:val="auto"/>
          <w:highlight w:val="none"/>
        </w:rPr>
        <w:t>.4防溶剂爆沸性能：具防止溶剂沸腾时爆沸性能</w:t>
      </w:r>
      <w:r>
        <w:rPr>
          <w:rFonts w:hint="eastAsia" w:ascii="Times New Roman"/>
          <w:color w:val="auto"/>
          <w:highlight w:val="none"/>
        </w:rPr>
        <w:t>；</w:t>
      </w:r>
    </w:p>
    <w:p>
      <w:pPr>
        <w:pStyle w:val="28"/>
        <w:spacing w:line="400" w:lineRule="exact"/>
        <w:rPr>
          <w:rFonts w:ascii="Times New Roman"/>
          <w:color w:val="auto"/>
          <w:highlight w:val="none"/>
        </w:rPr>
      </w:pPr>
      <w:r>
        <w:rPr>
          <w:rFonts w:hint="eastAsia" w:ascii="Times New Roman"/>
          <w:color w:val="auto"/>
          <w:highlight w:val="none"/>
        </w:rPr>
        <w:t>3.4</w:t>
      </w:r>
      <w:r>
        <w:rPr>
          <w:rFonts w:ascii="Times New Roman"/>
          <w:color w:val="auto"/>
          <w:highlight w:val="none"/>
        </w:rPr>
        <w:t>.5安全性能：仪器具有防护罩</w:t>
      </w:r>
      <w:r>
        <w:rPr>
          <w:rFonts w:hint="eastAsia" w:ascii="Times New Roman"/>
          <w:color w:val="auto"/>
          <w:highlight w:val="none"/>
        </w:rPr>
        <w:t>；</w:t>
      </w:r>
    </w:p>
    <w:p>
      <w:pPr>
        <w:pStyle w:val="28"/>
        <w:spacing w:line="400" w:lineRule="exact"/>
        <w:rPr>
          <w:rFonts w:ascii="Times New Roman"/>
          <w:color w:val="auto"/>
          <w:highlight w:val="none"/>
        </w:rPr>
      </w:pPr>
      <w:r>
        <w:rPr>
          <w:rFonts w:hint="eastAsia" w:ascii="Times New Roman"/>
          <w:color w:val="auto"/>
          <w:highlight w:val="none"/>
        </w:rPr>
        <w:t>3.4</w:t>
      </w:r>
      <w:r>
        <w:rPr>
          <w:rFonts w:ascii="Times New Roman"/>
          <w:color w:val="auto"/>
          <w:highlight w:val="none"/>
        </w:rPr>
        <w:t>.6溶剂回收率：90%</w:t>
      </w:r>
      <w:r>
        <w:rPr>
          <w:rFonts w:hint="eastAsia" w:ascii="Times New Roman"/>
          <w:color w:val="auto"/>
          <w:highlight w:val="none"/>
        </w:rPr>
        <w:t>；</w:t>
      </w:r>
    </w:p>
    <w:p>
      <w:pPr>
        <w:pStyle w:val="28"/>
        <w:spacing w:line="400" w:lineRule="exact"/>
        <w:rPr>
          <w:rFonts w:ascii="Times New Roman"/>
          <w:color w:val="auto"/>
          <w:highlight w:val="none"/>
        </w:rPr>
      </w:pPr>
      <w:r>
        <w:rPr>
          <w:rFonts w:hint="eastAsia" w:ascii="Times New Roman"/>
          <w:color w:val="auto"/>
          <w:highlight w:val="none"/>
        </w:rPr>
        <w:t>3.5</w:t>
      </w:r>
      <w:r>
        <w:rPr>
          <w:rFonts w:ascii="Times New Roman"/>
          <w:color w:val="auto"/>
          <w:highlight w:val="none"/>
        </w:rPr>
        <w:t>程序控制系统</w:t>
      </w:r>
    </w:p>
    <w:p>
      <w:pPr>
        <w:pStyle w:val="28"/>
        <w:spacing w:line="400" w:lineRule="exact"/>
        <w:rPr>
          <w:rFonts w:ascii="Times New Roman"/>
          <w:color w:val="auto"/>
          <w:highlight w:val="none"/>
        </w:rPr>
      </w:pPr>
      <w:r>
        <w:rPr>
          <w:rFonts w:hint="eastAsia" w:ascii="Times New Roman"/>
          <w:color w:val="auto"/>
          <w:highlight w:val="none"/>
        </w:rPr>
        <w:t>3.5</w:t>
      </w:r>
      <w:r>
        <w:rPr>
          <w:rFonts w:ascii="Times New Roman"/>
          <w:color w:val="auto"/>
          <w:highlight w:val="none"/>
        </w:rPr>
        <w:t>.1蒸发程序：抽真空、加热和涡旋</w:t>
      </w:r>
      <w:r>
        <w:rPr>
          <w:rFonts w:hint="eastAsia" w:ascii="Times New Roman"/>
          <w:color w:val="auto"/>
          <w:highlight w:val="none"/>
        </w:rPr>
        <w:t>；</w:t>
      </w:r>
    </w:p>
    <w:p>
      <w:pPr>
        <w:pStyle w:val="28"/>
        <w:spacing w:line="400" w:lineRule="exact"/>
        <w:rPr>
          <w:rFonts w:ascii="Times New Roman"/>
          <w:color w:val="auto"/>
          <w:highlight w:val="none"/>
        </w:rPr>
      </w:pPr>
      <w:r>
        <w:rPr>
          <w:rFonts w:hint="eastAsia" w:ascii="Times New Roman"/>
          <w:color w:val="auto"/>
          <w:highlight w:val="none"/>
        </w:rPr>
        <w:t>3.5</w:t>
      </w:r>
      <w:r>
        <w:rPr>
          <w:rFonts w:ascii="Times New Roman"/>
          <w:color w:val="auto"/>
          <w:highlight w:val="none"/>
        </w:rPr>
        <w:t>.2存储程序≥50个方法程序、≥9个梯度方式</w:t>
      </w:r>
      <w:r>
        <w:rPr>
          <w:rFonts w:hint="eastAsia" w:ascii="Times New Roman"/>
          <w:color w:val="auto"/>
          <w:highlight w:val="none"/>
        </w:rPr>
        <w:t>；</w:t>
      </w:r>
    </w:p>
    <w:p>
      <w:pPr>
        <w:pStyle w:val="28"/>
        <w:spacing w:line="400" w:lineRule="exact"/>
        <w:rPr>
          <w:rFonts w:ascii="Times New Roman"/>
          <w:color w:val="auto"/>
          <w:highlight w:val="none"/>
        </w:rPr>
      </w:pPr>
      <w:r>
        <w:rPr>
          <w:rFonts w:hint="eastAsia" w:ascii="Times New Roman"/>
          <w:color w:val="auto"/>
          <w:highlight w:val="none"/>
        </w:rPr>
        <w:t>3.6</w:t>
      </w:r>
      <w:r>
        <w:rPr>
          <w:rFonts w:ascii="Times New Roman"/>
          <w:color w:val="auto"/>
          <w:highlight w:val="none"/>
        </w:rPr>
        <w:t>冷却循环水机</w:t>
      </w:r>
    </w:p>
    <w:p>
      <w:pPr>
        <w:pStyle w:val="28"/>
        <w:spacing w:line="400" w:lineRule="exact"/>
        <w:rPr>
          <w:rFonts w:ascii="Times New Roman"/>
          <w:color w:val="auto"/>
          <w:highlight w:val="none"/>
        </w:rPr>
      </w:pPr>
      <w:r>
        <w:rPr>
          <w:rFonts w:hint="eastAsia" w:ascii="Times New Roman"/>
          <w:color w:val="auto"/>
          <w:highlight w:val="none"/>
        </w:rPr>
        <w:t>3.6</w:t>
      </w:r>
      <w:r>
        <w:rPr>
          <w:rFonts w:ascii="Times New Roman"/>
          <w:color w:val="auto"/>
          <w:highlight w:val="none"/>
        </w:rPr>
        <w:t>.1 电压：230VAC±10%；50/60Hz</w:t>
      </w:r>
      <w:r>
        <w:rPr>
          <w:rFonts w:hint="eastAsia" w:ascii="Times New Roman"/>
          <w:color w:val="auto"/>
          <w:highlight w:val="none"/>
        </w:rPr>
        <w:t>；</w:t>
      </w:r>
    </w:p>
    <w:p>
      <w:pPr>
        <w:pStyle w:val="28"/>
        <w:spacing w:line="400" w:lineRule="exact"/>
        <w:rPr>
          <w:rFonts w:ascii="Times New Roman"/>
          <w:color w:val="auto"/>
          <w:highlight w:val="none"/>
        </w:rPr>
      </w:pPr>
      <w:r>
        <w:rPr>
          <w:rFonts w:hint="eastAsia" w:ascii="Times New Roman"/>
          <w:color w:val="auto"/>
          <w:highlight w:val="none"/>
        </w:rPr>
        <w:t>3.6</w:t>
      </w:r>
      <w:r>
        <w:rPr>
          <w:rFonts w:ascii="Times New Roman"/>
          <w:color w:val="auto"/>
          <w:highlight w:val="none"/>
        </w:rPr>
        <w:t>.2 显示：数显，精度0.1K；显示设定温度和实际温度；</w:t>
      </w:r>
    </w:p>
    <w:p>
      <w:pPr>
        <w:pStyle w:val="28"/>
        <w:spacing w:line="400" w:lineRule="exact"/>
        <w:rPr>
          <w:rFonts w:ascii="Times New Roman"/>
          <w:color w:val="auto"/>
          <w:highlight w:val="none"/>
        </w:rPr>
      </w:pPr>
      <w:r>
        <w:rPr>
          <w:rFonts w:hint="eastAsia" w:ascii="Times New Roman"/>
          <w:color w:val="auto"/>
          <w:highlight w:val="none"/>
        </w:rPr>
        <w:t>3.6</w:t>
      </w:r>
      <w:r>
        <w:rPr>
          <w:rFonts w:ascii="Times New Roman"/>
          <w:color w:val="auto"/>
          <w:highlight w:val="none"/>
        </w:rPr>
        <w:t>.3 温度范围：零下10度到零上25度；</w:t>
      </w:r>
    </w:p>
    <w:p>
      <w:pPr>
        <w:pStyle w:val="28"/>
        <w:spacing w:line="400" w:lineRule="exact"/>
        <w:rPr>
          <w:rFonts w:ascii="Times New Roman"/>
          <w:color w:val="auto"/>
          <w:highlight w:val="none"/>
        </w:rPr>
      </w:pPr>
      <w:r>
        <w:rPr>
          <w:rFonts w:hint="eastAsia" w:ascii="Times New Roman"/>
          <w:color w:val="auto"/>
          <w:highlight w:val="none"/>
        </w:rPr>
        <w:t>3.6</w:t>
      </w:r>
      <w:r>
        <w:rPr>
          <w:rFonts w:ascii="Times New Roman"/>
          <w:color w:val="auto"/>
          <w:highlight w:val="none"/>
        </w:rPr>
        <w:t>.4 冷却剂：R134；</w:t>
      </w:r>
    </w:p>
    <w:p>
      <w:pPr>
        <w:pStyle w:val="28"/>
        <w:spacing w:line="400" w:lineRule="exact"/>
        <w:rPr>
          <w:rFonts w:ascii="Times New Roman"/>
          <w:color w:val="auto"/>
          <w:highlight w:val="none"/>
        </w:rPr>
      </w:pPr>
      <w:r>
        <w:rPr>
          <w:rFonts w:hint="eastAsia" w:ascii="Times New Roman"/>
          <w:color w:val="auto"/>
          <w:highlight w:val="none"/>
        </w:rPr>
        <w:t>3.6</w:t>
      </w:r>
      <w:r>
        <w:rPr>
          <w:rFonts w:ascii="Times New Roman"/>
          <w:color w:val="auto"/>
          <w:highlight w:val="none"/>
        </w:rPr>
        <w:t>.5  泵压：0.6bar；</w:t>
      </w:r>
    </w:p>
    <w:p>
      <w:pPr>
        <w:pStyle w:val="28"/>
        <w:spacing w:line="400" w:lineRule="exact"/>
        <w:rPr>
          <w:rFonts w:ascii="Times New Roman"/>
          <w:color w:val="auto"/>
          <w:highlight w:val="none"/>
        </w:rPr>
      </w:pPr>
      <w:r>
        <w:rPr>
          <w:rFonts w:hint="eastAsia" w:ascii="Times New Roman"/>
          <w:color w:val="auto"/>
          <w:highlight w:val="none"/>
        </w:rPr>
        <w:t>3.6</w:t>
      </w:r>
      <w:r>
        <w:rPr>
          <w:rFonts w:ascii="Times New Roman"/>
          <w:color w:val="auto"/>
          <w:highlight w:val="none"/>
        </w:rPr>
        <w:t>.6  流速：15L/min</w:t>
      </w:r>
      <w:r>
        <w:rPr>
          <w:rFonts w:hint="eastAsia" w:ascii="Times New Roman"/>
          <w:color w:val="auto"/>
          <w:highlight w:val="none"/>
        </w:rPr>
        <w:t>；</w:t>
      </w:r>
    </w:p>
    <w:p>
      <w:pPr>
        <w:pStyle w:val="28"/>
        <w:spacing w:line="400" w:lineRule="exact"/>
        <w:rPr>
          <w:rFonts w:ascii="Times New Roman"/>
          <w:color w:val="auto"/>
          <w:highlight w:val="none"/>
        </w:rPr>
      </w:pPr>
      <w:r>
        <w:rPr>
          <w:rFonts w:hint="eastAsia" w:ascii="Times New Roman"/>
          <w:color w:val="auto"/>
          <w:highlight w:val="none"/>
        </w:rPr>
        <w:t>3.7</w:t>
      </w:r>
      <w:r>
        <w:rPr>
          <w:rFonts w:ascii="Times New Roman"/>
          <w:color w:val="auto"/>
          <w:highlight w:val="none"/>
        </w:rPr>
        <w:t>隔膜真空泵</w:t>
      </w:r>
    </w:p>
    <w:p>
      <w:pPr>
        <w:pStyle w:val="28"/>
        <w:spacing w:line="400" w:lineRule="exact"/>
        <w:rPr>
          <w:rFonts w:ascii="Times New Roman"/>
          <w:color w:val="auto"/>
          <w:highlight w:val="none"/>
        </w:rPr>
      </w:pPr>
      <w:r>
        <w:rPr>
          <w:rFonts w:hint="eastAsia" w:ascii="Times New Roman"/>
          <w:color w:val="auto"/>
          <w:highlight w:val="none"/>
        </w:rPr>
        <w:t>3.7</w:t>
      </w:r>
      <w:r>
        <w:rPr>
          <w:rFonts w:ascii="Times New Roman"/>
          <w:color w:val="auto"/>
          <w:highlight w:val="none"/>
        </w:rPr>
        <w:t>.1 电压：230VAC±10%；50/60Hz</w:t>
      </w:r>
      <w:r>
        <w:rPr>
          <w:rFonts w:hint="eastAsia" w:ascii="Times New Roman"/>
          <w:color w:val="auto"/>
          <w:highlight w:val="none"/>
        </w:rPr>
        <w:t>；</w:t>
      </w:r>
    </w:p>
    <w:p>
      <w:pPr>
        <w:pStyle w:val="28"/>
        <w:spacing w:line="400" w:lineRule="exact"/>
        <w:rPr>
          <w:rFonts w:ascii="Times New Roman"/>
          <w:color w:val="auto"/>
          <w:highlight w:val="none"/>
        </w:rPr>
      </w:pPr>
      <w:r>
        <w:rPr>
          <w:rFonts w:hint="eastAsia" w:ascii="Times New Roman"/>
          <w:color w:val="auto"/>
          <w:highlight w:val="none"/>
        </w:rPr>
        <w:t>3.7</w:t>
      </w:r>
      <w:r>
        <w:rPr>
          <w:rFonts w:ascii="Times New Roman"/>
          <w:color w:val="auto"/>
          <w:highlight w:val="none"/>
        </w:rPr>
        <w:t>.2精度：1mbar</w:t>
      </w:r>
      <w:r>
        <w:rPr>
          <w:rFonts w:hint="eastAsia" w:ascii="Times New Roman"/>
          <w:color w:val="auto"/>
          <w:highlight w:val="none"/>
        </w:rPr>
        <w:t>；</w:t>
      </w:r>
    </w:p>
    <w:p>
      <w:pPr>
        <w:pStyle w:val="28"/>
        <w:spacing w:line="400" w:lineRule="exact"/>
        <w:rPr>
          <w:rFonts w:ascii="Times New Roman"/>
          <w:color w:val="auto"/>
          <w:highlight w:val="none"/>
        </w:rPr>
      </w:pPr>
      <w:r>
        <w:rPr>
          <w:rFonts w:hint="eastAsia" w:ascii="Times New Roman"/>
          <w:color w:val="auto"/>
          <w:highlight w:val="none"/>
        </w:rPr>
        <w:t>3.7</w:t>
      </w:r>
      <w:r>
        <w:rPr>
          <w:rFonts w:ascii="Times New Roman"/>
          <w:color w:val="auto"/>
          <w:highlight w:val="none"/>
        </w:rPr>
        <w:t>.3抽度：1.8m³/h</w:t>
      </w:r>
      <w:r>
        <w:rPr>
          <w:rFonts w:hint="eastAsia" w:ascii="Times New Roman"/>
          <w:color w:val="auto"/>
          <w:highlight w:val="none"/>
        </w:rPr>
        <w:t>；</w:t>
      </w:r>
    </w:p>
    <w:p>
      <w:pPr>
        <w:pStyle w:val="28"/>
        <w:spacing w:line="400" w:lineRule="exact"/>
        <w:rPr>
          <w:rFonts w:ascii="Times New Roman"/>
          <w:color w:val="auto"/>
          <w:highlight w:val="none"/>
        </w:rPr>
      </w:pPr>
      <w:r>
        <w:rPr>
          <w:rFonts w:hint="eastAsia" w:ascii="Times New Roman"/>
          <w:color w:val="auto"/>
          <w:highlight w:val="none"/>
        </w:rPr>
        <w:t>3.7</w:t>
      </w:r>
      <w:r>
        <w:rPr>
          <w:rFonts w:ascii="Times New Roman"/>
          <w:color w:val="auto"/>
          <w:highlight w:val="none"/>
        </w:rPr>
        <w:t>.4最低真空度：5mbar</w:t>
      </w:r>
      <w:r>
        <w:rPr>
          <w:rFonts w:hint="eastAsia" w:ascii="Times New Roman"/>
          <w:color w:val="auto"/>
          <w:highlight w:val="none"/>
        </w:rPr>
        <w:t>；</w:t>
      </w:r>
    </w:p>
    <w:p>
      <w:pPr>
        <w:pStyle w:val="28"/>
        <w:spacing w:line="400" w:lineRule="exact"/>
        <w:rPr>
          <w:rFonts w:ascii="Times New Roman"/>
          <w:color w:val="auto"/>
          <w:highlight w:val="none"/>
        </w:rPr>
      </w:pPr>
      <w:r>
        <w:rPr>
          <w:rFonts w:hint="eastAsia" w:ascii="Times New Roman"/>
          <w:color w:val="auto"/>
          <w:highlight w:val="none"/>
        </w:rPr>
        <w:t>3.7</w:t>
      </w:r>
      <w:r>
        <w:rPr>
          <w:rFonts w:ascii="Times New Roman"/>
          <w:color w:val="auto"/>
          <w:highlight w:val="none"/>
        </w:rPr>
        <w:t>.5电机速度：1600min-1</w:t>
      </w:r>
      <w:r>
        <w:rPr>
          <w:rFonts w:hint="eastAsia" w:ascii="Times New Roman"/>
          <w:color w:val="auto"/>
          <w:highlight w:val="none"/>
        </w:rPr>
        <w:t>；</w:t>
      </w:r>
    </w:p>
    <w:p>
      <w:pPr>
        <w:pStyle w:val="28"/>
        <w:spacing w:line="400" w:lineRule="exact"/>
        <w:rPr>
          <w:rFonts w:ascii="Times New Roman"/>
          <w:color w:val="auto"/>
          <w:highlight w:val="none"/>
        </w:rPr>
      </w:pPr>
      <w:r>
        <w:rPr>
          <w:rFonts w:hint="eastAsia" w:ascii="Times New Roman"/>
          <w:color w:val="auto"/>
          <w:highlight w:val="none"/>
        </w:rPr>
        <w:t>3.7</w:t>
      </w:r>
      <w:r>
        <w:rPr>
          <w:rFonts w:ascii="Times New Roman"/>
          <w:color w:val="auto"/>
          <w:highlight w:val="none"/>
        </w:rPr>
        <w:t>.6级数（泵头数）：2</w:t>
      </w:r>
      <w:r>
        <w:rPr>
          <w:rFonts w:hint="eastAsia" w:ascii="Times New Roman"/>
          <w:color w:val="auto"/>
          <w:highlight w:val="none"/>
        </w:rPr>
        <w:t>；</w:t>
      </w:r>
    </w:p>
    <w:p>
      <w:pPr>
        <w:widowControl/>
        <w:autoSpaceDE w:val="0"/>
        <w:autoSpaceDN w:val="0"/>
        <w:snapToGrid w:val="0"/>
        <w:spacing w:line="400" w:lineRule="exact"/>
        <w:rPr>
          <w:b/>
          <w:bCs/>
          <w:color w:val="auto"/>
          <w:kern w:val="0"/>
          <w:sz w:val="24"/>
          <w:highlight w:val="none"/>
        </w:rPr>
      </w:pPr>
      <w:r>
        <w:rPr>
          <w:b/>
          <w:bCs/>
          <w:color w:val="auto"/>
          <w:kern w:val="0"/>
          <w:sz w:val="24"/>
          <w:highlight w:val="none"/>
        </w:rPr>
        <w:t>4仪器配置</w:t>
      </w:r>
    </w:p>
    <w:p>
      <w:pPr>
        <w:pStyle w:val="28"/>
        <w:spacing w:line="400" w:lineRule="exact"/>
        <w:rPr>
          <w:rFonts w:ascii="Times New Roman"/>
          <w:color w:val="auto"/>
          <w:highlight w:val="none"/>
        </w:rPr>
      </w:pPr>
      <w:r>
        <w:rPr>
          <w:rFonts w:ascii="Times New Roman"/>
          <w:color w:val="auto"/>
          <w:highlight w:val="none"/>
        </w:rPr>
        <w:t>4.1主机：有加热、温度程序控制和震荡速度控制功能；数字显示温度、时间和转速；带有S型冷凝器和溶剂接收瓶；</w:t>
      </w:r>
    </w:p>
    <w:p>
      <w:pPr>
        <w:pStyle w:val="28"/>
        <w:spacing w:line="400" w:lineRule="exact"/>
        <w:rPr>
          <w:rFonts w:ascii="Times New Roman"/>
          <w:color w:val="auto"/>
          <w:highlight w:val="none"/>
        </w:rPr>
      </w:pPr>
      <w:r>
        <w:rPr>
          <w:rFonts w:ascii="Times New Roman"/>
          <w:color w:val="auto"/>
          <w:highlight w:val="none"/>
        </w:rPr>
        <w:t>4.2 12位真空盖1个，12位试管架2个，定量浓缩至1mL样品管</w:t>
      </w:r>
      <w:r>
        <w:rPr>
          <w:rFonts w:hint="eastAsia" w:ascii="Times New Roman"/>
          <w:color w:val="auto"/>
          <w:highlight w:val="none"/>
        </w:rPr>
        <w:t>12</w:t>
      </w:r>
      <w:r>
        <w:rPr>
          <w:rFonts w:ascii="Times New Roman"/>
          <w:color w:val="auto"/>
          <w:highlight w:val="none"/>
        </w:rPr>
        <w:t>支</w:t>
      </w:r>
      <w:r>
        <w:rPr>
          <w:rFonts w:hint="eastAsia" w:ascii="Times New Roman"/>
          <w:color w:val="auto"/>
          <w:highlight w:val="none"/>
        </w:rPr>
        <w:t>；</w:t>
      </w:r>
    </w:p>
    <w:p>
      <w:pPr>
        <w:pStyle w:val="28"/>
        <w:spacing w:line="400" w:lineRule="exact"/>
        <w:rPr>
          <w:rFonts w:ascii="Times New Roman"/>
          <w:color w:val="auto"/>
          <w:highlight w:val="none"/>
        </w:rPr>
      </w:pPr>
      <w:r>
        <w:rPr>
          <w:rFonts w:ascii="Times New Roman"/>
          <w:color w:val="auto"/>
          <w:highlight w:val="none"/>
        </w:rPr>
        <w:t>4.3真空泵、真空控制器1套</w:t>
      </w:r>
      <w:r>
        <w:rPr>
          <w:rFonts w:hint="eastAsia" w:ascii="Times New Roman"/>
          <w:color w:val="auto"/>
          <w:highlight w:val="none"/>
        </w:rPr>
        <w:t>；</w:t>
      </w:r>
    </w:p>
    <w:p>
      <w:pPr>
        <w:pStyle w:val="28"/>
        <w:spacing w:line="400" w:lineRule="exact"/>
        <w:rPr>
          <w:rFonts w:ascii="Times New Roman"/>
          <w:color w:val="auto"/>
          <w:highlight w:val="none"/>
        </w:rPr>
      </w:pPr>
      <w:r>
        <w:rPr>
          <w:rFonts w:ascii="Times New Roman"/>
          <w:color w:val="auto"/>
          <w:highlight w:val="none"/>
        </w:rPr>
        <w:t>4.4 冷却循环水机 1台</w:t>
      </w:r>
      <w:r>
        <w:rPr>
          <w:rFonts w:hint="eastAsia" w:ascii="Times New Roman"/>
          <w:color w:val="auto"/>
          <w:highlight w:val="none"/>
        </w:rPr>
        <w:t>；</w:t>
      </w:r>
    </w:p>
    <w:p>
      <w:pPr>
        <w:widowControl/>
        <w:autoSpaceDE w:val="0"/>
        <w:autoSpaceDN w:val="0"/>
        <w:snapToGrid w:val="0"/>
        <w:spacing w:line="400" w:lineRule="exact"/>
        <w:contextualSpacing/>
        <w:rPr>
          <w:color w:val="auto"/>
          <w:kern w:val="0"/>
          <w:sz w:val="24"/>
          <w:highlight w:val="none"/>
          <w:lang w:val="zh-CN"/>
        </w:rPr>
      </w:pPr>
      <w:r>
        <w:rPr>
          <w:rFonts w:hint="eastAsia"/>
          <w:color w:val="auto"/>
          <w:sz w:val="24"/>
          <w:highlight w:val="none"/>
        </w:rPr>
        <w:t>4.5</w:t>
      </w:r>
      <w:r>
        <w:rPr>
          <w:rFonts w:hint="eastAsia"/>
          <w:color w:val="auto"/>
          <w:kern w:val="0"/>
          <w:sz w:val="24"/>
          <w:highlight w:val="none"/>
          <w:lang w:val="zh-CN"/>
        </w:rPr>
        <w:t>多通道抽滤仪</w:t>
      </w:r>
      <w:r>
        <w:rPr>
          <w:rFonts w:hint="eastAsia"/>
          <w:color w:val="auto"/>
          <w:kern w:val="0"/>
          <w:sz w:val="24"/>
          <w:highlight w:val="none"/>
        </w:rPr>
        <w:t>1 台</w:t>
      </w:r>
      <w:r>
        <w:rPr>
          <w:rFonts w:hint="eastAsia"/>
          <w:color w:val="auto"/>
          <w:kern w:val="0"/>
          <w:sz w:val="24"/>
          <w:highlight w:val="none"/>
          <w:lang w:val="zh-CN"/>
        </w:rPr>
        <w:t>，配有漏斗</w:t>
      </w:r>
      <w:r>
        <w:rPr>
          <w:color w:val="auto"/>
          <w:kern w:val="0"/>
          <w:sz w:val="24"/>
          <w:highlight w:val="none"/>
          <w:lang w:val="zh-CN"/>
        </w:rPr>
        <w:t>斗、滤头、夹具、收集杯各20套</w:t>
      </w:r>
      <w:r>
        <w:rPr>
          <w:rFonts w:hint="eastAsia"/>
          <w:color w:val="auto"/>
          <w:kern w:val="0"/>
          <w:sz w:val="24"/>
          <w:highlight w:val="none"/>
          <w:lang w:val="zh-CN"/>
        </w:rPr>
        <w:t>以及</w:t>
      </w:r>
      <w:r>
        <w:rPr>
          <w:color w:val="auto"/>
          <w:kern w:val="0"/>
          <w:sz w:val="24"/>
          <w:highlight w:val="none"/>
          <w:lang w:val="zh-CN"/>
        </w:rPr>
        <w:t>负压泵1套</w:t>
      </w:r>
    </w:p>
    <w:p>
      <w:pPr>
        <w:autoSpaceDE w:val="0"/>
        <w:autoSpaceDN w:val="0"/>
        <w:adjustRightInd w:val="0"/>
        <w:spacing w:line="400" w:lineRule="exact"/>
        <w:rPr>
          <w:bCs/>
          <w:color w:val="auto"/>
          <w:sz w:val="24"/>
          <w:highlight w:val="none"/>
        </w:rPr>
      </w:pPr>
      <w:r>
        <w:rPr>
          <w:rFonts w:hint="eastAsia"/>
          <w:bCs/>
          <w:color w:val="auto"/>
          <w:sz w:val="24"/>
          <w:highlight w:val="none"/>
        </w:rPr>
        <w:t>4.5.</w:t>
      </w:r>
      <w:r>
        <w:rPr>
          <w:bCs/>
          <w:color w:val="auto"/>
          <w:sz w:val="24"/>
          <w:highlight w:val="none"/>
        </w:rPr>
        <w:t>1</w:t>
      </w:r>
      <w:r>
        <w:rPr>
          <w:rFonts w:hint="eastAsia"/>
          <w:bCs/>
          <w:color w:val="auto"/>
          <w:sz w:val="24"/>
          <w:highlight w:val="none"/>
        </w:rPr>
        <w:t>整机一体化，各通道样品同时或独立运行，互不干扰。</w:t>
      </w:r>
    </w:p>
    <w:p>
      <w:pPr>
        <w:autoSpaceDE w:val="0"/>
        <w:autoSpaceDN w:val="0"/>
        <w:adjustRightInd w:val="0"/>
        <w:spacing w:line="400" w:lineRule="exact"/>
        <w:rPr>
          <w:bCs/>
          <w:color w:val="auto"/>
          <w:sz w:val="24"/>
          <w:highlight w:val="none"/>
        </w:rPr>
      </w:pPr>
      <w:r>
        <w:rPr>
          <w:rFonts w:hint="eastAsia"/>
          <w:bCs/>
          <w:color w:val="auto"/>
          <w:sz w:val="24"/>
          <w:highlight w:val="none"/>
        </w:rPr>
        <w:t>4.5.</w:t>
      </w:r>
      <w:r>
        <w:rPr>
          <w:bCs/>
          <w:color w:val="auto"/>
          <w:sz w:val="24"/>
          <w:highlight w:val="none"/>
        </w:rPr>
        <w:t>2</w:t>
      </w:r>
      <w:r>
        <w:rPr>
          <w:rFonts w:hint="eastAsia"/>
          <w:bCs/>
          <w:color w:val="auto"/>
          <w:sz w:val="24"/>
          <w:highlight w:val="none"/>
        </w:rPr>
        <w:t>能够一键启动，自动进行样品自动滤膜过滤或水样过滤，无需人员值守；</w:t>
      </w:r>
    </w:p>
    <w:p>
      <w:pPr>
        <w:autoSpaceDE w:val="0"/>
        <w:autoSpaceDN w:val="0"/>
        <w:adjustRightInd w:val="0"/>
        <w:spacing w:line="400" w:lineRule="exact"/>
        <w:rPr>
          <w:bCs/>
          <w:color w:val="auto"/>
          <w:sz w:val="24"/>
          <w:highlight w:val="none"/>
        </w:rPr>
      </w:pPr>
      <w:r>
        <w:rPr>
          <w:rFonts w:hint="eastAsia"/>
          <w:bCs/>
          <w:color w:val="auto"/>
          <w:sz w:val="24"/>
          <w:highlight w:val="none"/>
        </w:rPr>
        <w:t>4.5.</w:t>
      </w:r>
      <w:r>
        <w:rPr>
          <w:bCs/>
          <w:color w:val="auto"/>
          <w:sz w:val="24"/>
          <w:highlight w:val="none"/>
        </w:rPr>
        <w:t>3</w:t>
      </w:r>
      <w:r>
        <w:rPr>
          <w:rFonts w:hint="eastAsia"/>
          <w:bCs/>
          <w:color w:val="auto"/>
          <w:sz w:val="24"/>
          <w:highlight w:val="none"/>
        </w:rPr>
        <w:t>抽滤漏斗采用磁式或夹具固定，方便滤膜安置取放；</w:t>
      </w:r>
    </w:p>
    <w:p>
      <w:pPr>
        <w:autoSpaceDE w:val="0"/>
        <w:autoSpaceDN w:val="0"/>
        <w:adjustRightInd w:val="0"/>
        <w:spacing w:line="400" w:lineRule="exact"/>
        <w:rPr>
          <w:bCs/>
          <w:color w:val="auto"/>
          <w:sz w:val="24"/>
          <w:highlight w:val="none"/>
        </w:rPr>
      </w:pPr>
      <w:r>
        <w:rPr>
          <w:bCs/>
          <w:color w:val="auto"/>
          <w:sz w:val="24"/>
          <w:highlight w:val="none"/>
        </w:rPr>
        <w:t>*</w:t>
      </w:r>
      <w:r>
        <w:rPr>
          <w:rFonts w:hint="eastAsia"/>
          <w:bCs/>
          <w:color w:val="auto"/>
          <w:sz w:val="24"/>
          <w:highlight w:val="none"/>
        </w:rPr>
        <w:t>4.5.</w:t>
      </w:r>
      <w:r>
        <w:rPr>
          <w:bCs/>
          <w:color w:val="auto"/>
          <w:sz w:val="24"/>
          <w:highlight w:val="none"/>
        </w:rPr>
        <w:t>4</w:t>
      </w:r>
      <w:r>
        <w:rPr>
          <w:rFonts w:hint="eastAsia"/>
          <w:bCs/>
          <w:color w:val="auto"/>
          <w:sz w:val="24"/>
          <w:highlight w:val="none"/>
        </w:rPr>
        <w:t>通道：≥1</w:t>
      </w:r>
      <w:r>
        <w:rPr>
          <w:bCs/>
          <w:color w:val="auto"/>
          <w:sz w:val="24"/>
          <w:highlight w:val="none"/>
        </w:rPr>
        <w:t>0</w:t>
      </w:r>
      <w:r>
        <w:rPr>
          <w:rFonts w:hint="eastAsia"/>
          <w:bCs/>
          <w:color w:val="auto"/>
          <w:sz w:val="24"/>
          <w:highlight w:val="none"/>
        </w:rPr>
        <w:t>通道；</w:t>
      </w:r>
    </w:p>
    <w:p>
      <w:pPr>
        <w:autoSpaceDE w:val="0"/>
        <w:autoSpaceDN w:val="0"/>
        <w:adjustRightInd w:val="0"/>
        <w:spacing w:line="400" w:lineRule="exact"/>
        <w:rPr>
          <w:bCs/>
          <w:color w:val="auto"/>
          <w:sz w:val="24"/>
          <w:highlight w:val="none"/>
        </w:rPr>
      </w:pPr>
      <w:r>
        <w:rPr>
          <w:rFonts w:hint="eastAsia"/>
          <w:bCs/>
          <w:color w:val="auto"/>
          <w:sz w:val="24"/>
          <w:highlight w:val="none"/>
        </w:rPr>
        <w:t>4.5.</w:t>
      </w:r>
      <w:r>
        <w:rPr>
          <w:bCs/>
          <w:color w:val="auto"/>
          <w:sz w:val="24"/>
          <w:highlight w:val="none"/>
        </w:rPr>
        <w:t>5</w:t>
      </w:r>
      <w:r>
        <w:rPr>
          <w:rFonts w:hint="eastAsia"/>
          <w:bCs/>
          <w:color w:val="auto"/>
          <w:sz w:val="24"/>
          <w:highlight w:val="none"/>
        </w:rPr>
        <w:t>气泵流量：≥20L/min；</w:t>
      </w:r>
    </w:p>
    <w:p>
      <w:pPr>
        <w:autoSpaceDE w:val="0"/>
        <w:autoSpaceDN w:val="0"/>
        <w:adjustRightInd w:val="0"/>
        <w:spacing w:line="400" w:lineRule="exact"/>
        <w:rPr>
          <w:bCs/>
          <w:color w:val="auto"/>
          <w:sz w:val="24"/>
          <w:highlight w:val="none"/>
        </w:rPr>
      </w:pPr>
      <w:r>
        <w:rPr>
          <w:rFonts w:hint="eastAsia"/>
          <w:bCs/>
          <w:color w:val="auto"/>
          <w:sz w:val="24"/>
          <w:highlight w:val="none"/>
        </w:rPr>
        <w:t>4.5.</w:t>
      </w:r>
      <w:r>
        <w:rPr>
          <w:bCs/>
          <w:color w:val="auto"/>
          <w:sz w:val="24"/>
          <w:highlight w:val="none"/>
        </w:rPr>
        <w:t>6</w:t>
      </w:r>
      <w:r>
        <w:rPr>
          <w:rFonts w:hint="eastAsia"/>
          <w:bCs/>
          <w:color w:val="auto"/>
          <w:sz w:val="24"/>
          <w:highlight w:val="none"/>
        </w:rPr>
        <w:t>适配滤膜：90mm；</w:t>
      </w:r>
    </w:p>
    <w:p>
      <w:pPr>
        <w:autoSpaceDE w:val="0"/>
        <w:autoSpaceDN w:val="0"/>
        <w:adjustRightInd w:val="0"/>
        <w:spacing w:line="400" w:lineRule="exact"/>
        <w:rPr>
          <w:bCs/>
          <w:color w:val="auto"/>
          <w:sz w:val="24"/>
          <w:highlight w:val="none"/>
        </w:rPr>
      </w:pPr>
      <w:r>
        <w:rPr>
          <w:bCs/>
          <w:color w:val="auto"/>
          <w:sz w:val="24"/>
          <w:highlight w:val="none"/>
        </w:rPr>
        <w:t>*</w:t>
      </w:r>
      <w:r>
        <w:rPr>
          <w:rFonts w:hint="eastAsia"/>
          <w:bCs/>
          <w:color w:val="auto"/>
          <w:sz w:val="24"/>
          <w:highlight w:val="none"/>
        </w:rPr>
        <w:t>4.5.</w:t>
      </w:r>
      <w:r>
        <w:rPr>
          <w:bCs/>
          <w:color w:val="auto"/>
          <w:sz w:val="24"/>
          <w:highlight w:val="none"/>
        </w:rPr>
        <w:t>7</w:t>
      </w:r>
      <w:r>
        <w:rPr>
          <w:rFonts w:hint="eastAsia"/>
          <w:bCs/>
          <w:color w:val="auto"/>
          <w:sz w:val="24"/>
          <w:highlight w:val="none"/>
        </w:rPr>
        <w:t>漏斗：≥500ml；</w:t>
      </w:r>
    </w:p>
    <w:p>
      <w:pPr>
        <w:autoSpaceDE w:val="0"/>
        <w:autoSpaceDN w:val="0"/>
        <w:adjustRightInd w:val="0"/>
        <w:spacing w:line="400" w:lineRule="exact"/>
        <w:rPr>
          <w:bCs/>
          <w:color w:val="auto"/>
          <w:sz w:val="24"/>
          <w:highlight w:val="none"/>
        </w:rPr>
      </w:pPr>
      <w:r>
        <w:rPr>
          <w:bCs/>
          <w:color w:val="auto"/>
          <w:sz w:val="24"/>
          <w:highlight w:val="none"/>
        </w:rPr>
        <w:t>*</w:t>
      </w:r>
      <w:r>
        <w:rPr>
          <w:rFonts w:hint="eastAsia"/>
          <w:bCs/>
          <w:color w:val="auto"/>
          <w:sz w:val="24"/>
          <w:highlight w:val="none"/>
        </w:rPr>
        <w:t>4.5.</w:t>
      </w:r>
      <w:r>
        <w:rPr>
          <w:bCs/>
          <w:color w:val="auto"/>
          <w:sz w:val="24"/>
          <w:highlight w:val="none"/>
        </w:rPr>
        <w:t>8</w:t>
      </w:r>
      <w:r>
        <w:rPr>
          <w:rFonts w:hint="eastAsia"/>
          <w:bCs/>
          <w:color w:val="auto"/>
          <w:sz w:val="24"/>
          <w:highlight w:val="none"/>
        </w:rPr>
        <w:t>通道控制：单路单控；</w:t>
      </w:r>
    </w:p>
    <w:p>
      <w:pPr>
        <w:pStyle w:val="28"/>
        <w:spacing w:line="400" w:lineRule="exact"/>
        <w:rPr>
          <w:rFonts w:ascii="Times New Roman"/>
          <w:color w:val="auto"/>
          <w:highlight w:val="none"/>
        </w:rPr>
      </w:pPr>
      <w:r>
        <w:rPr>
          <w:rFonts w:hint="eastAsia" w:ascii="Times New Roman"/>
          <w:color w:val="auto"/>
          <w:highlight w:val="none"/>
        </w:rPr>
        <w:t>4.6</w:t>
      </w:r>
      <w:r>
        <w:rPr>
          <w:rFonts w:ascii="Times New Roman"/>
          <w:color w:val="auto"/>
          <w:highlight w:val="none"/>
        </w:rPr>
        <w:t>六联不锈钢过滤器1套。包括六联不锈钢过滤器1个、真空泵1个、120L进口无油真空泵1个、抽滤瓶1个；</w:t>
      </w:r>
    </w:p>
    <w:p>
      <w:pPr>
        <w:pStyle w:val="28"/>
        <w:spacing w:line="400" w:lineRule="exact"/>
        <w:rPr>
          <w:rFonts w:ascii="Times New Roman"/>
          <w:color w:val="auto"/>
          <w:highlight w:val="none"/>
        </w:rPr>
      </w:pPr>
      <w:r>
        <w:rPr>
          <w:rFonts w:hint="eastAsia" w:ascii="Times New Roman"/>
          <w:color w:val="auto"/>
          <w:highlight w:val="none"/>
        </w:rPr>
        <w:t>4.6</w:t>
      </w:r>
      <w:r>
        <w:rPr>
          <w:rFonts w:ascii="Times New Roman"/>
          <w:color w:val="auto"/>
          <w:highlight w:val="none"/>
        </w:rPr>
        <w:t>.1滤杯材质：316L卫生级不锈钢。</w:t>
      </w:r>
    </w:p>
    <w:p>
      <w:pPr>
        <w:pStyle w:val="28"/>
        <w:spacing w:line="400" w:lineRule="exact"/>
        <w:rPr>
          <w:rFonts w:ascii="Times New Roman"/>
          <w:color w:val="auto"/>
          <w:highlight w:val="none"/>
        </w:rPr>
      </w:pPr>
      <w:r>
        <w:rPr>
          <w:rFonts w:hint="eastAsia" w:ascii="Times New Roman"/>
          <w:color w:val="auto"/>
          <w:highlight w:val="none"/>
        </w:rPr>
        <w:t>4.6</w:t>
      </w:r>
      <w:r>
        <w:rPr>
          <w:rFonts w:ascii="Times New Roman"/>
          <w:color w:val="auto"/>
          <w:highlight w:val="none"/>
        </w:rPr>
        <w:t>.2 使用方式：卡箍插拔式设计</w:t>
      </w:r>
    </w:p>
    <w:p>
      <w:pPr>
        <w:pStyle w:val="28"/>
        <w:spacing w:line="400" w:lineRule="exact"/>
        <w:rPr>
          <w:rFonts w:ascii="Times New Roman"/>
          <w:color w:val="auto"/>
          <w:highlight w:val="none"/>
        </w:rPr>
      </w:pPr>
      <w:r>
        <w:rPr>
          <w:rFonts w:hint="eastAsia" w:ascii="Times New Roman"/>
          <w:color w:val="auto"/>
          <w:highlight w:val="none"/>
        </w:rPr>
        <w:t>4.6</w:t>
      </w:r>
      <w:r>
        <w:rPr>
          <w:rFonts w:ascii="Times New Roman"/>
          <w:color w:val="auto"/>
          <w:highlight w:val="none"/>
        </w:rPr>
        <w:t>.3 耐酸耐碱；</w:t>
      </w:r>
    </w:p>
    <w:p>
      <w:pPr>
        <w:pStyle w:val="28"/>
        <w:spacing w:line="400" w:lineRule="exact"/>
        <w:rPr>
          <w:rFonts w:ascii="Times New Roman"/>
          <w:color w:val="auto"/>
          <w:highlight w:val="none"/>
        </w:rPr>
      </w:pPr>
      <w:r>
        <w:rPr>
          <w:rFonts w:hint="eastAsia" w:ascii="Times New Roman"/>
          <w:color w:val="auto"/>
          <w:highlight w:val="none"/>
        </w:rPr>
        <w:t>4.6</w:t>
      </w:r>
      <w:r>
        <w:rPr>
          <w:rFonts w:ascii="Times New Roman"/>
          <w:color w:val="auto"/>
          <w:highlight w:val="none"/>
        </w:rPr>
        <w:t>.4 取样范围：0~500ml。</w:t>
      </w:r>
    </w:p>
    <w:p>
      <w:pPr>
        <w:pStyle w:val="28"/>
        <w:spacing w:line="400" w:lineRule="exact"/>
        <w:rPr>
          <w:rFonts w:ascii="Times New Roman"/>
          <w:color w:val="auto"/>
          <w:highlight w:val="none"/>
        </w:rPr>
      </w:pPr>
      <w:r>
        <w:rPr>
          <w:rFonts w:ascii="Times New Roman"/>
          <w:color w:val="auto"/>
          <w:highlight w:val="none"/>
        </w:rPr>
        <w:t>*</w:t>
      </w:r>
      <w:r>
        <w:rPr>
          <w:rFonts w:hint="eastAsia" w:ascii="Times New Roman"/>
          <w:color w:val="auto"/>
          <w:highlight w:val="none"/>
        </w:rPr>
        <w:t>4.6</w:t>
      </w:r>
      <w:r>
        <w:rPr>
          <w:rFonts w:ascii="Times New Roman"/>
          <w:color w:val="auto"/>
          <w:highlight w:val="none"/>
        </w:rPr>
        <w:t>.5一次可同时对6个样品进行过滤。</w:t>
      </w:r>
    </w:p>
    <w:p>
      <w:pPr>
        <w:pStyle w:val="28"/>
        <w:spacing w:line="400" w:lineRule="exact"/>
        <w:rPr>
          <w:rFonts w:ascii="Times New Roman"/>
          <w:color w:val="auto"/>
          <w:highlight w:val="none"/>
        </w:rPr>
      </w:pPr>
      <w:r>
        <w:rPr>
          <w:rFonts w:hint="eastAsia" w:ascii="Times New Roman"/>
          <w:color w:val="auto"/>
          <w:highlight w:val="none"/>
        </w:rPr>
        <w:t>4.6</w:t>
      </w:r>
      <w:r>
        <w:rPr>
          <w:rFonts w:ascii="Times New Roman"/>
          <w:color w:val="auto"/>
          <w:highlight w:val="none"/>
        </w:rPr>
        <w:t>.6抽滤瓶：采用PVC材质，压力过大时可自动泄压，保证实验人员人身安全。</w:t>
      </w:r>
    </w:p>
    <w:p>
      <w:pPr>
        <w:pStyle w:val="28"/>
        <w:spacing w:line="400" w:lineRule="exact"/>
        <w:rPr>
          <w:rFonts w:ascii="Times New Roman"/>
          <w:color w:val="auto"/>
          <w:highlight w:val="none"/>
        </w:rPr>
      </w:pPr>
      <w:r>
        <w:rPr>
          <w:rFonts w:hint="eastAsia" w:ascii="Times New Roman"/>
          <w:color w:val="auto"/>
          <w:highlight w:val="none"/>
        </w:rPr>
        <w:t>4.6</w:t>
      </w:r>
      <w:r>
        <w:rPr>
          <w:rFonts w:ascii="Times New Roman"/>
          <w:color w:val="auto"/>
          <w:highlight w:val="none"/>
        </w:rPr>
        <w:t>.7连接管路：PP材质。</w:t>
      </w:r>
    </w:p>
    <w:p>
      <w:pPr>
        <w:widowControl/>
        <w:autoSpaceDE w:val="0"/>
        <w:autoSpaceDN w:val="0"/>
        <w:snapToGrid w:val="0"/>
        <w:spacing w:line="400" w:lineRule="exact"/>
        <w:rPr>
          <w:b/>
          <w:bCs/>
          <w:color w:val="auto"/>
          <w:kern w:val="0"/>
          <w:sz w:val="24"/>
          <w:highlight w:val="none"/>
        </w:rPr>
      </w:pPr>
      <w:r>
        <w:rPr>
          <w:b/>
          <w:bCs/>
          <w:color w:val="auto"/>
          <w:kern w:val="0"/>
          <w:sz w:val="24"/>
          <w:highlight w:val="none"/>
        </w:rPr>
        <w:t>5.技术服务</w:t>
      </w:r>
    </w:p>
    <w:p>
      <w:pPr>
        <w:pStyle w:val="28"/>
        <w:spacing w:line="400" w:lineRule="exact"/>
        <w:rPr>
          <w:rFonts w:ascii="Times New Roman"/>
          <w:color w:val="auto"/>
          <w:highlight w:val="none"/>
          <w:lang w:val="zh-CN"/>
        </w:rPr>
      </w:pPr>
      <w:r>
        <w:rPr>
          <w:rFonts w:ascii="Times New Roman"/>
          <w:color w:val="auto"/>
          <w:highlight w:val="none"/>
          <w:lang w:val="zh-CN"/>
        </w:rPr>
        <w:t>5.1保证产品为最新型全新原厂设备。</w:t>
      </w:r>
    </w:p>
    <w:p>
      <w:pPr>
        <w:pStyle w:val="28"/>
        <w:spacing w:line="400" w:lineRule="exact"/>
        <w:rPr>
          <w:rFonts w:ascii="Times New Roman"/>
          <w:color w:val="auto"/>
          <w:highlight w:val="none"/>
          <w:lang w:val="zh-CN"/>
        </w:rPr>
      </w:pPr>
      <w:r>
        <w:rPr>
          <w:rFonts w:ascii="Times New Roman"/>
          <w:color w:val="auto"/>
          <w:highlight w:val="none"/>
          <w:lang w:val="zh-CN"/>
        </w:rPr>
        <w:t>5.2仪器安装验收：供货商在接到用户安装通知后，须在10工作日内安排有经验的工程师到现场安装仪器，并在</w:t>
      </w:r>
      <w:r>
        <w:rPr>
          <w:rFonts w:hint="eastAsia" w:ascii="Times New Roman"/>
          <w:color w:val="auto"/>
          <w:highlight w:val="none"/>
        </w:rPr>
        <w:t>3</w:t>
      </w:r>
      <w:r>
        <w:rPr>
          <w:rFonts w:ascii="Times New Roman"/>
          <w:color w:val="auto"/>
          <w:highlight w:val="none"/>
          <w:lang w:val="zh-CN"/>
        </w:rPr>
        <w:t>0工作日内安装、调试完毕，进行操作试验，直至运行正常并验收确认。</w:t>
      </w:r>
    </w:p>
    <w:p>
      <w:pPr>
        <w:pStyle w:val="28"/>
        <w:spacing w:line="400" w:lineRule="exact"/>
        <w:rPr>
          <w:rFonts w:ascii="Times New Roman"/>
          <w:color w:val="auto"/>
          <w:highlight w:val="none"/>
          <w:lang w:val="zh-CN"/>
        </w:rPr>
      </w:pPr>
      <w:r>
        <w:rPr>
          <w:rFonts w:ascii="Times New Roman"/>
          <w:color w:val="auto"/>
          <w:highlight w:val="none"/>
          <w:lang w:val="zh-CN"/>
        </w:rPr>
        <w:t>5.3保修服务：自验收合格起，厂家向用户提供至少1年的免费保修服务，终生维修。保修期内所有服务免费，一切配件、耗材免费到场更换。保修期外，能及时为用户提供备品备件。</w:t>
      </w:r>
    </w:p>
    <w:p>
      <w:pPr>
        <w:pStyle w:val="28"/>
        <w:spacing w:line="400" w:lineRule="exact"/>
        <w:rPr>
          <w:rFonts w:ascii="Times New Roman"/>
          <w:color w:val="auto"/>
          <w:highlight w:val="none"/>
          <w:lang w:val="zh-CN"/>
        </w:rPr>
      </w:pPr>
      <w:r>
        <w:rPr>
          <w:rFonts w:ascii="Times New Roman"/>
          <w:color w:val="auto"/>
          <w:highlight w:val="none"/>
          <w:lang w:val="zh-CN"/>
        </w:rPr>
        <w:t>5.4质量及验收标准：安装工程师对本标书中提出的性能指标须逐项验收，所有验收指标要求一次完成。技术指标符合买方要求和厂家规定的出厂要求，如未通过验收，视情节更换部件或主机，直至退货。</w:t>
      </w:r>
    </w:p>
    <w:p>
      <w:pPr>
        <w:pStyle w:val="28"/>
        <w:spacing w:line="400" w:lineRule="exact"/>
        <w:rPr>
          <w:rFonts w:ascii="Times New Roman"/>
          <w:color w:val="auto"/>
          <w:highlight w:val="none"/>
          <w:lang w:val="zh-CN"/>
        </w:rPr>
      </w:pPr>
      <w:r>
        <w:rPr>
          <w:rFonts w:ascii="Times New Roman"/>
          <w:color w:val="auto"/>
          <w:highlight w:val="none"/>
          <w:lang w:val="zh-CN"/>
        </w:rPr>
        <w:t>5.5培训：仪器安装现场对2名以上仪器操作人员提供免费的上机操作及日常维护培训，至使用者会操作、使用仪器为止，除仪器中文使用说明书外，应提供安装、使用技术光碟等，便于后期学习维护。</w:t>
      </w:r>
    </w:p>
    <w:p>
      <w:pPr>
        <w:pStyle w:val="28"/>
        <w:spacing w:line="400" w:lineRule="exact"/>
        <w:rPr>
          <w:rFonts w:ascii="Times New Roman"/>
          <w:color w:val="auto"/>
          <w:sz w:val="28"/>
          <w:szCs w:val="28"/>
          <w:highlight w:val="none"/>
          <w:lang w:val="zh-CN"/>
        </w:rPr>
      </w:pPr>
      <w:r>
        <w:rPr>
          <w:rFonts w:ascii="Times New Roman"/>
          <w:color w:val="auto"/>
          <w:highlight w:val="none"/>
          <w:lang w:val="zh-CN"/>
        </w:rPr>
        <w:t>5.6应有制造商的售后和技术工程师常驻新疆，保证快捷、完善的售后服务。服务响应时间不大于24小时，故障可以在48小时内到现场维修。</w:t>
      </w:r>
    </w:p>
    <w:p>
      <w:pPr>
        <w:pStyle w:val="28"/>
        <w:spacing w:line="400" w:lineRule="exact"/>
        <w:rPr>
          <w:rFonts w:ascii="Times New Roman"/>
          <w:color w:val="auto"/>
          <w:highlight w:val="none"/>
          <w:lang w:val="zh-CN"/>
        </w:rPr>
      </w:pPr>
      <w:r>
        <w:rPr>
          <w:rFonts w:ascii="Times New Roman"/>
          <w:color w:val="auto"/>
          <w:sz w:val="28"/>
          <w:szCs w:val="28"/>
          <w:highlight w:val="none"/>
          <w:lang w:val="zh-CN"/>
        </w:rPr>
        <w:t>5.7提供不定期的仪器应用技术培训服务，及时免费提供技术咨询，定期免费</w:t>
      </w:r>
      <w:r>
        <w:rPr>
          <w:rFonts w:ascii="Times New Roman"/>
          <w:color w:val="auto"/>
          <w:highlight w:val="none"/>
          <w:lang w:val="zh-CN"/>
        </w:rPr>
        <w:t>现场回访。</w:t>
      </w:r>
    </w:p>
    <w:p>
      <w:pPr>
        <w:pStyle w:val="28"/>
        <w:spacing w:line="400" w:lineRule="exact"/>
        <w:rPr>
          <w:color w:val="auto"/>
          <w:highlight w:val="none"/>
        </w:rPr>
      </w:pPr>
      <w:r>
        <w:rPr>
          <w:rFonts w:ascii="Times New Roman"/>
          <w:color w:val="auto"/>
          <w:highlight w:val="none"/>
          <w:lang w:val="zh-CN"/>
        </w:rPr>
        <w:t>备注：带“*”号的为必须满足指标，与技术性能指标一起做为验收指标。验收时须提供精密度、检出限等技术材料。</w:t>
      </w:r>
    </w:p>
    <w:p>
      <w:pPr>
        <w:pStyle w:val="718"/>
        <w:widowControl/>
        <w:numPr>
          <w:ilvl w:val="0"/>
          <w:numId w:val="17"/>
        </w:numPr>
        <w:autoSpaceDE w:val="0"/>
        <w:autoSpaceDN w:val="0"/>
        <w:snapToGrid w:val="0"/>
        <w:spacing w:line="440" w:lineRule="exact"/>
        <w:ind w:firstLineChars="0"/>
        <w:contextualSpacing/>
        <w:rPr>
          <w:color w:val="auto"/>
          <w:highlight w:val="none"/>
        </w:rPr>
      </w:pPr>
      <w:r>
        <w:rPr>
          <w:color w:val="auto"/>
          <w:highlight w:val="none"/>
        </w:rPr>
        <w:t>高频红外碳硫分析仪</w:t>
      </w:r>
    </w:p>
    <w:p>
      <w:pPr>
        <w:widowControl/>
        <w:shd w:val="clear" w:color="auto" w:fill="FFFFFF"/>
        <w:suppressAutoHyphens/>
        <w:snapToGrid w:val="0"/>
        <w:spacing w:line="400" w:lineRule="exact"/>
        <w:contextualSpacing/>
        <w:rPr>
          <w:b/>
          <w:bCs/>
          <w:color w:val="auto"/>
          <w:sz w:val="24"/>
          <w:highlight w:val="none"/>
        </w:rPr>
      </w:pPr>
      <w:r>
        <w:rPr>
          <w:b/>
          <w:bCs/>
          <w:color w:val="auto"/>
          <w:sz w:val="24"/>
          <w:highlight w:val="none"/>
        </w:rPr>
        <w:t>1.设备用途</w:t>
      </w:r>
    </w:p>
    <w:p>
      <w:pPr>
        <w:pStyle w:val="28"/>
        <w:spacing w:line="400" w:lineRule="exact"/>
        <w:rPr>
          <w:rFonts w:ascii="Times New Roman"/>
          <w:color w:val="auto"/>
          <w:highlight w:val="none"/>
        </w:rPr>
      </w:pPr>
      <w:r>
        <w:rPr>
          <w:rFonts w:ascii="Times New Roman"/>
          <w:color w:val="auto"/>
          <w:highlight w:val="none"/>
        </w:rPr>
        <w:t>用于</w:t>
      </w:r>
      <w:r>
        <w:rPr>
          <w:rFonts w:hint="eastAsia" w:ascii="Times New Roman"/>
          <w:color w:val="auto"/>
          <w:highlight w:val="none"/>
        </w:rPr>
        <w:t>红外法测定</w:t>
      </w:r>
      <w:r>
        <w:rPr>
          <w:rFonts w:ascii="Times New Roman"/>
          <w:color w:val="auto"/>
          <w:highlight w:val="none"/>
        </w:rPr>
        <w:t>土壤</w:t>
      </w:r>
      <w:r>
        <w:rPr>
          <w:rFonts w:hint="eastAsia" w:ascii="Times New Roman"/>
          <w:color w:val="auto"/>
          <w:highlight w:val="none"/>
        </w:rPr>
        <w:t>的</w:t>
      </w:r>
      <w:r>
        <w:rPr>
          <w:rFonts w:ascii="Times New Roman"/>
          <w:color w:val="auto"/>
          <w:highlight w:val="none"/>
        </w:rPr>
        <w:t>全硫</w:t>
      </w:r>
      <w:r>
        <w:rPr>
          <w:rFonts w:hint="eastAsia" w:ascii="Times New Roman"/>
          <w:color w:val="auto"/>
          <w:highlight w:val="none"/>
        </w:rPr>
        <w:t>、全碳</w:t>
      </w:r>
      <w:r>
        <w:rPr>
          <w:rFonts w:ascii="Times New Roman"/>
          <w:color w:val="auto"/>
          <w:highlight w:val="none"/>
        </w:rPr>
        <w:t>。</w:t>
      </w:r>
    </w:p>
    <w:p>
      <w:pPr>
        <w:widowControl/>
        <w:shd w:val="clear" w:color="auto" w:fill="FFFFFF"/>
        <w:suppressAutoHyphens/>
        <w:snapToGrid w:val="0"/>
        <w:spacing w:line="400" w:lineRule="exact"/>
        <w:contextualSpacing/>
        <w:rPr>
          <w:b/>
          <w:bCs/>
          <w:color w:val="auto"/>
          <w:sz w:val="24"/>
          <w:highlight w:val="none"/>
        </w:rPr>
      </w:pPr>
      <w:r>
        <w:rPr>
          <w:b/>
          <w:bCs/>
          <w:color w:val="auto"/>
          <w:sz w:val="24"/>
          <w:highlight w:val="none"/>
        </w:rPr>
        <w:t>2.工作环境</w:t>
      </w:r>
    </w:p>
    <w:p>
      <w:pPr>
        <w:widowControl/>
        <w:shd w:val="clear" w:color="auto" w:fill="FFFFFF"/>
        <w:suppressAutoHyphens/>
        <w:snapToGrid w:val="0"/>
        <w:spacing w:line="400" w:lineRule="exact"/>
        <w:contextualSpacing/>
        <w:rPr>
          <w:color w:val="auto"/>
          <w:sz w:val="24"/>
          <w:highlight w:val="none"/>
        </w:rPr>
      </w:pPr>
      <w:r>
        <w:rPr>
          <w:color w:val="auto"/>
          <w:sz w:val="24"/>
          <w:highlight w:val="none"/>
        </w:rPr>
        <w:t>2.1电源电压：220V±5%，50Hz</w:t>
      </w:r>
      <w:r>
        <w:rPr>
          <w:rFonts w:hint="eastAsia"/>
          <w:color w:val="auto"/>
          <w:sz w:val="24"/>
          <w:highlight w:val="none"/>
        </w:rPr>
        <w:t>；</w:t>
      </w:r>
    </w:p>
    <w:p>
      <w:pPr>
        <w:widowControl/>
        <w:shd w:val="clear" w:color="auto" w:fill="FFFFFF"/>
        <w:suppressAutoHyphens/>
        <w:snapToGrid w:val="0"/>
        <w:spacing w:line="400" w:lineRule="exact"/>
        <w:contextualSpacing/>
        <w:rPr>
          <w:color w:val="auto"/>
          <w:sz w:val="24"/>
          <w:highlight w:val="none"/>
        </w:rPr>
      </w:pPr>
      <w:r>
        <w:rPr>
          <w:color w:val="auto"/>
          <w:sz w:val="24"/>
          <w:highlight w:val="none"/>
        </w:rPr>
        <w:t>2.2环境温度：0℃-35℃；</w:t>
      </w:r>
    </w:p>
    <w:p>
      <w:pPr>
        <w:widowControl/>
        <w:shd w:val="clear" w:color="auto" w:fill="FFFFFF"/>
        <w:suppressAutoHyphens/>
        <w:snapToGrid w:val="0"/>
        <w:spacing w:line="400" w:lineRule="exact"/>
        <w:contextualSpacing/>
        <w:rPr>
          <w:color w:val="auto"/>
          <w:sz w:val="24"/>
          <w:highlight w:val="none"/>
        </w:rPr>
      </w:pPr>
      <w:r>
        <w:rPr>
          <w:color w:val="auto"/>
          <w:sz w:val="24"/>
          <w:highlight w:val="none"/>
        </w:rPr>
        <w:t>2.3相对湿度：≤80%</w:t>
      </w:r>
      <w:r>
        <w:rPr>
          <w:rFonts w:hint="eastAsia"/>
          <w:color w:val="auto"/>
          <w:sz w:val="24"/>
          <w:highlight w:val="none"/>
        </w:rPr>
        <w:t>；</w:t>
      </w:r>
    </w:p>
    <w:p>
      <w:pPr>
        <w:widowControl/>
        <w:shd w:val="clear" w:color="auto" w:fill="FFFFFF"/>
        <w:suppressAutoHyphens/>
        <w:snapToGrid w:val="0"/>
        <w:spacing w:line="400" w:lineRule="exact"/>
        <w:contextualSpacing/>
        <w:rPr>
          <w:color w:val="auto"/>
          <w:sz w:val="24"/>
          <w:highlight w:val="none"/>
        </w:rPr>
      </w:pPr>
      <w:r>
        <w:rPr>
          <w:color w:val="auto"/>
          <w:sz w:val="24"/>
          <w:highlight w:val="none"/>
        </w:rPr>
        <w:t>2.4运行环境：无振动。</w:t>
      </w:r>
    </w:p>
    <w:p>
      <w:pPr>
        <w:autoSpaceDE w:val="0"/>
        <w:autoSpaceDN w:val="0"/>
        <w:adjustRightInd w:val="0"/>
        <w:spacing w:line="400" w:lineRule="exact"/>
        <w:rPr>
          <w:b/>
          <w:bCs/>
          <w:color w:val="auto"/>
          <w:sz w:val="24"/>
          <w:highlight w:val="none"/>
        </w:rPr>
      </w:pPr>
      <w:r>
        <w:rPr>
          <w:b/>
          <w:bCs/>
          <w:color w:val="auto"/>
          <w:sz w:val="24"/>
          <w:highlight w:val="none"/>
        </w:rPr>
        <w:t>3.技术要求</w:t>
      </w:r>
    </w:p>
    <w:p>
      <w:pPr>
        <w:pStyle w:val="28"/>
        <w:spacing w:line="400" w:lineRule="exact"/>
        <w:rPr>
          <w:rFonts w:ascii="Times New Roman"/>
          <w:color w:val="auto"/>
          <w:highlight w:val="none"/>
        </w:rPr>
      </w:pPr>
      <w:r>
        <w:rPr>
          <w:rFonts w:hint="eastAsia"/>
          <w:color w:val="auto"/>
          <w:highlight w:val="none"/>
        </w:rPr>
        <w:t>★</w:t>
      </w:r>
      <w:r>
        <w:rPr>
          <w:rFonts w:ascii="Times New Roman"/>
          <w:color w:val="auto"/>
          <w:highlight w:val="none"/>
        </w:rPr>
        <w:t>3.1 符合标准：满足《全国第三次土壤普查检测技术规范》；</w:t>
      </w:r>
    </w:p>
    <w:p>
      <w:pPr>
        <w:spacing w:line="400" w:lineRule="exact"/>
        <w:jc w:val="left"/>
        <w:rPr>
          <w:color w:val="auto"/>
          <w:sz w:val="24"/>
          <w:highlight w:val="none"/>
        </w:rPr>
      </w:pPr>
      <w:r>
        <w:rPr>
          <w:color w:val="auto"/>
          <w:sz w:val="24"/>
          <w:highlight w:val="none"/>
        </w:rPr>
        <w:t>3.2分析范围：硫0.000001-99.9%；碳：0.1-99.9%</w:t>
      </w:r>
      <w:r>
        <w:rPr>
          <w:rFonts w:hint="eastAsia"/>
          <w:color w:val="auto"/>
          <w:sz w:val="24"/>
          <w:highlight w:val="none"/>
        </w:rPr>
        <w:t>；</w:t>
      </w:r>
    </w:p>
    <w:p>
      <w:pPr>
        <w:spacing w:line="400" w:lineRule="exact"/>
        <w:jc w:val="left"/>
        <w:rPr>
          <w:color w:val="auto"/>
          <w:sz w:val="24"/>
          <w:highlight w:val="none"/>
        </w:rPr>
      </w:pPr>
      <w:r>
        <w:rPr>
          <w:color w:val="auto"/>
          <w:sz w:val="24"/>
          <w:highlight w:val="none"/>
        </w:rPr>
        <w:t xml:space="preserve">3.3 </w:t>
      </w:r>
      <w:r>
        <w:rPr>
          <w:rFonts w:hint="eastAsia"/>
          <w:color w:val="auto"/>
          <w:sz w:val="24"/>
          <w:highlight w:val="none"/>
        </w:rPr>
        <w:t>灵敏度：配红外检测器，硫检测器的灵敏度</w:t>
      </w:r>
      <w:r>
        <w:rPr>
          <w:color w:val="auto"/>
          <w:sz w:val="24"/>
          <w:highlight w:val="none"/>
        </w:rPr>
        <w:t>：≤0.000001%</w:t>
      </w:r>
      <w:r>
        <w:rPr>
          <w:rFonts w:hint="eastAsia"/>
          <w:color w:val="auto"/>
          <w:sz w:val="24"/>
          <w:highlight w:val="none"/>
        </w:rPr>
        <w:t>；碳测器的灵敏度</w:t>
      </w:r>
      <w:r>
        <w:rPr>
          <w:color w:val="auto"/>
          <w:sz w:val="24"/>
          <w:highlight w:val="none"/>
        </w:rPr>
        <w:t>：≤0.1%；</w:t>
      </w:r>
    </w:p>
    <w:p>
      <w:pPr>
        <w:spacing w:line="400" w:lineRule="exact"/>
        <w:jc w:val="left"/>
        <w:rPr>
          <w:color w:val="auto"/>
          <w:sz w:val="24"/>
          <w:highlight w:val="none"/>
        </w:rPr>
      </w:pPr>
      <w:r>
        <w:rPr>
          <w:color w:val="auto"/>
          <w:sz w:val="24"/>
          <w:highlight w:val="none"/>
        </w:rPr>
        <w:t>*3.4</w:t>
      </w:r>
      <w:r>
        <w:rPr>
          <w:rFonts w:hint="eastAsia"/>
          <w:color w:val="auto"/>
          <w:sz w:val="24"/>
          <w:highlight w:val="none"/>
        </w:rPr>
        <w:t>分析精度（相对标准偏差RSD）</w:t>
      </w:r>
      <w:r>
        <w:rPr>
          <w:color w:val="auto"/>
          <w:sz w:val="24"/>
          <w:highlight w:val="none"/>
        </w:rPr>
        <w:t>：S</w:t>
      </w:r>
      <w:r>
        <w:rPr>
          <w:rFonts w:hint="eastAsia"/>
          <w:color w:val="auto"/>
          <w:sz w:val="24"/>
          <w:highlight w:val="none"/>
        </w:rPr>
        <w:t>≤</w:t>
      </w:r>
      <w:r>
        <w:rPr>
          <w:color w:val="auto"/>
          <w:sz w:val="24"/>
          <w:highlight w:val="none"/>
        </w:rPr>
        <w:t>0.5</w:t>
      </w:r>
      <w:r>
        <w:rPr>
          <w:rFonts w:hint="eastAsia"/>
          <w:color w:val="auto"/>
          <w:sz w:val="24"/>
          <w:highlight w:val="none"/>
        </w:rPr>
        <w:t>%</w:t>
      </w:r>
      <w:r>
        <w:rPr>
          <w:color w:val="auto"/>
          <w:sz w:val="24"/>
          <w:highlight w:val="none"/>
        </w:rPr>
        <w:t>；C</w:t>
      </w:r>
      <w:r>
        <w:rPr>
          <w:rFonts w:hint="eastAsia"/>
          <w:color w:val="auto"/>
          <w:sz w:val="24"/>
          <w:highlight w:val="none"/>
        </w:rPr>
        <w:t>≤</w:t>
      </w:r>
      <w:r>
        <w:rPr>
          <w:color w:val="auto"/>
          <w:sz w:val="24"/>
          <w:highlight w:val="none"/>
        </w:rPr>
        <w:t>0.5</w:t>
      </w:r>
      <w:r>
        <w:rPr>
          <w:rFonts w:hint="eastAsia"/>
          <w:color w:val="auto"/>
          <w:sz w:val="24"/>
          <w:highlight w:val="none"/>
        </w:rPr>
        <w:t>%；</w:t>
      </w:r>
    </w:p>
    <w:p>
      <w:pPr>
        <w:pStyle w:val="28"/>
        <w:spacing w:line="400" w:lineRule="exact"/>
        <w:rPr>
          <w:rFonts w:ascii="Times New Roman"/>
          <w:color w:val="auto"/>
          <w:highlight w:val="none"/>
        </w:rPr>
      </w:pPr>
      <w:r>
        <w:rPr>
          <w:rFonts w:ascii="Times New Roman"/>
          <w:color w:val="auto"/>
          <w:highlight w:val="none"/>
        </w:rPr>
        <w:t>*3.5分析时间：仪器自动判断.分析30-35秒，清洗时间5秒，每次完整的分析不超过45秒；</w:t>
      </w:r>
    </w:p>
    <w:p>
      <w:pPr>
        <w:pStyle w:val="28"/>
        <w:spacing w:line="400" w:lineRule="exact"/>
        <w:rPr>
          <w:rFonts w:ascii="Times New Roman"/>
          <w:color w:val="auto"/>
          <w:highlight w:val="none"/>
        </w:rPr>
      </w:pPr>
      <w:r>
        <w:rPr>
          <w:rFonts w:ascii="Times New Roman"/>
          <w:color w:val="auto"/>
          <w:highlight w:val="none"/>
        </w:rPr>
        <w:t>3.6高频炉功率：≥3.5kw；</w:t>
      </w:r>
    </w:p>
    <w:p>
      <w:pPr>
        <w:pStyle w:val="28"/>
        <w:spacing w:line="400" w:lineRule="exact"/>
        <w:rPr>
          <w:rFonts w:ascii="Times New Roman"/>
          <w:color w:val="auto"/>
          <w:highlight w:val="none"/>
        </w:rPr>
      </w:pPr>
      <w:r>
        <w:rPr>
          <w:rFonts w:ascii="Times New Roman"/>
          <w:color w:val="auto"/>
          <w:highlight w:val="none"/>
        </w:rPr>
        <w:t>*3.7加热温度：≥2000℃；</w:t>
      </w:r>
    </w:p>
    <w:p>
      <w:pPr>
        <w:pStyle w:val="28"/>
        <w:spacing w:line="400" w:lineRule="exact"/>
        <w:rPr>
          <w:rFonts w:ascii="Times New Roman"/>
          <w:color w:val="auto"/>
          <w:highlight w:val="none"/>
        </w:rPr>
      </w:pPr>
      <w:r>
        <w:rPr>
          <w:rFonts w:ascii="Times New Roman"/>
          <w:color w:val="auto"/>
          <w:highlight w:val="none"/>
        </w:rPr>
        <w:t>3.8校正方式：单点、多点、线性校正；</w:t>
      </w:r>
    </w:p>
    <w:p>
      <w:pPr>
        <w:pStyle w:val="28"/>
        <w:spacing w:line="400" w:lineRule="exact"/>
        <w:rPr>
          <w:rFonts w:ascii="Times New Roman"/>
          <w:color w:val="auto"/>
          <w:highlight w:val="none"/>
        </w:rPr>
      </w:pPr>
      <w:r>
        <w:rPr>
          <w:rFonts w:ascii="Times New Roman"/>
          <w:color w:val="auto"/>
          <w:highlight w:val="none"/>
        </w:rPr>
        <w:t>3.9功率调节：具备功率调节功能，与分析方法自动匹配；</w:t>
      </w:r>
    </w:p>
    <w:p>
      <w:pPr>
        <w:pStyle w:val="28"/>
        <w:spacing w:line="400" w:lineRule="exact"/>
        <w:rPr>
          <w:rFonts w:ascii="Times New Roman"/>
          <w:color w:val="auto"/>
          <w:highlight w:val="none"/>
        </w:rPr>
      </w:pPr>
      <w:r>
        <w:rPr>
          <w:rFonts w:ascii="Times New Roman"/>
          <w:color w:val="auto"/>
          <w:highlight w:val="none"/>
        </w:rPr>
        <w:t>*3.10原装进口红外探测器、气动元件；</w:t>
      </w:r>
    </w:p>
    <w:p>
      <w:pPr>
        <w:pStyle w:val="28"/>
        <w:spacing w:line="400" w:lineRule="exact"/>
        <w:rPr>
          <w:rFonts w:ascii="Times New Roman"/>
          <w:color w:val="auto"/>
          <w:highlight w:val="none"/>
        </w:rPr>
      </w:pPr>
      <w:r>
        <w:rPr>
          <w:rFonts w:ascii="Times New Roman"/>
          <w:color w:val="auto"/>
          <w:highlight w:val="none"/>
        </w:rPr>
        <w:t>3.11除水装置：配备物理除水装置，消除水分影响。（提供相关证书）</w:t>
      </w:r>
      <w:r>
        <w:rPr>
          <w:rFonts w:hint="eastAsia" w:ascii="Times New Roman"/>
          <w:color w:val="auto"/>
          <w:highlight w:val="none"/>
        </w:rPr>
        <w:t>；</w:t>
      </w:r>
    </w:p>
    <w:p>
      <w:pPr>
        <w:pStyle w:val="28"/>
        <w:spacing w:line="400" w:lineRule="exact"/>
        <w:rPr>
          <w:rFonts w:ascii="Times New Roman"/>
          <w:color w:val="auto"/>
          <w:highlight w:val="none"/>
        </w:rPr>
      </w:pPr>
      <w:r>
        <w:rPr>
          <w:rFonts w:ascii="Times New Roman"/>
          <w:color w:val="auto"/>
          <w:highlight w:val="none"/>
        </w:rPr>
        <w:t>3.12除尘方式：智能化双区域全自动除尘，集高压反吹、刷尘、排尘、集层于一体；</w:t>
      </w:r>
    </w:p>
    <w:p>
      <w:pPr>
        <w:pStyle w:val="28"/>
        <w:spacing w:line="400" w:lineRule="exact"/>
        <w:rPr>
          <w:rFonts w:ascii="Times New Roman"/>
          <w:color w:val="auto"/>
          <w:highlight w:val="none"/>
        </w:rPr>
      </w:pPr>
      <w:r>
        <w:rPr>
          <w:rFonts w:ascii="Times New Roman"/>
          <w:color w:val="auto"/>
          <w:highlight w:val="none"/>
        </w:rPr>
        <w:t>3.13分析参数：可根据样品需要灵活该变，每个分析条件可以单独建立标准曲线；</w:t>
      </w:r>
    </w:p>
    <w:p>
      <w:pPr>
        <w:pStyle w:val="28"/>
        <w:spacing w:line="400" w:lineRule="exact"/>
        <w:rPr>
          <w:rFonts w:ascii="Times New Roman"/>
          <w:color w:val="auto"/>
          <w:highlight w:val="none"/>
        </w:rPr>
      </w:pPr>
      <w:r>
        <w:rPr>
          <w:rFonts w:ascii="Times New Roman"/>
          <w:color w:val="auto"/>
          <w:highlight w:val="none"/>
        </w:rPr>
        <w:t>3.14红外恒温：搭载自动恒温系统，温漂小于0.5度</w:t>
      </w:r>
      <w:r>
        <w:rPr>
          <w:rFonts w:hint="eastAsia" w:ascii="Times New Roman"/>
          <w:color w:val="auto"/>
          <w:highlight w:val="none"/>
        </w:rPr>
        <w:t>；</w:t>
      </w:r>
    </w:p>
    <w:p>
      <w:pPr>
        <w:pStyle w:val="28"/>
        <w:spacing w:line="400" w:lineRule="exact"/>
        <w:rPr>
          <w:rFonts w:ascii="Times New Roman"/>
          <w:color w:val="auto"/>
          <w:highlight w:val="none"/>
        </w:rPr>
      </w:pPr>
      <w:r>
        <w:rPr>
          <w:rFonts w:hint="eastAsia" w:ascii="Times New Roman"/>
          <w:color w:val="auto"/>
          <w:highlight w:val="none"/>
        </w:rPr>
        <w:t>3.10</w:t>
      </w:r>
      <w:r>
        <w:rPr>
          <w:rFonts w:ascii="Times New Roman"/>
          <w:color w:val="auto"/>
          <w:highlight w:val="none"/>
        </w:rPr>
        <w:t>卤素捕捉</w:t>
      </w:r>
      <w:r>
        <w:rPr>
          <w:rFonts w:hint="eastAsia" w:ascii="Times New Roman"/>
          <w:color w:val="auto"/>
          <w:highlight w:val="none"/>
        </w:rPr>
        <w:t>：</w:t>
      </w:r>
      <w:r>
        <w:rPr>
          <w:rFonts w:ascii="Times New Roman"/>
          <w:color w:val="auto"/>
          <w:highlight w:val="none"/>
        </w:rPr>
        <w:t>具有卤素捕捉装置，降低样品对仪器的腐蚀伤害</w:t>
      </w:r>
      <w:r>
        <w:rPr>
          <w:rFonts w:hint="eastAsia" w:ascii="Times New Roman"/>
          <w:color w:val="auto"/>
          <w:highlight w:val="none"/>
        </w:rPr>
        <w:t>;</w:t>
      </w:r>
    </w:p>
    <w:p>
      <w:pPr>
        <w:pStyle w:val="28"/>
        <w:spacing w:line="400" w:lineRule="exact"/>
        <w:rPr>
          <w:rFonts w:ascii="Times New Roman"/>
          <w:color w:val="auto"/>
          <w:highlight w:val="none"/>
        </w:rPr>
      </w:pPr>
      <w:r>
        <w:rPr>
          <w:rFonts w:ascii="Times New Roman"/>
          <w:color w:val="auto"/>
          <w:highlight w:val="none"/>
        </w:rPr>
        <w:t>*3.1</w:t>
      </w:r>
      <w:r>
        <w:rPr>
          <w:rFonts w:hint="eastAsia" w:ascii="Times New Roman"/>
          <w:color w:val="auto"/>
          <w:highlight w:val="none"/>
        </w:rPr>
        <w:t>1</w:t>
      </w:r>
      <w:r>
        <w:rPr>
          <w:rFonts w:ascii="Times New Roman"/>
          <w:color w:val="auto"/>
          <w:highlight w:val="none"/>
        </w:rPr>
        <w:t>气体要求：载气为氧气，纯度&gt;99.9%，动力气为氩气或者氮气；</w:t>
      </w:r>
    </w:p>
    <w:p>
      <w:pPr>
        <w:pStyle w:val="28"/>
        <w:spacing w:line="400" w:lineRule="exact"/>
        <w:rPr>
          <w:rFonts w:ascii="Times New Roman"/>
          <w:color w:val="auto"/>
          <w:highlight w:val="none"/>
        </w:rPr>
      </w:pPr>
      <w:r>
        <w:rPr>
          <w:rFonts w:hint="eastAsia" w:ascii="Times New Roman"/>
          <w:color w:val="auto"/>
          <w:highlight w:val="none"/>
        </w:rPr>
        <w:t>3.12</w:t>
      </w:r>
      <w:r>
        <w:rPr>
          <w:rFonts w:ascii="Times New Roman"/>
          <w:color w:val="auto"/>
          <w:highlight w:val="none"/>
        </w:rPr>
        <w:t>运行要求</w:t>
      </w:r>
      <w:r>
        <w:rPr>
          <w:rFonts w:hint="eastAsia" w:ascii="Times New Roman"/>
          <w:color w:val="auto"/>
          <w:highlight w:val="none"/>
        </w:rPr>
        <w:t>：</w:t>
      </w:r>
      <w:r>
        <w:rPr>
          <w:rFonts w:ascii="Times New Roman"/>
          <w:color w:val="auto"/>
          <w:highlight w:val="none"/>
        </w:rPr>
        <w:t>无振动</w:t>
      </w:r>
      <w:r>
        <w:rPr>
          <w:rFonts w:hint="eastAsia" w:ascii="Times New Roman"/>
          <w:color w:val="auto"/>
          <w:highlight w:val="none"/>
        </w:rPr>
        <w:t>；</w:t>
      </w:r>
    </w:p>
    <w:p>
      <w:pPr>
        <w:pStyle w:val="28"/>
        <w:spacing w:line="400" w:lineRule="exact"/>
        <w:rPr>
          <w:rFonts w:ascii="Times New Roman"/>
          <w:color w:val="auto"/>
          <w:highlight w:val="none"/>
        </w:rPr>
      </w:pPr>
      <w:r>
        <w:rPr>
          <w:rFonts w:hint="eastAsia" w:ascii="Times New Roman"/>
          <w:color w:val="auto"/>
          <w:highlight w:val="none"/>
        </w:rPr>
        <w:t>3.13</w:t>
      </w:r>
      <w:r>
        <w:rPr>
          <w:rFonts w:ascii="Times New Roman"/>
          <w:color w:val="auto"/>
          <w:highlight w:val="none"/>
        </w:rPr>
        <w:t>智能休眠</w:t>
      </w:r>
      <w:r>
        <w:rPr>
          <w:rFonts w:hint="eastAsia" w:ascii="Times New Roman"/>
          <w:color w:val="auto"/>
          <w:highlight w:val="none"/>
        </w:rPr>
        <w:t>；</w:t>
      </w:r>
      <w:r>
        <w:rPr>
          <w:rFonts w:ascii="Times New Roman"/>
          <w:color w:val="auto"/>
          <w:highlight w:val="none"/>
        </w:rPr>
        <w:t>无人值守时，仪器自动进入休眠功能，保护器件延长寿命</w:t>
      </w:r>
      <w:r>
        <w:rPr>
          <w:rFonts w:hint="eastAsia" w:ascii="Times New Roman"/>
          <w:color w:val="auto"/>
          <w:highlight w:val="none"/>
        </w:rPr>
        <w:t>；</w:t>
      </w:r>
    </w:p>
    <w:p>
      <w:pPr>
        <w:pStyle w:val="28"/>
        <w:spacing w:line="400" w:lineRule="exact"/>
        <w:rPr>
          <w:rFonts w:ascii="Times New Roman"/>
          <w:color w:val="auto"/>
          <w:highlight w:val="none"/>
        </w:rPr>
      </w:pPr>
      <w:r>
        <w:rPr>
          <w:rFonts w:hint="eastAsia" w:ascii="Times New Roman"/>
          <w:color w:val="auto"/>
          <w:highlight w:val="none"/>
        </w:rPr>
        <w:t>3.14</w:t>
      </w:r>
      <w:r>
        <w:rPr>
          <w:rFonts w:ascii="Times New Roman"/>
          <w:color w:val="auto"/>
          <w:highlight w:val="none"/>
        </w:rPr>
        <w:t>数据传输</w:t>
      </w:r>
      <w:r>
        <w:rPr>
          <w:rFonts w:hint="eastAsia" w:ascii="Times New Roman"/>
          <w:color w:val="auto"/>
          <w:highlight w:val="none"/>
        </w:rPr>
        <w:t>:</w:t>
      </w:r>
      <w:r>
        <w:rPr>
          <w:rFonts w:ascii="Times New Roman"/>
          <w:color w:val="auto"/>
          <w:highlight w:val="none"/>
        </w:rPr>
        <w:t>Windows操作平台，USB数据交换技术，实现上下位及系统工作模式，实时多任务操作，对其有权限管理</w:t>
      </w:r>
      <w:r>
        <w:rPr>
          <w:rFonts w:hint="eastAsia" w:ascii="Times New Roman"/>
          <w:color w:val="auto"/>
          <w:highlight w:val="none"/>
        </w:rPr>
        <w:t>。</w:t>
      </w:r>
    </w:p>
    <w:p>
      <w:pPr>
        <w:widowControl/>
        <w:shd w:val="clear" w:color="auto" w:fill="FFFFFF"/>
        <w:suppressAutoHyphens/>
        <w:snapToGrid w:val="0"/>
        <w:spacing w:line="400" w:lineRule="exact"/>
        <w:contextualSpacing/>
        <w:rPr>
          <w:b/>
          <w:bCs/>
          <w:color w:val="auto"/>
          <w:sz w:val="24"/>
          <w:highlight w:val="none"/>
        </w:rPr>
      </w:pPr>
      <w:r>
        <w:rPr>
          <w:b/>
          <w:bCs/>
          <w:color w:val="auto"/>
          <w:sz w:val="24"/>
          <w:highlight w:val="none"/>
        </w:rPr>
        <w:t>4.仪器配置</w:t>
      </w:r>
    </w:p>
    <w:p>
      <w:pPr>
        <w:pStyle w:val="28"/>
        <w:spacing w:line="400" w:lineRule="exact"/>
        <w:rPr>
          <w:rFonts w:ascii="Times New Roman"/>
          <w:color w:val="auto"/>
          <w:highlight w:val="none"/>
        </w:rPr>
      </w:pPr>
      <w:r>
        <w:rPr>
          <w:rFonts w:hint="eastAsia" w:ascii="Times New Roman"/>
          <w:color w:val="auto"/>
          <w:highlight w:val="none"/>
        </w:rPr>
        <w:t>4.1</w:t>
      </w:r>
      <w:r>
        <w:rPr>
          <w:rFonts w:ascii="Times New Roman"/>
          <w:color w:val="auto"/>
          <w:highlight w:val="none"/>
        </w:rPr>
        <w:t xml:space="preserve"> 碳硫分析仪主机</w:t>
      </w:r>
      <w:r>
        <w:rPr>
          <w:rFonts w:hint="eastAsia" w:ascii="Times New Roman"/>
          <w:color w:val="auto"/>
          <w:highlight w:val="none"/>
        </w:rPr>
        <w:t>1</w:t>
      </w:r>
      <w:r>
        <w:rPr>
          <w:rFonts w:ascii="Times New Roman"/>
          <w:color w:val="auto"/>
          <w:highlight w:val="none"/>
        </w:rPr>
        <w:t>台</w:t>
      </w:r>
    </w:p>
    <w:p>
      <w:pPr>
        <w:pStyle w:val="28"/>
        <w:spacing w:line="400" w:lineRule="exact"/>
        <w:rPr>
          <w:rFonts w:ascii="Times New Roman"/>
          <w:color w:val="auto"/>
          <w:highlight w:val="none"/>
        </w:rPr>
      </w:pPr>
      <w:r>
        <w:rPr>
          <w:rFonts w:hint="eastAsia" w:ascii="Times New Roman"/>
          <w:color w:val="auto"/>
          <w:highlight w:val="none"/>
        </w:rPr>
        <w:t>4.2</w:t>
      </w:r>
      <w:r>
        <w:rPr>
          <w:rFonts w:ascii="Times New Roman"/>
          <w:color w:val="auto"/>
          <w:highlight w:val="none"/>
        </w:rPr>
        <w:t>电子天平</w:t>
      </w:r>
      <w:r>
        <w:rPr>
          <w:rFonts w:hint="eastAsia" w:ascii="Times New Roman"/>
          <w:color w:val="auto"/>
          <w:highlight w:val="none"/>
        </w:rPr>
        <w:t>1</w:t>
      </w:r>
      <w:r>
        <w:rPr>
          <w:rFonts w:ascii="Times New Roman"/>
          <w:color w:val="auto"/>
          <w:highlight w:val="none"/>
        </w:rPr>
        <w:t>台</w:t>
      </w:r>
    </w:p>
    <w:p>
      <w:pPr>
        <w:pStyle w:val="28"/>
        <w:spacing w:line="400" w:lineRule="exact"/>
        <w:rPr>
          <w:rFonts w:ascii="Times New Roman"/>
          <w:color w:val="auto"/>
          <w:highlight w:val="none"/>
        </w:rPr>
      </w:pPr>
      <w:r>
        <w:rPr>
          <w:rFonts w:hint="eastAsia" w:ascii="Times New Roman"/>
          <w:color w:val="auto"/>
          <w:highlight w:val="none"/>
        </w:rPr>
        <w:t>4.3</w:t>
      </w:r>
      <w:r>
        <w:rPr>
          <w:rFonts w:ascii="Times New Roman"/>
          <w:color w:val="auto"/>
          <w:highlight w:val="none"/>
        </w:rPr>
        <w:t>碳硫分析软件</w:t>
      </w:r>
      <w:r>
        <w:rPr>
          <w:rFonts w:hint="eastAsia" w:ascii="Times New Roman"/>
          <w:color w:val="auto"/>
          <w:highlight w:val="none"/>
        </w:rPr>
        <w:t>1</w:t>
      </w:r>
      <w:r>
        <w:rPr>
          <w:rFonts w:ascii="Times New Roman"/>
          <w:color w:val="auto"/>
          <w:highlight w:val="none"/>
        </w:rPr>
        <w:t>套</w:t>
      </w:r>
    </w:p>
    <w:p>
      <w:pPr>
        <w:pStyle w:val="28"/>
        <w:spacing w:line="440" w:lineRule="exact"/>
        <w:rPr>
          <w:rFonts w:ascii="Times New Roman"/>
          <w:color w:val="auto"/>
          <w:highlight w:val="none"/>
        </w:rPr>
      </w:pPr>
      <w:r>
        <w:rPr>
          <w:rFonts w:hint="eastAsia" w:ascii="Times New Roman"/>
          <w:color w:val="auto"/>
          <w:highlight w:val="none"/>
        </w:rPr>
        <w:t>4.4</w:t>
      </w:r>
      <w:r>
        <w:rPr>
          <w:rFonts w:ascii="Times New Roman"/>
          <w:color w:val="auto"/>
          <w:highlight w:val="none"/>
        </w:rPr>
        <w:t>数据处理系统1套：需满足仪器控制软件使用要求，支持日后产品软件升级；屏幕尺寸</w:t>
      </w:r>
      <w:r>
        <w:rPr>
          <w:rFonts w:hint="eastAsia" w:ascii="Times New Roman"/>
          <w:color w:val="auto"/>
          <w:highlight w:val="none"/>
        </w:rPr>
        <w:t>：</w:t>
      </w:r>
      <w:r>
        <w:rPr>
          <w:rFonts w:ascii="Times New Roman"/>
          <w:color w:val="auto"/>
          <w:highlight w:val="none"/>
        </w:rPr>
        <w:t xml:space="preserve"> ≥24英寸；CPU： 英特尔酷睿 i7；显卡类型： 独立显卡；显存容量：8GB；固态硬盘： 1TB；内存容量： 16GB；光驱类型： 有光驱；操作系统： 与软件匹配的最高版本；主流品牌激光打印装置。</w:t>
      </w:r>
    </w:p>
    <w:p>
      <w:pPr>
        <w:autoSpaceDE w:val="0"/>
        <w:autoSpaceDN w:val="0"/>
        <w:adjustRightInd w:val="0"/>
        <w:spacing w:line="400" w:lineRule="exact"/>
        <w:rPr>
          <w:bCs/>
          <w:color w:val="auto"/>
          <w:sz w:val="24"/>
          <w:highlight w:val="none"/>
        </w:rPr>
      </w:pPr>
      <w:r>
        <w:rPr>
          <w:rFonts w:hint="eastAsia"/>
          <w:color w:val="auto"/>
          <w:highlight w:val="none"/>
        </w:rPr>
        <w:t>4.5</w:t>
      </w:r>
      <w:r>
        <w:rPr>
          <w:bCs/>
          <w:color w:val="auto"/>
          <w:sz w:val="24"/>
          <w:highlight w:val="none"/>
        </w:rPr>
        <w:t xml:space="preserve"> 超声波清洗机</w:t>
      </w:r>
      <w:r>
        <w:rPr>
          <w:rFonts w:hint="eastAsia"/>
          <w:bCs/>
          <w:color w:val="auto"/>
          <w:sz w:val="24"/>
          <w:highlight w:val="none"/>
        </w:rPr>
        <w:t xml:space="preserve"> 2</w:t>
      </w:r>
      <w:r>
        <w:rPr>
          <w:bCs/>
          <w:color w:val="auto"/>
          <w:sz w:val="24"/>
          <w:highlight w:val="none"/>
        </w:rPr>
        <w:t>台</w:t>
      </w:r>
    </w:p>
    <w:p>
      <w:pPr>
        <w:autoSpaceDE w:val="0"/>
        <w:autoSpaceDN w:val="0"/>
        <w:adjustRightInd w:val="0"/>
        <w:spacing w:line="400" w:lineRule="exact"/>
        <w:rPr>
          <w:bCs/>
          <w:color w:val="auto"/>
          <w:sz w:val="24"/>
          <w:highlight w:val="none"/>
        </w:rPr>
      </w:pPr>
      <w:r>
        <w:rPr>
          <w:rFonts w:hint="eastAsia"/>
          <w:bCs/>
          <w:color w:val="auto"/>
          <w:sz w:val="24"/>
          <w:highlight w:val="none"/>
        </w:rPr>
        <w:t>4.5.</w:t>
      </w:r>
      <w:r>
        <w:rPr>
          <w:bCs/>
          <w:color w:val="auto"/>
          <w:sz w:val="24"/>
          <w:highlight w:val="none"/>
        </w:rPr>
        <w:t>1 内槽尺寸：≥500×300×200mm；</w:t>
      </w:r>
    </w:p>
    <w:p>
      <w:pPr>
        <w:autoSpaceDE w:val="0"/>
        <w:autoSpaceDN w:val="0"/>
        <w:adjustRightInd w:val="0"/>
        <w:spacing w:line="400" w:lineRule="exact"/>
        <w:rPr>
          <w:bCs/>
          <w:color w:val="auto"/>
          <w:sz w:val="24"/>
          <w:highlight w:val="none"/>
        </w:rPr>
      </w:pPr>
      <w:r>
        <w:rPr>
          <w:bCs/>
          <w:color w:val="auto"/>
          <w:sz w:val="24"/>
          <w:highlight w:val="none"/>
        </w:rPr>
        <w:t>*</w:t>
      </w:r>
      <w:r>
        <w:rPr>
          <w:rFonts w:hint="eastAsia"/>
          <w:bCs/>
          <w:color w:val="auto"/>
          <w:sz w:val="24"/>
          <w:highlight w:val="none"/>
        </w:rPr>
        <w:t>4.5.</w:t>
      </w:r>
      <w:r>
        <w:rPr>
          <w:bCs/>
          <w:color w:val="auto"/>
          <w:sz w:val="24"/>
          <w:highlight w:val="none"/>
        </w:rPr>
        <w:t>2 容量：≥30L；</w:t>
      </w:r>
    </w:p>
    <w:p>
      <w:pPr>
        <w:autoSpaceDE w:val="0"/>
        <w:autoSpaceDN w:val="0"/>
        <w:adjustRightInd w:val="0"/>
        <w:spacing w:line="400" w:lineRule="exact"/>
        <w:rPr>
          <w:bCs/>
          <w:color w:val="auto"/>
          <w:sz w:val="24"/>
          <w:highlight w:val="none"/>
        </w:rPr>
      </w:pPr>
      <w:r>
        <w:rPr>
          <w:rFonts w:hint="eastAsia"/>
          <w:bCs/>
          <w:color w:val="auto"/>
          <w:sz w:val="24"/>
          <w:highlight w:val="none"/>
        </w:rPr>
        <w:t>4.5.</w:t>
      </w:r>
      <w:r>
        <w:rPr>
          <w:bCs/>
          <w:color w:val="auto"/>
          <w:sz w:val="24"/>
          <w:highlight w:val="none"/>
        </w:rPr>
        <w:t>3 工作频率：40KHz；</w:t>
      </w:r>
    </w:p>
    <w:p>
      <w:pPr>
        <w:autoSpaceDE w:val="0"/>
        <w:autoSpaceDN w:val="0"/>
        <w:adjustRightInd w:val="0"/>
        <w:spacing w:line="400" w:lineRule="exact"/>
        <w:rPr>
          <w:bCs/>
          <w:color w:val="auto"/>
          <w:sz w:val="24"/>
          <w:highlight w:val="none"/>
        </w:rPr>
      </w:pPr>
      <w:r>
        <w:rPr>
          <w:bCs/>
          <w:color w:val="auto"/>
          <w:sz w:val="24"/>
          <w:highlight w:val="none"/>
        </w:rPr>
        <w:t>*</w:t>
      </w:r>
      <w:r>
        <w:rPr>
          <w:rFonts w:hint="eastAsia"/>
          <w:bCs/>
          <w:color w:val="auto"/>
          <w:sz w:val="24"/>
          <w:highlight w:val="none"/>
        </w:rPr>
        <w:t>4.5.</w:t>
      </w:r>
      <w:r>
        <w:rPr>
          <w:bCs/>
          <w:color w:val="auto"/>
          <w:sz w:val="24"/>
          <w:highlight w:val="none"/>
        </w:rPr>
        <w:t>4 超声功率：≥800W；</w:t>
      </w:r>
    </w:p>
    <w:p>
      <w:pPr>
        <w:autoSpaceDE w:val="0"/>
        <w:autoSpaceDN w:val="0"/>
        <w:adjustRightInd w:val="0"/>
        <w:spacing w:line="400" w:lineRule="exact"/>
        <w:rPr>
          <w:bCs/>
          <w:color w:val="auto"/>
          <w:sz w:val="24"/>
          <w:highlight w:val="none"/>
        </w:rPr>
      </w:pPr>
      <w:r>
        <w:rPr>
          <w:rFonts w:hint="eastAsia"/>
          <w:bCs/>
          <w:color w:val="auto"/>
          <w:sz w:val="24"/>
          <w:highlight w:val="none"/>
        </w:rPr>
        <w:t>4.5.</w:t>
      </w:r>
      <w:r>
        <w:rPr>
          <w:bCs/>
          <w:color w:val="auto"/>
          <w:sz w:val="24"/>
          <w:highlight w:val="none"/>
        </w:rPr>
        <w:t>5 加热功率：≥800W；</w:t>
      </w:r>
    </w:p>
    <w:p>
      <w:pPr>
        <w:autoSpaceDE w:val="0"/>
        <w:autoSpaceDN w:val="0"/>
        <w:adjustRightInd w:val="0"/>
        <w:spacing w:line="400" w:lineRule="exact"/>
        <w:rPr>
          <w:bCs/>
          <w:color w:val="auto"/>
          <w:sz w:val="24"/>
          <w:highlight w:val="none"/>
        </w:rPr>
      </w:pPr>
      <w:r>
        <w:rPr>
          <w:rFonts w:hint="eastAsia"/>
          <w:bCs/>
          <w:color w:val="auto"/>
          <w:sz w:val="24"/>
          <w:highlight w:val="none"/>
        </w:rPr>
        <w:t>4.5.</w:t>
      </w:r>
      <w:r>
        <w:rPr>
          <w:bCs/>
          <w:color w:val="auto"/>
          <w:sz w:val="24"/>
          <w:highlight w:val="none"/>
        </w:rPr>
        <w:t>6 温度可调：室温-80℃；</w:t>
      </w:r>
    </w:p>
    <w:p>
      <w:pPr>
        <w:autoSpaceDE w:val="0"/>
        <w:autoSpaceDN w:val="0"/>
        <w:adjustRightInd w:val="0"/>
        <w:spacing w:line="400" w:lineRule="exact"/>
        <w:rPr>
          <w:bCs/>
          <w:color w:val="auto"/>
          <w:sz w:val="24"/>
          <w:highlight w:val="none"/>
        </w:rPr>
      </w:pPr>
      <w:r>
        <w:rPr>
          <w:rFonts w:hint="eastAsia"/>
          <w:bCs/>
          <w:color w:val="auto"/>
          <w:sz w:val="24"/>
          <w:highlight w:val="none"/>
        </w:rPr>
        <w:t>4.5.</w:t>
      </w:r>
      <w:r>
        <w:rPr>
          <w:bCs/>
          <w:color w:val="auto"/>
          <w:sz w:val="24"/>
          <w:highlight w:val="none"/>
        </w:rPr>
        <w:t>7 时间可调：1-99min；</w:t>
      </w:r>
    </w:p>
    <w:p>
      <w:pPr>
        <w:autoSpaceDE w:val="0"/>
        <w:autoSpaceDN w:val="0"/>
        <w:adjustRightInd w:val="0"/>
        <w:spacing w:line="400" w:lineRule="exact"/>
        <w:rPr>
          <w:bCs/>
          <w:color w:val="auto"/>
          <w:sz w:val="24"/>
          <w:highlight w:val="none"/>
        </w:rPr>
      </w:pPr>
      <w:r>
        <w:rPr>
          <w:rFonts w:hint="eastAsia"/>
          <w:bCs/>
          <w:color w:val="auto"/>
          <w:sz w:val="24"/>
          <w:highlight w:val="none"/>
        </w:rPr>
        <w:t>4.5.</w:t>
      </w:r>
      <w:r>
        <w:rPr>
          <w:bCs/>
          <w:color w:val="auto"/>
          <w:sz w:val="24"/>
          <w:highlight w:val="none"/>
        </w:rPr>
        <w:t>8 数显累计时间：99999h；</w:t>
      </w:r>
    </w:p>
    <w:p>
      <w:pPr>
        <w:autoSpaceDE w:val="0"/>
        <w:autoSpaceDN w:val="0"/>
        <w:adjustRightInd w:val="0"/>
        <w:spacing w:line="400" w:lineRule="exact"/>
        <w:rPr>
          <w:bCs/>
          <w:color w:val="auto"/>
          <w:sz w:val="24"/>
          <w:highlight w:val="none"/>
        </w:rPr>
      </w:pPr>
      <w:r>
        <w:rPr>
          <w:rFonts w:hint="eastAsia"/>
          <w:bCs/>
          <w:color w:val="auto"/>
          <w:sz w:val="24"/>
          <w:highlight w:val="none"/>
        </w:rPr>
        <w:t>4.5.</w:t>
      </w:r>
      <w:r>
        <w:rPr>
          <w:bCs/>
          <w:color w:val="auto"/>
          <w:sz w:val="24"/>
          <w:highlight w:val="none"/>
        </w:rPr>
        <w:t xml:space="preserve">9 仪器的内外壳体和降音盖采用优质不锈钢；  </w:t>
      </w:r>
    </w:p>
    <w:p>
      <w:pPr>
        <w:autoSpaceDE w:val="0"/>
        <w:autoSpaceDN w:val="0"/>
        <w:adjustRightInd w:val="0"/>
        <w:spacing w:line="400" w:lineRule="exact"/>
        <w:rPr>
          <w:bCs/>
          <w:color w:val="auto"/>
          <w:sz w:val="24"/>
          <w:highlight w:val="none"/>
        </w:rPr>
      </w:pPr>
      <w:r>
        <w:rPr>
          <w:bCs/>
          <w:color w:val="auto"/>
          <w:sz w:val="24"/>
          <w:highlight w:val="none"/>
        </w:rPr>
        <w:t>*</w:t>
      </w:r>
      <w:r>
        <w:rPr>
          <w:rFonts w:hint="eastAsia"/>
          <w:bCs/>
          <w:color w:val="auto"/>
          <w:sz w:val="24"/>
          <w:highlight w:val="none"/>
        </w:rPr>
        <w:t>4.5.</w:t>
      </w:r>
      <w:r>
        <w:rPr>
          <w:bCs/>
          <w:color w:val="auto"/>
          <w:sz w:val="24"/>
          <w:highlight w:val="none"/>
        </w:rPr>
        <w:t>10 配有网篮、降音盖和排水</w:t>
      </w:r>
      <w:r>
        <w:rPr>
          <w:rFonts w:hint="eastAsia"/>
          <w:bCs/>
          <w:color w:val="auto"/>
          <w:sz w:val="24"/>
          <w:highlight w:val="none"/>
        </w:rPr>
        <w:t>装置</w:t>
      </w:r>
      <w:r>
        <w:rPr>
          <w:bCs/>
          <w:color w:val="auto"/>
          <w:sz w:val="24"/>
          <w:highlight w:val="none"/>
        </w:rPr>
        <w:t>；</w:t>
      </w:r>
    </w:p>
    <w:p>
      <w:pPr>
        <w:autoSpaceDE w:val="0"/>
        <w:autoSpaceDN w:val="0"/>
        <w:adjustRightInd w:val="0"/>
        <w:spacing w:line="400" w:lineRule="exact"/>
        <w:rPr>
          <w:bCs/>
          <w:color w:val="auto"/>
          <w:sz w:val="24"/>
          <w:highlight w:val="none"/>
        </w:rPr>
      </w:pPr>
      <w:r>
        <w:rPr>
          <w:rFonts w:hint="eastAsia"/>
          <w:bCs/>
          <w:color w:val="auto"/>
          <w:sz w:val="24"/>
          <w:highlight w:val="none"/>
        </w:rPr>
        <w:t>4.5.</w:t>
      </w:r>
      <w:r>
        <w:rPr>
          <w:bCs/>
          <w:color w:val="auto"/>
          <w:sz w:val="24"/>
          <w:highlight w:val="none"/>
        </w:rPr>
        <w:t>11 配有槽内器皿固定装置。</w:t>
      </w:r>
    </w:p>
    <w:p>
      <w:pPr>
        <w:widowControl/>
        <w:shd w:val="clear" w:color="auto" w:fill="FFFFFF"/>
        <w:snapToGrid w:val="0"/>
        <w:spacing w:line="400" w:lineRule="exact"/>
        <w:contextualSpacing/>
        <w:rPr>
          <w:b/>
          <w:bCs/>
          <w:color w:val="auto"/>
          <w:kern w:val="0"/>
          <w:sz w:val="24"/>
          <w:highlight w:val="none"/>
        </w:rPr>
      </w:pPr>
      <w:r>
        <w:rPr>
          <w:b/>
          <w:bCs/>
          <w:color w:val="auto"/>
          <w:kern w:val="0"/>
          <w:sz w:val="24"/>
          <w:highlight w:val="none"/>
        </w:rPr>
        <w:t>5.技术服务</w:t>
      </w:r>
    </w:p>
    <w:p>
      <w:pPr>
        <w:pStyle w:val="28"/>
        <w:spacing w:line="400" w:lineRule="exact"/>
        <w:rPr>
          <w:rFonts w:ascii="Times New Roman"/>
          <w:color w:val="auto"/>
          <w:highlight w:val="none"/>
        </w:rPr>
      </w:pPr>
      <w:r>
        <w:rPr>
          <w:rFonts w:ascii="Times New Roman"/>
          <w:color w:val="auto"/>
          <w:highlight w:val="none"/>
        </w:rPr>
        <w:t>5.1保证产品为最新型全新原厂设备。</w:t>
      </w:r>
    </w:p>
    <w:p>
      <w:pPr>
        <w:pStyle w:val="28"/>
        <w:spacing w:line="400" w:lineRule="exact"/>
        <w:rPr>
          <w:rFonts w:ascii="Times New Roman"/>
          <w:color w:val="auto"/>
          <w:highlight w:val="none"/>
          <w:lang w:val="zh-CN"/>
        </w:rPr>
      </w:pPr>
      <w:r>
        <w:rPr>
          <w:rFonts w:ascii="Times New Roman"/>
          <w:color w:val="auto"/>
          <w:highlight w:val="none"/>
        </w:rPr>
        <w:t>5.2仪器安装验收：</w:t>
      </w:r>
      <w:r>
        <w:rPr>
          <w:rFonts w:ascii="Times New Roman"/>
          <w:color w:val="auto"/>
          <w:highlight w:val="none"/>
          <w:lang w:val="zh-CN"/>
        </w:rPr>
        <w:t>供货商在接到用户安装通知后，须在10工作日内安排有经验的工程师到现场安装仪器，并在</w:t>
      </w:r>
      <w:r>
        <w:rPr>
          <w:rFonts w:hint="eastAsia" w:ascii="Times New Roman"/>
          <w:color w:val="auto"/>
          <w:highlight w:val="none"/>
        </w:rPr>
        <w:t>3</w:t>
      </w:r>
      <w:r>
        <w:rPr>
          <w:rFonts w:ascii="Times New Roman"/>
          <w:color w:val="auto"/>
          <w:highlight w:val="none"/>
          <w:lang w:val="zh-CN"/>
        </w:rPr>
        <w:t>0工作日内安装、调试完毕，</w:t>
      </w:r>
      <w:r>
        <w:rPr>
          <w:rFonts w:ascii="Times New Roman"/>
          <w:color w:val="auto"/>
          <w:highlight w:val="none"/>
        </w:rPr>
        <w:t>进行操作试验，直至运行正常并验收确认</w:t>
      </w:r>
      <w:r>
        <w:rPr>
          <w:rFonts w:ascii="Times New Roman"/>
          <w:color w:val="auto"/>
          <w:highlight w:val="none"/>
          <w:lang w:val="zh-CN"/>
        </w:rPr>
        <w:t>。</w:t>
      </w:r>
    </w:p>
    <w:p>
      <w:pPr>
        <w:pStyle w:val="28"/>
        <w:spacing w:line="400" w:lineRule="exact"/>
        <w:rPr>
          <w:rFonts w:ascii="Times New Roman"/>
          <w:color w:val="auto"/>
          <w:highlight w:val="none"/>
        </w:rPr>
      </w:pPr>
      <w:r>
        <w:rPr>
          <w:rFonts w:ascii="Times New Roman"/>
          <w:color w:val="auto"/>
          <w:highlight w:val="none"/>
        </w:rPr>
        <w:t>5.3保修服务：自验收合格起，厂家向用户提供至少1年的免费保修服务，</w:t>
      </w:r>
      <w:r>
        <w:rPr>
          <w:rFonts w:ascii="Times New Roman"/>
          <w:color w:val="auto"/>
          <w:highlight w:val="none"/>
          <w:lang w:val="zh-CN"/>
        </w:rPr>
        <w:t>终生维修</w:t>
      </w:r>
      <w:r>
        <w:rPr>
          <w:rFonts w:ascii="Times New Roman"/>
          <w:color w:val="auto"/>
          <w:highlight w:val="none"/>
        </w:rPr>
        <w:t>。保修期内所有服务免费，一切配件、耗材免费到场更换。保修期外，能及时为用户提供备品备件。</w:t>
      </w:r>
    </w:p>
    <w:p>
      <w:pPr>
        <w:pStyle w:val="28"/>
        <w:spacing w:line="400" w:lineRule="exact"/>
        <w:rPr>
          <w:rFonts w:ascii="Times New Roman"/>
          <w:color w:val="auto"/>
          <w:highlight w:val="none"/>
        </w:rPr>
      </w:pPr>
      <w:r>
        <w:rPr>
          <w:rFonts w:ascii="Times New Roman"/>
          <w:color w:val="auto"/>
          <w:highlight w:val="none"/>
        </w:rPr>
        <w:t>5.4质量及验收标准：</w:t>
      </w:r>
      <w:r>
        <w:rPr>
          <w:rFonts w:ascii="Times New Roman"/>
          <w:color w:val="auto"/>
          <w:highlight w:val="none"/>
          <w:lang w:val="zh-CN"/>
        </w:rPr>
        <w:t>安装工程师</w:t>
      </w:r>
      <w:r>
        <w:rPr>
          <w:rFonts w:ascii="Times New Roman"/>
          <w:color w:val="auto"/>
          <w:highlight w:val="none"/>
        </w:rPr>
        <w:t>需</w:t>
      </w:r>
      <w:r>
        <w:rPr>
          <w:rFonts w:ascii="Times New Roman"/>
          <w:color w:val="auto"/>
          <w:highlight w:val="none"/>
          <w:lang w:val="zh-CN"/>
        </w:rPr>
        <w:t>对本标书中提出的性能指标须逐项验收；</w:t>
      </w:r>
      <w:r>
        <w:rPr>
          <w:rFonts w:ascii="Times New Roman"/>
          <w:color w:val="auto"/>
          <w:highlight w:val="none"/>
        </w:rPr>
        <w:t>并应当严格按照相关环境标准进行验收，根据《全国第三次土壤普查检测技术规范》测试包括空白、标准曲线、方法检出限、正确度、精密度等指标，及实际样品和不同浓度质控样品测试等</w:t>
      </w:r>
      <w:r>
        <w:rPr>
          <w:rFonts w:ascii="Times New Roman"/>
          <w:color w:val="auto"/>
          <w:highlight w:val="none"/>
          <w:lang w:val="zh-CN"/>
        </w:rPr>
        <w:t>逐项验收</w:t>
      </w:r>
      <w:r>
        <w:rPr>
          <w:rFonts w:ascii="Times New Roman"/>
          <w:color w:val="auto"/>
          <w:highlight w:val="none"/>
        </w:rPr>
        <w:t>。</w:t>
      </w:r>
      <w:r>
        <w:rPr>
          <w:rFonts w:ascii="Times New Roman"/>
          <w:color w:val="auto"/>
          <w:highlight w:val="none"/>
          <w:lang w:val="zh-CN"/>
        </w:rPr>
        <w:t>所有验收指标要求一次完成，</w:t>
      </w:r>
      <w:r>
        <w:rPr>
          <w:rFonts w:ascii="Times New Roman"/>
          <w:color w:val="auto"/>
          <w:highlight w:val="none"/>
        </w:rPr>
        <w:t>最终出具符合采购方使用要求的验收报告。</w:t>
      </w:r>
      <w:r>
        <w:rPr>
          <w:rFonts w:ascii="Times New Roman"/>
          <w:color w:val="auto"/>
          <w:highlight w:val="none"/>
          <w:lang w:val="zh-CN"/>
        </w:rPr>
        <w:t>如未通过验收，视情节更换部件或主机，直至退货。</w:t>
      </w:r>
    </w:p>
    <w:p>
      <w:pPr>
        <w:pStyle w:val="28"/>
        <w:spacing w:line="400" w:lineRule="exact"/>
        <w:rPr>
          <w:rFonts w:ascii="Times New Roman"/>
          <w:color w:val="auto"/>
          <w:highlight w:val="none"/>
        </w:rPr>
      </w:pPr>
      <w:r>
        <w:rPr>
          <w:rFonts w:ascii="Times New Roman"/>
          <w:color w:val="auto"/>
          <w:highlight w:val="none"/>
        </w:rPr>
        <w:t>5.5培训：仪器安装现场对2名以上仪器操作人员提供免费的上机操作及日常维护培训，至使用者会操作、使用仪器为止，除仪器中文使用说明书外，应提供安装、使用技术光碟等，便于后期学习维护。</w:t>
      </w:r>
    </w:p>
    <w:p>
      <w:pPr>
        <w:pStyle w:val="28"/>
        <w:spacing w:line="400" w:lineRule="exact"/>
        <w:rPr>
          <w:rFonts w:ascii="Times New Roman"/>
          <w:color w:val="auto"/>
          <w:highlight w:val="none"/>
        </w:rPr>
      </w:pPr>
      <w:r>
        <w:rPr>
          <w:rFonts w:ascii="Times New Roman"/>
          <w:color w:val="auto"/>
          <w:highlight w:val="none"/>
        </w:rPr>
        <w:t>5.6应有制造商的售后和技术工程师常驻新疆，保证快捷、完善的售后服务。服务响应时间不大于24小时，故障可以在48小时内到现场维修。</w:t>
      </w:r>
    </w:p>
    <w:p>
      <w:pPr>
        <w:pStyle w:val="28"/>
        <w:spacing w:line="400" w:lineRule="exact"/>
        <w:rPr>
          <w:rFonts w:ascii="Times New Roman"/>
          <w:color w:val="auto"/>
          <w:highlight w:val="none"/>
        </w:rPr>
      </w:pPr>
      <w:r>
        <w:rPr>
          <w:rFonts w:ascii="Times New Roman"/>
          <w:color w:val="auto"/>
          <w:highlight w:val="none"/>
        </w:rPr>
        <w:t>5.7提供不定期的仪器应用技术培训服务，及时免费提供技术咨询，定期免费现场回访。</w:t>
      </w:r>
    </w:p>
    <w:p>
      <w:pPr>
        <w:pStyle w:val="28"/>
        <w:spacing w:line="400" w:lineRule="exact"/>
        <w:rPr>
          <w:color w:val="auto"/>
          <w:highlight w:val="none"/>
        </w:rPr>
      </w:pPr>
      <w:r>
        <w:rPr>
          <w:rFonts w:ascii="Times New Roman"/>
          <w:color w:val="auto"/>
          <w:highlight w:val="none"/>
        </w:rPr>
        <w:t>备注：</w:t>
      </w:r>
      <w:r>
        <w:rPr>
          <w:rFonts w:ascii="Times New Roman"/>
          <w:color w:val="auto"/>
          <w:highlight w:val="none"/>
          <w:lang w:val="zh-CN"/>
        </w:rPr>
        <w:t>带“*”号的为必须满足指标，与技术性能指标一起做为验收指标。</w:t>
      </w:r>
      <w:r>
        <w:rPr>
          <w:rFonts w:ascii="Times New Roman"/>
          <w:color w:val="auto"/>
          <w:highlight w:val="none"/>
        </w:rPr>
        <w:t>验收时须提供精密度、检出限等技术材料。</w:t>
      </w:r>
    </w:p>
    <w:p>
      <w:pPr>
        <w:pStyle w:val="718"/>
        <w:widowControl/>
        <w:numPr>
          <w:ilvl w:val="0"/>
          <w:numId w:val="17"/>
        </w:numPr>
        <w:autoSpaceDE w:val="0"/>
        <w:autoSpaceDN w:val="0"/>
        <w:snapToGrid w:val="0"/>
        <w:spacing w:line="440" w:lineRule="exact"/>
        <w:ind w:firstLineChars="0"/>
        <w:contextualSpacing/>
        <w:rPr>
          <w:color w:val="auto"/>
          <w:highlight w:val="none"/>
        </w:rPr>
      </w:pPr>
      <w:r>
        <w:rPr>
          <w:rFonts w:hint="eastAsia"/>
          <w:color w:val="auto"/>
          <w:highlight w:val="none"/>
        </w:rPr>
        <w:t>全自动样品回流消解滴定装置</w:t>
      </w:r>
    </w:p>
    <w:p>
      <w:pPr>
        <w:widowControl/>
        <w:autoSpaceDE w:val="0"/>
        <w:autoSpaceDN w:val="0"/>
        <w:snapToGrid w:val="0"/>
        <w:spacing w:line="400" w:lineRule="exact"/>
        <w:rPr>
          <w:b/>
          <w:bCs/>
          <w:color w:val="auto"/>
          <w:kern w:val="0"/>
          <w:sz w:val="24"/>
          <w:highlight w:val="none"/>
        </w:rPr>
      </w:pPr>
      <w:r>
        <w:rPr>
          <w:b/>
          <w:bCs/>
          <w:color w:val="auto"/>
          <w:kern w:val="0"/>
          <w:sz w:val="24"/>
          <w:highlight w:val="none"/>
        </w:rPr>
        <w:t>1.设备用途</w:t>
      </w:r>
    </w:p>
    <w:p>
      <w:pPr>
        <w:pStyle w:val="28"/>
        <w:spacing w:line="400" w:lineRule="exact"/>
        <w:ind w:firstLine="480" w:firstLineChars="200"/>
        <w:rPr>
          <w:rFonts w:ascii="Times New Roman"/>
          <w:color w:val="auto"/>
          <w:highlight w:val="none"/>
          <w:lang w:val="zh-CN"/>
        </w:rPr>
      </w:pPr>
      <w:r>
        <w:rPr>
          <w:rFonts w:ascii="Times New Roman"/>
          <w:color w:val="auto"/>
          <w:highlight w:val="none"/>
          <w:lang w:val="zh-CN"/>
        </w:rPr>
        <w:t>用于样品的全自动回流消解滴定分析，能满足HJ828-2017的要求。可实现样品取样-添加试剂-回流消解-自动滴定-数据分析的全自动测定。</w:t>
      </w:r>
    </w:p>
    <w:p>
      <w:pPr>
        <w:widowControl/>
        <w:autoSpaceDE w:val="0"/>
        <w:autoSpaceDN w:val="0"/>
        <w:snapToGrid w:val="0"/>
        <w:spacing w:line="400" w:lineRule="exact"/>
        <w:rPr>
          <w:b/>
          <w:bCs/>
          <w:color w:val="auto"/>
          <w:kern w:val="0"/>
          <w:sz w:val="24"/>
          <w:highlight w:val="none"/>
        </w:rPr>
      </w:pPr>
      <w:r>
        <w:rPr>
          <w:b/>
          <w:bCs/>
          <w:color w:val="auto"/>
          <w:kern w:val="0"/>
          <w:sz w:val="24"/>
          <w:highlight w:val="none"/>
        </w:rPr>
        <w:t>2.工作环境</w:t>
      </w:r>
    </w:p>
    <w:p>
      <w:pPr>
        <w:pStyle w:val="28"/>
        <w:spacing w:line="400" w:lineRule="exact"/>
        <w:rPr>
          <w:rFonts w:ascii="Times New Roman"/>
          <w:color w:val="auto"/>
          <w:highlight w:val="none"/>
          <w:lang w:val="zh-CN"/>
        </w:rPr>
      </w:pPr>
      <w:r>
        <w:rPr>
          <w:rFonts w:ascii="Times New Roman"/>
          <w:color w:val="auto"/>
          <w:highlight w:val="none"/>
          <w:lang w:val="zh-CN"/>
        </w:rPr>
        <w:t>2.1电源：AC 220V±10%，50（±1）Hz；</w:t>
      </w:r>
    </w:p>
    <w:p>
      <w:pPr>
        <w:pStyle w:val="28"/>
        <w:spacing w:line="400" w:lineRule="exact"/>
        <w:rPr>
          <w:rFonts w:ascii="Times New Roman"/>
          <w:color w:val="auto"/>
          <w:highlight w:val="none"/>
          <w:lang w:val="zh-CN"/>
        </w:rPr>
      </w:pPr>
      <w:r>
        <w:rPr>
          <w:rFonts w:ascii="Times New Roman"/>
          <w:color w:val="auto"/>
          <w:highlight w:val="none"/>
          <w:lang w:val="zh-CN"/>
        </w:rPr>
        <w:t>2.2温度：10-40</w:t>
      </w:r>
      <w:r>
        <w:rPr>
          <w:rFonts w:ascii="Times New Roman"/>
          <w:color w:val="auto"/>
          <w:highlight w:val="none"/>
          <w:lang w:val="zh-CN"/>
        </w:rPr>
        <w:sym w:font="Symbol" w:char="F0B0"/>
      </w:r>
      <w:r>
        <w:rPr>
          <w:rFonts w:ascii="Times New Roman"/>
          <w:color w:val="auto"/>
          <w:highlight w:val="none"/>
          <w:lang w:val="zh-CN"/>
        </w:rPr>
        <w:t>C；</w:t>
      </w:r>
    </w:p>
    <w:p>
      <w:pPr>
        <w:pStyle w:val="28"/>
        <w:spacing w:line="400" w:lineRule="exact"/>
        <w:rPr>
          <w:rFonts w:ascii="Times New Roman"/>
          <w:color w:val="auto"/>
          <w:highlight w:val="none"/>
          <w:lang w:val="zh-CN"/>
        </w:rPr>
      </w:pPr>
      <w:r>
        <w:rPr>
          <w:rFonts w:ascii="Times New Roman"/>
          <w:color w:val="auto"/>
          <w:highlight w:val="none"/>
          <w:lang w:val="zh-CN"/>
        </w:rPr>
        <w:t>2.3湿度：20%-80%。</w:t>
      </w:r>
    </w:p>
    <w:p>
      <w:pPr>
        <w:autoSpaceDE w:val="0"/>
        <w:autoSpaceDN w:val="0"/>
        <w:adjustRightInd w:val="0"/>
        <w:spacing w:line="400" w:lineRule="exact"/>
        <w:rPr>
          <w:b/>
          <w:bCs/>
          <w:color w:val="auto"/>
          <w:sz w:val="24"/>
          <w:highlight w:val="none"/>
        </w:rPr>
      </w:pPr>
      <w:r>
        <w:rPr>
          <w:b/>
          <w:bCs/>
          <w:color w:val="auto"/>
          <w:sz w:val="24"/>
          <w:highlight w:val="none"/>
        </w:rPr>
        <w:t>3.技术要求</w:t>
      </w:r>
    </w:p>
    <w:p>
      <w:pPr>
        <w:autoSpaceDE w:val="0"/>
        <w:autoSpaceDN w:val="0"/>
        <w:adjustRightInd w:val="0"/>
        <w:spacing w:line="400" w:lineRule="exact"/>
        <w:rPr>
          <w:b/>
          <w:bCs/>
          <w:color w:val="auto"/>
          <w:sz w:val="24"/>
          <w:highlight w:val="none"/>
        </w:rPr>
      </w:pPr>
      <w:r>
        <w:rPr>
          <w:b/>
          <w:bCs/>
          <w:color w:val="auto"/>
          <w:sz w:val="24"/>
          <w:highlight w:val="none"/>
        </w:rPr>
        <w:t>3.1 基本性能</w:t>
      </w:r>
    </w:p>
    <w:p>
      <w:pPr>
        <w:pStyle w:val="28"/>
        <w:spacing w:line="400" w:lineRule="exact"/>
        <w:rPr>
          <w:rFonts w:ascii="Times New Roman"/>
          <w:color w:val="auto"/>
          <w:highlight w:val="none"/>
          <w:lang w:val="zh-CN"/>
        </w:rPr>
      </w:pPr>
      <w:r>
        <w:rPr>
          <w:rFonts w:hint="eastAsia"/>
          <w:color w:val="auto"/>
          <w:highlight w:val="none"/>
        </w:rPr>
        <w:t>★</w:t>
      </w:r>
      <w:r>
        <w:rPr>
          <w:rFonts w:ascii="Times New Roman"/>
          <w:color w:val="auto"/>
          <w:highlight w:val="none"/>
          <w:lang w:val="zh-CN"/>
        </w:rPr>
        <w:t xml:space="preserve">3.1.1 整机测试需符合HJ828-2017标准，一体化结构模式。全流程自动加酸、消解、滴定、数据分析，无需人工干预； </w:t>
      </w:r>
    </w:p>
    <w:p>
      <w:pPr>
        <w:pStyle w:val="28"/>
        <w:spacing w:line="400" w:lineRule="exact"/>
        <w:rPr>
          <w:rFonts w:ascii="Times New Roman"/>
          <w:color w:val="auto"/>
          <w:highlight w:val="none"/>
          <w:lang w:val="zh-CN"/>
        </w:rPr>
      </w:pPr>
      <w:r>
        <w:rPr>
          <w:rFonts w:ascii="Times New Roman"/>
          <w:color w:val="auto"/>
          <w:highlight w:val="none"/>
          <w:lang w:val="zh-CN"/>
        </w:rPr>
        <w:t>3.1.2 样品转移需采用模块化设计，不依赖任何机械臂抓手机器人或人工操作；</w:t>
      </w:r>
    </w:p>
    <w:p>
      <w:pPr>
        <w:pStyle w:val="28"/>
        <w:spacing w:line="400" w:lineRule="exact"/>
        <w:rPr>
          <w:rFonts w:ascii="Times New Roman"/>
          <w:color w:val="auto"/>
          <w:highlight w:val="none"/>
          <w:lang w:val="zh-CN"/>
        </w:rPr>
      </w:pPr>
      <w:r>
        <w:rPr>
          <w:rFonts w:ascii="Times New Roman"/>
          <w:color w:val="auto"/>
          <w:highlight w:val="none"/>
          <w:lang w:val="zh-CN"/>
        </w:rPr>
        <w:t>3.1.3可同时测定低、高浓度样品，可穿插进行，不受影响；</w:t>
      </w:r>
    </w:p>
    <w:p>
      <w:pPr>
        <w:pStyle w:val="28"/>
        <w:spacing w:line="400" w:lineRule="exact"/>
        <w:rPr>
          <w:rFonts w:ascii="Times New Roman"/>
          <w:color w:val="auto"/>
          <w:highlight w:val="none"/>
          <w:lang w:val="zh-CN"/>
        </w:rPr>
      </w:pPr>
      <w:r>
        <w:rPr>
          <w:rFonts w:ascii="Times New Roman"/>
          <w:color w:val="auto"/>
          <w:highlight w:val="none"/>
          <w:lang w:val="zh-CN"/>
        </w:rPr>
        <w:t>3.1.5 冷却水循环系统位于主机箱体内，采用水冷回流方式；</w:t>
      </w:r>
    </w:p>
    <w:p>
      <w:pPr>
        <w:pStyle w:val="28"/>
        <w:spacing w:line="400" w:lineRule="exact"/>
        <w:rPr>
          <w:rFonts w:ascii="Times New Roman"/>
          <w:color w:val="auto"/>
          <w:highlight w:val="none"/>
          <w:lang w:val="zh-CN"/>
        </w:rPr>
      </w:pPr>
      <w:r>
        <w:rPr>
          <w:rFonts w:ascii="Times New Roman"/>
          <w:color w:val="auto"/>
          <w:highlight w:val="none"/>
          <w:lang w:val="zh-CN"/>
        </w:rPr>
        <w:t>*3.1.6 自冷凝管上方添加硫酸-硫酸银试剂及纯水清洗；</w:t>
      </w:r>
    </w:p>
    <w:p>
      <w:pPr>
        <w:pStyle w:val="28"/>
        <w:spacing w:line="400" w:lineRule="exact"/>
        <w:rPr>
          <w:rFonts w:ascii="Times New Roman"/>
          <w:color w:val="auto"/>
          <w:highlight w:val="none"/>
          <w:lang w:val="zh-CN"/>
        </w:rPr>
      </w:pPr>
      <w:r>
        <w:rPr>
          <w:rFonts w:ascii="Times New Roman"/>
          <w:color w:val="auto"/>
          <w:highlight w:val="none"/>
          <w:lang w:val="zh-CN"/>
        </w:rPr>
        <w:t>3.1.7 消解结束通过风冷方式实现快速冷却；</w:t>
      </w:r>
    </w:p>
    <w:p>
      <w:pPr>
        <w:pStyle w:val="28"/>
        <w:spacing w:line="400" w:lineRule="exact"/>
        <w:rPr>
          <w:rFonts w:ascii="Times New Roman"/>
          <w:color w:val="auto"/>
          <w:highlight w:val="none"/>
          <w:lang w:val="zh-CN"/>
        </w:rPr>
      </w:pPr>
      <w:r>
        <w:rPr>
          <w:rFonts w:ascii="Times New Roman"/>
          <w:color w:val="auto"/>
          <w:highlight w:val="none"/>
          <w:lang w:val="zh-CN"/>
        </w:rPr>
        <w:t>3.1.8 安全设置：仪器设有急停按钮，若遇紧急状况可一键停止工作</w:t>
      </w:r>
      <w:r>
        <w:rPr>
          <w:rFonts w:hint="eastAsia" w:ascii="Times New Roman"/>
          <w:color w:val="auto"/>
          <w:highlight w:val="none"/>
          <w:lang w:val="zh-CN"/>
        </w:rPr>
        <w:t>。</w:t>
      </w:r>
    </w:p>
    <w:p>
      <w:pPr>
        <w:autoSpaceDE w:val="0"/>
        <w:autoSpaceDN w:val="0"/>
        <w:adjustRightInd w:val="0"/>
        <w:spacing w:line="400" w:lineRule="exact"/>
        <w:rPr>
          <w:b/>
          <w:bCs/>
          <w:color w:val="auto"/>
          <w:sz w:val="24"/>
          <w:highlight w:val="none"/>
        </w:rPr>
      </w:pPr>
      <w:r>
        <w:rPr>
          <w:b/>
          <w:bCs/>
          <w:color w:val="auto"/>
          <w:sz w:val="24"/>
          <w:highlight w:val="none"/>
        </w:rPr>
        <w:t>3.2 技术指标</w:t>
      </w:r>
    </w:p>
    <w:p>
      <w:pPr>
        <w:pStyle w:val="28"/>
        <w:spacing w:line="400" w:lineRule="exact"/>
        <w:rPr>
          <w:rFonts w:ascii="Times New Roman"/>
          <w:color w:val="auto"/>
          <w:highlight w:val="none"/>
          <w:lang w:val="zh-CN"/>
        </w:rPr>
      </w:pPr>
      <w:r>
        <w:rPr>
          <w:rFonts w:ascii="Times New Roman"/>
          <w:color w:val="auto"/>
          <w:highlight w:val="none"/>
          <w:lang w:val="zh-CN"/>
        </w:rPr>
        <w:t>*3.2.1样品盘样品位数量：≥24个；</w:t>
      </w:r>
    </w:p>
    <w:p>
      <w:pPr>
        <w:pStyle w:val="28"/>
        <w:spacing w:line="400" w:lineRule="exact"/>
        <w:rPr>
          <w:rFonts w:ascii="Times New Roman"/>
          <w:color w:val="auto"/>
          <w:highlight w:val="none"/>
          <w:lang w:val="zh-CN"/>
        </w:rPr>
      </w:pPr>
      <w:r>
        <w:rPr>
          <w:rFonts w:ascii="Times New Roman"/>
          <w:color w:val="auto"/>
          <w:highlight w:val="none"/>
          <w:lang w:val="zh-CN"/>
        </w:rPr>
        <w:t>3.2.2 加热位：≥10个；</w:t>
      </w:r>
    </w:p>
    <w:p>
      <w:pPr>
        <w:pStyle w:val="28"/>
        <w:spacing w:line="400" w:lineRule="exact"/>
        <w:rPr>
          <w:rFonts w:ascii="Times New Roman"/>
          <w:color w:val="auto"/>
          <w:highlight w:val="none"/>
          <w:lang w:val="zh-CN"/>
        </w:rPr>
      </w:pPr>
      <w:r>
        <w:rPr>
          <w:rFonts w:ascii="Times New Roman"/>
          <w:color w:val="auto"/>
          <w:highlight w:val="none"/>
          <w:lang w:val="zh-CN"/>
        </w:rPr>
        <w:t>3.2.3 试剂添加单元：≥6个（硫酸汞、重铬酸钾、试亚铁灵、硫酸亚铁铵、纯水、硫酸-硫酸银）；</w:t>
      </w:r>
    </w:p>
    <w:p>
      <w:pPr>
        <w:pStyle w:val="28"/>
        <w:spacing w:line="400" w:lineRule="exact"/>
        <w:rPr>
          <w:rFonts w:ascii="Times New Roman"/>
          <w:color w:val="auto"/>
          <w:highlight w:val="none"/>
          <w:lang w:val="zh-CN"/>
        </w:rPr>
      </w:pPr>
      <w:r>
        <w:rPr>
          <w:rFonts w:ascii="Times New Roman"/>
          <w:color w:val="auto"/>
          <w:highlight w:val="none"/>
          <w:lang w:val="zh-CN"/>
        </w:rPr>
        <w:t>3.2.4 单个样品滴定时间≤5分钟；</w:t>
      </w:r>
    </w:p>
    <w:p>
      <w:pPr>
        <w:pStyle w:val="28"/>
        <w:spacing w:line="400" w:lineRule="exact"/>
        <w:rPr>
          <w:rFonts w:ascii="Times New Roman"/>
          <w:color w:val="auto"/>
          <w:highlight w:val="none"/>
          <w:lang w:val="zh-CN"/>
        </w:rPr>
      </w:pPr>
      <w:r>
        <w:rPr>
          <w:rFonts w:ascii="Times New Roman"/>
          <w:color w:val="auto"/>
          <w:highlight w:val="none"/>
          <w:lang w:val="zh-CN"/>
        </w:rPr>
        <w:t>3.2.5 滴定精度：≤0.03ml；</w:t>
      </w:r>
    </w:p>
    <w:p>
      <w:pPr>
        <w:pStyle w:val="28"/>
        <w:spacing w:line="400" w:lineRule="exact"/>
        <w:rPr>
          <w:rFonts w:ascii="Times New Roman"/>
          <w:color w:val="auto"/>
          <w:highlight w:val="none"/>
          <w:lang w:val="zh-CN"/>
        </w:rPr>
      </w:pPr>
      <w:r>
        <w:rPr>
          <w:rFonts w:ascii="Times New Roman"/>
          <w:color w:val="auto"/>
          <w:highlight w:val="none"/>
          <w:lang w:val="zh-CN"/>
        </w:rPr>
        <w:t>*3.2.6 检出限：4mg/L；</w:t>
      </w:r>
    </w:p>
    <w:p>
      <w:pPr>
        <w:pStyle w:val="28"/>
        <w:spacing w:line="400" w:lineRule="exact"/>
        <w:rPr>
          <w:rFonts w:ascii="Times New Roman"/>
          <w:color w:val="auto"/>
          <w:highlight w:val="none"/>
          <w:lang w:val="zh-CN"/>
        </w:rPr>
      </w:pPr>
      <w:r>
        <w:rPr>
          <w:rFonts w:ascii="Times New Roman"/>
          <w:color w:val="auto"/>
          <w:highlight w:val="none"/>
          <w:lang w:val="zh-CN"/>
        </w:rPr>
        <w:t>3.2.7 测量范围：（16-700）mg/L；</w:t>
      </w:r>
    </w:p>
    <w:p>
      <w:pPr>
        <w:pStyle w:val="28"/>
        <w:spacing w:line="400" w:lineRule="exact"/>
        <w:rPr>
          <w:rFonts w:ascii="Times New Roman"/>
          <w:color w:val="auto"/>
          <w:highlight w:val="none"/>
          <w:lang w:val="zh-CN"/>
        </w:rPr>
      </w:pPr>
      <w:r>
        <w:rPr>
          <w:rFonts w:ascii="Times New Roman"/>
          <w:color w:val="auto"/>
          <w:highlight w:val="none"/>
          <w:lang w:val="zh-CN"/>
        </w:rPr>
        <w:t>3.2.8 测定精密度：RSD&lt;3.0%；</w:t>
      </w:r>
    </w:p>
    <w:p>
      <w:pPr>
        <w:pStyle w:val="28"/>
        <w:spacing w:line="400" w:lineRule="exact"/>
        <w:rPr>
          <w:rFonts w:ascii="Times New Roman"/>
          <w:color w:val="auto"/>
          <w:highlight w:val="none"/>
          <w:lang w:val="zh-CN"/>
        </w:rPr>
      </w:pPr>
      <w:r>
        <w:rPr>
          <w:rFonts w:ascii="Times New Roman"/>
          <w:color w:val="auto"/>
          <w:highlight w:val="none"/>
          <w:lang w:val="zh-CN"/>
        </w:rPr>
        <w:t>*3.2.9 对高、低2个浓度的样品分别做6次平行实验，检测结果相对标准偏差需&lt;2.0％；质控数据中低浓度空白偏差控制在0.3ml以内，高浓度空白偏差控制在0.18ml以内。（需提供仪器制造商出具的方法验证报告并加盖制造商公章）</w:t>
      </w:r>
      <w:r>
        <w:rPr>
          <w:rFonts w:hint="eastAsia" w:ascii="Times New Roman"/>
          <w:color w:val="auto"/>
          <w:highlight w:val="none"/>
          <w:lang w:val="zh-CN"/>
        </w:rPr>
        <w:t>。</w:t>
      </w:r>
    </w:p>
    <w:p>
      <w:pPr>
        <w:adjustRightInd w:val="0"/>
        <w:snapToGrid w:val="0"/>
        <w:spacing w:line="400" w:lineRule="exact"/>
        <w:rPr>
          <w:b/>
          <w:color w:val="auto"/>
          <w:sz w:val="24"/>
          <w:highlight w:val="none"/>
        </w:rPr>
      </w:pPr>
      <w:r>
        <w:rPr>
          <w:b/>
          <w:color w:val="auto"/>
          <w:sz w:val="24"/>
          <w:highlight w:val="none"/>
        </w:rPr>
        <w:t>4.仪器配置</w:t>
      </w:r>
    </w:p>
    <w:p>
      <w:pPr>
        <w:pStyle w:val="28"/>
        <w:spacing w:line="400" w:lineRule="exact"/>
        <w:rPr>
          <w:rFonts w:ascii="Times New Roman"/>
          <w:color w:val="auto"/>
          <w:highlight w:val="none"/>
          <w:lang w:val="zh-CN"/>
        </w:rPr>
      </w:pPr>
      <w:r>
        <w:rPr>
          <w:rFonts w:ascii="Times New Roman"/>
          <w:color w:val="auto"/>
          <w:highlight w:val="none"/>
          <w:lang w:val="zh-CN"/>
        </w:rPr>
        <w:t>4.1全自动样品消解测定装置1台</w:t>
      </w:r>
      <w:r>
        <w:rPr>
          <w:rFonts w:hint="eastAsia" w:ascii="Times New Roman"/>
          <w:color w:val="auto"/>
          <w:highlight w:val="none"/>
          <w:lang w:val="zh-CN"/>
        </w:rPr>
        <w:t>、</w:t>
      </w:r>
      <w:r>
        <w:rPr>
          <w:rFonts w:ascii="Times New Roman"/>
          <w:color w:val="auto"/>
          <w:highlight w:val="none"/>
          <w:lang w:val="zh-CN"/>
        </w:rPr>
        <w:t>样品杯50个</w:t>
      </w:r>
      <w:r>
        <w:rPr>
          <w:rFonts w:hint="eastAsia" w:ascii="Times New Roman"/>
          <w:color w:val="auto"/>
          <w:highlight w:val="none"/>
          <w:lang w:val="zh-CN"/>
        </w:rPr>
        <w:t>、</w:t>
      </w:r>
      <w:r>
        <w:rPr>
          <w:rFonts w:ascii="Times New Roman"/>
          <w:color w:val="auto"/>
          <w:highlight w:val="none"/>
          <w:lang w:val="zh-CN"/>
        </w:rPr>
        <w:t>回流冷凝管12个</w:t>
      </w:r>
      <w:r>
        <w:rPr>
          <w:rFonts w:hint="eastAsia" w:ascii="Times New Roman"/>
          <w:color w:val="auto"/>
          <w:highlight w:val="none"/>
          <w:lang w:val="zh-CN"/>
        </w:rPr>
        <w:t>、</w:t>
      </w:r>
      <w:r>
        <w:rPr>
          <w:rFonts w:ascii="Times New Roman"/>
          <w:color w:val="auto"/>
          <w:highlight w:val="none"/>
          <w:lang w:val="zh-CN"/>
        </w:rPr>
        <w:t>1500ml试剂瓶（透明） 2个</w:t>
      </w:r>
      <w:r>
        <w:rPr>
          <w:rFonts w:hint="eastAsia" w:ascii="Times New Roman"/>
          <w:color w:val="auto"/>
          <w:highlight w:val="none"/>
          <w:lang w:val="zh-CN"/>
        </w:rPr>
        <w:t>、</w:t>
      </w:r>
      <w:r>
        <w:rPr>
          <w:rFonts w:ascii="Times New Roman"/>
          <w:color w:val="auto"/>
          <w:highlight w:val="none"/>
          <w:lang w:val="zh-CN"/>
        </w:rPr>
        <w:t>500ml试剂瓶（棕</w:t>
      </w:r>
      <w:r>
        <w:rPr>
          <w:rFonts w:hint="eastAsia" w:ascii="Times New Roman"/>
          <w:color w:val="auto"/>
          <w:highlight w:val="none"/>
        </w:rPr>
        <w:t xml:space="preserve"> </w:t>
      </w:r>
      <w:r>
        <w:rPr>
          <w:rFonts w:ascii="Times New Roman"/>
          <w:color w:val="auto"/>
          <w:highlight w:val="none"/>
          <w:lang w:val="zh-CN"/>
        </w:rPr>
        <w:t>2个</w:t>
      </w:r>
      <w:r>
        <w:rPr>
          <w:rFonts w:hint="eastAsia" w:ascii="Times New Roman"/>
          <w:color w:val="auto"/>
          <w:highlight w:val="none"/>
          <w:lang w:val="zh-CN"/>
        </w:rPr>
        <w:t>、</w:t>
      </w:r>
      <w:r>
        <w:rPr>
          <w:rFonts w:ascii="Times New Roman"/>
          <w:color w:val="auto"/>
          <w:highlight w:val="none"/>
          <w:lang w:val="zh-CN"/>
        </w:rPr>
        <w:t>250ml试剂瓶（棕）2个</w:t>
      </w:r>
      <w:r>
        <w:rPr>
          <w:rFonts w:hint="eastAsia" w:ascii="Times New Roman"/>
          <w:color w:val="auto"/>
          <w:highlight w:val="none"/>
          <w:lang w:val="zh-CN"/>
        </w:rPr>
        <w:t>、</w:t>
      </w:r>
      <w:r>
        <w:rPr>
          <w:rFonts w:ascii="Times New Roman"/>
          <w:color w:val="auto"/>
          <w:highlight w:val="none"/>
          <w:lang w:val="zh-CN"/>
        </w:rPr>
        <w:t>1000ml试剂瓶（棕）1个</w:t>
      </w:r>
      <w:r>
        <w:rPr>
          <w:rFonts w:hint="eastAsia" w:ascii="Times New Roman"/>
          <w:color w:val="auto"/>
          <w:highlight w:val="none"/>
          <w:lang w:val="zh-CN"/>
        </w:rPr>
        <w:t>、</w:t>
      </w:r>
      <w:r>
        <w:rPr>
          <w:rFonts w:ascii="Times New Roman"/>
          <w:color w:val="auto"/>
          <w:highlight w:val="none"/>
          <w:lang w:val="zh-CN"/>
        </w:rPr>
        <w:t>3L纯水桶1个</w:t>
      </w:r>
      <w:r>
        <w:rPr>
          <w:rFonts w:hint="eastAsia" w:ascii="Times New Roman"/>
          <w:color w:val="auto"/>
          <w:highlight w:val="none"/>
          <w:lang w:val="zh-CN"/>
        </w:rPr>
        <w:t>、</w:t>
      </w:r>
      <w:r>
        <w:rPr>
          <w:rFonts w:ascii="Times New Roman"/>
          <w:color w:val="auto"/>
          <w:highlight w:val="none"/>
          <w:lang w:val="zh-CN"/>
        </w:rPr>
        <w:t>磁力搅拌子50 个</w:t>
      </w:r>
      <w:r>
        <w:rPr>
          <w:rFonts w:hint="eastAsia" w:ascii="Times New Roman"/>
          <w:color w:val="auto"/>
          <w:highlight w:val="none"/>
          <w:lang w:val="zh-CN"/>
        </w:rPr>
        <w:t>；</w:t>
      </w:r>
    </w:p>
    <w:p>
      <w:pPr>
        <w:pStyle w:val="28"/>
        <w:spacing w:line="400" w:lineRule="exact"/>
        <w:rPr>
          <w:rFonts w:ascii="Times New Roman"/>
          <w:color w:val="auto"/>
          <w:highlight w:val="none"/>
          <w:lang w:val="zh-CN"/>
        </w:rPr>
      </w:pPr>
      <w:r>
        <w:rPr>
          <w:rFonts w:ascii="Times New Roman"/>
          <w:color w:val="auto"/>
          <w:highlight w:val="none"/>
          <w:lang w:val="zh-CN"/>
        </w:rPr>
        <w:t>4.</w:t>
      </w:r>
      <w:r>
        <w:rPr>
          <w:rFonts w:hint="eastAsia" w:ascii="Times New Roman"/>
          <w:color w:val="auto"/>
          <w:highlight w:val="none"/>
        </w:rPr>
        <w:t>2</w:t>
      </w:r>
      <w:r>
        <w:rPr>
          <w:rFonts w:ascii="Times New Roman"/>
          <w:color w:val="auto"/>
          <w:highlight w:val="none"/>
          <w:lang w:val="zh-CN"/>
        </w:rPr>
        <w:t>数据处理系统1套：需满足仪器控制软件使用要求，支持日后产品软件升级；屏幕尺寸</w:t>
      </w:r>
      <w:r>
        <w:rPr>
          <w:rFonts w:hint="eastAsia" w:ascii="Times New Roman"/>
          <w:color w:val="auto"/>
          <w:highlight w:val="none"/>
          <w:lang w:val="zh-CN"/>
        </w:rPr>
        <w:t>：</w:t>
      </w:r>
      <w:r>
        <w:rPr>
          <w:rFonts w:ascii="Times New Roman"/>
          <w:color w:val="auto"/>
          <w:highlight w:val="none"/>
          <w:lang w:val="zh-CN"/>
        </w:rPr>
        <w:t xml:space="preserve"> ≥24英寸；CPU</w:t>
      </w:r>
      <w:r>
        <w:rPr>
          <w:rFonts w:hint="eastAsia" w:ascii="Times New Roman"/>
          <w:color w:val="auto"/>
          <w:highlight w:val="none"/>
          <w:lang w:val="zh-CN"/>
        </w:rPr>
        <w:t>：</w:t>
      </w:r>
      <w:r>
        <w:rPr>
          <w:rFonts w:ascii="Times New Roman"/>
          <w:color w:val="auto"/>
          <w:highlight w:val="none"/>
          <w:lang w:val="zh-CN"/>
        </w:rPr>
        <w:t xml:space="preserve"> 英特尔酷睿 i7；显卡类型</w:t>
      </w:r>
      <w:r>
        <w:rPr>
          <w:rFonts w:hint="eastAsia" w:ascii="Times New Roman"/>
          <w:color w:val="auto"/>
          <w:highlight w:val="none"/>
          <w:lang w:val="zh-CN"/>
        </w:rPr>
        <w:t>：</w:t>
      </w:r>
      <w:r>
        <w:rPr>
          <w:rFonts w:ascii="Times New Roman"/>
          <w:color w:val="auto"/>
          <w:highlight w:val="none"/>
          <w:lang w:val="zh-CN"/>
        </w:rPr>
        <w:t xml:space="preserve"> 独立显卡；显存容量：8GB；固态硬盘: 1TB；内存容量: 16GB；光驱类型: 有光驱；操作系统: 与软件匹配的最高版本；主流品牌激光打印装置。</w:t>
      </w:r>
    </w:p>
    <w:p>
      <w:pPr>
        <w:pStyle w:val="28"/>
        <w:spacing w:line="400" w:lineRule="exact"/>
        <w:rPr>
          <w:rFonts w:ascii="Times New Roman"/>
          <w:color w:val="auto"/>
          <w:highlight w:val="none"/>
        </w:rPr>
      </w:pPr>
      <w:r>
        <w:rPr>
          <w:rFonts w:hint="eastAsia" w:ascii="Times New Roman"/>
          <w:color w:val="auto"/>
          <w:highlight w:val="none"/>
          <w:lang w:val="zh-CN"/>
        </w:rPr>
        <w:t>4.3</w:t>
      </w:r>
      <w:r>
        <w:rPr>
          <w:rFonts w:ascii="Times New Roman"/>
          <w:color w:val="auto"/>
          <w:highlight w:val="none"/>
          <w:lang w:val="zh-CN"/>
        </w:rPr>
        <w:t>样品快速消解测定仪</w:t>
      </w:r>
      <w:r>
        <w:rPr>
          <w:rFonts w:hint="eastAsia" w:ascii="Times New Roman"/>
          <w:color w:val="auto"/>
          <w:highlight w:val="none"/>
        </w:rPr>
        <w:t>1台</w:t>
      </w:r>
    </w:p>
    <w:p>
      <w:pPr>
        <w:pStyle w:val="28"/>
        <w:spacing w:line="400" w:lineRule="exact"/>
        <w:rPr>
          <w:rFonts w:ascii="Times New Roman"/>
          <w:color w:val="auto"/>
          <w:highlight w:val="none"/>
          <w:lang w:val="zh-CN"/>
        </w:rPr>
      </w:pPr>
      <w:r>
        <w:rPr>
          <w:rFonts w:ascii="Times New Roman"/>
          <w:color w:val="auto"/>
          <w:highlight w:val="none"/>
          <w:lang w:val="zh-CN"/>
        </w:rPr>
        <w:t>*</w:t>
      </w:r>
      <w:r>
        <w:rPr>
          <w:rFonts w:hint="eastAsia" w:ascii="Times New Roman"/>
          <w:color w:val="auto"/>
          <w:highlight w:val="none"/>
          <w:lang w:val="zh-CN"/>
        </w:rPr>
        <w:t>4.3</w:t>
      </w:r>
      <w:r>
        <w:rPr>
          <w:rFonts w:ascii="Times New Roman"/>
          <w:color w:val="auto"/>
          <w:highlight w:val="none"/>
          <w:lang w:val="zh-CN"/>
        </w:rPr>
        <w:t>.1满足HJ/T 399-2007的要求；</w:t>
      </w:r>
    </w:p>
    <w:p>
      <w:pPr>
        <w:pStyle w:val="28"/>
        <w:spacing w:line="400" w:lineRule="exact"/>
        <w:rPr>
          <w:rFonts w:ascii="Times New Roman"/>
          <w:color w:val="auto"/>
          <w:highlight w:val="none"/>
          <w:lang w:val="zh-CN"/>
        </w:rPr>
      </w:pPr>
      <w:r>
        <w:rPr>
          <w:rFonts w:hint="eastAsia" w:ascii="Times New Roman"/>
          <w:color w:val="auto"/>
          <w:highlight w:val="none"/>
          <w:lang w:val="zh-CN"/>
        </w:rPr>
        <w:t>4.3</w:t>
      </w:r>
      <w:r>
        <w:rPr>
          <w:rFonts w:ascii="Times New Roman"/>
          <w:color w:val="auto"/>
          <w:highlight w:val="none"/>
          <w:lang w:val="zh-CN"/>
        </w:rPr>
        <w:t>.2具有独立双光路无干涉系统；高清晰度彩色液晶显示屏；智能数据分析曲线图表功能；大、小字体显示模式自由切换；可向计算机传输当前数据和历史数据；支持比色皿和比色管两种比色方式；防喷罩采用全透明进口耐热材料；支持历史数据存储，可存储 至少1.2万个数据；打印当前数据和所有储存的历史数据；内存曲线量≥20条；支持曲线自动校正并自动保存；浓度直读，中文显示界面、全中文键盘；冷光源、窄带干涉、光源寿命≥10万小时；智能定时加热，延时保护等功能；</w:t>
      </w:r>
    </w:p>
    <w:p>
      <w:pPr>
        <w:pStyle w:val="28"/>
        <w:spacing w:line="400" w:lineRule="exact"/>
        <w:rPr>
          <w:rFonts w:ascii="Times New Roman"/>
          <w:color w:val="auto"/>
          <w:highlight w:val="none"/>
          <w:lang w:val="zh-CN"/>
        </w:rPr>
      </w:pPr>
      <w:r>
        <w:rPr>
          <w:rFonts w:hint="eastAsia" w:ascii="Times New Roman"/>
          <w:color w:val="auto"/>
          <w:highlight w:val="none"/>
          <w:lang w:val="zh-CN"/>
        </w:rPr>
        <w:t>4.3</w:t>
      </w:r>
      <w:r>
        <w:rPr>
          <w:rFonts w:ascii="Times New Roman"/>
          <w:color w:val="auto"/>
          <w:highlight w:val="none"/>
          <w:lang w:val="zh-CN"/>
        </w:rPr>
        <w:t>.3测定波长：610±20nm以及420±20nm；</w:t>
      </w:r>
    </w:p>
    <w:p>
      <w:pPr>
        <w:pStyle w:val="28"/>
        <w:spacing w:line="400" w:lineRule="exact"/>
        <w:rPr>
          <w:rFonts w:ascii="Times New Roman"/>
          <w:color w:val="auto"/>
          <w:highlight w:val="none"/>
          <w:lang w:val="zh-CN"/>
        </w:rPr>
      </w:pPr>
      <w:r>
        <w:rPr>
          <w:rFonts w:hint="eastAsia" w:ascii="Times New Roman"/>
          <w:color w:val="auto"/>
          <w:highlight w:val="none"/>
          <w:lang w:val="zh-CN"/>
        </w:rPr>
        <w:t>4.3</w:t>
      </w:r>
      <w:r>
        <w:rPr>
          <w:rFonts w:ascii="Times New Roman"/>
          <w:color w:val="auto"/>
          <w:highlight w:val="none"/>
          <w:lang w:val="zh-CN"/>
        </w:rPr>
        <w:t>.4测定范围：610±20nm下为10~5000mg/L，420±20nm下为2~150mg/L；</w:t>
      </w:r>
    </w:p>
    <w:p>
      <w:pPr>
        <w:pStyle w:val="28"/>
        <w:spacing w:line="400" w:lineRule="exact"/>
        <w:rPr>
          <w:rFonts w:ascii="Times New Roman"/>
          <w:color w:val="auto"/>
          <w:highlight w:val="none"/>
          <w:lang w:val="zh-CN"/>
        </w:rPr>
      </w:pPr>
      <w:r>
        <w:rPr>
          <w:rFonts w:ascii="Times New Roman"/>
          <w:color w:val="auto"/>
          <w:highlight w:val="none"/>
          <w:lang w:val="zh-CN"/>
        </w:rPr>
        <w:t>*</w:t>
      </w:r>
      <w:r>
        <w:rPr>
          <w:rFonts w:hint="eastAsia" w:ascii="Times New Roman"/>
          <w:color w:val="auto"/>
          <w:highlight w:val="none"/>
          <w:lang w:val="zh-CN"/>
        </w:rPr>
        <w:t>4.3</w:t>
      </w:r>
      <w:r>
        <w:rPr>
          <w:rFonts w:ascii="Times New Roman"/>
          <w:color w:val="auto"/>
          <w:highlight w:val="none"/>
          <w:lang w:val="zh-CN"/>
        </w:rPr>
        <w:t>.5测定精度：610±20nm下COD&lt;50 mg/L时≤10%，COD&gt;50 mg/L时≤5%；420±20nm下≤10%；</w:t>
      </w:r>
    </w:p>
    <w:p>
      <w:pPr>
        <w:pStyle w:val="28"/>
        <w:spacing w:line="400" w:lineRule="exact"/>
        <w:rPr>
          <w:rFonts w:ascii="Times New Roman"/>
          <w:color w:val="auto"/>
          <w:highlight w:val="none"/>
          <w:lang w:val="zh-CN"/>
        </w:rPr>
      </w:pPr>
      <w:r>
        <w:rPr>
          <w:rFonts w:hint="eastAsia" w:ascii="Times New Roman"/>
          <w:color w:val="auto"/>
          <w:highlight w:val="none"/>
          <w:lang w:val="zh-CN"/>
        </w:rPr>
        <w:t>4.3</w:t>
      </w:r>
      <w:r>
        <w:rPr>
          <w:rFonts w:ascii="Times New Roman"/>
          <w:color w:val="auto"/>
          <w:highlight w:val="none"/>
          <w:lang w:val="zh-CN"/>
        </w:rPr>
        <w:t>.6重复性：≤5%；</w:t>
      </w:r>
    </w:p>
    <w:p>
      <w:pPr>
        <w:pStyle w:val="28"/>
        <w:spacing w:line="400" w:lineRule="exact"/>
        <w:rPr>
          <w:rFonts w:ascii="Times New Roman"/>
          <w:color w:val="auto"/>
          <w:highlight w:val="none"/>
          <w:lang w:val="zh-CN"/>
        </w:rPr>
      </w:pPr>
      <w:r>
        <w:rPr>
          <w:rFonts w:hint="eastAsia" w:ascii="Times New Roman"/>
          <w:color w:val="auto"/>
          <w:highlight w:val="none"/>
          <w:lang w:val="zh-CN"/>
        </w:rPr>
        <w:t>4.3</w:t>
      </w:r>
      <w:r>
        <w:rPr>
          <w:rFonts w:ascii="Times New Roman"/>
          <w:color w:val="auto"/>
          <w:highlight w:val="none"/>
          <w:lang w:val="zh-CN"/>
        </w:rPr>
        <w:t>.7最低检出限：0.1mg/L</w:t>
      </w:r>
      <w:r>
        <w:rPr>
          <w:rFonts w:hint="eastAsia" w:ascii="Times New Roman"/>
          <w:color w:val="auto"/>
          <w:highlight w:val="none"/>
          <w:lang w:val="zh-CN"/>
        </w:rPr>
        <w:t>；</w:t>
      </w:r>
    </w:p>
    <w:p>
      <w:pPr>
        <w:pStyle w:val="28"/>
        <w:spacing w:line="400" w:lineRule="exact"/>
        <w:rPr>
          <w:rFonts w:ascii="Times New Roman"/>
          <w:color w:val="auto"/>
          <w:highlight w:val="none"/>
          <w:lang w:val="zh-CN"/>
        </w:rPr>
      </w:pPr>
      <w:r>
        <w:rPr>
          <w:rFonts w:hint="eastAsia" w:ascii="Times New Roman"/>
          <w:color w:val="auto"/>
          <w:highlight w:val="none"/>
          <w:lang w:val="zh-CN"/>
        </w:rPr>
        <w:t>4.3</w:t>
      </w:r>
      <w:r>
        <w:rPr>
          <w:rFonts w:ascii="Times New Roman"/>
          <w:color w:val="auto"/>
          <w:highlight w:val="none"/>
          <w:lang w:val="zh-CN"/>
        </w:rPr>
        <w:t>.8批处理量：30支样品</w:t>
      </w:r>
      <w:r>
        <w:rPr>
          <w:rFonts w:hint="eastAsia" w:ascii="Times New Roman"/>
          <w:color w:val="auto"/>
          <w:highlight w:val="none"/>
          <w:lang w:val="zh-CN"/>
        </w:rPr>
        <w:t>；</w:t>
      </w:r>
    </w:p>
    <w:p>
      <w:pPr>
        <w:pStyle w:val="28"/>
        <w:spacing w:line="400" w:lineRule="exact"/>
        <w:rPr>
          <w:rFonts w:ascii="Times New Roman"/>
          <w:color w:val="auto"/>
          <w:highlight w:val="none"/>
          <w:lang w:val="zh-CN"/>
        </w:rPr>
      </w:pPr>
      <w:r>
        <w:rPr>
          <w:rFonts w:hint="eastAsia" w:ascii="Times New Roman"/>
          <w:color w:val="auto"/>
          <w:highlight w:val="none"/>
          <w:lang w:val="zh-CN"/>
        </w:rPr>
        <w:t>4.3</w:t>
      </w:r>
      <w:r>
        <w:rPr>
          <w:rFonts w:ascii="Times New Roman"/>
          <w:color w:val="auto"/>
          <w:highlight w:val="none"/>
          <w:lang w:val="zh-CN"/>
        </w:rPr>
        <w:t>.9光学稳定性：≤0.001A/20分钟</w:t>
      </w:r>
      <w:r>
        <w:rPr>
          <w:rFonts w:hint="eastAsia" w:ascii="Times New Roman"/>
          <w:color w:val="auto"/>
          <w:highlight w:val="none"/>
          <w:lang w:val="zh-CN"/>
        </w:rPr>
        <w:t>；</w:t>
      </w:r>
    </w:p>
    <w:p>
      <w:pPr>
        <w:pStyle w:val="28"/>
        <w:spacing w:line="400" w:lineRule="exact"/>
        <w:rPr>
          <w:rFonts w:ascii="Times New Roman"/>
          <w:color w:val="auto"/>
          <w:highlight w:val="none"/>
          <w:lang w:val="zh-CN"/>
        </w:rPr>
      </w:pPr>
      <w:r>
        <w:rPr>
          <w:rFonts w:hint="eastAsia" w:ascii="Times New Roman"/>
          <w:color w:val="auto"/>
          <w:highlight w:val="none"/>
          <w:lang w:val="zh-CN"/>
        </w:rPr>
        <w:t>4.3</w:t>
      </w:r>
      <w:r>
        <w:rPr>
          <w:rFonts w:ascii="Times New Roman"/>
          <w:color w:val="auto"/>
          <w:highlight w:val="none"/>
          <w:lang w:val="zh-CN"/>
        </w:rPr>
        <w:t>.10抗氯干扰：Cl</w:t>
      </w:r>
      <w:r>
        <w:rPr>
          <w:rFonts w:ascii="Times New Roman"/>
          <w:color w:val="auto"/>
          <w:highlight w:val="none"/>
          <w:vertAlign w:val="superscript"/>
          <w:lang w:val="zh-CN"/>
        </w:rPr>
        <w:t>-</w:t>
      </w:r>
      <w:r>
        <w:rPr>
          <w:rFonts w:ascii="Times New Roman"/>
          <w:color w:val="auto"/>
          <w:highlight w:val="none"/>
          <w:lang w:val="zh-CN"/>
        </w:rPr>
        <w:t>&lt;1000mg/L</w:t>
      </w:r>
      <w:r>
        <w:rPr>
          <w:rFonts w:hint="eastAsia" w:ascii="Times New Roman"/>
          <w:color w:val="auto"/>
          <w:highlight w:val="none"/>
          <w:lang w:val="zh-CN"/>
        </w:rPr>
        <w:t>；</w:t>
      </w:r>
    </w:p>
    <w:p>
      <w:pPr>
        <w:pStyle w:val="28"/>
        <w:spacing w:line="400" w:lineRule="exact"/>
        <w:rPr>
          <w:rFonts w:ascii="Times New Roman"/>
          <w:color w:val="auto"/>
          <w:highlight w:val="none"/>
          <w:lang w:val="zh-CN"/>
        </w:rPr>
      </w:pPr>
      <w:r>
        <w:rPr>
          <w:rFonts w:hint="eastAsia" w:ascii="Times New Roman"/>
          <w:color w:val="auto"/>
          <w:highlight w:val="none"/>
          <w:lang w:val="zh-CN"/>
        </w:rPr>
        <w:t>4.3</w:t>
      </w:r>
      <w:r>
        <w:rPr>
          <w:rFonts w:ascii="Times New Roman"/>
          <w:color w:val="auto"/>
          <w:highlight w:val="none"/>
          <w:lang w:val="zh-CN"/>
        </w:rPr>
        <w:t>.11消解温度：165±0.5℃</w:t>
      </w:r>
      <w:r>
        <w:rPr>
          <w:rFonts w:hint="eastAsia" w:ascii="Times New Roman"/>
          <w:color w:val="auto"/>
          <w:highlight w:val="none"/>
          <w:lang w:val="zh-CN"/>
        </w:rPr>
        <w:t>；</w:t>
      </w:r>
    </w:p>
    <w:p>
      <w:pPr>
        <w:pStyle w:val="28"/>
        <w:spacing w:line="400" w:lineRule="exact"/>
        <w:rPr>
          <w:rFonts w:ascii="Times New Roman"/>
          <w:color w:val="auto"/>
          <w:highlight w:val="none"/>
          <w:lang w:val="zh-CN"/>
        </w:rPr>
      </w:pPr>
      <w:r>
        <w:rPr>
          <w:rFonts w:hint="eastAsia" w:ascii="Times New Roman"/>
          <w:color w:val="auto"/>
          <w:highlight w:val="none"/>
          <w:lang w:val="zh-CN"/>
        </w:rPr>
        <w:t>4.3</w:t>
      </w:r>
      <w:r>
        <w:rPr>
          <w:rFonts w:ascii="Times New Roman"/>
          <w:color w:val="auto"/>
          <w:highlight w:val="none"/>
          <w:lang w:val="zh-CN"/>
        </w:rPr>
        <w:t>.12消解时间：15min</w:t>
      </w:r>
      <w:r>
        <w:rPr>
          <w:rFonts w:hint="eastAsia" w:ascii="Times New Roman"/>
          <w:color w:val="auto"/>
          <w:highlight w:val="none"/>
          <w:lang w:val="zh-CN"/>
        </w:rPr>
        <w:t>。</w:t>
      </w:r>
    </w:p>
    <w:p>
      <w:pPr>
        <w:widowControl/>
        <w:shd w:val="clear" w:color="auto" w:fill="FFFFFF"/>
        <w:snapToGrid w:val="0"/>
        <w:spacing w:line="400" w:lineRule="exact"/>
        <w:contextualSpacing/>
        <w:rPr>
          <w:b/>
          <w:bCs/>
          <w:color w:val="auto"/>
          <w:sz w:val="24"/>
          <w:highlight w:val="none"/>
        </w:rPr>
      </w:pPr>
      <w:r>
        <w:rPr>
          <w:b/>
          <w:bCs/>
          <w:color w:val="auto"/>
          <w:sz w:val="24"/>
          <w:highlight w:val="none"/>
        </w:rPr>
        <w:t>5.技术服务</w:t>
      </w:r>
    </w:p>
    <w:p>
      <w:pPr>
        <w:pStyle w:val="28"/>
        <w:spacing w:line="400" w:lineRule="exact"/>
        <w:rPr>
          <w:rFonts w:ascii="Times New Roman"/>
          <w:color w:val="auto"/>
          <w:highlight w:val="none"/>
          <w:lang w:val="zh-CN"/>
        </w:rPr>
      </w:pPr>
      <w:r>
        <w:rPr>
          <w:rFonts w:ascii="Times New Roman"/>
          <w:color w:val="auto"/>
          <w:highlight w:val="none"/>
          <w:lang w:val="zh-CN"/>
        </w:rPr>
        <w:t>5.1保证产品为最新型全新原厂设备。</w:t>
      </w:r>
    </w:p>
    <w:p>
      <w:pPr>
        <w:pStyle w:val="28"/>
        <w:spacing w:line="400" w:lineRule="exact"/>
        <w:rPr>
          <w:rFonts w:ascii="Times New Roman"/>
          <w:color w:val="auto"/>
          <w:highlight w:val="none"/>
          <w:lang w:val="zh-CN"/>
        </w:rPr>
      </w:pPr>
      <w:r>
        <w:rPr>
          <w:rFonts w:ascii="Times New Roman"/>
          <w:color w:val="auto"/>
          <w:highlight w:val="none"/>
          <w:lang w:val="zh-CN"/>
        </w:rPr>
        <w:t>5.2仪器安装验收：供货商在接到用户安装通知后，须在10工作日内安排有经验的工程师到现场安装仪器，并在</w:t>
      </w:r>
      <w:r>
        <w:rPr>
          <w:rFonts w:hint="eastAsia" w:ascii="Times New Roman"/>
          <w:color w:val="auto"/>
          <w:highlight w:val="none"/>
        </w:rPr>
        <w:t>3</w:t>
      </w:r>
      <w:r>
        <w:rPr>
          <w:rFonts w:ascii="Times New Roman"/>
          <w:color w:val="auto"/>
          <w:highlight w:val="none"/>
          <w:lang w:val="zh-CN"/>
        </w:rPr>
        <w:t>0工作日内安装、调试完毕，进行操作试验，直至运行正常并验收确认。</w:t>
      </w:r>
    </w:p>
    <w:p>
      <w:pPr>
        <w:pStyle w:val="28"/>
        <w:spacing w:line="400" w:lineRule="exact"/>
        <w:rPr>
          <w:rFonts w:ascii="Times New Roman"/>
          <w:color w:val="auto"/>
          <w:highlight w:val="none"/>
          <w:lang w:val="zh-CN"/>
        </w:rPr>
      </w:pPr>
      <w:r>
        <w:rPr>
          <w:rFonts w:ascii="Times New Roman"/>
          <w:color w:val="auto"/>
          <w:highlight w:val="none"/>
          <w:lang w:val="zh-CN"/>
        </w:rPr>
        <w:t>5.3保修服务：自验收合格起，厂家向用户提供至少1年的免费保修服务，终生维修。保修期内所有服务免费，一切配件、耗材免费到场更换。保修期外，能更及时地为用户提供备品备件。5年内控制软件免费升级。设备如停产应至少保证零配件的10年供应。</w:t>
      </w:r>
    </w:p>
    <w:p>
      <w:pPr>
        <w:pStyle w:val="28"/>
        <w:spacing w:line="400" w:lineRule="exact"/>
        <w:rPr>
          <w:rFonts w:ascii="Times New Roman"/>
          <w:color w:val="auto"/>
          <w:highlight w:val="none"/>
          <w:lang w:val="zh-CN"/>
        </w:rPr>
      </w:pPr>
      <w:r>
        <w:rPr>
          <w:rFonts w:ascii="Times New Roman"/>
          <w:color w:val="auto"/>
          <w:highlight w:val="none"/>
          <w:lang w:val="zh-CN"/>
        </w:rPr>
        <w:t>5.4质量及验收标准：安装工程师需对本标书中提出的性能指标须逐项验收；并应当严格按照《化学需氧量的测定-重铬酸钾法》（HJ828-2017）对空白、标准曲线、方法检出限、正确度、精密度及实际样品等逐项验收。所有验收指标要求一次完成，最终出具符合采购方使用要求的验收报告。如未通过验收，视情节更换部件或主机，直至退货。</w:t>
      </w:r>
    </w:p>
    <w:p>
      <w:pPr>
        <w:pStyle w:val="28"/>
        <w:spacing w:line="400" w:lineRule="exact"/>
        <w:rPr>
          <w:rFonts w:ascii="Times New Roman"/>
          <w:color w:val="auto"/>
          <w:highlight w:val="none"/>
          <w:lang w:val="zh-CN"/>
        </w:rPr>
      </w:pPr>
      <w:r>
        <w:rPr>
          <w:rFonts w:ascii="Times New Roman"/>
          <w:color w:val="auto"/>
          <w:highlight w:val="none"/>
          <w:lang w:val="zh-CN"/>
        </w:rPr>
        <w:t>5.5培训：仪器安装现场对2名以上仪器操作人员提供免费的上机操作及日常维护培训，至使用者会操作、使用仪器为止，除仪器中文使用说明书外，应提供安装、使用技术光碟等，便于后期学习维护。提供4人异地免培训费技术培训。</w:t>
      </w:r>
    </w:p>
    <w:p>
      <w:pPr>
        <w:pStyle w:val="28"/>
        <w:spacing w:line="400" w:lineRule="exact"/>
        <w:rPr>
          <w:rFonts w:ascii="Times New Roman"/>
          <w:color w:val="auto"/>
          <w:highlight w:val="none"/>
          <w:lang w:val="zh-CN"/>
        </w:rPr>
      </w:pPr>
      <w:r>
        <w:rPr>
          <w:rFonts w:ascii="Times New Roman"/>
          <w:color w:val="auto"/>
          <w:highlight w:val="none"/>
          <w:lang w:val="zh-CN"/>
        </w:rPr>
        <w:t>5.6应有制造商的售后和技术工程师常驻新疆，保证快捷、完善的售后服务。服务响应时间不大于24小时，故障可以在48小时内到现场维修。</w:t>
      </w:r>
    </w:p>
    <w:p>
      <w:pPr>
        <w:pStyle w:val="28"/>
        <w:spacing w:line="400" w:lineRule="exact"/>
        <w:rPr>
          <w:rFonts w:ascii="Times New Roman"/>
          <w:color w:val="auto"/>
          <w:highlight w:val="none"/>
          <w:lang w:val="zh-CN"/>
        </w:rPr>
      </w:pPr>
      <w:r>
        <w:rPr>
          <w:rFonts w:ascii="Times New Roman"/>
          <w:color w:val="auto"/>
          <w:highlight w:val="none"/>
          <w:lang w:val="zh-CN"/>
        </w:rPr>
        <w:t>5.7提供不定期的仪器应用技术培训服务，及时免费提供技术咨询，定期免费现场回访。</w:t>
      </w:r>
    </w:p>
    <w:p>
      <w:pPr>
        <w:pStyle w:val="28"/>
        <w:spacing w:line="400" w:lineRule="exact"/>
        <w:rPr>
          <w:color w:val="auto"/>
          <w:highlight w:val="none"/>
        </w:rPr>
      </w:pPr>
      <w:r>
        <w:rPr>
          <w:rFonts w:ascii="Times New Roman"/>
          <w:color w:val="auto"/>
          <w:highlight w:val="none"/>
          <w:lang w:val="zh-CN"/>
        </w:rPr>
        <w:t>备注：带“*”号的为必须满足指标，与技术性能指标一起做为验收指标。验收时须提供精密度、检出限等技术材料。</w:t>
      </w:r>
    </w:p>
    <w:p>
      <w:pPr>
        <w:pStyle w:val="718"/>
        <w:widowControl/>
        <w:numPr>
          <w:ilvl w:val="0"/>
          <w:numId w:val="17"/>
        </w:numPr>
        <w:autoSpaceDE w:val="0"/>
        <w:autoSpaceDN w:val="0"/>
        <w:snapToGrid w:val="0"/>
        <w:spacing w:line="440" w:lineRule="exact"/>
        <w:ind w:firstLineChars="0"/>
        <w:contextualSpacing/>
        <w:rPr>
          <w:color w:val="auto"/>
          <w:highlight w:val="none"/>
        </w:rPr>
      </w:pPr>
      <w:r>
        <w:rPr>
          <w:rFonts w:hint="eastAsia"/>
          <w:color w:val="auto"/>
          <w:highlight w:val="none"/>
        </w:rPr>
        <w:t>土壤研磨仪</w:t>
      </w:r>
    </w:p>
    <w:p>
      <w:pPr>
        <w:widowControl/>
        <w:autoSpaceDE w:val="0"/>
        <w:autoSpaceDN w:val="0"/>
        <w:snapToGrid w:val="0"/>
        <w:spacing w:line="400" w:lineRule="exact"/>
        <w:rPr>
          <w:b/>
          <w:bCs/>
          <w:color w:val="auto"/>
          <w:kern w:val="0"/>
          <w:sz w:val="24"/>
          <w:highlight w:val="none"/>
        </w:rPr>
      </w:pPr>
      <w:r>
        <w:rPr>
          <w:b/>
          <w:bCs/>
          <w:color w:val="auto"/>
          <w:kern w:val="0"/>
          <w:sz w:val="24"/>
          <w:highlight w:val="none"/>
        </w:rPr>
        <w:t>1.设备用途</w:t>
      </w:r>
    </w:p>
    <w:p>
      <w:pPr>
        <w:pStyle w:val="28"/>
        <w:spacing w:line="400" w:lineRule="exact"/>
        <w:ind w:firstLine="480" w:firstLineChars="200"/>
        <w:rPr>
          <w:rFonts w:ascii="Times New Roman"/>
          <w:color w:val="auto"/>
          <w:highlight w:val="none"/>
        </w:rPr>
      </w:pPr>
      <w:r>
        <w:rPr>
          <w:rFonts w:ascii="Times New Roman"/>
          <w:color w:val="auto"/>
          <w:highlight w:val="none"/>
        </w:rPr>
        <w:t>用于土壤、固体废物等固体样品预处理，将样品研磨至细小粒径。</w:t>
      </w:r>
    </w:p>
    <w:p>
      <w:pPr>
        <w:widowControl/>
        <w:autoSpaceDE w:val="0"/>
        <w:autoSpaceDN w:val="0"/>
        <w:snapToGrid w:val="0"/>
        <w:spacing w:line="400" w:lineRule="exact"/>
        <w:rPr>
          <w:b/>
          <w:bCs/>
          <w:color w:val="auto"/>
          <w:kern w:val="0"/>
          <w:sz w:val="24"/>
          <w:highlight w:val="none"/>
        </w:rPr>
      </w:pPr>
      <w:r>
        <w:rPr>
          <w:b/>
          <w:bCs/>
          <w:color w:val="auto"/>
          <w:kern w:val="0"/>
          <w:sz w:val="24"/>
          <w:highlight w:val="none"/>
        </w:rPr>
        <w:t>2.工作环境</w:t>
      </w:r>
    </w:p>
    <w:p>
      <w:pPr>
        <w:pStyle w:val="28"/>
        <w:spacing w:line="400" w:lineRule="exact"/>
        <w:rPr>
          <w:rFonts w:ascii="Times New Roman"/>
          <w:color w:val="auto"/>
          <w:highlight w:val="none"/>
        </w:rPr>
      </w:pPr>
      <w:r>
        <w:rPr>
          <w:rFonts w:ascii="Times New Roman"/>
          <w:color w:val="auto"/>
          <w:highlight w:val="none"/>
        </w:rPr>
        <w:t>2.1电源：AC 220V±10%，50（±1）Hz；</w:t>
      </w:r>
    </w:p>
    <w:p>
      <w:pPr>
        <w:pStyle w:val="28"/>
        <w:spacing w:line="400" w:lineRule="exact"/>
        <w:rPr>
          <w:rFonts w:ascii="Times New Roman"/>
          <w:color w:val="auto"/>
          <w:highlight w:val="none"/>
        </w:rPr>
      </w:pPr>
      <w:r>
        <w:rPr>
          <w:rFonts w:ascii="Times New Roman"/>
          <w:color w:val="auto"/>
          <w:highlight w:val="none"/>
        </w:rPr>
        <w:t>2.2温度：10-40</w:t>
      </w:r>
      <w:r>
        <w:rPr>
          <w:rFonts w:ascii="Times New Roman"/>
          <w:color w:val="auto"/>
          <w:highlight w:val="none"/>
        </w:rPr>
        <w:sym w:font="Symbol" w:char="F0B0"/>
      </w:r>
      <w:r>
        <w:rPr>
          <w:rFonts w:ascii="Times New Roman"/>
          <w:color w:val="auto"/>
          <w:highlight w:val="none"/>
        </w:rPr>
        <w:t>C；</w:t>
      </w:r>
    </w:p>
    <w:p>
      <w:pPr>
        <w:pStyle w:val="28"/>
        <w:spacing w:line="400" w:lineRule="exact"/>
        <w:rPr>
          <w:rFonts w:ascii="Times New Roman"/>
          <w:color w:val="auto"/>
          <w:highlight w:val="none"/>
        </w:rPr>
      </w:pPr>
      <w:r>
        <w:rPr>
          <w:rFonts w:ascii="Times New Roman"/>
          <w:color w:val="auto"/>
          <w:highlight w:val="none"/>
        </w:rPr>
        <w:t>2.3湿度：20%-80%。</w:t>
      </w:r>
    </w:p>
    <w:p>
      <w:pPr>
        <w:autoSpaceDE w:val="0"/>
        <w:autoSpaceDN w:val="0"/>
        <w:adjustRightInd w:val="0"/>
        <w:spacing w:line="400" w:lineRule="exact"/>
        <w:rPr>
          <w:b/>
          <w:bCs/>
          <w:color w:val="auto"/>
          <w:sz w:val="24"/>
          <w:highlight w:val="none"/>
        </w:rPr>
      </w:pPr>
      <w:r>
        <w:rPr>
          <w:b/>
          <w:bCs/>
          <w:color w:val="auto"/>
          <w:sz w:val="24"/>
          <w:highlight w:val="none"/>
        </w:rPr>
        <w:t>3. 技术要求</w:t>
      </w:r>
    </w:p>
    <w:p>
      <w:pPr>
        <w:pStyle w:val="28"/>
        <w:spacing w:line="400" w:lineRule="exact"/>
        <w:rPr>
          <w:rFonts w:ascii="Times New Roman"/>
          <w:color w:val="auto"/>
          <w:highlight w:val="none"/>
          <w:lang w:val="zh-CN"/>
        </w:rPr>
      </w:pPr>
      <w:r>
        <w:rPr>
          <w:rFonts w:ascii="Times New Roman"/>
          <w:color w:val="auto"/>
          <w:highlight w:val="none"/>
          <w:lang w:val="zh-CN"/>
        </w:rPr>
        <w:t>3.1工作原理：土壤研磨仪的研磨系统在电子系统的精确控制下，粉碎样品通过进料漏斗进入防尘的研磨室中，其中一片可转动的圆盘相对另一片固定盘转动，不断捕获进入的样品，通过撞击、挤压和摩擦将研磨材料研磨成粉。</w:t>
      </w:r>
    </w:p>
    <w:p>
      <w:pPr>
        <w:pStyle w:val="28"/>
        <w:spacing w:line="400" w:lineRule="exact"/>
        <w:rPr>
          <w:rFonts w:ascii="Times New Roman"/>
          <w:color w:val="auto"/>
          <w:highlight w:val="none"/>
        </w:rPr>
      </w:pPr>
      <w:r>
        <w:rPr>
          <w:rFonts w:ascii="Times New Roman"/>
          <w:color w:val="auto"/>
          <w:highlight w:val="none"/>
        </w:rPr>
        <w:t>3.2最大进样尺寸：≥20mm</w:t>
      </w:r>
      <w:r>
        <w:rPr>
          <w:rFonts w:hint="eastAsia" w:ascii="Times New Roman"/>
          <w:color w:val="auto"/>
          <w:highlight w:val="none"/>
        </w:rPr>
        <w:t>。</w:t>
      </w:r>
    </w:p>
    <w:p>
      <w:pPr>
        <w:pStyle w:val="28"/>
        <w:spacing w:line="400" w:lineRule="exact"/>
        <w:rPr>
          <w:rFonts w:ascii="Times New Roman"/>
          <w:color w:val="auto"/>
          <w:highlight w:val="none"/>
        </w:rPr>
      </w:pPr>
      <w:r>
        <w:rPr>
          <w:rFonts w:hint="eastAsia"/>
          <w:color w:val="auto"/>
          <w:highlight w:val="none"/>
        </w:rPr>
        <w:t>★</w:t>
      </w:r>
      <w:r>
        <w:rPr>
          <w:rFonts w:ascii="Times New Roman"/>
          <w:color w:val="auto"/>
          <w:highlight w:val="none"/>
        </w:rPr>
        <w:t>3.3最终出样尺寸：10目-100目可调，可根据研磨环境和样品性质自行设定。</w:t>
      </w:r>
    </w:p>
    <w:p>
      <w:pPr>
        <w:pStyle w:val="28"/>
        <w:spacing w:line="400" w:lineRule="exact"/>
        <w:rPr>
          <w:rFonts w:ascii="Times New Roman"/>
          <w:color w:val="auto"/>
          <w:highlight w:val="none"/>
        </w:rPr>
      </w:pPr>
      <w:r>
        <w:rPr>
          <w:rFonts w:ascii="Times New Roman"/>
          <w:color w:val="auto"/>
          <w:highlight w:val="none"/>
        </w:rPr>
        <w:t>3.4研磨圆盘间隙宽度调节范围：0.05-10mm，精确到0.01mm，数字显示，在设备运转过程中连续可调。</w:t>
      </w:r>
    </w:p>
    <w:p>
      <w:pPr>
        <w:pStyle w:val="28"/>
        <w:spacing w:line="400" w:lineRule="exact"/>
        <w:rPr>
          <w:rFonts w:ascii="Times New Roman"/>
          <w:color w:val="auto"/>
          <w:highlight w:val="none"/>
        </w:rPr>
      </w:pPr>
      <w:r>
        <w:rPr>
          <w:rFonts w:ascii="Times New Roman"/>
          <w:color w:val="auto"/>
          <w:highlight w:val="none"/>
        </w:rPr>
        <w:t>3.5研磨转速范围300-830rpm，数字显示，连续可调。</w:t>
      </w:r>
    </w:p>
    <w:p>
      <w:pPr>
        <w:pStyle w:val="28"/>
        <w:spacing w:line="400" w:lineRule="exact"/>
        <w:rPr>
          <w:rFonts w:ascii="Times New Roman"/>
          <w:color w:val="auto"/>
          <w:highlight w:val="none"/>
        </w:rPr>
      </w:pPr>
      <w:r>
        <w:rPr>
          <w:rFonts w:ascii="Times New Roman"/>
          <w:color w:val="auto"/>
          <w:highlight w:val="none"/>
        </w:rPr>
        <w:t>*3.6容器容量≥2L，样品处理能力≥40kg/h。</w:t>
      </w:r>
    </w:p>
    <w:p>
      <w:pPr>
        <w:pStyle w:val="28"/>
        <w:spacing w:line="400" w:lineRule="exact"/>
        <w:rPr>
          <w:rFonts w:ascii="Times New Roman"/>
          <w:color w:val="auto"/>
          <w:highlight w:val="none"/>
        </w:rPr>
      </w:pPr>
      <w:r>
        <w:rPr>
          <w:rFonts w:ascii="Times New Roman"/>
          <w:color w:val="auto"/>
          <w:highlight w:val="none"/>
        </w:rPr>
        <w:t>*3.7无齿磨盘，材质：氧化锆和玛瑙。</w:t>
      </w:r>
    </w:p>
    <w:p>
      <w:pPr>
        <w:pStyle w:val="28"/>
        <w:spacing w:line="400" w:lineRule="exact"/>
        <w:rPr>
          <w:rFonts w:ascii="Times New Roman"/>
          <w:color w:val="auto"/>
          <w:highlight w:val="none"/>
        </w:rPr>
      </w:pPr>
      <w:r>
        <w:rPr>
          <w:rFonts w:ascii="Times New Roman"/>
          <w:color w:val="auto"/>
          <w:highlight w:val="none"/>
        </w:rPr>
        <w:t>*3.8研磨腔室门可打开，腔体为尼龙和树脂材料内衬，防止样品被重金属污染及阻挡粉尘四溢；可插拔式放入和取出，方便清洁（需要提供实物图片证明）。</w:t>
      </w:r>
    </w:p>
    <w:p>
      <w:pPr>
        <w:pStyle w:val="28"/>
        <w:spacing w:line="400" w:lineRule="exact"/>
        <w:rPr>
          <w:rFonts w:ascii="Times New Roman"/>
          <w:color w:val="auto"/>
          <w:highlight w:val="none"/>
        </w:rPr>
      </w:pPr>
      <w:r>
        <w:rPr>
          <w:rFonts w:ascii="Times New Roman"/>
          <w:color w:val="auto"/>
          <w:highlight w:val="none"/>
        </w:rPr>
        <w:t>3.9配备舱门开启状态监测装置，舱门打开状态下仪器不能运行。</w:t>
      </w:r>
    </w:p>
    <w:p>
      <w:pPr>
        <w:pStyle w:val="28"/>
        <w:spacing w:line="400" w:lineRule="exact"/>
        <w:rPr>
          <w:rFonts w:ascii="Times New Roman"/>
          <w:color w:val="auto"/>
          <w:highlight w:val="none"/>
        </w:rPr>
      </w:pPr>
      <w:r>
        <w:rPr>
          <w:rFonts w:ascii="Times New Roman"/>
          <w:color w:val="auto"/>
          <w:highlight w:val="none"/>
        </w:rPr>
        <w:t>*3.10.配备尼龙制进样漏斗和尼龙制收集槽。进料漏斗设计有观察口，可随时观察样品研磨状态。</w:t>
      </w:r>
    </w:p>
    <w:p>
      <w:pPr>
        <w:pStyle w:val="28"/>
        <w:spacing w:line="400" w:lineRule="exact"/>
        <w:rPr>
          <w:rFonts w:ascii="Times New Roman"/>
          <w:color w:val="auto"/>
          <w:highlight w:val="none"/>
        </w:rPr>
      </w:pPr>
      <w:r>
        <w:rPr>
          <w:rFonts w:ascii="Times New Roman"/>
          <w:color w:val="auto"/>
          <w:highlight w:val="none"/>
        </w:rPr>
        <w:t>3.11仪器制造厂家必须有ISO认证，需出具相关认证证书。</w:t>
      </w:r>
    </w:p>
    <w:p>
      <w:pPr>
        <w:adjustRightInd w:val="0"/>
        <w:snapToGrid w:val="0"/>
        <w:spacing w:line="400" w:lineRule="exact"/>
        <w:rPr>
          <w:b/>
          <w:color w:val="auto"/>
          <w:sz w:val="24"/>
          <w:highlight w:val="none"/>
        </w:rPr>
      </w:pPr>
      <w:r>
        <w:rPr>
          <w:b/>
          <w:color w:val="auto"/>
          <w:sz w:val="24"/>
          <w:highlight w:val="none"/>
        </w:rPr>
        <w:t>4. 仪器配置</w:t>
      </w:r>
    </w:p>
    <w:p>
      <w:pPr>
        <w:pStyle w:val="28"/>
        <w:spacing w:line="400" w:lineRule="exact"/>
        <w:rPr>
          <w:rFonts w:ascii="Times New Roman"/>
          <w:color w:val="auto"/>
          <w:highlight w:val="none"/>
          <w:lang w:val="zh-CN"/>
        </w:rPr>
      </w:pPr>
      <w:r>
        <w:rPr>
          <w:rFonts w:ascii="Times New Roman"/>
          <w:color w:val="auto"/>
          <w:highlight w:val="none"/>
          <w:lang w:val="zh-CN"/>
        </w:rPr>
        <w:t>4.1 盘式研磨仪 1台；</w:t>
      </w:r>
    </w:p>
    <w:p>
      <w:pPr>
        <w:pStyle w:val="28"/>
        <w:spacing w:line="400" w:lineRule="exact"/>
        <w:rPr>
          <w:rFonts w:ascii="Times New Roman"/>
          <w:color w:val="auto"/>
          <w:highlight w:val="none"/>
          <w:lang w:val="zh-CN"/>
        </w:rPr>
      </w:pPr>
      <w:r>
        <w:rPr>
          <w:rFonts w:ascii="Times New Roman"/>
          <w:color w:val="auto"/>
          <w:highlight w:val="none"/>
          <w:lang w:val="zh-CN"/>
        </w:rPr>
        <w:t>4.2 尼龙制进料漏斗 1个；</w:t>
      </w:r>
    </w:p>
    <w:p>
      <w:pPr>
        <w:pStyle w:val="28"/>
        <w:spacing w:line="400" w:lineRule="exact"/>
        <w:rPr>
          <w:rFonts w:ascii="Times New Roman"/>
          <w:color w:val="auto"/>
          <w:highlight w:val="none"/>
          <w:lang w:val="zh-CN"/>
        </w:rPr>
      </w:pPr>
      <w:r>
        <w:rPr>
          <w:rFonts w:ascii="Times New Roman"/>
          <w:color w:val="auto"/>
          <w:highlight w:val="none"/>
          <w:lang w:val="zh-CN"/>
        </w:rPr>
        <w:t>4.3 无齿玛瑙制磨盘  1对；</w:t>
      </w:r>
    </w:p>
    <w:p>
      <w:pPr>
        <w:pStyle w:val="28"/>
        <w:spacing w:line="400" w:lineRule="exact"/>
        <w:rPr>
          <w:rFonts w:ascii="Times New Roman"/>
          <w:color w:val="auto"/>
          <w:highlight w:val="none"/>
          <w:lang w:val="zh-CN"/>
        </w:rPr>
      </w:pPr>
      <w:r>
        <w:rPr>
          <w:rFonts w:ascii="Times New Roman"/>
          <w:color w:val="auto"/>
          <w:highlight w:val="none"/>
          <w:lang w:val="zh-CN"/>
        </w:rPr>
        <w:t>4.4 无齿氧化锆制磨盘  1对；</w:t>
      </w:r>
    </w:p>
    <w:p>
      <w:pPr>
        <w:pStyle w:val="28"/>
        <w:spacing w:line="400" w:lineRule="exact"/>
        <w:rPr>
          <w:rFonts w:ascii="Times New Roman"/>
          <w:color w:val="auto"/>
          <w:highlight w:val="none"/>
          <w:lang w:val="zh-CN"/>
        </w:rPr>
      </w:pPr>
      <w:r>
        <w:rPr>
          <w:rFonts w:ascii="Times New Roman"/>
          <w:color w:val="auto"/>
          <w:highlight w:val="none"/>
          <w:lang w:val="zh-CN"/>
        </w:rPr>
        <w:t>4.5 2L尼龙制收集槽   3个；</w:t>
      </w:r>
    </w:p>
    <w:p>
      <w:pPr>
        <w:pStyle w:val="28"/>
        <w:spacing w:line="400" w:lineRule="exact"/>
        <w:rPr>
          <w:rFonts w:ascii="Times New Roman"/>
          <w:color w:val="auto"/>
          <w:highlight w:val="none"/>
          <w:lang w:val="zh-CN"/>
        </w:rPr>
      </w:pPr>
      <w:r>
        <w:rPr>
          <w:rFonts w:ascii="Times New Roman"/>
          <w:color w:val="auto"/>
          <w:highlight w:val="none"/>
          <w:lang w:val="zh-CN"/>
        </w:rPr>
        <w:t>4.6 便携式空压机及吹扫枪及连接件 1套。</w:t>
      </w:r>
    </w:p>
    <w:p>
      <w:pPr>
        <w:pStyle w:val="28"/>
        <w:spacing w:line="400" w:lineRule="exact"/>
        <w:rPr>
          <w:rFonts w:ascii="Times New Roman"/>
          <w:color w:val="auto"/>
          <w:highlight w:val="none"/>
          <w:lang w:val="zh-CN"/>
        </w:rPr>
      </w:pPr>
      <w:r>
        <w:rPr>
          <w:rFonts w:hint="eastAsia" w:ascii="Times New Roman"/>
          <w:color w:val="auto"/>
          <w:highlight w:val="none"/>
        </w:rPr>
        <w:t xml:space="preserve">4.7 </w:t>
      </w:r>
      <w:r>
        <w:rPr>
          <w:rFonts w:ascii="Times New Roman"/>
          <w:color w:val="auto"/>
          <w:highlight w:val="none"/>
          <w:lang w:val="zh-CN"/>
        </w:rPr>
        <w:t>大容量离心机</w:t>
      </w:r>
      <w:r>
        <w:rPr>
          <w:rFonts w:hint="eastAsia" w:ascii="Times New Roman"/>
          <w:color w:val="auto"/>
          <w:highlight w:val="none"/>
        </w:rPr>
        <w:t>1</w:t>
      </w:r>
      <w:r>
        <w:rPr>
          <w:rFonts w:ascii="Times New Roman"/>
          <w:color w:val="auto"/>
          <w:highlight w:val="none"/>
          <w:lang w:val="zh-CN"/>
        </w:rPr>
        <w:t>台</w:t>
      </w:r>
      <w:r>
        <w:rPr>
          <w:rFonts w:hint="eastAsia" w:ascii="Times New Roman"/>
          <w:color w:val="auto"/>
          <w:highlight w:val="none"/>
          <w:lang w:val="zh-CN"/>
        </w:rPr>
        <w:t>（转速</w:t>
      </w:r>
      <w:r>
        <w:rPr>
          <w:rFonts w:ascii="Times New Roman"/>
          <w:color w:val="auto"/>
          <w:highlight w:val="none"/>
          <w:lang w:val="zh-CN"/>
        </w:rPr>
        <w:t>≥10000转/分</w:t>
      </w:r>
      <w:r>
        <w:rPr>
          <w:rFonts w:hint="eastAsia" w:ascii="Times New Roman"/>
          <w:color w:val="auto"/>
          <w:highlight w:val="none"/>
          <w:lang w:val="zh-CN"/>
        </w:rPr>
        <w:t>，</w:t>
      </w:r>
      <w:r>
        <w:rPr>
          <w:rFonts w:ascii="Times New Roman"/>
          <w:color w:val="auto"/>
          <w:highlight w:val="none"/>
          <w:lang w:val="zh-CN"/>
        </w:rPr>
        <w:t>分辨率1转/分</w:t>
      </w:r>
      <w:r>
        <w:rPr>
          <w:rFonts w:hint="eastAsia" w:ascii="Times New Roman"/>
          <w:color w:val="auto"/>
          <w:highlight w:val="none"/>
          <w:lang w:val="zh-CN"/>
        </w:rPr>
        <w:t>，</w:t>
      </w:r>
      <w:r>
        <w:rPr>
          <w:rFonts w:ascii="Times New Roman"/>
          <w:color w:val="auto"/>
          <w:highlight w:val="none"/>
          <w:lang w:val="zh-CN"/>
        </w:rPr>
        <w:t>波动率±1转/分</w:t>
      </w:r>
      <w:r>
        <w:rPr>
          <w:rFonts w:hint="eastAsia" w:ascii="Times New Roman"/>
          <w:color w:val="auto"/>
          <w:highlight w:val="none"/>
          <w:lang w:val="zh-CN"/>
        </w:rPr>
        <w:t>，</w:t>
      </w:r>
      <w:r>
        <w:rPr>
          <w:rFonts w:ascii="Times New Roman"/>
          <w:color w:val="auto"/>
          <w:highlight w:val="none"/>
          <w:lang w:val="zh-CN"/>
        </w:rPr>
        <w:t>最大相对离心力：≥11960xg</w:t>
      </w:r>
      <w:r>
        <w:rPr>
          <w:rFonts w:hint="eastAsia" w:ascii="Times New Roman"/>
          <w:color w:val="auto"/>
          <w:highlight w:val="none"/>
          <w:lang w:val="zh-CN"/>
        </w:rPr>
        <w:t>，水平离心，</w:t>
      </w:r>
      <w:r>
        <w:rPr>
          <w:rFonts w:ascii="Times New Roman"/>
          <w:color w:val="auto"/>
          <w:highlight w:val="none"/>
          <w:lang w:val="zh-CN"/>
        </w:rPr>
        <w:t>具有自动停止、安全关闭、开门断电、电子门锁等功能</w:t>
      </w:r>
      <w:r>
        <w:rPr>
          <w:rFonts w:hint="eastAsia" w:ascii="Times New Roman"/>
          <w:color w:val="auto"/>
          <w:highlight w:val="none"/>
          <w:lang w:val="zh-CN"/>
        </w:rPr>
        <w:t>），</w:t>
      </w:r>
      <w:r>
        <w:rPr>
          <w:rFonts w:ascii="Times New Roman"/>
          <w:color w:val="auto"/>
          <w:highlight w:val="none"/>
          <w:lang w:val="zh-CN"/>
        </w:rPr>
        <w:t>配备角转子</w:t>
      </w:r>
      <w:r>
        <w:rPr>
          <w:rFonts w:ascii="Times New Roman"/>
          <w:color w:val="auto"/>
          <w:highlight w:val="none"/>
        </w:rPr>
        <w:t>1套（</w:t>
      </w:r>
      <w:r>
        <w:rPr>
          <w:rFonts w:ascii="Times New Roman"/>
          <w:color w:val="auto"/>
          <w:highlight w:val="none"/>
          <w:lang w:val="zh-CN"/>
        </w:rPr>
        <w:t>可安装6只100ml离心管</w:t>
      </w:r>
      <w:r>
        <w:rPr>
          <w:rFonts w:ascii="Times New Roman"/>
          <w:color w:val="auto"/>
          <w:highlight w:val="none"/>
        </w:rPr>
        <w:t>）和</w:t>
      </w:r>
      <w:r>
        <w:rPr>
          <w:rFonts w:ascii="Times New Roman"/>
          <w:color w:val="auto"/>
          <w:highlight w:val="none"/>
          <w:lang w:val="zh-CN"/>
        </w:rPr>
        <w:t>100ml离心管（带外螺纹式旋塞）100个。</w:t>
      </w:r>
    </w:p>
    <w:p>
      <w:pPr>
        <w:widowControl/>
        <w:autoSpaceDE w:val="0"/>
        <w:autoSpaceDN w:val="0"/>
        <w:snapToGrid w:val="0"/>
        <w:spacing w:line="400" w:lineRule="exact"/>
        <w:rPr>
          <w:b/>
          <w:bCs/>
          <w:color w:val="auto"/>
          <w:kern w:val="0"/>
          <w:sz w:val="24"/>
          <w:highlight w:val="none"/>
        </w:rPr>
      </w:pPr>
      <w:r>
        <w:rPr>
          <w:b/>
          <w:bCs/>
          <w:color w:val="auto"/>
          <w:kern w:val="0"/>
          <w:sz w:val="24"/>
          <w:highlight w:val="none"/>
        </w:rPr>
        <w:t>5.技术服务</w:t>
      </w:r>
    </w:p>
    <w:p>
      <w:pPr>
        <w:pStyle w:val="28"/>
        <w:spacing w:line="400" w:lineRule="exact"/>
        <w:rPr>
          <w:rFonts w:ascii="Times New Roman"/>
          <w:color w:val="auto"/>
          <w:highlight w:val="none"/>
          <w:lang w:val="zh-CN"/>
        </w:rPr>
      </w:pPr>
      <w:r>
        <w:rPr>
          <w:rFonts w:ascii="Times New Roman"/>
          <w:color w:val="auto"/>
          <w:highlight w:val="none"/>
          <w:lang w:val="zh-CN"/>
        </w:rPr>
        <w:t>5.1保证产品为最新型全新原厂设备</w:t>
      </w:r>
      <w:r>
        <w:rPr>
          <w:rFonts w:hint="eastAsia" w:ascii="Times New Roman"/>
          <w:color w:val="auto"/>
          <w:highlight w:val="none"/>
          <w:lang w:val="zh-CN"/>
        </w:rPr>
        <w:t>。</w:t>
      </w:r>
    </w:p>
    <w:p>
      <w:pPr>
        <w:pStyle w:val="28"/>
        <w:spacing w:line="400" w:lineRule="exact"/>
        <w:rPr>
          <w:rFonts w:ascii="Times New Roman"/>
          <w:color w:val="auto"/>
          <w:highlight w:val="none"/>
          <w:lang w:val="zh-CN"/>
        </w:rPr>
      </w:pPr>
      <w:r>
        <w:rPr>
          <w:rFonts w:ascii="Times New Roman"/>
          <w:color w:val="auto"/>
          <w:highlight w:val="none"/>
          <w:lang w:val="zh-CN"/>
        </w:rPr>
        <w:t>5.2保修服务：自验收合格起，厂家向用户提供至少1年的免费保修服务。保修期内所有服务免费，一切配件、耗材免费到场更换。保修期外，能更及时地为用户提供备品备件。</w:t>
      </w:r>
    </w:p>
    <w:p>
      <w:pPr>
        <w:pStyle w:val="28"/>
        <w:spacing w:line="400" w:lineRule="exact"/>
        <w:rPr>
          <w:rFonts w:ascii="Times New Roman"/>
          <w:color w:val="auto"/>
          <w:highlight w:val="none"/>
          <w:lang w:val="zh-CN"/>
        </w:rPr>
      </w:pPr>
      <w:r>
        <w:rPr>
          <w:rFonts w:ascii="Times New Roman"/>
          <w:color w:val="auto"/>
          <w:highlight w:val="none"/>
          <w:lang w:val="zh-CN"/>
        </w:rPr>
        <w:t>5.3仪器安装验收：供货商在接到用户安装通知后，须在10工作日内安排有经验的工程师到现场安装仪器，并在</w:t>
      </w:r>
      <w:r>
        <w:rPr>
          <w:rFonts w:hint="eastAsia" w:ascii="Times New Roman"/>
          <w:color w:val="auto"/>
          <w:highlight w:val="none"/>
        </w:rPr>
        <w:t>3</w:t>
      </w:r>
      <w:r>
        <w:rPr>
          <w:rFonts w:ascii="Times New Roman"/>
          <w:color w:val="auto"/>
          <w:highlight w:val="none"/>
          <w:lang w:val="zh-CN"/>
        </w:rPr>
        <w:t>0工作日内安装、调试完毕，进行操作试验，直至运行正常并验收确认。</w:t>
      </w:r>
    </w:p>
    <w:p>
      <w:pPr>
        <w:pStyle w:val="28"/>
        <w:spacing w:line="400" w:lineRule="exact"/>
        <w:rPr>
          <w:rFonts w:ascii="Times New Roman"/>
          <w:color w:val="auto"/>
          <w:highlight w:val="none"/>
          <w:lang w:val="zh-CN"/>
        </w:rPr>
      </w:pPr>
      <w:r>
        <w:rPr>
          <w:rFonts w:ascii="Times New Roman"/>
          <w:color w:val="auto"/>
          <w:highlight w:val="none"/>
          <w:lang w:val="zh-CN"/>
        </w:rPr>
        <w:t>5.4质量及验收标准：技术指标符合买方要求和厂家规定的出厂要求。如未通过验收，应视情节更换部件或主机，直至退货。</w:t>
      </w:r>
    </w:p>
    <w:p>
      <w:pPr>
        <w:pStyle w:val="28"/>
        <w:spacing w:line="400" w:lineRule="exact"/>
        <w:rPr>
          <w:rFonts w:ascii="Times New Roman"/>
          <w:color w:val="auto"/>
          <w:highlight w:val="none"/>
          <w:lang w:val="zh-CN"/>
        </w:rPr>
      </w:pPr>
      <w:r>
        <w:rPr>
          <w:rFonts w:ascii="Times New Roman"/>
          <w:color w:val="auto"/>
          <w:highlight w:val="none"/>
          <w:lang w:val="zh-CN"/>
        </w:rPr>
        <w:t>5.5培训：仪器安装现场对2名以上仪器操作人员提供免费的上机操作及日常维护培训，至使用者会操作、使用仪器为止。</w:t>
      </w:r>
    </w:p>
    <w:p>
      <w:pPr>
        <w:pStyle w:val="28"/>
        <w:spacing w:line="400" w:lineRule="exact"/>
        <w:rPr>
          <w:rFonts w:ascii="Times New Roman"/>
          <w:color w:val="auto"/>
          <w:highlight w:val="none"/>
          <w:lang w:val="zh-CN"/>
        </w:rPr>
      </w:pPr>
      <w:r>
        <w:rPr>
          <w:rFonts w:ascii="Times New Roman"/>
          <w:color w:val="auto"/>
          <w:highlight w:val="none"/>
          <w:lang w:val="zh-CN"/>
        </w:rPr>
        <w:t>5.6制造厂家应保证用户能得到快捷、完善的售后服务；服务响应时间不大于24小时，故障可以在48小时内到现场维修。</w:t>
      </w:r>
    </w:p>
    <w:p>
      <w:pPr>
        <w:pStyle w:val="28"/>
        <w:spacing w:line="400" w:lineRule="exact"/>
        <w:rPr>
          <w:color w:val="auto"/>
          <w:highlight w:val="none"/>
        </w:rPr>
      </w:pPr>
      <w:r>
        <w:rPr>
          <w:rFonts w:ascii="Times New Roman"/>
          <w:color w:val="auto"/>
          <w:highlight w:val="none"/>
          <w:lang w:val="zh-CN"/>
        </w:rPr>
        <w:t>备注：带“*”号的为必须满足指标，与技术性能指标一起做为验收指标。</w:t>
      </w:r>
    </w:p>
    <w:p>
      <w:pPr>
        <w:pStyle w:val="718"/>
        <w:widowControl/>
        <w:numPr>
          <w:ilvl w:val="0"/>
          <w:numId w:val="17"/>
        </w:numPr>
        <w:autoSpaceDE w:val="0"/>
        <w:autoSpaceDN w:val="0"/>
        <w:snapToGrid w:val="0"/>
        <w:spacing w:line="440" w:lineRule="exact"/>
        <w:ind w:firstLineChars="0"/>
        <w:contextualSpacing/>
        <w:rPr>
          <w:color w:val="auto"/>
          <w:highlight w:val="none"/>
        </w:rPr>
      </w:pPr>
      <w:r>
        <w:rPr>
          <w:rFonts w:hint="eastAsia"/>
          <w:color w:val="auto"/>
          <w:highlight w:val="none"/>
        </w:rPr>
        <w:t>振荡筛分仪</w:t>
      </w:r>
    </w:p>
    <w:p>
      <w:pPr>
        <w:widowControl/>
        <w:autoSpaceDE w:val="0"/>
        <w:autoSpaceDN w:val="0"/>
        <w:snapToGrid w:val="0"/>
        <w:spacing w:line="400" w:lineRule="exact"/>
        <w:rPr>
          <w:b/>
          <w:bCs/>
          <w:color w:val="auto"/>
          <w:kern w:val="0"/>
          <w:sz w:val="24"/>
          <w:highlight w:val="none"/>
        </w:rPr>
      </w:pPr>
      <w:r>
        <w:rPr>
          <w:b/>
          <w:bCs/>
          <w:color w:val="auto"/>
          <w:kern w:val="0"/>
          <w:sz w:val="24"/>
          <w:highlight w:val="none"/>
        </w:rPr>
        <w:t>1.设备用途</w:t>
      </w:r>
    </w:p>
    <w:p>
      <w:pPr>
        <w:pStyle w:val="28"/>
        <w:spacing w:line="400" w:lineRule="exact"/>
        <w:ind w:firstLine="480" w:firstLineChars="200"/>
        <w:rPr>
          <w:rFonts w:ascii="Times New Roman"/>
          <w:color w:val="auto"/>
          <w:highlight w:val="none"/>
          <w:lang w:val="zh-CN"/>
        </w:rPr>
      </w:pPr>
      <w:r>
        <w:rPr>
          <w:rFonts w:ascii="Times New Roman"/>
          <w:color w:val="auto"/>
          <w:highlight w:val="none"/>
          <w:lang w:val="zh-CN"/>
        </w:rPr>
        <w:t>用于不同粒径固体样品的快速、可重复性分离。</w:t>
      </w:r>
    </w:p>
    <w:p>
      <w:pPr>
        <w:widowControl/>
        <w:autoSpaceDE w:val="0"/>
        <w:autoSpaceDN w:val="0"/>
        <w:snapToGrid w:val="0"/>
        <w:spacing w:line="400" w:lineRule="exact"/>
        <w:rPr>
          <w:b/>
          <w:bCs/>
          <w:color w:val="auto"/>
          <w:kern w:val="0"/>
          <w:sz w:val="24"/>
          <w:highlight w:val="none"/>
        </w:rPr>
      </w:pPr>
      <w:r>
        <w:rPr>
          <w:b/>
          <w:bCs/>
          <w:color w:val="auto"/>
          <w:kern w:val="0"/>
          <w:sz w:val="24"/>
          <w:highlight w:val="none"/>
        </w:rPr>
        <w:t>2.工作环境</w:t>
      </w:r>
    </w:p>
    <w:p>
      <w:pPr>
        <w:pStyle w:val="28"/>
        <w:spacing w:line="400" w:lineRule="exact"/>
        <w:rPr>
          <w:rFonts w:ascii="Times New Roman"/>
          <w:color w:val="auto"/>
          <w:highlight w:val="none"/>
          <w:lang w:val="zh-CN"/>
        </w:rPr>
      </w:pPr>
      <w:r>
        <w:rPr>
          <w:rFonts w:ascii="Times New Roman"/>
          <w:color w:val="auto"/>
          <w:highlight w:val="none"/>
          <w:lang w:val="zh-CN"/>
        </w:rPr>
        <w:t>2.1电源：AC 220V±10%，50（±1）Hz；</w:t>
      </w:r>
    </w:p>
    <w:p>
      <w:pPr>
        <w:pStyle w:val="28"/>
        <w:spacing w:line="400" w:lineRule="exact"/>
        <w:rPr>
          <w:rFonts w:ascii="Times New Roman"/>
          <w:color w:val="auto"/>
          <w:highlight w:val="none"/>
          <w:lang w:val="zh-CN"/>
        </w:rPr>
      </w:pPr>
      <w:r>
        <w:rPr>
          <w:rFonts w:ascii="Times New Roman"/>
          <w:color w:val="auto"/>
          <w:highlight w:val="none"/>
          <w:lang w:val="zh-CN"/>
        </w:rPr>
        <w:t>2.2温度：10-40</w:t>
      </w:r>
      <w:r>
        <w:rPr>
          <w:rFonts w:ascii="Times New Roman"/>
          <w:color w:val="auto"/>
          <w:highlight w:val="none"/>
          <w:lang w:val="zh-CN"/>
        </w:rPr>
        <w:sym w:font="Symbol" w:char="F0B0"/>
      </w:r>
      <w:r>
        <w:rPr>
          <w:rFonts w:ascii="Times New Roman"/>
          <w:color w:val="auto"/>
          <w:highlight w:val="none"/>
          <w:lang w:val="zh-CN"/>
        </w:rPr>
        <w:t>C；</w:t>
      </w:r>
    </w:p>
    <w:p>
      <w:pPr>
        <w:pStyle w:val="28"/>
        <w:spacing w:line="400" w:lineRule="exact"/>
        <w:rPr>
          <w:rFonts w:ascii="Times New Roman"/>
          <w:color w:val="auto"/>
          <w:highlight w:val="none"/>
          <w:lang w:val="zh-CN"/>
        </w:rPr>
      </w:pPr>
      <w:r>
        <w:rPr>
          <w:rFonts w:ascii="Times New Roman"/>
          <w:color w:val="auto"/>
          <w:highlight w:val="none"/>
          <w:lang w:val="zh-CN"/>
        </w:rPr>
        <w:t>2.3湿度：20%-80%。</w:t>
      </w:r>
    </w:p>
    <w:p>
      <w:pPr>
        <w:autoSpaceDE w:val="0"/>
        <w:autoSpaceDN w:val="0"/>
        <w:adjustRightInd w:val="0"/>
        <w:spacing w:line="400" w:lineRule="exact"/>
        <w:rPr>
          <w:b/>
          <w:bCs/>
          <w:color w:val="auto"/>
          <w:sz w:val="24"/>
          <w:highlight w:val="none"/>
        </w:rPr>
      </w:pPr>
      <w:r>
        <w:rPr>
          <w:b/>
          <w:bCs/>
          <w:color w:val="auto"/>
          <w:sz w:val="24"/>
          <w:highlight w:val="none"/>
        </w:rPr>
        <w:t>3.技术要求</w:t>
      </w:r>
    </w:p>
    <w:p>
      <w:pPr>
        <w:pStyle w:val="28"/>
        <w:spacing w:line="400" w:lineRule="exact"/>
        <w:rPr>
          <w:rFonts w:ascii="Times New Roman"/>
          <w:color w:val="auto"/>
          <w:highlight w:val="none"/>
          <w:lang w:val="zh-CN"/>
        </w:rPr>
      </w:pPr>
      <w:r>
        <w:rPr>
          <w:rFonts w:ascii="Times New Roman"/>
          <w:color w:val="auto"/>
          <w:highlight w:val="none"/>
          <w:lang w:val="zh-CN"/>
        </w:rPr>
        <w:t>3.1工作原理：振荡筛分仪的筛分系统在电磁驱动系统的精确控制下，产生驱动动力。样品在筛分仪的三维振荡下，小于筛子孔径的样品依次下落，每个筛子得到所对应尺寸的样品，从而完成样品的分级</w:t>
      </w:r>
      <w:r>
        <w:rPr>
          <w:rFonts w:hint="eastAsia" w:ascii="Times New Roman"/>
          <w:color w:val="auto"/>
          <w:highlight w:val="none"/>
          <w:lang w:val="zh-CN"/>
        </w:rPr>
        <w:t>。</w:t>
      </w:r>
    </w:p>
    <w:p>
      <w:pPr>
        <w:pStyle w:val="28"/>
        <w:spacing w:line="400" w:lineRule="exact"/>
        <w:rPr>
          <w:rFonts w:ascii="Times New Roman"/>
          <w:color w:val="auto"/>
          <w:highlight w:val="none"/>
          <w:lang w:val="zh-CN"/>
        </w:rPr>
      </w:pPr>
      <w:r>
        <w:rPr>
          <w:rFonts w:ascii="Times New Roman"/>
          <w:color w:val="auto"/>
          <w:highlight w:val="none"/>
          <w:lang w:val="zh-CN"/>
        </w:rPr>
        <w:t>3.2筛分范围：20μm-40mm；</w:t>
      </w:r>
    </w:p>
    <w:p>
      <w:pPr>
        <w:pStyle w:val="28"/>
        <w:spacing w:line="400" w:lineRule="exact"/>
        <w:rPr>
          <w:rFonts w:ascii="Times New Roman"/>
          <w:color w:val="auto"/>
          <w:highlight w:val="none"/>
          <w:lang w:val="zh-CN"/>
        </w:rPr>
      </w:pPr>
      <w:r>
        <w:rPr>
          <w:rFonts w:ascii="Times New Roman"/>
          <w:color w:val="auto"/>
          <w:highlight w:val="none"/>
          <w:lang w:val="zh-CN"/>
        </w:rPr>
        <w:t>3.3样品处理量：最大6kg；</w:t>
      </w:r>
    </w:p>
    <w:p>
      <w:pPr>
        <w:pStyle w:val="28"/>
        <w:spacing w:line="400" w:lineRule="exact"/>
        <w:rPr>
          <w:rFonts w:ascii="Times New Roman"/>
          <w:color w:val="auto"/>
          <w:highlight w:val="none"/>
          <w:lang w:val="zh-CN"/>
        </w:rPr>
      </w:pPr>
      <w:r>
        <w:rPr>
          <w:rFonts w:ascii="Times New Roman"/>
          <w:color w:val="auto"/>
          <w:highlight w:val="none"/>
          <w:lang w:val="zh-CN"/>
        </w:rPr>
        <w:t>3.4最大分析筛级数：≥9级；</w:t>
      </w:r>
    </w:p>
    <w:p>
      <w:pPr>
        <w:pStyle w:val="28"/>
        <w:spacing w:line="400" w:lineRule="exact"/>
        <w:rPr>
          <w:rFonts w:ascii="Times New Roman"/>
          <w:color w:val="auto"/>
          <w:highlight w:val="none"/>
          <w:lang w:val="zh-CN"/>
        </w:rPr>
      </w:pPr>
      <w:r>
        <w:rPr>
          <w:rFonts w:hint="eastAsia"/>
          <w:color w:val="auto"/>
          <w:highlight w:val="none"/>
        </w:rPr>
        <w:t>★</w:t>
      </w:r>
      <w:r>
        <w:rPr>
          <w:rFonts w:ascii="Times New Roman"/>
          <w:color w:val="auto"/>
          <w:highlight w:val="none"/>
          <w:lang w:val="zh-CN"/>
        </w:rPr>
        <w:t>3.5分析筛盘直径：300mm；</w:t>
      </w:r>
    </w:p>
    <w:p>
      <w:pPr>
        <w:pStyle w:val="28"/>
        <w:spacing w:line="400" w:lineRule="exact"/>
        <w:rPr>
          <w:rFonts w:ascii="Times New Roman"/>
          <w:color w:val="auto"/>
          <w:highlight w:val="none"/>
          <w:lang w:val="zh-CN"/>
        </w:rPr>
      </w:pPr>
      <w:r>
        <w:rPr>
          <w:rFonts w:ascii="Times New Roman"/>
          <w:color w:val="auto"/>
          <w:highlight w:val="none"/>
          <w:lang w:val="zh-CN"/>
        </w:rPr>
        <w:t>3.6筛分时间：数字显示1min-99min，可设置间歇时间5s-99s；</w:t>
      </w:r>
    </w:p>
    <w:p>
      <w:pPr>
        <w:pStyle w:val="28"/>
        <w:spacing w:line="400" w:lineRule="exact"/>
        <w:rPr>
          <w:rFonts w:ascii="Times New Roman"/>
          <w:color w:val="auto"/>
          <w:highlight w:val="none"/>
          <w:lang w:val="zh-CN"/>
        </w:rPr>
      </w:pPr>
      <w:r>
        <w:rPr>
          <w:rFonts w:ascii="Times New Roman"/>
          <w:color w:val="auto"/>
          <w:highlight w:val="none"/>
          <w:lang w:val="zh-CN"/>
        </w:rPr>
        <w:t>*3.7振幅范围：0.2-3mm；</w:t>
      </w:r>
    </w:p>
    <w:p>
      <w:pPr>
        <w:pStyle w:val="28"/>
        <w:spacing w:line="400" w:lineRule="exact"/>
        <w:rPr>
          <w:rFonts w:ascii="Times New Roman"/>
          <w:color w:val="auto"/>
          <w:highlight w:val="none"/>
          <w:lang w:val="zh-CN"/>
        </w:rPr>
      </w:pPr>
      <w:r>
        <w:rPr>
          <w:rFonts w:ascii="Times New Roman"/>
          <w:color w:val="auto"/>
          <w:highlight w:val="none"/>
          <w:lang w:val="zh-CN"/>
        </w:rPr>
        <w:t>3.8筛分方式：干筛；</w:t>
      </w:r>
    </w:p>
    <w:p>
      <w:pPr>
        <w:pStyle w:val="28"/>
        <w:spacing w:line="400" w:lineRule="exact"/>
        <w:rPr>
          <w:rFonts w:ascii="Times New Roman"/>
          <w:color w:val="auto"/>
          <w:highlight w:val="none"/>
          <w:lang w:val="zh-CN"/>
        </w:rPr>
      </w:pPr>
      <w:r>
        <w:rPr>
          <w:rFonts w:ascii="Times New Roman"/>
          <w:color w:val="auto"/>
          <w:highlight w:val="none"/>
          <w:lang w:val="zh-CN"/>
        </w:rPr>
        <w:t>*3.9 高清液晶触摸显示屏，可储存≥9组参数组合，具有参数锁定功能；</w:t>
      </w:r>
    </w:p>
    <w:p>
      <w:pPr>
        <w:pStyle w:val="28"/>
        <w:spacing w:line="400" w:lineRule="exact"/>
        <w:rPr>
          <w:rFonts w:ascii="Times New Roman"/>
          <w:color w:val="auto"/>
          <w:highlight w:val="none"/>
          <w:lang w:val="zh-CN"/>
        </w:rPr>
      </w:pPr>
      <w:r>
        <w:rPr>
          <w:rFonts w:ascii="Times New Roman"/>
          <w:color w:val="auto"/>
          <w:highlight w:val="none"/>
          <w:lang w:val="zh-CN"/>
        </w:rPr>
        <w:t>3.10具有舒适型紧固装置带双重锁定开启功能（只需在顶部的手柄处向下一按，就能安全、快速的锁紧固定好分析筛，向上一按，就能快速解锁分析筛）；</w:t>
      </w:r>
    </w:p>
    <w:p>
      <w:pPr>
        <w:pStyle w:val="28"/>
        <w:spacing w:line="400" w:lineRule="exact"/>
        <w:rPr>
          <w:rFonts w:ascii="Times New Roman"/>
          <w:color w:val="auto"/>
          <w:highlight w:val="none"/>
          <w:lang w:val="zh-CN"/>
        </w:rPr>
      </w:pPr>
      <w:r>
        <w:rPr>
          <w:rFonts w:ascii="Times New Roman"/>
          <w:color w:val="auto"/>
          <w:highlight w:val="none"/>
          <w:lang w:val="zh-CN"/>
        </w:rPr>
        <w:t>*3.11配称量数据软件，实现自动化的操作，通过电脑对筛分仪的整个筛分过程进行监控和记录，并自动分析结果；</w:t>
      </w:r>
    </w:p>
    <w:p>
      <w:pPr>
        <w:pStyle w:val="28"/>
        <w:spacing w:line="400" w:lineRule="exact"/>
        <w:rPr>
          <w:rFonts w:ascii="Times New Roman"/>
          <w:color w:val="auto"/>
          <w:highlight w:val="none"/>
          <w:lang w:val="zh-CN"/>
        </w:rPr>
      </w:pPr>
      <w:r>
        <w:rPr>
          <w:rFonts w:ascii="Times New Roman"/>
          <w:color w:val="auto"/>
          <w:highlight w:val="none"/>
          <w:lang w:val="zh-CN"/>
        </w:rPr>
        <w:t>3.12仪器制造厂家必须有ISO认证，仪器须通过CE认证（需提供相关认证证书）。</w:t>
      </w:r>
    </w:p>
    <w:p>
      <w:pPr>
        <w:adjustRightInd w:val="0"/>
        <w:snapToGrid w:val="0"/>
        <w:spacing w:line="400" w:lineRule="exact"/>
        <w:rPr>
          <w:b/>
          <w:color w:val="auto"/>
          <w:sz w:val="24"/>
          <w:highlight w:val="none"/>
        </w:rPr>
      </w:pPr>
      <w:r>
        <w:rPr>
          <w:b/>
          <w:color w:val="auto"/>
          <w:sz w:val="24"/>
          <w:highlight w:val="none"/>
        </w:rPr>
        <w:t>4. 仪器配置</w:t>
      </w:r>
    </w:p>
    <w:p>
      <w:pPr>
        <w:pStyle w:val="28"/>
        <w:spacing w:line="400" w:lineRule="exact"/>
        <w:rPr>
          <w:rFonts w:ascii="Times New Roman"/>
          <w:color w:val="auto"/>
          <w:highlight w:val="none"/>
          <w:lang w:val="zh-CN"/>
        </w:rPr>
      </w:pPr>
      <w:r>
        <w:rPr>
          <w:rFonts w:ascii="Times New Roman"/>
          <w:color w:val="auto"/>
          <w:highlight w:val="none"/>
          <w:lang w:val="zh-CN"/>
        </w:rPr>
        <w:t>4.1筛分仪主机 1台</w:t>
      </w:r>
    </w:p>
    <w:p>
      <w:pPr>
        <w:pStyle w:val="28"/>
        <w:spacing w:line="400" w:lineRule="exact"/>
        <w:rPr>
          <w:rFonts w:ascii="Times New Roman"/>
          <w:color w:val="auto"/>
          <w:highlight w:val="none"/>
          <w:lang w:val="zh-CN"/>
        </w:rPr>
      </w:pPr>
      <w:r>
        <w:rPr>
          <w:rFonts w:ascii="Times New Roman"/>
          <w:color w:val="auto"/>
          <w:highlight w:val="none"/>
          <w:lang w:val="zh-CN"/>
        </w:rPr>
        <w:t>4.2干筛舒适型紧固装置带双重锁定开启功能及筛盖 1套</w:t>
      </w:r>
    </w:p>
    <w:p>
      <w:pPr>
        <w:pStyle w:val="28"/>
        <w:spacing w:line="400" w:lineRule="exact"/>
        <w:rPr>
          <w:rFonts w:ascii="Times New Roman"/>
          <w:color w:val="auto"/>
          <w:highlight w:val="none"/>
          <w:lang w:val="zh-CN"/>
        </w:rPr>
      </w:pPr>
      <w:r>
        <w:rPr>
          <w:rFonts w:ascii="Times New Roman"/>
          <w:color w:val="auto"/>
          <w:highlight w:val="none"/>
          <w:lang w:val="zh-CN"/>
        </w:rPr>
        <w:t>4.3分析筛 3套（每套含孔径分别为10mm、7mm、5mm、3mm、1mm、0.5mm、0.25mm直径20cm、高5cm的尼龙制分析筛各一个，收集盘两个）</w:t>
      </w:r>
    </w:p>
    <w:p>
      <w:pPr>
        <w:widowControl/>
        <w:autoSpaceDE w:val="0"/>
        <w:autoSpaceDN w:val="0"/>
        <w:snapToGrid w:val="0"/>
        <w:spacing w:line="400" w:lineRule="exact"/>
        <w:rPr>
          <w:b/>
          <w:bCs/>
          <w:color w:val="auto"/>
          <w:kern w:val="0"/>
          <w:sz w:val="24"/>
          <w:highlight w:val="none"/>
        </w:rPr>
      </w:pPr>
      <w:r>
        <w:rPr>
          <w:b/>
          <w:bCs/>
          <w:color w:val="auto"/>
          <w:kern w:val="0"/>
          <w:sz w:val="24"/>
          <w:highlight w:val="none"/>
        </w:rPr>
        <w:t>5.技术服务</w:t>
      </w:r>
    </w:p>
    <w:p>
      <w:pPr>
        <w:pStyle w:val="28"/>
        <w:spacing w:line="400" w:lineRule="exact"/>
        <w:rPr>
          <w:rFonts w:ascii="Times New Roman"/>
          <w:color w:val="auto"/>
          <w:highlight w:val="none"/>
          <w:lang w:val="zh-CN"/>
        </w:rPr>
      </w:pPr>
      <w:r>
        <w:rPr>
          <w:rFonts w:ascii="Times New Roman"/>
          <w:color w:val="auto"/>
          <w:highlight w:val="none"/>
          <w:lang w:val="zh-CN"/>
        </w:rPr>
        <w:t>5.1保证产品为全新原厂设备。</w:t>
      </w:r>
    </w:p>
    <w:p>
      <w:pPr>
        <w:pStyle w:val="28"/>
        <w:spacing w:line="400" w:lineRule="exact"/>
        <w:rPr>
          <w:rFonts w:ascii="Times New Roman"/>
          <w:color w:val="auto"/>
          <w:highlight w:val="none"/>
          <w:lang w:val="zh-CN"/>
        </w:rPr>
      </w:pPr>
      <w:r>
        <w:rPr>
          <w:rFonts w:ascii="Times New Roman"/>
          <w:color w:val="auto"/>
          <w:highlight w:val="none"/>
          <w:lang w:val="zh-CN"/>
        </w:rPr>
        <w:t>5.2保修服务：自验收合格起，厂家向用户提供至少1年的免费保修服务。保修期内所有服务免费，一切配件、耗材免费到场更换。保修期外，能更及时地为用户提供备品备件。</w:t>
      </w:r>
    </w:p>
    <w:p>
      <w:pPr>
        <w:pStyle w:val="28"/>
        <w:spacing w:line="400" w:lineRule="exact"/>
        <w:rPr>
          <w:rFonts w:ascii="Times New Roman"/>
          <w:color w:val="auto"/>
          <w:highlight w:val="none"/>
          <w:lang w:val="zh-CN"/>
        </w:rPr>
      </w:pPr>
      <w:r>
        <w:rPr>
          <w:rFonts w:ascii="Times New Roman"/>
          <w:color w:val="auto"/>
          <w:highlight w:val="none"/>
          <w:lang w:val="zh-CN"/>
        </w:rPr>
        <w:t>5.3仪器安装验收：供货商在接到用户安装通知后，须在10工作日内安排有经验的工程师到现场安装仪器，并在</w:t>
      </w:r>
      <w:r>
        <w:rPr>
          <w:rFonts w:hint="eastAsia" w:ascii="Times New Roman"/>
          <w:color w:val="auto"/>
          <w:highlight w:val="none"/>
        </w:rPr>
        <w:t>3</w:t>
      </w:r>
      <w:r>
        <w:rPr>
          <w:rFonts w:ascii="Times New Roman"/>
          <w:color w:val="auto"/>
          <w:highlight w:val="none"/>
          <w:lang w:val="zh-CN"/>
        </w:rPr>
        <w:t>0工作日内安装、调试完毕，进行操作试验，直至运行正常并验收确认。</w:t>
      </w:r>
    </w:p>
    <w:p>
      <w:pPr>
        <w:pStyle w:val="28"/>
        <w:spacing w:line="400" w:lineRule="exact"/>
        <w:rPr>
          <w:rFonts w:ascii="Times New Roman"/>
          <w:color w:val="auto"/>
          <w:highlight w:val="none"/>
          <w:lang w:val="zh-CN"/>
        </w:rPr>
      </w:pPr>
      <w:r>
        <w:rPr>
          <w:rFonts w:ascii="Times New Roman"/>
          <w:color w:val="auto"/>
          <w:highlight w:val="none"/>
          <w:lang w:val="zh-CN"/>
        </w:rPr>
        <w:t>5.4质量及验收标准：技术指标符合买方要求和厂家规定的出厂要求。如未通过验收，应视情节更换部件或主机，直至退货。</w:t>
      </w:r>
    </w:p>
    <w:p>
      <w:pPr>
        <w:pStyle w:val="28"/>
        <w:spacing w:line="400" w:lineRule="exact"/>
        <w:rPr>
          <w:rFonts w:ascii="Times New Roman"/>
          <w:color w:val="auto"/>
          <w:highlight w:val="none"/>
          <w:lang w:val="zh-CN"/>
        </w:rPr>
      </w:pPr>
      <w:r>
        <w:rPr>
          <w:rFonts w:ascii="Times New Roman"/>
          <w:color w:val="auto"/>
          <w:highlight w:val="none"/>
          <w:lang w:val="zh-CN"/>
        </w:rPr>
        <w:t>5.5培训：仪器安装现场对2名以上仪器操作人员提供免费的上机操作及日常维护培训，至使用者会操作、使用仪器为止。</w:t>
      </w:r>
    </w:p>
    <w:p>
      <w:pPr>
        <w:pStyle w:val="28"/>
        <w:spacing w:line="400" w:lineRule="exact"/>
        <w:rPr>
          <w:rFonts w:ascii="Times New Roman"/>
          <w:color w:val="auto"/>
          <w:highlight w:val="none"/>
          <w:lang w:val="zh-CN"/>
        </w:rPr>
      </w:pPr>
      <w:r>
        <w:rPr>
          <w:rFonts w:ascii="Times New Roman"/>
          <w:color w:val="auto"/>
          <w:highlight w:val="none"/>
          <w:lang w:val="zh-CN"/>
        </w:rPr>
        <w:t>5.6制造厂家应保证用户能得到快捷、完善的售后服务；服务响应时间不大于24小时，故障可以在48小时内到现场维修。</w:t>
      </w:r>
    </w:p>
    <w:p>
      <w:pPr>
        <w:pStyle w:val="28"/>
        <w:spacing w:line="400" w:lineRule="exact"/>
        <w:rPr>
          <w:color w:val="auto"/>
          <w:highlight w:val="none"/>
        </w:rPr>
      </w:pPr>
      <w:r>
        <w:rPr>
          <w:rFonts w:ascii="Times New Roman"/>
          <w:color w:val="auto"/>
          <w:highlight w:val="none"/>
          <w:lang w:val="zh-CN"/>
        </w:rPr>
        <w:t>备注：带“*”号的为必须满足指标，与技术性能指标一起做为验收指标。</w:t>
      </w:r>
    </w:p>
    <w:p>
      <w:pPr>
        <w:pStyle w:val="718"/>
        <w:widowControl/>
        <w:numPr>
          <w:ilvl w:val="0"/>
          <w:numId w:val="17"/>
        </w:numPr>
        <w:autoSpaceDE w:val="0"/>
        <w:autoSpaceDN w:val="0"/>
        <w:snapToGrid w:val="0"/>
        <w:spacing w:line="440" w:lineRule="exact"/>
        <w:ind w:firstLineChars="0"/>
        <w:contextualSpacing/>
        <w:rPr>
          <w:color w:val="auto"/>
          <w:highlight w:val="none"/>
        </w:rPr>
      </w:pPr>
      <w:r>
        <w:rPr>
          <w:rFonts w:hint="eastAsia"/>
          <w:color w:val="auto"/>
          <w:highlight w:val="none"/>
        </w:rPr>
        <w:t>恒温恒湿称重系统</w:t>
      </w:r>
    </w:p>
    <w:p>
      <w:pPr>
        <w:widowControl/>
        <w:autoSpaceDE w:val="0"/>
        <w:autoSpaceDN w:val="0"/>
        <w:snapToGrid w:val="0"/>
        <w:spacing w:line="400" w:lineRule="exact"/>
        <w:contextualSpacing/>
        <w:rPr>
          <w:b/>
          <w:color w:val="auto"/>
          <w:kern w:val="0"/>
          <w:sz w:val="24"/>
          <w:highlight w:val="none"/>
        </w:rPr>
      </w:pPr>
      <w:r>
        <w:rPr>
          <w:b/>
          <w:color w:val="auto"/>
          <w:kern w:val="0"/>
          <w:sz w:val="24"/>
          <w:highlight w:val="none"/>
        </w:rPr>
        <w:t>1.设备用途</w:t>
      </w:r>
    </w:p>
    <w:p>
      <w:pPr>
        <w:widowControl/>
        <w:shd w:val="clear" w:color="auto" w:fill="FFFFFF"/>
        <w:snapToGrid w:val="0"/>
        <w:spacing w:line="400" w:lineRule="exact"/>
        <w:ind w:firstLine="480" w:firstLineChars="200"/>
        <w:contextualSpacing/>
        <w:rPr>
          <w:color w:val="auto"/>
          <w:kern w:val="0"/>
          <w:sz w:val="24"/>
          <w:highlight w:val="none"/>
        </w:rPr>
      </w:pPr>
      <w:r>
        <w:rPr>
          <w:color w:val="auto"/>
          <w:kern w:val="0"/>
          <w:sz w:val="24"/>
          <w:highlight w:val="none"/>
          <w:lang w:val="zh-CN"/>
        </w:rPr>
        <w:t>用于</w:t>
      </w:r>
      <w:r>
        <w:rPr>
          <w:rFonts w:hint="eastAsia"/>
          <w:color w:val="auto"/>
          <w:kern w:val="0"/>
          <w:sz w:val="24"/>
          <w:highlight w:val="none"/>
          <w:lang w:val="zh-CN"/>
        </w:rPr>
        <w:t>样品的称量</w:t>
      </w:r>
      <w:r>
        <w:rPr>
          <w:color w:val="auto"/>
          <w:kern w:val="0"/>
          <w:sz w:val="24"/>
          <w:highlight w:val="none"/>
          <w:lang w:val="zh-CN"/>
        </w:rPr>
        <w:t>。</w:t>
      </w:r>
    </w:p>
    <w:p>
      <w:pPr>
        <w:widowControl/>
        <w:autoSpaceDE w:val="0"/>
        <w:autoSpaceDN w:val="0"/>
        <w:snapToGrid w:val="0"/>
        <w:spacing w:line="400" w:lineRule="exact"/>
        <w:rPr>
          <w:b/>
          <w:bCs/>
          <w:color w:val="auto"/>
          <w:kern w:val="0"/>
          <w:sz w:val="24"/>
          <w:highlight w:val="none"/>
        </w:rPr>
      </w:pPr>
      <w:r>
        <w:rPr>
          <w:b/>
          <w:bCs/>
          <w:color w:val="auto"/>
          <w:kern w:val="0"/>
          <w:sz w:val="24"/>
          <w:highlight w:val="none"/>
        </w:rPr>
        <w:t>2.工作环境</w:t>
      </w:r>
    </w:p>
    <w:p>
      <w:pPr>
        <w:widowControl/>
        <w:shd w:val="clear" w:color="auto" w:fill="FFFFFF"/>
        <w:snapToGrid w:val="0"/>
        <w:spacing w:line="400" w:lineRule="exact"/>
        <w:contextualSpacing/>
        <w:rPr>
          <w:color w:val="auto"/>
          <w:kern w:val="0"/>
          <w:sz w:val="24"/>
          <w:highlight w:val="none"/>
          <w:lang w:val="zh-CN"/>
        </w:rPr>
      </w:pPr>
      <w:r>
        <w:rPr>
          <w:color w:val="auto"/>
          <w:kern w:val="0"/>
          <w:sz w:val="24"/>
          <w:highlight w:val="none"/>
          <w:lang w:val="zh-CN"/>
        </w:rPr>
        <w:t>2.1电源：AC 220V±10%，50（±1）Hz；</w:t>
      </w:r>
    </w:p>
    <w:p>
      <w:pPr>
        <w:widowControl/>
        <w:shd w:val="clear" w:color="auto" w:fill="FFFFFF"/>
        <w:snapToGrid w:val="0"/>
        <w:spacing w:line="400" w:lineRule="exact"/>
        <w:contextualSpacing/>
        <w:rPr>
          <w:color w:val="auto"/>
          <w:kern w:val="0"/>
          <w:sz w:val="24"/>
          <w:highlight w:val="none"/>
          <w:lang w:val="zh-CN"/>
        </w:rPr>
      </w:pPr>
      <w:r>
        <w:rPr>
          <w:color w:val="auto"/>
          <w:kern w:val="0"/>
          <w:sz w:val="24"/>
          <w:highlight w:val="none"/>
          <w:lang w:val="zh-CN"/>
        </w:rPr>
        <w:t>2.2温度：10-40</w:t>
      </w:r>
      <w:r>
        <w:rPr>
          <w:color w:val="auto"/>
          <w:kern w:val="0"/>
          <w:sz w:val="24"/>
          <w:highlight w:val="none"/>
          <w:lang w:val="zh-CN"/>
        </w:rPr>
        <w:sym w:font="Symbol" w:char="F0B0"/>
      </w:r>
      <w:r>
        <w:rPr>
          <w:color w:val="auto"/>
          <w:kern w:val="0"/>
          <w:sz w:val="24"/>
          <w:highlight w:val="none"/>
          <w:lang w:val="zh-CN"/>
        </w:rPr>
        <w:t>C；</w:t>
      </w:r>
    </w:p>
    <w:p>
      <w:pPr>
        <w:widowControl/>
        <w:shd w:val="clear" w:color="auto" w:fill="FFFFFF"/>
        <w:snapToGrid w:val="0"/>
        <w:spacing w:line="400" w:lineRule="exact"/>
        <w:contextualSpacing/>
        <w:rPr>
          <w:color w:val="auto"/>
          <w:kern w:val="0"/>
          <w:sz w:val="24"/>
          <w:highlight w:val="none"/>
          <w:lang w:val="zh-CN"/>
        </w:rPr>
      </w:pPr>
      <w:r>
        <w:rPr>
          <w:color w:val="auto"/>
          <w:kern w:val="0"/>
          <w:sz w:val="24"/>
          <w:highlight w:val="none"/>
          <w:lang w:val="zh-CN"/>
        </w:rPr>
        <w:t>2.3湿度：20%-80%。</w:t>
      </w:r>
    </w:p>
    <w:p>
      <w:pPr>
        <w:widowControl/>
        <w:autoSpaceDE w:val="0"/>
        <w:autoSpaceDN w:val="0"/>
        <w:snapToGrid w:val="0"/>
        <w:spacing w:line="400" w:lineRule="exact"/>
        <w:contextualSpacing/>
        <w:rPr>
          <w:color w:val="auto"/>
          <w:sz w:val="24"/>
          <w:highlight w:val="none"/>
        </w:rPr>
      </w:pPr>
      <w:r>
        <w:rPr>
          <w:b/>
          <w:color w:val="auto"/>
          <w:kern w:val="0"/>
          <w:sz w:val="24"/>
          <w:highlight w:val="none"/>
        </w:rPr>
        <w:t>3.技术要求</w:t>
      </w:r>
    </w:p>
    <w:p>
      <w:pPr>
        <w:widowControl/>
        <w:shd w:val="clear" w:color="auto" w:fill="FFFFFF"/>
        <w:snapToGrid w:val="0"/>
        <w:spacing w:line="400" w:lineRule="exact"/>
        <w:contextualSpacing/>
        <w:rPr>
          <w:color w:val="auto"/>
          <w:kern w:val="0"/>
          <w:sz w:val="24"/>
          <w:highlight w:val="none"/>
          <w:lang w:val="zh-CN"/>
        </w:rPr>
      </w:pPr>
      <w:r>
        <w:rPr>
          <w:rFonts w:hint="eastAsia"/>
          <w:color w:val="auto"/>
          <w:sz w:val="24"/>
          <w:highlight w:val="none"/>
        </w:rPr>
        <w:t>★</w:t>
      </w:r>
      <w:r>
        <w:rPr>
          <w:color w:val="auto"/>
          <w:kern w:val="0"/>
          <w:sz w:val="24"/>
          <w:highlight w:val="none"/>
        </w:rPr>
        <w:t>3.1</w:t>
      </w:r>
      <w:r>
        <w:rPr>
          <w:color w:val="auto"/>
          <w:kern w:val="0"/>
          <w:sz w:val="24"/>
          <w:highlight w:val="none"/>
          <w:lang w:val="zh-CN"/>
        </w:rPr>
        <w:t>温度范围：5-60℃，可任意一点设置温度</w:t>
      </w:r>
      <w:r>
        <w:rPr>
          <w:rFonts w:hint="eastAsia"/>
          <w:color w:val="auto"/>
          <w:kern w:val="0"/>
          <w:sz w:val="24"/>
          <w:highlight w:val="none"/>
          <w:lang w:val="zh-CN"/>
        </w:rPr>
        <w:t>；</w:t>
      </w:r>
    </w:p>
    <w:p>
      <w:pPr>
        <w:widowControl/>
        <w:shd w:val="clear" w:color="auto" w:fill="FFFFFF"/>
        <w:snapToGrid w:val="0"/>
        <w:spacing w:line="400" w:lineRule="exact"/>
        <w:contextualSpacing/>
        <w:rPr>
          <w:color w:val="auto"/>
          <w:kern w:val="0"/>
          <w:sz w:val="24"/>
          <w:highlight w:val="none"/>
          <w:lang w:val="zh-CN"/>
        </w:rPr>
      </w:pPr>
      <w:r>
        <w:rPr>
          <w:rFonts w:hint="eastAsia"/>
          <w:color w:val="auto"/>
          <w:sz w:val="24"/>
          <w:highlight w:val="none"/>
        </w:rPr>
        <w:t>★</w:t>
      </w:r>
      <w:r>
        <w:rPr>
          <w:color w:val="auto"/>
          <w:kern w:val="0"/>
          <w:sz w:val="24"/>
          <w:highlight w:val="none"/>
        </w:rPr>
        <w:t>3.2</w:t>
      </w:r>
      <w:r>
        <w:rPr>
          <w:color w:val="auto"/>
          <w:kern w:val="0"/>
          <w:sz w:val="24"/>
          <w:highlight w:val="none"/>
          <w:lang w:val="zh-CN"/>
        </w:rPr>
        <w:t>湿度范围：40%RH-90%RH，可任意一点设置</w:t>
      </w:r>
      <w:r>
        <w:rPr>
          <w:rFonts w:hint="eastAsia"/>
          <w:color w:val="auto"/>
          <w:kern w:val="0"/>
          <w:sz w:val="24"/>
          <w:highlight w:val="none"/>
          <w:lang w:val="zh-CN"/>
        </w:rPr>
        <w:t>；</w:t>
      </w:r>
    </w:p>
    <w:p>
      <w:pPr>
        <w:widowControl/>
        <w:shd w:val="clear" w:color="auto" w:fill="FFFFFF"/>
        <w:snapToGrid w:val="0"/>
        <w:spacing w:line="400" w:lineRule="exact"/>
        <w:contextualSpacing/>
        <w:rPr>
          <w:color w:val="auto"/>
          <w:kern w:val="0"/>
          <w:sz w:val="24"/>
          <w:highlight w:val="none"/>
          <w:lang w:val="zh-CN"/>
        </w:rPr>
      </w:pPr>
      <w:r>
        <w:rPr>
          <w:color w:val="auto"/>
          <w:highlight w:val="none"/>
          <w:lang w:val="zh-CN"/>
        </w:rPr>
        <w:t>*</w:t>
      </w:r>
      <w:r>
        <w:rPr>
          <w:color w:val="auto"/>
          <w:kern w:val="0"/>
          <w:sz w:val="24"/>
          <w:highlight w:val="none"/>
        </w:rPr>
        <w:t>3.3</w:t>
      </w:r>
      <w:r>
        <w:rPr>
          <w:color w:val="auto"/>
          <w:kern w:val="0"/>
          <w:sz w:val="24"/>
          <w:highlight w:val="none"/>
          <w:lang w:val="zh-CN"/>
        </w:rPr>
        <w:t>温度波动度：≤±0.2℃</w:t>
      </w:r>
      <w:r>
        <w:rPr>
          <w:rFonts w:hint="eastAsia"/>
          <w:color w:val="auto"/>
          <w:kern w:val="0"/>
          <w:sz w:val="24"/>
          <w:highlight w:val="none"/>
          <w:lang w:val="zh-CN"/>
        </w:rPr>
        <w:t>；</w:t>
      </w:r>
    </w:p>
    <w:p>
      <w:pPr>
        <w:widowControl/>
        <w:shd w:val="clear" w:color="auto" w:fill="FFFFFF"/>
        <w:snapToGrid w:val="0"/>
        <w:spacing w:line="400" w:lineRule="exact"/>
        <w:contextualSpacing/>
        <w:rPr>
          <w:color w:val="auto"/>
          <w:kern w:val="0"/>
          <w:sz w:val="24"/>
          <w:highlight w:val="none"/>
          <w:lang w:val="zh-CN"/>
        </w:rPr>
      </w:pPr>
      <w:r>
        <w:rPr>
          <w:color w:val="auto"/>
          <w:highlight w:val="none"/>
          <w:lang w:val="zh-CN"/>
        </w:rPr>
        <w:t>*</w:t>
      </w:r>
      <w:r>
        <w:rPr>
          <w:color w:val="auto"/>
          <w:kern w:val="0"/>
          <w:sz w:val="24"/>
          <w:highlight w:val="none"/>
        </w:rPr>
        <w:t>3.4</w:t>
      </w:r>
      <w:r>
        <w:rPr>
          <w:color w:val="auto"/>
          <w:kern w:val="0"/>
          <w:sz w:val="24"/>
          <w:highlight w:val="none"/>
          <w:lang w:val="zh-CN"/>
        </w:rPr>
        <w:t>温度均匀度</w:t>
      </w:r>
      <w:r>
        <w:rPr>
          <w:color w:val="auto"/>
          <w:kern w:val="0"/>
          <w:sz w:val="24"/>
          <w:highlight w:val="none"/>
          <w:lang w:val="zh-CN"/>
        </w:rPr>
        <w:tab/>
      </w:r>
      <w:r>
        <w:rPr>
          <w:color w:val="auto"/>
          <w:kern w:val="0"/>
          <w:sz w:val="24"/>
          <w:highlight w:val="none"/>
          <w:lang w:val="zh-CN"/>
        </w:rPr>
        <w:t>：≤±1℃</w:t>
      </w:r>
      <w:r>
        <w:rPr>
          <w:rFonts w:hint="eastAsia"/>
          <w:color w:val="auto"/>
          <w:kern w:val="0"/>
          <w:sz w:val="24"/>
          <w:highlight w:val="none"/>
          <w:lang w:val="zh-CN"/>
        </w:rPr>
        <w:t>；</w:t>
      </w:r>
    </w:p>
    <w:p>
      <w:pPr>
        <w:widowControl/>
        <w:shd w:val="clear" w:color="auto" w:fill="FFFFFF"/>
        <w:snapToGrid w:val="0"/>
        <w:spacing w:line="400" w:lineRule="exact"/>
        <w:contextualSpacing/>
        <w:rPr>
          <w:color w:val="auto"/>
          <w:kern w:val="0"/>
          <w:sz w:val="24"/>
          <w:highlight w:val="none"/>
          <w:lang w:val="zh-CN"/>
        </w:rPr>
      </w:pPr>
      <w:r>
        <w:rPr>
          <w:color w:val="auto"/>
          <w:highlight w:val="none"/>
          <w:lang w:val="zh-CN"/>
        </w:rPr>
        <w:t>*</w:t>
      </w:r>
      <w:r>
        <w:rPr>
          <w:color w:val="auto"/>
          <w:kern w:val="0"/>
          <w:sz w:val="24"/>
          <w:highlight w:val="none"/>
        </w:rPr>
        <w:t>3.5</w:t>
      </w:r>
      <w:r>
        <w:rPr>
          <w:color w:val="auto"/>
          <w:kern w:val="0"/>
          <w:sz w:val="24"/>
          <w:highlight w:val="none"/>
          <w:lang w:val="zh-CN"/>
        </w:rPr>
        <w:t>湿度波动度</w:t>
      </w:r>
      <w:r>
        <w:rPr>
          <w:color w:val="auto"/>
          <w:kern w:val="0"/>
          <w:sz w:val="24"/>
          <w:highlight w:val="none"/>
          <w:lang w:val="zh-CN"/>
        </w:rPr>
        <w:tab/>
      </w:r>
      <w:r>
        <w:rPr>
          <w:color w:val="auto"/>
          <w:kern w:val="0"/>
          <w:sz w:val="24"/>
          <w:highlight w:val="none"/>
          <w:lang w:val="zh-CN"/>
        </w:rPr>
        <w:t>≤：±3.0%RH</w:t>
      </w:r>
      <w:r>
        <w:rPr>
          <w:rFonts w:hint="eastAsia"/>
          <w:color w:val="auto"/>
          <w:kern w:val="0"/>
          <w:sz w:val="24"/>
          <w:highlight w:val="none"/>
          <w:lang w:val="zh-CN"/>
        </w:rPr>
        <w:t>；</w:t>
      </w:r>
    </w:p>
    <w:p>
      <w:pPr>
        <w:widowControl/>
        <w:shd w:val="clear" w:color="auto" w:fill="FFFFFF"/>
        <w:snapToGrid w:val="0"/>
        <w:spacing w:line="400" w:lineRule="exact"/>
        <w:contextualSpacing/>
        <w:rPr>
          <w:color w:val="auto"/>
          <w:kern w:val="0"/>
          <w:sz w:val="24"/>
          <w:highlight w:val="none"/>
          <w:lang w:val="zh-CN"/>
        </w:rPr>
      </w:pPr>
      <w:r>
        <w:rPr>
          <w:color w:val="auto"/>
          <w:highlight w:val="none"/>
          <w:lang w:val="zh-CN"/>
        </w:rPr>
        <w:t>*</w:t>
      </w:r>
      <w:r>
        <w:rPr>
          <w:color w:val="auto"/>
          <w:kern w:val="0"/>
          <w:sz w:val="24"/>
          <w:highlight w:val="none"/>
        </w:rPr>
        <w:t>3.6</w:t>
      </w:r>
      <w:r>
        <w:rPr>
          <w:color w:val="auto"/>
          <w:kern w:val="0"/>
          <w:sz w:val="24"/>
          <w:highlight w:val="none"/>
          <w:lang w:val="zh-CN"/>
        </w:rPr>
        <w:t>湿度均匀度</w:t>
      </w:r>
      <w:r>
        <w:rPr>
          <w:color w:val="auto"/>
          <w:kern w:val="0"/>
          <w:sz w:val="24"/>
          <w:highlight w:val="none"/>
          <w:lang w:val="zh-CN"/>
        </w:rPr>
        <w:tab/>
      </w:r>
      <w:r>
        <w:rPr>
          <w:color w:val="auto"/>
          <w:kern w:val="0"/>
          <w:sz w:val="24"/>
          <w:highlight w:val="none"/>
          <w:lang w:val="zh-CN"/>
        </w:rPr>
        <w:t>：≤±5.0%RH</w:t>
      </w:r>
      <w:r>
        <w:rPr>
          <w:rFonts w:hint="eastAsia"/>
          <w:color w:val="auto"/>
          <w:kern w:val="0"/>
          <w:sz w:val="24"/>
          <w:highlight w:val="none"/>
          <w:lang w:val="zh-CN"/>
        </w:rPr>
        <w:t>；</w:t>
      </w:r>
    </w:p>
    <w:p>
      <w:pPr>
        <w:widowControl/>
        <w:shd w:val="clear" w:color="auto" w:fill="FFFFFF"/>
        <w:snapToGrid w:val="0"/>
        <w:spacing w:line="400" w:lineRule="exact"/>
        <w:contextualSpacing/>
        <w:rPr>
          <w:color w:val="auto"/>
          <w:kern w:val="0"/>
          <w:sz w:val="24"/>
          <w:highlight w:val="none"/>
          <w:lang w:val="zh-CN"/>
        </w:rPr>
      </w:pPr>
      <w:r>
        <w:rPr>
          <w:color w:val="auto"/>
          <w:kern w:val="0"/>
          <w:sz w:val="24"/>
          <w:highlight w:val="none"/>
        </w:rPr>
        <w:t>3.7</w:t>
      </w:r>
      <w:r>
        <w:rPr>
          <w:color w:val="auto"/>
          <w:kern w:val="0"/>
          <w:sz w:val="24"/>
          <w:highlight w:val="none"/>
          <w:lang w:val="zh-CN"/>
        </w:rPr>
        <w:t>升降温速率：</w:t>
      </w:r>
      <w:r>
        <w:rPr>
          <w:color w:val="auto"/>
          <w:kern w:val="0"/>
          <w:sz w:val="24"/>
          <w:highlight w:val="none"/>
        </w:rPr>
        <w:t>≥</w:t>
      </w:r>
      <w:r>
        <w:rPr>
          <w:color w:val="auto"/>
          <w:kern w:val="0"/>
          <w:sz w:val="24"/>
          <w:highlight w:val="none"/>
          <w:lang w:val="zh-CN"/>
        </w:rPr>
        <w:t>（0.6-1.2）℃/min</w:t>
      </w:r>
      <w:r>
        <w:rPr>
          <w:rFonts w:hint="eastAsia"/>
          <w:color w:val="auto"/>
          <w:kern w:val="0"/>
          <w:sz w:val="24"/>
          <w:highlight w:val="none"/>
          <w:lang w:val="zh-CN"/>
        </w:rPr>
        <w:t>；</w:t>
      </w:r>
    </w:p>
    <w:p>
      <w:pPr>
        <w:widowControl/>
        <w:shd w:val="clear" w:color="auto" w:fill="FFFFFF"/>
        <w:snapToGrid w:val="0"/>
        <w:spacing w:line="400" w:lineRule="exact"/>
        <w:contextualSpacing/>
        <w:rPr>
          <w:color w:val="auto"/>
          <w:kern w:val="0"/>
          <w:sz w:val="24"/>
          <w:highlight w:val="none"/>
          <w:lang w:val="zh-CN"/>
        </w:rPr>
      </w:pPr>
      <w:r>
        <w:rPr>
          <w:color w:val="auto"/>
          <w:kern w:val="0"/>
          <w:sz w:val="24"/>
          <w:highlight w:val="none"/>
        </w:rPr>
        <w:t>3.8</w:t>
      </w:r>
      <w:r>
        <w:rPr>
          <w:color w:val="auto"/>
          <w:kern w:val="0"/>
          <w:sz w:val="24"/>
          <w:highlight w:val="none"/>
          <w:lang w:val="zh-CN"/>
        </w:rPr>
        <w:t>内胆尺寸（长*宽*高）：</w:t>
      </w:r>
      <w:r>
        <w:rPr>
          <w:color w:val="auto"/>
          <w:kern w:val="0"/>
          <w:sz w:val="24"/>
          <w:highlight w:val="none"/>
        </w:rPr>
        <w:t>≥</w:t>
      </w:r>
      <w:r>
        <w:rPr>
          <w:color w:val="auto"/>
          <w:kern w:val="0"/>
          <w:sz w:val="24"/>
          <w:highlight w:val="none"/>
          <w:lang w:val="zh-CN"/>
        </w:rPr>
        <w:t>9</w:t>
      </w:r>
      <w:r>
        <w:rPr>
          <w:color w:val="auto"/>
          <w:kern w:val="0"/>
          <w:sz w:val="24"/>
          <w:highlight w:val="none"/>
        </w:rPr>
        <w:t>0</w:t>
      </w:r>
      <w:r>
        <w:rPr>
          <w:color w:val="auto"/>
          <w:kern w:val="0"/>
          <w:sz w:val="24"/>
          <w:highlight w:val="none"/>
          <w:lang w:val="zh-CN"/>
        </w:rPr>
        <w:t>0mm*5</w:t>
      </w:r>
      <w:r>
        <w:rPr>
          <w:color w:val="auto"/>
          <w:kern w:val="0"/>
          <w:sz w:val="24"/>
          <w:highlight w:val="none"/>
        </w:rPr>
        <w:t>2</w:t>
      </w:r>
      <w:r>
        <w:rPr>
          <w:color w:val="auto"/>
          <w:kern w:val="0"/>
          <w:sz w:val="24"/>
          <w:highlight w:val="none"/>
          <w:lang w:val="zh-CN"/>
        </w:rPr>
        <w:t>0mm*5</w:t>
      </w:r>
      <w:r>
        <w:rPr>
          <w:color w:val="auto"/>
          <w:kern w:val="0"/>
          <w:sz w:val="24"/>
          <w:highlight w:val="none"/>
        </w:rPr>
        <w:t>1</w:t>
      </w:r>
      <w:r>
        <w:rPr>
          <w:color w:val="auto"/>
          <w:kern w:val="0"/>
          <w:sz w:val="24"/>
          <w:highlight w:val="none"/>
          <w:lang w:val="zh-CN"/>
        </w:rPr>
        <w:t>0mm</w:t>
      </w:r>
      <w:r>
        <w:rPr>
          <w:rFonts w:hint="eastAsia"/>
          <w:color w:val="auto"/>
          <w:kern w:val="0"/>
          <w:sz w:val="24"/>
          <w:highlight w:val="none"/>
          <w:lang w:val="zh-CN"/>
        </w:rPr>
        <w:t>。</w:t>
      </w:r>
    </w:p>
    <w:p>
      <w:pPr>
        <w:numPr>
          <w:ilvl w:val="0"/>
          <w:numId w:val="18"/>
        </w:numPr>
        <w:spacing w:line="400" w:lineRule="exact"/>
        <w:rPr>
          <w:b/>
          <w:bCs/>
          <w:color w:val="auto"/>
          <w:kern w:val="0"/>
          <w:sz w:val="24"/>
          <w:highlight w:val="none"/>
        </w:rPr>
      </w:pPr>
      <w:r>
        <w:rPr>
          <w:b/>
          <w:bCs/>
          <w:color w:val="auto"/>
          <w:kern w:val="0"/>
          <w:sz w:val="24"/>
          <w:highlight w:val="none"/>
        </w:rPr>
        <w:t>仪器配置</w:t>
      </w:r>
    </w:p>
    <w:p>
      <w:pPr>
        <w:widowControl/>
        <w:shd w:val="clear" w:color="auto" w:fill="FFFFFF"/>
        <w:snapToGrid w:val="0"/>
        <w:spacing w:line="400" w:lineRule="exact"/>
        <w:contextualSpacing/>
        <w:rPr>
          <w:color w:val="auto"/>
          <w:kern w:val="0"/>
          <w:sz w:val="24"/>
          <w:highlight w:val="none"/>
        </w:rPr>
      </w:pPr>
      <w:r>
        <w:rPr>
          <w:color w:val="auto"/>
          <w:kern w:val="0"/>
          <w:sz w:val="24"/>
          <w:highlight w:val="none"/>
        </w:rPr>
        <w:t>4.1</w:t>
      </w:r>
      <w:r>
        <w:rPr>
          <w:rFonts w:hint="eastAsia"/>
          <w:color w:val="auto"/>
          <w:kern w:val="0"/>
          <w:sz w:val="24"/>
          <w:highlight w:val="none"/>
        </w:rPr>
        <w:t>制冷主机1台</w:t>
      </w:r>
    </w:p>
    <w:p>
      <w:pPr>
        <w:widowControl/>
        <w:shd w:val="clear" w:color="auto" w:fill="FFFFFF"/>
        <w:snapToGrid w:val="0"/>
        <w:spacing w:line="400" w:lineRule="exact"/>
        <w:contextualSpacing/>
        <w:rPr>
          <w:color w:val="auto"/>
          <w:kern w:val="0"/>
          <w:sz w:val="24"/>
          <w:highlight w:val="none"/>
        </w:rPr>
      </w:pPr>
      <w:r>
        <w:rPr>
          <w:color w:val="auto"/>
          <w:kern w:val="0"/>
          <w:sz w:val="24"/>
          <w:highlight w:val="none"/>
        </w:rPr>
        <w:t>4.2</w:t>
      </w:r>
      <w:r>
        <w:rPr>
          <w:rFonts w:hint="eastAsia"/>
          <w:color w:val="auto"/>
          <w:kern w:val="0"/>
          <w:sz w:val="24"/>
          <w:highlight w:val="none"/>
        </w:rPr>
        <w:t>操作台1台</w:t>
      </w:r>
    </w:p>
    <w:p>
      <w:pPr>
        <w:widowControl/>
        <w:shd w:val="clear" w:color="auto" w:fill="FFFFFF"/>
        <w:snapToGrid w:val="0"/>
        <w:spacing w:line="400" w:lineRule="exact"/>
        <w:contextualSpacing/>
        <w:rPr>
          <w:color w:val="auto"/>
          <w:kern w:val="0"/>
          <w:sz w:val="24"/>
          <w:highlight w:val="none"/>
        </w:rPr>
      </w:pPr>
      <w:r>
        <w:rPr>
          <w:color w:val="auto"/>
          <w:kern w:val="0"/>
          <w:sz w:val="24"/>
          <w:highlight w:val="none"/>
        </w:rPr>
        <w:t>4.3</w:t>
      </w:r>
      <w:r>
        <w:rPr>
          <w:rFonts w:hint="eastAsia"/>
          <w:color w:val="auto"/>
          <w:kern w:val="0"/>
          <w:sz w:val="24"/>
          <w:highlight w:val="none"/>
        </w:rPr>
        <w:t>滤筒架1个</w:t>
      </w:r>
    </w:p>
    <w:p>
      <w:pPr>
        <w:widowControl/>
        <w:shd w:val="clear" w:color="auto" w:fill="FFFFFF"/>
        <w:snapToGrid w:val="0"/>
        <w:spacing w:line="400" w:lineRule="exact"/>
        <w:contextualSpacing/>
        <w:rPr>
          <w:color w:val="auto"/>
          <w:kern w:val="0"/>
          <w:sz w:val="24"/>
          <w:highlight w:val="none"/>
        </w:rPr>
      </w:pPr>
      <w:r>
        <w:rPr>
          <w:color w:val="auto"/>
          <w:kern w:val="0"/>
          <w:sz w:val="24"/>
          <w:highlight w:val="none"/>
        </w:rPr>
        <w:t>4.4</w:t>
      </w:r>
      <w:r>
        <w:rPr>
          <w:rFonts w:hint="eastAsia"/>
          <w:color w:val="auto"/>
          <w:kern w:val="0"/>
          <w:sz w:val="24"/>
          <w:highlight w:val="none"/>
        </w:rPr>
        <w:t>滤膜架1个</w:t>
      </w:r>
    </w:p>
    <w:p>
      <w:pPr>
        <w:widowControl/>
        <w:shd w:val="clear" w:color="auto" w:fill="FFFFFF"/>
        <w:snapToGrid w:val="0"/>
        <w:spacing w:line="400" w:lineRule="exact"/>
        <w:contextualSpacing/>
        <w:rPr>
          <w:color w:val="auto"/>
          <w:kern w:val="0"/>
          <w:sz w:val="24"/>
          <w:highlight w:val="none"/>
        </w:rPr>
      </w:pPr>
      <w:r>
        <w:rPr>
          <w:color w:val="auto"/>
          <w:kern w:val="0"/>
          <w:sz w:val="24"/>
          <w:highlight w:val="none"/>
        </w:rPr>
        <w:t>4.5</w:t>
      </w:r>
      <w:r>
        <w:rPr>
          <w:rFonts w:hint="eastAsia"/>
          <w:color w:val="auto"/>
          <w:kern w:val="0"/>
          <w:sz w:val="24"/>
          <w:highlight w:val="none"/>
        </w:rPr>
        <w:t>不锈钢接头4个</w:t>
      </w:r>
    </w:p>
    <w:p>
      <w:pPr>
        <w:widowControl/>
        <w:shd w:val="clear" w:color="auto" w:fill="FFFFFF"/>
        <w:snapToGrid w:val="0"/>
        <w:spacing w:line="400" w:lineRule="exact"/>
        <w:contextualSpacing/>
        <w:rPr>
          <w:color w:val="auto"/>
          <w:kern w:val="0"/>
          <w:sz w:val="24"/>
          <w:highlight w:val="none"/>
        </w:rPr>
      </w:pPr>
      <w:r>
        <w:rPr>
          <w:color w:val="auto"/>
          <w:kern w:val="0"/>
          <w:sz w:val="24"/>
          <w:highlight w:val="none"/>
        </w:rPr>
        <w:t>4.6</w:t>
      </w:r>
      <w:r>
        <w:rPr>
          <w:rFonts w:hint="eastAsia"/>
          <w:color w:val="auto"/>
          <w:kern w:val="0"/>
          <w:sz w:val="24"/>
          <w:highlight w:val="none"/>
        </w:rPr>
        <w:t>软管2个</w:t>
      </w:r>
    </w:p>
    <w:p>
      <w:pPr>
        <w:widowControl/>
        <w:shd w:val="clear" w:color="auto" w:fill="FFFFFF"/>
        <w:snapToGrid w:val="0"/>
        <w:spacing w:line="400" w:lineRule="exact"/>
        <w:contextualSpacing/>
        <w:rPr>
          <w:color w:val="auto"/>
          <w:kern w:val="0"/>
          <w:sz w:val="24"/>
          <w:highlight w:val="none"/>
        </w:rPr>
      </w:pPr>
      <w:r>
        <w:rPr>
          <w:color w:val="auto"/>
          <w:kern w:val="0"/>
          <w:sz w:val="24"/>
          <w:highlight w:val="none"/>
        </w:rPr>
        <w:t>4.7</w:t>
      </w:r>
      <w:r>
        <w:rPr>
          <w:rFonts w:hint="eastAsia"/>
          <w:color w:val="auto"/>
          <w:kern w:val="0"/>
          <w:sz w:val="24"/>
          <w:highlight w:val="none"/>
        </w:rPr>
        <w:t>连接线3个</w:t>
      </w:r>
    </w:p>
    <w:p>
      <w:pPr>
        <w:widowControl/>
        <w:shd w:val="clear" w:color="auto" w:fill="FFFFFF"/>
        <w:snapToGrid w:val="0"/>
        <w:spacing w:line="400" w:lineRule="exact"/>
        <w:contextualSpacing/>
        <w:rPr>
          <w:color w:val="auto"/>
          <w:kern w:val="0"/>
          <w:sz w:val="24"/>
          <w:highlight w:val="none"/>
        </w:rPr>
      </w:pPr>
      <w:r>
        <w:rPr>
          <w:color w:val="auto"/>
          <w:kern w:val="0"/>
          <w:sz w:val="24"/>
          <w:highlight w:val="none"/>
        </w:rPr>
        <w:t>4.8</w:t>
      </w:r>
      <w:r>
        <w:rPr>
          <w:rFonts w:hint="eastAsia"/>
          <w:color w:val="auto"/>
          <w:kern w:val="0"/>
          <w:sz w:val="24"/>
          <w:highlight w:val="none"/>
        </w:rPr>
        <w:t>加湿器1个</w:t>
      </w:r>
    </w:p>
    <w:p>
      <w:pPr>
        <w:widowControl/>
        <w:shd w:val="clear" w:color="auto" w:fill="FFFFFF"/>
        <w:snapToGrid w:val="0"/>
        <w:spacing w:line="400" w:lineRule="exact"/>
        <w:contextualSpacing/>
        <w:rPr>
          <w:color w:val="auto"/>
          <w:kern w:val="0"/>
          <w:sz w:val="24"/>
          <w:highlight w:val="none"/>
        </w:rPr>
      </w:pPr>
      <w:r>
        <w:rPr>
          <w:color w:val="auto"/>
          <w:kern w:val="0"/>
          <w:sz w:val="24"/>
          <w:highlight w:val="none"/>
        </w:rPr>
        <w:t>4.9</w:t>
      </w:r>
      <w:r>
        <w:rPr>
          <w:rFonts w:hint="eastAsia"/>
          <w:color w:val="auto"/>
          <w:kern w:val="0"/>
          <w:sz w:val="24"/>
          <w:highlight w:val="none"/>
        </w:rPr>
        <w:t>软管1根</w:t>
      </w:r>
    </w:p>
    <w:p>
      <w:pPr>
        <w:widowControl/>
        <w:shd w:val="clear" w:color="auto" w:fill="FFFFFF"/>
        <w:snapToGrid w:val="0"/>
        <w:spacing w:line="400" w:lineRule="exact"/>
        <w:contextualSpacing/>
        <w:rPr>
          <w:color w:val="auto"/>
          <w:kern w:val="0"/>
          <w:sz w:val="24"/>
          <w:highlight w:val="none"/>
        </w:rPr>
      </w:pPr>
      <w:r>
        <w:rPr>
          <w:color w:val="auto"/>
          <w:kern w:val="0"/>
          <w:sz w:val="24"/>
          <w:highlight w:val="none"/>
        </w:rPr>
        <w:t>4.10</w:t>
      </w:r>
      <w:r>
        <w:rPr>
          <w:rFonts w:hint="eastAsia"/>
          <w:color w:val="auto"/>
          <w:kern w:val="0"/>
          <w:sz w:val="24"/>
          <w:highlight w:val="none"/>
        </w:rPr>
        <w:t>弯头1个</w:t>
      </w:r>
    </w:p>
    <w:p>
      <w:pPr>
        <w:widowControl/>
        <w:shd w:val="clear" w:color="auto" w:fill="FFFFFF"/>
        <w:snapToGrid w:val="0"/>
        <w:spacing w:line="400" w:lineRule="exact"/>
        <w:contextualSpacing/>
        <w:rPr>
          <w:color w:val="auto"/>
          <w:kern w:val="0"/>
          <w:sz w:val="24"/>
          <w:highlight w:val="none"/>
        </w:rPr>
      </w:pPr>
      <w:r>
        <w:rPr>
          <w:color w:val="auto"/>
          <w:kern w:val="0"/>
          <w:sz w:val="24"/>
          <w:highlight w:val="none"/>
        </w:rPr>
        <w:t>4.11</w:t>
      </w:r>
      <w:r>
        <w:rPr>
          <w:rFonts w:hint="eastAsia"/>
          <w:color w:val="auto"/>
          <w:kern w:val="0"/>
          <w:sz w:val="24"/>
          <w:highlight w:val="none"/>
        </w:rPr>
        <w:t>尼龙接头1个</w:t>
      </w:r>
    </w:p>
    <w:p>
      <w:pPr>
        <w:widowControl/>
        <w:autoSpaceDE w:val="0"/>
        <w:autoSpaceDN w:val="0"/>
        <w:snapToGrid w:val="0"/>
        <w:spacing w:line="400" w:lineRule="exact"/>
        <w:contextualSpacing/>
        <w:rPr>
          <w:b/>
          <w:color w:val="auto"/>
          <w:kern w:val="0"/>
          <w:sz w:val="24"/>
          <w:highlight w:val="none"/>
        </w:rPr>
      </w:pPr>
      <w:r>
        <w:rPr>
          <w:b/>
          <w:color w:val="auto"/>
          <w:kern w:val="0"/>
          <w:sz w:val="24"/>
          <w:highlight w:val="none"/>
        </w:rPr>
        <w:t>5.技术服务</w:t>
      </w:r>
    </w:p>
    <w:p>
      <w:pPr>
        <w:widowControl/>
        <w:shd w:val="clear" w:color="auto" w:fill="FFFFFF"/>
        <w:snapToGrid w:val="0"/>
        <w:spacing w:line="400" w:lineRule="exact"/>
        <w:contextualSpacing/>
        <w:rPr>
          <w:color w:val="auto"/>
          <w:kern w:val="0"/>
          <w:sz w:val="24"/>
          <w:highlight w:val="none"/>
        </w:rPr>
      </w:pPr>
      <w:r>
        <w:rPr>
          <w:color w:val="auto"/>
          <w:kern w:val="0"/>
          <w:sz w:val="24"/>
          <w:highlight w:val="none"/>
        </w:rPr>
        <w:t>5.1保证产品为最新型全新原厂设备。</w:t>
      </w:r>
    </w:p>
    <w:p>
      <w:pPr>
        <w:widowControl/>
        <w:shd w:val="clear" w:color="auto" w:fill="FFFFFF"/>
        <w:snapToGrid w:val="0"/>
        <w:spacing w:line="400" w:lineRule="exact"/>
        <w:contextualSpacing/>
        <w:rPr>
          <w:color w:val="auto"/>
          <w:kern w:val="0"/>
          <w:sz w:val="24"/>
          <w:highlight w:val="none"/>
          <w:lang w:val="zh-CN"/>
        </w:rPr>
      </w:pPr>
      <w:r>
        <w:rPr>
          <w:color w:val="auto"/>
          <w:kern w:val="0"/>
          <w:sz w:val="24"/>
          <w:highlight w:val="none"/>
        </w:rPr>
        <w:t>5.2仪器安装验收：</w:t>
      </w:r>
      <w:r>
        <w:rPr>
          <w:color w:val="auto"/>
          <w:kern w:val="0"/>
          <w:sz w:val="24"/>
          <w:highlight w:val="none"/>
          <w:lang w:val="zh-CN"/>
        </w:rPr>
        <w:t>供货商在接到用户安装通知后，须在</w:t>
      </w:r>
      <w:r>
        <w:rPr>
          <w:rFonts w:hint="eastAsia"/>
          <w:color w:val="auto"/>
          <w:kern w:val="0"/>
          <w:sz w:val="24"/>
          <w:highlight w:val="none"/>
        </w:rPr>
        <w:t>1</w:t>
      </w:r>
      <w:r>
        <w:rPr>
          <w:color w:val="auto"/>
          <w:kern w:val="0"/>
          <w:sz w:val="24"/>
          <w:highlight w:val="none"/>
          <w:lang w:val="zh-CN"/>
        </w:rPr>
        <w:t>0工作日内安排有经验的工程师到现场安装仪器，并在15工作日内安装、调试完毕，</w:t>
      </w:r>
      <w:r>
        <w:rPr>
          <w:color w:val="auto"/>
          <w:kern w:val="0"/>
          <w:sz w:val="24"/>
          <w:highlight w:val="none"/>
        </w:rPr>
        <w:t>进行操作试验，直至运行正常并验收确认</w:t>
      </w:r>
      <w:r>
        <w:rPr>
          <w:color w:val="auto"/>
          <w:kern w:val="0"/>
          <w:sz w:val="24"/>
          <w:highlight w:val="none"/>
          <w:lang w:val="zh-CN"/>
        </w:rPr>
        <w:t>。</w:t>
      </w:r>
    </w:p>
    <w:p>
      <w:pPr>
        <w:widowControl/>
        <w:shd w:val="clear" w:color="auto" w:fill="FFFFFF"/>
        <w:snapToGrid w:val="0"/>
        <w:spacing w:line="400" w:lineRule="exact"/>
        <w:contextualSpacing/>
        <w:rPr>
          <w:color w:val="auto"/>
          <w:kern w:val="0"/>
          <w:sz w:val="24"/>
          <w:highlight w:val="none"/>
        </w:rPr>
      </w:pPr>
      <w:r>
        <w:rPr>
          <w:color w:val="auto"/>
          <w:kern w:val="0"/>
          <w:sz w:val="24"/>
          <w:highlight w:val="none"/>
        </w:rPr>
        <w:t>5.3保修服务：自验收合格起，厂家向用户提供至少1年的免费保修服务，</w:t>
      </w:r>
      <w:r>
        <w:rPr>
          <w:color w:val="auto"/>
          <w:kern w:val="0"/>
          <w:sz w:val="24"/>
          <w:highlight w:val="none"/>
          <w:lang w:val="zh-CN"/>
        </w:rPr>
        <w:t>终生维修</w:t>
      </w:r>
      <w:r>
        <w:rPr>
          <w:color w:val="auto"/>
          <w:kern w:val="0"/>
          <w:sz w:val="24"/>
          <w:highlight w:val="none"/>
        </w:rPr>
        <w:t>。保修期内所有服务免费，一切配件、耗材免费到场更换。保修期外，能及时为用户提供备品备件。</w:t>
      </w:r>
    </w:p>
    <w:p>
      <w:pPr>
        <w:widowControl/>
        <w:shd w:val="clear" w:color="auto" w:fill="FFFFFF"/>
        <w:snapToGrid w:val="0"/>
        <w:spacing w:line="400" w:lineRule="exact"/>
        <w:contextualSpacing/>
        <w:rPr>
          <w:color w:val="auto"/>
          <w:kern w:val="0"/>
          <w:sz w:val="24"/>
          <w:highlight w:val="none"/>
        </w:rPr>
      </w:pPr>
      <w:r>
        <w:rPr>
          <w:color w:val="auto"/>
          <w:kern w:val="0"/>
          <w:sz w:val="24"/>
          <w:highlight w:val="none"/>
        </w:rPr>
        <w:t>5.4质量及验收标准：</w:t>
      </w:r>
      <w:r>
        <w:rPr>
          <w:color w:val="auto"/>
          <w:kern w:val="0"/>
          <w:sz w:val="24"/>
          <w:highlight w:val="none"/>
          <w:lang w:val="zh-CN"/>
        </w:rPr>
        <w:t>安装工程师</w:t>
      </w:r>
      <w:r>
        <w:rPr>
          <w:color w:val="auto"/>
          <w:kern w:val="0"/>
          <w:sz w:val="24"/>
          <w:highlight w:val="none"/>
        </w:rPr>
        <w:t>需</w:t>
      </w:r>
      <w:r>
        <w:rPr>
          <w:color w:val="auto"/>
          <w:kern w:val="0"/>
          <w:sz w:val="24"/>
          <w:highlight w:val="none"/>
          <w:lang w:val="zh-CN"/>
        </w:rPr>
        <w:t>对本标书中提出的性能指标须逐项验收；</w:t>
      </w:r>
      <w:r>
        <w:rPr>
          <w:color w:val="auto"/>
          <w:kern w:val="0"/>
          <w:sz w:val="24"/>
          <w:highlight w:val="none"/>
        </w:rPr>
        <w:t>并应当严格按照相关环境标准进行验收。</w:t>
      </w:r>
      <w:r>
        <w:rPr>
          <w:color w:val="auto"/>
          <w:kern w:val="0"/>
          <w:sz w:val="24"/>
          <w:highlight w:val="none"/>
          <w:lang w:val="zh-CN"/>
        </w:rPr>
        <w:t>所有验收指标要求一次完成，</w:t>
      </w:r>
      <w:r>
        <w:rPr>
          <w:color w:val="auto"/>
          <w:kern w:val="0"/>
          <w:sz w:val="24"/>
          <w:highlight w:val="none"/>
        </w:rPr>
        <w:t>最终出具符合采购方使用要求的验收报告。</w:t>
      </w:r>
      <w:r>
        <w:rPr>
          <w:color w:val="auto"/>
          <w:kern w:val="0"/>
          <w:sz w:val="24"/>
          <w:highlight w:val="none"/>
          <w:lang w:val="zh-CN"/>
        </w:rPr>
        <w:t>如未通过验收，视情节更换部件或主机，直至退货</w:t>
      </w:r>
      <w:r>
        <w:rPr>
          <w:rFonts w:hint="eastAsia"/>
          <w:color w:val="auto"/>
          <w:kern w:val="0"/>
          <w:sz w:val="24"/>
          <w:highlight w:val="none"/>
          <w:lang w:val="zh-CN"/>
        </w:rPr>
        <w:t>；安装调试完成后厂家需找有资质的机构或单位对仪器进行检定</w:t>
      </w:r>
      <w:r>
        <w:rPr>
          <w:rFonts w:hint="eastAsia"/>
          <w:color w:val="auto"/>
          <w:kern w:val="0"/>
          <w:sz w:val="24"/>
          <w:highlight w:val="none"/>
        </w:rPr>
        <w:t>/校准，并提供检定/校准证书，检定/校准结果满足相关检定/校准规程要求。</w:t>
      </w:r>
    </w:p>
    <w:p>
      <w:pPr>
        <w:widowControl/>
        <w:shd w:val="clear" w:color="auto" w:fill="FFFFFF"/>
        <w:snapToGrid w:val="0"/>
        <w:spacing w:line="400" w:lineRule="exact"/>
        <w:contextualSpacing/>
        <w:rPr>
          <w:color w:val="auto"/>
          <w:kern w:val="0"/>
          <w:sz w:val="24"/>
          <w:highlight w:val="none"/>
        </w:rPr>
      </w:pPr>
      <w:r>
        <w:rPr>
          <w:color w:val="auto"/>
          <w:kern w:val="0"/>
          <w:sz w:val="24"/>
          <w:highlight w:val="none"/>
        </w:rPr>
        <w:t>5.5培训：仪器安装现场对2名以上仪器操作人员提供免费的上机操作及日常维护培训，至使用者会操作、使用仪器为止。</w:t>
      </w:r>
    </w:p>
    <w:p>
      <w:pPr>
        <w:widowControl/>
        <w:shd w:val="clear" w:color="auto" w:fill="FFFFFF"/>
        <w:snapToGrid w:val="0"/>
        <w:spacing w:line="400" w:lineRule="exact"/>
        <w:contextualSpacing/>
        <w:rPr>
          <w:color w:val="auto"/>
          <w:sz w:val="24"/>
          <w:highlight w:val="none"/>
        </w:rPr>
      </w:pPr>
      <w:r>
        <w:rPr>
          <w:color w:val="auto"/>
          <w:kern w:val="0"/>
          <w:sz w:val="24"/>
          <w:highlight w:val="none"/>
        </w:rPr>
        <w:t>备注：</w:t>
      </w:r>
      <w:r>
        <w:rPr>
          <w:color w:val="auto"/>
          <w:kern w:val="0"/>
          <w:sz w:val="24"/>
          <w:highlight w:val="none"/>
          <w:lang w:val="zh-CN"/>
        </w:rPr>
        <w:t>带“*”号的为必须满足指标，与技术性能指标一起做为验收指标。</w:t>
      </w:r>
      <w:r>
        <w:rPr>
          <w:color w:val="auto"/>
          <w:kern w:val="0"/>
          <w:sz w:val="24"/>
          <w:highlight w:val="none"/>
        </w:rPr>
        <w:t>验收时须提供精密度、检出限等技术材料。</w:t>
      </w:r>
    </w:p>
    <w:p>
      <w:pPr>
        <w:pStyle w:val="718"/>
        <w:widowControl/>
        <w:numPr>
          <w:ilvl w:val="0"/>
          <w:numId w:val="17"/>
        </w:numPr>
        <w:autoSpaceDE w:val="0"/>
        <w:autoSpaceDN w:val="0"/>
        <w:snapToGrid w:val="0"/>
        <w:spacing w:line="440" w:lineRule="exact"/>
        <w:ind w:firstLineChars="0"/>
        <w:contextualSpacing/>
        <w:rPr>
          <w:color w:val="auto"/>
          <w:highlight w:val="none"/>
        </w:rPr>
      </w:pPr>
      <w:r>
        <w:rPr>
          <w:rFonts w:hint="eastAsia"/>
          <w:color w:val="auto"/>
          <w:highlight w:val="none"/>
        </w:rPr>
        <w:t>立式全温振荡培养箱</w:t>
      </w:r>
    </w:p>
    <w:p>
      <w:pPr>
        <w:spacing w:line="400" w:lineRule="exact"/>
        <w:rPr>
          <w:color w:val="auto"/>
          <w:sz w:val="24"/>
          <w:highlight w:val="none"/>
          <w:lang w:val="zh-CN"/>
        </w:rPr>
      </w:pPr>
      <w:r>
        <w:rPr>
          <w:color w:val="auto"/>
          <w:sz w:val="24"/>
          <w:highlight w:val="none"/>
          <w:lang w:val="zh-CN"/>
        </w:rPr>
        <w:t>应用范围：适用于土壤有效态、阳离子交换量等项目恒温振荡前处理。</w:t>
      </w:r>
    </w:p>
    <w:p>
      <w:pPr>
        <w:widowControl/>
        <w:shd w:val="clear" w:color="auto" w:fill="FFFFFF"/>
        <w:suppressAutoHyphens/>
        <w:snapToGrid w:val="0"/>
        <w:spacing w:line="400" w:lineRule="exact"/>
        <w:contextualSpacing/>
        <w:rPr>
          <w:b/>
          <w:bCs/>
          <w:color w:val="auto"/>
          <w:sz w:val="24"/>
          <w:highlight w:val="none"/>
        </w:rPr>
      </w:pPr>
      <w:r>
        <w:rPr>
          <w:b/>
          <w:bCs/>
          <w:color w:val="auto"/>
          <w:sz w:val="24"/>
          <w:highlight w:val="none"/>
        </w:rPr>
        <w:t>2.工作环境</w:t>
      </w:r>
    </w:p>
    <w:p>
      <w:pPr>
        <w:spacing w:line="400" w:lineRule="exact"/>
        <w:rPr>
          <w:color w:val="auto"/>
          <w:sz w:val="24"/>
          <w:highlight w:val="none"/>
          <w:lang w:val="zh-CN"/>
        </w:rPr>
      </w:pPr>
      <w:r>
        <w:rPr>
          <w:color w:val="auto"/>
          <w:sz w:val="24"/>
          <w:highlight w:val="none"/>
          <w:lang w:val="zh-CN"/>
        </w:rPr>
        <w:t>2.1电源电压：220V±5%，50Hz</w:t>
      </w:r>
    </w:p>
    <w:p>
      <w:pPr>
        <w:spacing w:line="400" w:lineRule="exact"/>
        <w:rPr>
          <w:color w:val="auto"/>
          <w:sz w:val="24"/>
          <w:highlight w:val="none"/>
          <w:lang w:val="zh-CN"/>
        </w:rPr>
      </w:pPr>
      <w:r>
        <w:rPr>
          <w:color w:val="auto"/>
          <w:sz w:val="24"/>
          <w:highlight w:val="none"/>
          <w:lang w:val="zh-CN"/>
        </w:rPr>
        <w:t>2.2环境温度：0℃-35℃；</w:t>
      </w:r>
    </w:p>
    <w:p>
      <w:pPr>
        <w:spacing w:line="400" w:lineRule="exact"/>
        <w:rPr>
          <w:color w:val="auto"/>
          <w:sz w:val="24"/>
          <w:highlight w:val="none"/>
          <w:lang w:val="zh-CN"/>
        </w:rPr>
      </w:pPr>
      <w:r>
        <w:rPr>
          <w:color w:val="auto"/>
          <w:sz w:val="24"/>
          <w:highlight w:val="none"/>
          <w:lang w:val="zh-CN"/>
        </w:rPr>
        <w:t>2.3相对湿度：≤80%。</w:t>
      </w:r>
    </w:p>
    <w:p>
      <w:pPr>
        <w:autoSpaceDE w:val="0"/>
        <w:autoSpaceDN w:val="0"/>
        <w:adjustRightInd w:val="0"/>
        <w:spacing w:line="400" w:lineRule="exact"/>
        <w:rPr>
          <w:b/>
          <w:bCs/>
          <w:color w:val="auto"/>
          <w:sz w:val="24"/>
          <w:highlight w:val="none"/>
        </w:rPr>
      </w:pPr>
      <w:r>
        <w:rPr>
          <w:b/>
          <w:bCs/>
          <w:color w:val="auto"/>
          <w:sz w:val="24"/>
          <w:highlight w:val="none"/>
        </w:rPr>
        <w:t>3.技术要求</w:t>
      </w:r>
    </w:p>
    <w:p>
      <w:pPr>
        <w:spacing w:line="400" w:lineRule="exact"/>
        <w:rPr>
          <w:color w:val="auto"/>
          <w:sz w:val="24"/>
          <w:highlight w:val="none"/>
          <w:lang w:val="zh-CN"/>
        </w:rPr>
      </w:pPr>
      <w:r>
        <w:rPr>
          <w:color w:val="auto"/>
          <w:sz w:val="24"/>
          <w:highlight w:val="none"/>
          <w:lang w:val="zh-CN"/>
        </w:rPr>
        <w:t>*3.1控温范围：4℃-60℃</w:t>
      </w:r>
    </w:p>
    <w:p>
      <w:pPr>
        <w:spacing w:line="400" w:lineRule="exact"/>
        <w:rPr>
          <w:color w:val="auto"/>
          <w:sz w:val="24"/>
          <w:highlight w:val="none"/>
          <w:lang w:val="zh-CN"/>
        </w:rPr>
      </w:pPr>
      <w:r>
        <w:rPr>
          <w:color w:val="auto"/>
          <w:sz w:val="24"/>
          <w:highlight w:val="none"/>
          <w:lang w:val="zh-CN"/>
        </w:rPr>
        <w:t>3.2分辨率：≤0.1℃</w:t>
      </w:r>
    </w:p>
    <w:p>
      <w:pPr>
        <w:spacing w:line="400" w:lineRule="exact"/>
        <w:rPr>
          <w:color w:val="auto"/>
          <w:sz w:val="24"/>
          <w:highlight w:val="none"/>
          <w:lang w:val="zh-CN"/>
        </w:rPr>
      </w:pPr>
      <w:r>
        <w:rPr>
          <w:rFonts w:hint="eastAsia"/>
          <w:color w:val="auto"/>
          <w:sz w:val="24"/>
          <w:highlight w:val="none"/>
        </w:rPr>
        <w:t>★</w:t>
      </w:r>
      <w:r>
        <w:rPr>
          <w:color w:val="auto"/>
          <w:sz w:val="24"/>
          <w:highlight w:val="none"/>
          <w:lang w:val="zh-CN"/>
        </w:rPr>
        <w:t xml:space="preserve">3.3波动度：≤±0.5℃（20℃和25℃) </w:t>
      </w:r>
    </w:p>
    <w:p>
      <w:pPr>
        <w:spacing w:line="400" w:lineRule="exact"/>
        <w:rPr>
          <w:color w:val="auto"/>
          <w:sz w:val="24"/>
          <w:highlight w:val="none"/>
          <w:lang w:val="zh-CN"/>
        </w:rPr>
      </w:pPr>
      <w:r>
        <w:rPr>
          <w:color w:val="auto"/>
          <w:sz w:val="24"/>
          <w:highlight w:val="none"/>
          <w:lang w:val="zh-CN"/>
        </w:rPr>
        <w:t>*3.4均匀度：≤±0.8℃</w:t>
      </w:r>
    </w:p>
    <w:p>
      <w:pPr>
        <w:spacing w:line="400" w:lineRule="exact"/>
        <w:rPr>
          <w:color w:val="auto"/>
          <w:sz w:val="24"/>
          <w:highlight w:val="none"/>
          <w:lang w:val="zh-CN"/>
        </w:rPr>
      </w:pPr>
      <w:r>
        <w:rPr>
          <w:color w:val="auto"/>
          <w:sz w:val="24"/>
          <w:highlight w:val="none"/>
          <w:lang w:val="zh-CN"/>
        </w:rPr>
        <w:t>3.5振荡频率：10~300rpm</w:t>
      </w:r>
    </w:p>
    <w:p>
      <w:pPr>
        <w:spacing w:line="400" w:lineRule="exact"/>
        <w:rPr>
          <w:color w:val="auto"/>
          <w:sz w:val="24"/>
          <w:highlight w:val="none"/>
          <w:lang w:val="zh-CN"/>
        </w:rPr>
      </w:pPr>
      <w:r>
        <w:rPr>
          <w:color w:val="auto"/>
          <w:sz w:val="24"/>
          <w:highlight w:val="none"/>
          <w:lang w:val="zh-CN"/>
        </w:rPr>
        <w:t>3.6 频率精度：±1rpm</w:t>
      </w:r>
    </w:p>
    <w:p>
      <w:pPr>
        <w:spacing w:line="400" w:lineRule="exact"/>
        <w:rPr>
          <w:color w:val="auto"/>
          <w:sz w:val="24"/>
          <w:highlight w:val="none"/>
          <w:lang w:val="zh-CN"/>
        </w:rPr>
      </w:pPr>
      <w:r>
        <w:rPr>
          <w:color w:val="auto"/>
          <w:sz w:val="24"/>
          <w:highlight w:val="none"/>
          <w:lang w:val="zh-CN"/>
        </w:rPr>
        <w:t>3.7 振幅：26mm</w:t>
      </w:r>
    </w:p>
    <w:p>
      <w:pPr>
        <w:spacing w:line="400" w:lineRule="exact"/>
        <w:rPr>
          <w:color w:val="auto"/>
          <w:sz w:val="24"/>
          <w:highlight w:val="none"/>
          <w:lang w:val="zh-CN"/>
        </w:rPr>
      </w:pPr>
      <w:r>
        <w:rPr>
          <w:color w:val="auto"/>
          <w:sz w:val="24"/>
          <w:highlight w:val="none"/>
          <w:lang w:val="zh-CN"/>
        </w:rPr>
        <w:t>3.8定时范围：0-999.9小时</w:t>
      </w:r>
    </w:p>
    <w:p>
      <w:pPr>
        <w:spacing w:line="400" w:lineRule="exact"/>
        <w:rPr>
          <w:color w:val="auto"/>
          <w:sz w:val="24"/>
          <w:highlight w:val="none"/>
          <w:lang w:val="zh-CN"/>
        </w:rPr>
      </w:pPr>
      <w:r>
        <w:rPr>
          <w:color w:val="auto"/>
          <w:sz w:val="24"/>
          <w:highlight w:val="none"/>
          <w:lang w:val="zh-CN"/>
        </w:rPr>
        <w:t>3.9 控制方式：微电脑智能控制</w:t>
      </w:r>
    </w:p>
    <w:p>
      <w:pPr>
        <w:spacing w:line="400" w:lineRule="exact"/>
        <w:rPr>
          <w:color w:val="auto"/>
          <w:sz w:val="24"/>
          <w:highlight w:val="none"/>
          <w:lang w:val="zh-CN"/>
        </w:rPr>
      </w:pPr>
      <w:r>
        <w:rPr>
          <w:color w:val="auto"/>
          <w:sz w:val="24"/>
          <w:highlight w:val="none"/>
          <w:lang w:val="zh-CN"/>
        </w:rPr>
        <w:t>*3.10 最大容量：网状不锈钢弹簧作夹具：单层100ml离心管≥50个，共两层。</w:t>
      </w:r>
    </w:p>
    <w:p>
      <w:pPr>
        <w:spacing w:line="400" w:lineRule="exact"/>
        <w:rPr>
          <w:color w:val="auto"/>
          <w:sz w:val="24"/>
          <w:highlight w:val="none"/>
          <w:lang w:val="zh-CN"/>
        </w:rPr>
      </w:pPr>
      <w:r>
        <w:rPr>
          <w:color w:val="auto"/>
          <w:sz w:val="24"/>
          <w:highlight w:val="none"/>
          <w:lang w:val="zh-CN"/>
        </w:rPr>
        <w:t>3.11 LCD触摸屏</w:t>
      </w:r>
    </w:p>
    <w:p>
      <w:pPr>
        <w:spacing w:line="400" w:lineRule="exact"/>
        <w:rPr>
          <w:color w:val="auto"/>
          <w:sz w:val="24"/>
          <w:highlight w:val="none"/>
          <w:lang w:val="zh-CN"/>
        </w:rPr>
      </w:pPr>
      <w:r>
        <w:rPr>
          <w:color w:val="auto"/>
          <w:sz w:val="24"/>
          <w:highlight w:val="none"/>
          <w:lang w:val="zh-CN"/>
        </w:rPr>
        <w:t>3.12 内置导流式防水系统</w:t>
      </w:r>
    </w:p>
    <w:p>
      <w:pPr>
        <w:spacing w:line="400" w:lineRule="exact"/>
        <w:rPr>
          <w:color w:val="auto"/>
          <w:sz w:val="24"/>
          <w:highlight w:val="none"/>
          <w:lang w:val="zh-CN"/>
        </w:rPr>
      </w:pPr>
      <w:r>
        <w:rPr>
          <w:color w:val="auto"/>
          <w:sz w:val="24"/>
          <w:highlight w:val="none"/>
          <w:lang w:val="zh-CN"/>
        </w:rPr>
        <w:t>*3.13具有断电恢复功能，避免因停电、死机而造成的数据丢失问题。具有超温报警功能及异常情况自动断电功能。</w:t>
      </w:r>
    </w:p>
    <w:p>
      <w:pPr>
        <w:spacing w:line="400" w:lineRule="exact"/>
        <w:rPr>
          <w:color w:val="auto"/>
          <w:sz w:val="24"/>
          <w:highlight w:val="none"/>
          <w:lang w:val="zh-CN"/>
        </w:rPr>
      </w:pPr>
      <w:r>
        <w:rPr>
          <w:color w:val="auto"/>
          <w:sz w:val="24"/>
          <w:highlight w:val="none"/>
          <w:lang w:val="zh-CN"/>
        </w:rPr>
        <w:t>3.14采用国际知名品牌压缩机、无氟制冷剂。</w:t>
      </w:r>
    </w:p>
    <w:p>
      <w:pPr>
        <w:spacing w:line="400" w:lineRule="exact"/>
        <w:rPr>
          <w:color w:val="auto"/>
          <w:sz w:val="24"/>
          <w:highlight w:val="none"/>
          <w:lang w:val="zh-CN"/>
        </w:rPr>
      </w:pPr>
      <w:r>
        <w:rPr>
          <w:color w:val="auto"/>
          <w:sz w:val="24"/>
          <w:highlight w:val="none"/>
          <w:lang w:val="zh-CN"/>
        </w:rPr>
        <w:t>3.15 中空钢化玻璃门，可随时在不开门情况下在各个角度观察箱体内部情况。</w:t>
      </w:r>
    </w:p>
    <w:p>
      <w:pPr>
        <w:spacing w:line="400" w:lineRule="exact"/>
        <w:rPr>
          <w:color w:val="auto"/>
          <w:sz w:val="24"/>
          <w:highlight w:val="none"/>
          <w:lang w:val="zh-CN"/>
        </w:rPr>
      </w:pPr>
      <w:r>
        <w:rPr>
          <w:color w:val="auto"/>
          <w:sz w:val="24"/>
          <w:highlight w:val="none"/>
          <w:lang w:val="zh-CN"/>
        </w:rPr>
        <w:t>3.16 流线型外观，内衬采用304拉丝防腐不锈钢，防腐蚀;外壳采用静电喷塑。</w:t>
      </w:r>
    </w:p>
    <w:p>
      <w:pPr>
        <w:spacing w:line="400" w:lineRule="exact"/>
        <w:rPr>
          <w:color w:val="auto"/>
          <w:sz w:val="24"/>
          <w:highlight w:val="none"/>
          <w:lang w:val="zh-CN"/>
        </w:rPr>
      </w:pPr>
      <w:r>
        <w:rPr>
          <w:color w:val="auto"/>
          <w:sz w:val="24"/>
          <w:highlight w:val="none"/>
          <w:lang w:val="zh-CN"/>
        </w:rPr>
        <w:t>3.17 箱体内部具有紫外线灭菌功能。</w:t>
      </w:r>
    </w:p>
    <w:p>
      <w:pPr>
        <w:widowControl/>
        <w:shd w:val="clear" w:color="auto" w:fill="FFFFFF"/>
        <w:suppressAutoHyphens/>
        <w:snapToGrid w:val="0"/>
        <w:spacing w:line="400" w:lineRule="exact"/>
        <w:contextualSpacing/>
        <w:rPr>
          <w:b/>
          <w:bCs/>
          <w:color w:val="auto"/>
          <w:sz w:val="24"/>
          <w:highlight w:val="none"/>
        </w:rPr>
      </w:pPr>
      <w:r>
        <w:rPr>
          <w:b/>
          <w:bCs/>
          <w:color w:val="auto"/>
          <w:sz w:val="24"/>
          <w:highlight w:val="none"/>
        </w:rPr>
        <w:t>4.仪器配置</w:t>
      </w:r>
    </w:p>
    <w:p>
      <w:pPr>
        <w:spacing w:line="400" w:lineRule="exact"/>
        <w:rPr>
          <w:color w:val="auto"/>
          <w:sz w:val="24"/>
          <w:highlight w:val="none"/>
          <w:lang w:val="zh-CN"/>
        </w:rPr>
      </w:pPr>
      <w:r>
        <w:rPr>
          <w:color w:val="auto"/>
          <w:sz w:val="24"/>
          <w:highlight w:val="none"/>
          <w:lang w:val="zh-CN"/>
        </w:rPr>
        <w:t>4.1 整机 1套；</w:t>
      </w:r>
    </w:p>
    <w:p>
      <w:pPr>
        <w:spacing w:line="400" w:lineRule="exact"/>
        <w:rPr>
          <w:color w:val="auto"/>
          <w:sz w:val="24"/>
          <w:highlight w:val="none"/>
          <w:lang w:val="zh-CN"/>
        </w:rPr>
      </w:pPr>
      <w:r>
        <w:rPr>
          <w:color w:val="auto"/>
          <w:sz w:val="24"/>
          <w:highlight w:val="none"/>
          <w:lang w:val="zh-CN"/>
        </w:rPr>
        <w:t>4.2 网状不锈钢弹簧，共两层</w:t>
      </w:r>
      <w:r>
        <w:rPr>
          <w:rFonts w:hint="eastAsia"/>
          <w:color w:val="auto"/>
          <w:sz w:val="24"/>
          <w:highlight w:val="none"/>
          <w:lang w:val="zh-CN"/>
        </w:rPr>
        <w:t>；</w:t>
      </w:r>
    </w:p>
    <w:p>
      <w:pPr>
        <w:widowControl/>
        <w:autoSpaceDE w:val="0"/>
        <w:autoSpaceDN w:val="0"/>
        <w:snapToGrid w:val="0"/>
        <w:spacing w:line="400" w:lineRule="exact"/>
        <w:rPr>
          <w:b/>
          <w:bCs/>
          <w:color w:val="auto"/>
          <w:kern w:val="0"/>
          <w:sz w:val="24"/>
          <w:highlight w:val="none"/>
        </w:rPr>
      </w:pPr>
      <w:r>
        <w:rPr>
          <w:b/>
          <w:bCs/>
          <w:color w:val="auto"/>
          <w:kern w:val="0"/>
          <w:sz w:val="24"/>
          <w:highlight w:val="none"/>
        </w:rPr>
        <w:t>5.技术服务</w:t>
      </w:r>
    </w:p>
    <w:p>
      <w:pPr>
        <w:spacing w:line="400" w:lineRule="exact"/>
        <w:rPr>
          <w:color w:val="auto"/>
          <w:sz w:val="24"/>
          <w:highlight w:val="none"/>
          <w:lang w:val="zh-CN"/>
        </w:rPr>
      </w:pPr>
      <w:r>
        <w:rPr>
          <w:color w:val="auto"/>
          <w:sz w:val="24"/>
          <w:highlight w:val="none"/>
          <w:lang w:val="zh-CN"/>
        </w:rPr>
        <w:t>5.1保证产品为最新型全新原厂设备。</w:t>
      </w:r>
    </w:p>
    <w:p>
      <w:pPr>
        <w:spacing w:line="400" w:lineRule="exact"/>
        <w:rPr>
          <w:color w:val="auto"/>
          <w:sz w:val="24"/>
          <w:highlight w:val="none"/>
          <w:lang w:val="zh-CN"/>
        </w:rPr>
      </w:pPr>
      <w:r>
        <w:rPr>
          <w:color w:val="auto"/>
          <w:sz w:val="24"/>
          <w:highlight w:val="none"/>
          <w:lang w:val="zh-CN"/>
        </w:rPr>
        <w:t>5.2仪器安装验收：供货商在接到用户安装通知后，须在10工作日内安排有经验的工程师到现场安装仪器，并在</w:t>
      </w:r>
      <w:r>
        <w:rPr>
          <w:rFonts w:hint="eastAsia"/>
          <w:color w:val="auto"/>
          <w:sz w:val="24"/>
          <w:highlight w:val="none"/>
        </w:rPr>
        <w:t>3</w:t>
      </w:r>
      <w:r>
        <w:rPr>
          <w:color w:val="auto"/>
          <w:sz w:val="24"/>
          <w:highlight w:val="none"/>
          <w:lang w:val="zh-CN"/>
        </w:rPr>
        <w:t>0工作日内安装、调试完毕，进行操作试验，直至运行正常并验收确认。</w:t>
      </w:r>
    </w:p>
    <w:p>
      <w:pPr>
        <w:spacing w:line="400" w:lineRule="exact"/>
        <w:rPr>
          <w:color w:val="auto"/>
          <w:sz w:val="24"/>
          <w:highlight w:val="none"/>
          <w:lang w:val="zh-CN"/>
        </w:rPr>
      </w:pPr>
      <w:r>
        <w:rPr>
          <w:color w:val="auto"/>
          <w:sz w:val="24"/>
          <w:highlight w:val="none"/>
          <w:lang w:val="zh-CN"/>
        </w:rPr>
        <w:t>5.3保修服务：自验收合格起，厂家向用户提供至少1年的免费保修服务，终生维修。保修期内所有服务免费，一切配件、耗材免费到场更换。保修期外，能及时为用户提供备品备件。</w:t>
      </w:r>
    </w:p>
    <w:p>
      <w:pPr>
        <w:spacing w:line="400" w:lineRule="exact"/>
        <w:rPr>
          <w:color w:val="auto"/>
          <w:sz w:val="24"/>
          <w:highlight w:val="none"/>
          <w:lang w:val="zh-CN"/>
        </w:rPr>
      </w:pPr>
      <w:r>
        <w:rPr>
          <w:color w:val="auto"/>
          <w:sz w:val="24"/>
          <w:highlight w:val="none"/>
          <w:lang w:val="zh-CN"/>
        </w:rPr>
        <w:t>5.4质量及验收标准：安装工程师需对本标书中提出的性能指标须逐项验收；并应当严格按照相关环境标准进行验收。所有验收指标要求一次完成，最终出具符合采购方使用要求的验收报告。如未通过验收，视情节更换部件或主机，直至退货。</w:t>
      </w:r>
    </w:p>
    <w:p>
      <w:pPr>
        <w:spacing w:line="400" w:lineRule="exact"/>
        <w:rPr>
          <w:color w:val="auto"/>
          <w:sz w:val="24"/>
          <w:highlight w:val="none"/>
          <w:lang w:val="zh-CN"/>
        </w:rPr>
      </w:pPr>
      <w:r>
        <w:rPr>
          <w:color w:val="auto"/>
          <w:sz w:val="24"/>
          <w:highlight w:val="none"/>
          <w:lang w:val="zh-CN"/>
        </w:rPr>
        <w:t>5.5培训：仪器安装现场对2名以上仪器操作人员提供免费的上机操作及日常维护培训，至使用者会操作、使用仪器为止。</w:t>
      </w:r>
    </w:p>
    <w:p>
      <w:pPr>
        <w:spacing w:line="400" w:lineRule="exact"/>
        <w:rPr>
          <w:color w:val="auto"/>
          <w:sz w:val="24"/>
          <w:highlight w:val="none"/>
        </w:rPr>
      </w:pPr>
      <w:r>
        <w:rPr>
          <w:color w:val="auto"/>
          <w:sz w:val="24"/>
          <w:highlight w:val="none"/>
          <w:lang w:val="zh-CN"/>
        </w:rPr>
        <w:t>备注：带“*”号的为必须满足指标，与技术性能指标一起做为验收指标。验收时须提供精密度、检出限等技术材料。</w:t>
      </w:r>
    </w:p>
    <w:p>
      <w:pPr>
        <w:pStyle w:val="718"/>
        <w:widowControl/>
        <w:numPr>
          <w:ilvl w:val="0"/>
          <w:numId w:val="17"/>
        </w:numPr>
        <w:autoSpaceDE w:val="0"/>
        <w:autoSpaceDN w:val="0"/>
        <w:snapToGrid w:val="0"/>
        <w:spacing w:line="440" w:lineRule="exact"/>
        <w:ind w:firstLineChars="0"/>
        <w:contextualSpacing/>
        <w:rPr>
          <w:color w:val="auto"/>
          <w:highlight w:val="none"/>
        </w:rPr>
      </w:pPr>
      <w:r>
        <w:rPr>
          <w:rFonts w:hint="eastAsia"/>
          <w:color w:val="auto"/>
          <w:highlight w:val="none"/>
        </w:rPr>
        <w:t>全自动稀释配标仪</w:t>
      </w:r>
    </w:p>
    <w:p>
      <w:pPr>
        <w:widowControl/>
        <w:autoSpaceDE w:val="0"/>
        <w:autoSpaceDN w:val="0"/>
        <w:snapToGrid w:val="0"/>
        <w:spacing w:line="400" w:lineRule="exact"/>
        <w:contextualSpacing/>
        <w:rPr>
          <w:b/>
          <w:color w:val="auto"/>
          <w:kern w:val="0"/>
          <w:sz w:val="24"/>
          <w:highlight w:val="none"/>
          <w:lang w:val="zh-CN"/>
        </w:rPr>
      </w:pPr>
      <w:r>
        <w:rPr>
          <w:b/>
          <w:color w:val="auto"/>
          <w:kern w:val="0"/>
          <w:sz w:val="24"/>
          <w:highlight w:val="none"/>
          <w:lang w:val="zh-CN"/>
        </w:rPr>
        <w:t>1设备用途</w:t>
      </w:r>
    </w:p>
    <w:p>
      <w:pPr>
        <w:widowControl/>
        <w:shd w:val="clear" w:color="auto" w:fill="FFFFFF"/>
        <w:snapToGrid w:val="0"/>
        <w:spacing w:line="400" w:lineRule="exact"/>
        <w:ind w:firstLine="480" w:firstLineChars="200"/>
        <w:contextualSpacing/>
        <w:rPr>
          <w:color w:val="auto"/>
          <w:kern w:val="0"/>
          <w:sz w:val="24"/>
          <w:highlight w:val="none"/>
          <w:lang w:val="zh-CN"/>
        </w:rPr>
      </w:pPr>
      <w:r>
        <w:rPr>
          <w:color w:val="auto"/>
          <w:kern w:val="0"/>
          <w:sz w:val="24"/>
          <w:highlight w:val="none"/>
          <w:lang w:val="zh-CN"/>
        </w:rPr>
        <w:t>有机液体自动采集、自动转移、自动分配，自动定容，自动涡旋混匀。能自动化完成各种试剂的取液与定容。</w:t>
      </w:r>
    </w:p>
    <w:p>
      <w:pPr>
        <w:widowControl/>
        <w:autoSpaceDE w:val="0"/>
        <w:autoSpaceDN w:val="0"/>
        <w:snapToGrid w:val="0"/>
        <w:spacing w:line="400" w:lineRule="exact"/>
        <w:contextualSpacing/>
        <w:rPr>
          <w:b/>
          <w:color w:val="auto"/>
          <w:kern w:val="0"/>
          <w:sz w:val="24"/>
          <w:highlight w:val="none"/>
          <w:lang w:val="zh-CN"/>
        </w:rPr>
      </w:pPr>
      <w:r>
        <w:rPr>
          <w:b/>
          <w:color w:val="auto"/>
          <w:kern w:val="0"/>
          <w:sz w:val="24"/>
          <w:highlight w:val="none"/>
          <w:lang w:val="zh-CN"/>
        </w:rPr>
        <w:t>2工作条件</w:t>
      </w:r>
    </w:p>
    <w:p>
      <w:pPr>
        <w:widowControl/>
        <w:shd w:val="clear" w:color="auto" w:fill="FFFFFF"/>
        <w:snapToGrid w:val="0"/>
        <w:spacing w:line="400" w:lineRule="exact"/>
        <w:contextualSpacing/>
        <w:rPr>
          <w:color w:val="auto"/>
          <w:kern w:val="0"/>
          <w:sz w:val="24"/>
          <w:highlight w:val="none"/>
          <w:lang w:val="zh-CN"/>
        </w:rPr>
      </w:pPr>
      <w:r>
        <w:rPr>
          <w:color w:val="auto"/>
          <w:kern w:val="0"/>
          <w:sz w:val="24"/>
          <w:highlight w:val="none"/>
          <w:lang w:val="zh-CN"/>
        </w:rPr>
        <w:t>2.1电源电压：220VAC 50/60HZ；</w:t>
      </w:r>
    </w:p>
    <w:p>
      <w:pPr>
        <w:widowControl/>
        <w:shd w:val="clear" w:color="auto" w:fill="FFFFFF"/>
        <w:snapToGrid w:val="0"/>
        <w:spacing w:line="400" w:lineRule="exact"/>
        <w:contextualSpacing/>
        <w:rPr>
          <w:color w:val="auto"/>
          <w:kern w:val="0"/>
          <w:sz w:val="24"/>
          <w:highlight w:val="none"/>
          <w:lang w:val="zh-CN"/>
        </w:rPr>
      </w:pPr>
      <w:r>
        <w:rPr>
          <w:color w:val="auto"/>
          <w:kern w:val="0"/>
          <w:sz w:val="24"/>
          <w:highlight w:val="none"/>
          <w:lang w:val="zh-CN"/>
        </w:rPr>
        <w:t>2.2环境温度：10-40℃；</w:t>
      </w:r>
    </w:p>
    <w:p>
      <w:pPr>
        <w:widowControl/>
        <w:shd w:val="clear" w:color="auto" w:fill="FFFFFF"/>
        <w:snapToGrid w:val="0"/>
        <w:spacing w:line="400" w:lineRule="exact"/>
        <w:contextualSpacing/>
        <w:rPr>
          <w:color w:val="auto"/>
          <w:kern w:val="0"/>
          <w:sz w:val="24"/>
          <w:highlight w:val="none"/>
          <w:lang w:val="zh-CN"/>
        </w:rPr>
      </w:pPr>
      <w:r>
        <w:rPr>
          <w:color w:val="auto"/>
          <w:kern w:val="0"/>
          <w:sz w:val="24"/>
          <w:highlight w:val="none"/>
          <w:lang w:val="zh-CN"/>
        </w:rPr>
        <w:t>2.3相对湿度：≤80%。</w:t>
      </w:r>
    </w:p>
    <w:p>
      <w:pPr>
        <w:widowControl/>
        <w:autoSpaceDE w:val="0"/>
        <w:autoSpaceDN w:val="0"/>
        <w:snapToGrid w:val="0"/>
        <w:spacing w:line="400" w:lineRule="exact"/>
        <w:contextualSpacing/>
        <w:rPr>
          <w:b/>
          <w:color w:val="auto"/>
          <w:kern w:val="0"/>
          <w:sz w:val="24"/>
          <w:highlight w:val="none"/>
          <w:lang w:val="zh-CN"/>
        </w:rPr>
      </w:pPr>
      <w:r>
        <w:rPr>
          <w:b/>
          <w:color w:val="auto"/>
          <w:kern w:val="0"/>
          <w:sz w:val="24"/>
          <w:highlight w:val="none"/>
          <w:lang w:val="zh-CN"/>
        </w:rPr>
        <w:t>3</w:t>
      </w:r>
      <w:r>
        <w:rPr>
          <w:rFonts w:hint="eastAsia"/>
          <w:b/>
          <w:color w:val="auto"/>
          <w:kern w:val="0"/>
          <w:sz w:val="24"/>
          <w:highlight w:val="none"/>
          <w:lang w:val="zh-CN"/>
        </w:rPr>
        <w:t>．</w:t>
      </w:r>
      <w:r>
        <w:rPr>
          <w:b/>
          <w:color w:val="auto"/>
          <w:kern w:val="0"/>
          <w:sz w:val="24"/>
          <w:highlight w:val="none"/>
          <w:lang w:val="zh-CN"/>
        </w:rPr>
        <w:t>技术要求</w:t>
      </w:r>
    </w:p>
    <w:p>
      <w:pPr>
        <w:widowControl/>
        <w:shd w:val="clear" w:color="auto" w:fill="FFFFFF"/>
        <w:snapToGrid w:val="0"/>
        <w:spacing w:line="400" w:lineRule="exact"/>
        <w:contextualSpacing/>
        <w:rPr>
          <w:color w:val="auto"/>
          <w:kern w:val="0"/>
          <w:sz w:val="24"/>
          <w:highlight w:val="none"/>
          <w:lang w:val="zh-CN"/>
        </w:rPr>
      </w:pPr>
      <w:r>
        <w:rPr>
          <w:color w:val="auto"/>
          <w:kern w:val="0"/>
          <w:sz w:val="24"/>
          <w:highlight w:val="none"/>
          <w:lang w:val="zh-CN"/>
        </w:rPr>
        <w:t>3.1智能化清洗设计，所有管路全自动流路清洗,有效减少样品交叉污染。</w:t>
      </w:r>
    </w:p>
    <w:p>
      <w:pPr>
        <w:widowControl/>
        <w:shd w:val="clear" w:color="auto" w:fill="FFFFFF"/>
        <w:snapToGrid w:val="0"/>
        <w:spacing w:line="400" w:lineRule="exact"/>
        <w:contextualSpacing/>
        <w:rPr>
          <w:color w:val="auto"/>
          <w:kern w:val="0"/>
          <w:sz w:val="24"/>
          <w:highlight w:val="none"/>
          <w:lang w:val="zh-CN"/>
        </w:rPr>
      </w:pPr>
      <w:r>
        <w:rPr>
          <w:color w:val="auto"/>
          <w:kern w:val="0"/>
          <w:sz w:val="24"/>
          <w:highlight w:val="none"/>
          <w:lang w:val="zh-CN"/>
        </w:rPr>
        <w:t>*3.2 小型化集成设计，不需要外接电脑</w:t>
      </w:r>
      <w:r>
        <w:rPr>
          <w:rFonts w:hint="eastAsia"/>
          <w:color w:val="auto"/>
          <w:kern w:val="0"/>
          <w:sz w:val="24"/>
          <w:highlight w:val="none"/>
          <w:lang w:val="zh-CN"/>
        </w:rPr>
        <w:t>，</w:t>
      </w:r>
      <w:r>
        <w:rPr>
          <w:color w:val="auto"/>
          <w:kern w:val="0"/>
          <w:sz w:val="24"/>
          <w:highlight w:val="none"/>
          <w:lang w:val="zh-CN"/>
        </w:rPr>
        <w:t>体积小巧，可放置于单位通风厨内且不占用太多通风橱空间，宽小于32厘米、高小于40厘米、深小于35厘米,最大程度保护操作人员不接触化学品。</w:t>
      </w:r>
    </w:p>
    <w:p>
      <w:pPr>
        <w:widowControl/>
        <w:shd w:val="clear" w:color="auto" w:fill="FFFFFF"/>
        <w:snapToGrid w:val="0"/>
        <w:spacing w:line="400" w:lineRule="exact"/>
        <w:contextualSpacing/>
        <w:rPr>
          <w:color w:val="auto"/>
          <w:kern w:val="0"/>
          <w:sz w:val="24"/>
          <w:highlight w:val="none"/>
          <w:lang w:val="zh-CN"/>
        </w:rPr>
      </w:pPr>
      <w:r>
        <w:rPr>
          <w:color w:val="auto"/>
          <w:kern w:val="0"/>
          <w:sz w:val="24"/>
          <w:highlight w:val="none"/>
          <w:lang w:val="zh-CN"/>
        </w:rPr>
        <w:t>3.3取样针具有穿刺功能，可带盖加液或取液，进样针插入或拔出时，具有保护样品瓶盖与进样针很好的脱离功能，确保样品瓶可以带盖取样。</w:t>
      </w:r>
    </w:p>
    <w:p>
      <w:pPr>
        <w:widowControl/>
        <w:shd w:val="clear" w:color="auto" w:fill="FFFFFF"/>
        <w:snapToGrid w:val="0"/>
        <w:spacing w:line="400" w:lineRule="exact"/>
        <w:contextualSpacing/>
        <w:rPr>
          <w:color w:val="auto"/>
          <w:kern w:val="0"/>
          <w:sz w:val="24"/>
          <w:highlight w:val="none"/>
          <w:lang w:val="zh-CN"/>
        </w:rPr>
      </w:pPr>
      <w:r>
        <w:rPr>
          <w:color w:val="auto"/>
          <w:kern w:val="0"/>
          <w:sz w:val="24"/>
          <w:highlight w:val="none"/>
          <w:lang w:val="zh-CN"/>
        </w:rPr>
        <w:t>3.4具有数据存储卡，可以对所有的配液过程自动记录并保存，数据库功能可存储常规的试剂名称。</w:t>
      </w:r>
    </w:p>
    <w:p>
      <w:pPr>
        <w:widowControl/>
        <w:shd w:val="clear" w:color="auto" w:fill="FFFFFF"/>
        <w:snapToGrid w:val="0"/>
        <w:spacing w:line="400" w:lineRule="exact"/>
        <w:contextualSpacing/>
        <w:rPr>
          <w:color w:val="auto"/>
          <w:kern w:val="0"/>
          <w:sz w:val="24"/>
          <w:highlight w:val="none"/>
          <w:lang w:val="zh-CN"/>
        </w:rPr>
      </w:pPr>
      <w:r>
        <w:rPr>
          <w:color w:val="auto"/>
          <w:kern w:val="0"/>
          <w:sz w:val="24"/>
          <w:highlight w:val="none"/>
          <w:lang w:val="zh-CN"/>
        </w:rPr>
        <w:t>*3.5智能化触摸屏设计，可自动优化配液路线，根据稀释倍数自动计算取液体积，一次性最大自动稀释倍数</w:t>
      </w:r>
      <w:r>
        <w:rPr>
          <w:rFonts w:hint="eastAsia"/>
          <w:color w:val="auto"/>
          <w:kern w:val="0"/>
          <w:sz w:val="24"/>
          <w:highlight w:val="none"/>
          <w:lang w:val="zh-CN"/>
        </w:rPr>
        <w:t>≥</w:t>
      </w:r>
      <w:r>
        <w:rPr>
          <w:color w:val="auto"/>
          <w:kern w:val="0"/>
          <w:sz w:val="24"/>
          <w:highlight w:val="none"/>
          <w:lang w:val="zh-CN"/>
        </w:rPr>
        <w:t>10</w:t>
      </w:r>
      <w:r>
        <w:rPr>
          <w:rFonts w:hint="eastAsia"/>
          <w:color w:val="auto"/>
          <w:kern w:val="0"/>
          <w:sz w:val="24"/>
          <w:highlight w:val="none"/>
        </w:rPr>
        <w:t>0</w:t>
      </w:r>
      <w:r>
        <w:rPr>
          <w:color w:val="auto"/>
          <w:kern w:val="0"/>
          <w:sz w:val="24"/>
          <w:highlight w:val="none"/>
          <w:lang w:val="zh-CN"/>
        </w:rPr>
        <w:t>。</w:t>
      </w:r>
    </w:p>
    <w:p>
      <w:pPr>
        <w:widowControl/>
        <w:shd w:val="clear" w:color="auto" w:fill="FFFFFF"/>
        <w:snapToGrid w:val="0"/>
        <w:spacing w:line="400" w:lineRule="exact"/>
        <w:contextualSpacing/>
        <w:rPr>
          <w:color w:val="auto"/>
          <w:kern w:val="0"/>
          <w:sz w:val="24"/>
          <w:highlight w:val="none"/>
          <w:lang w:val="zh-CN"/>
        </w:rPr>
      </w:pPr>
      <w:r>
        <w:rPr>
          <w:color w:val="auto"/>
          <w:kern w:val="0"/>
          <w:sz w:val="24"/>
          <w:highlight w:val="none"/>
          <w:lang w:val="zh-CN"/>
        </w:rPr>
        <w:t>3.6操作系统具有自我诊断功能，每次开机系统自动检测、自动诊断、自动报警。</w:t>
      </w:r>
    </w:p>
    <w:p>
      <w:pPr>
        <w:widowControl/>
        <w:shd w:val="clear" w:color="auto" w:fill="FFFFFF"/>
        <w:snapToGrid w:val="0"/>
        <w:spacing w:line="400" w:lineRule="exact"/>
        <w:contextualSpacing/>
        <w:rPr>
          <w:color w:val="auto"/>
          <w:kern w:val="0"/>
          <w:sz w:val="24"/>
          <w:highlight w:val="none"/>
          <w:lang w:val="zh-CN"/>
        </w:rPr>
      </w:pPr>
      <w:r>
        <w:rPr>
          <w:color w:val="auto"/>
          <w:kern w:val="0"/>
          <w:sz w:val="24"/>
          <w:highlight w:val="none"/>
          <w:lang w:val="zh-CN"/>
        </w:rPr>
        <w:t>3.7自动清洗功能模块：所有液体管路内壁、探针内外壁可自动多次清洗，实现系统免维护。</w:t>
      </w:r>
    </w:p>
    <w:p>
      <w:pPr>
        <w:widowControl/>
        <w:shd w:val="clear" w:color="auto" w:fill="FFFFFF"/>
        <w:snapToGrid w:val="0"/>
        <w:spacing w:line="400" w:lineRule="exact"/>
        <w:contextualSpacing/>
        <w:rPr>
          <w:color w:val="auto"/>
          <w:kern w:val="0"/>
          <w:sz w:val="24"/>
          <w:highlight w:val="none"/>
          <w:lang w:val="zh-CN"/>
        </w:rPr>
      </w:pPr>
      <w:r>
        <w:rPr>
          <w:color w:val="auto"/>
          <w:kern w:val="0"/>
          <w:sz w:val="24"/>
          <w:highlight w:val="none"/>
          <w:lang w:val="zh-CN"/>
        </w:rPr>
        <w:t>3.8系统具有自动加标功能模块：向样品中批量加标并自动涡旋混匀。</w:t>
      </w:r>
    </w:p>
    <w:p>
      <w:pPr>
        <w:widowControl/>
        <w:shd w:val="clear" w:color="auto" w:fill="FFFFFF"/>
        <w:snapToGrid w:val="0"/>
        <w:spacing w:line="400" w:lineRule="exact"/>
        <w:contextualSpacing/>
        <w:rPr>
          <w:color w:val="auto"/>
          <w:kern w:val="0"/>
          <w:sz w:val="24"/>
          <w:highlight w:val="none"/>
          <w:lang w:val="zh-CN"/>
        </w:rPr>
      </w:pPr>
      <w:r>
        <w:rPr>
          <w:color w:val="auto"/>
          <w:kern w:val="0"/>
          <w:sz w:val="24"/>
          <w:highlight w:val="none"/>
          <w:lang w:val="zh-CN"/>
        </w:rPr>
        <w:t>3.9液体操作量程：10ul-500ul。</w:t>
      </w:r>
    </w:p>
    <w:p>
      <w:pPr>
        <w:widowControl/>
        <w:shd w:val="clear" w:color="auto" w:fill="FFFFFF"/>
        <w:snapToGrid w:val="0"/>
        <w:spacing w:line="400" w:lineRule="exact"/>
        <w:contextualSpacing/>
        <w:rPr>
          <w:color w:val="auto"/>
          <w:kern w:val="0"/>
          <w:sz w:val="24"/>
          <w:highlight w:val="none"/>
          <w:lang w:val="zh-CN"/>
        </w:rPr>
      </w:pPr>
      <w:r>
        <w:rPr>
          <w:color w:val="auto"/>
          <w:kern w:val="0"/>
          <w:sz w:val="24"/>
          <w:highlight w:val="none"/>
          <w:lang w:val="zh-CN"/>
        </w:rPr>
        <w:t>3.10进样针：内外壁电子抛光。</w:t>
      </w:r>
    </w:p>
    <w:p>
      <w:pPr>
        <w:widowControl/>
        <w:shd w:val="clear" w:color="auto" w:fill="FFFFFF"/>
        <w:snapToGrid w:val="0"/>
        <w:spacing w:line="400" w:lineRule="exact"/>
        <w:contextualSpacing/>
        <w:rPr>
          <w:color w:val="auto"/>
          <w:kern w:val="0"/>
          <w:sz w:val="24"/>
          <w:highlight w:val="none"/>
          <w:lang w:val="zh-CN"/>
        </w:rPr>
      </w:pPr>
      <w:r>
        <w:rPr>
          <w:color w:val="auto"/>
          <w:kern w:val="0"/>
          <w:sz w:val="24"/>
          <w:highlight w:val="none"/>
          <w:lang w:val="zh-CN"/>
        </w:rPr>
        <w:t>*3.11批量涡旋混合功能：可实现样品批量自动涡旋混合，一次混合的样品位数</w:t>
      </w:r>
      <w:r>
        <w:rPr>
          <w:rFonts w:hint="eastAsia"/>
          <w:color w:val="auto"/>
          <w:kern w:val="0"/>
          <w:sz w:val="24"/>
          <w:highlight w:val="none"/>
          <w:lang w:val="zh-CN"/>
        </w:rPr>
        <w:t>≥</w:t>
      </w:r>
      <w:r>
        <w:rPr>
          <w:rFonts w:hint="eastAsia"/>
          <w:color w:val="auto"/>
          <w:kern w:val="0"/>
          <w:sz w:val="24"/>
          <w:highlight w:val="none"/>
        </w:rPr>
        <w:t>30</w:t>
      </w:r>
      <w:r>
        <w:rPr>
          <w:color w:val="auto"/>
          <w:kern w:val="0"/>
          <w:sz w:val="24"/>
          <w:highlight w:val="none"/>
          <w:lang w:val="zh-CN"/>
        </w:rPr>
        <w:t>。</w:t>
      </w:r>
    </w:p>
    <w:p>
      <w:pPr>
        <w:widowControl/>
        <w:shd w:val="clear" w:color="auto" w:fill="FFFFFF"/>
        <w:snapToGrid w:val="0"/>
        <w:spacing w:line="400" w:lineRule="exact"/>
        <w:contextualSpacing/>
        <w:rPr>
          <w:color w:val="auto"/>
          <w:kern w:val="0"/>
          <w:sz w:val="24"/>
          <w:highlight w:val="none"/>
          <w:lang w:val="zh-CN"/>
        </w:rPr>
      </w:pPr>
      <w:r>
        <w:rPr>
          <w:color w:val="auto"/>
          <w:kern w:val="0"/>
          <w:sz w:val="24"/>
          <w:highlight w:val="none"/>
          <w:lang w:val="zh-CN"/>
        </w:rPr>
        <w:t>3.12移液准确度：&lt;1%。</w:t>
      </w:r>
    </w:p>
    <w:p>
      <w:pPr>
        <w:widowControl/>
        <w:shd w:val="clear" w:color="auto" w:fill="FFFFFF"/>
        <w:snapToGrid w:val="0"/>
        <w:spacing w:line="400" w:lineRule="exact"/>
        <w:contextualSpacing/>
        <w:rPr>
          <w:color w:val="auto"/>
          <w:kern w:val="0"/>
          <w:sz w:val="24"/>
          <w:highlight w:val="none"/>
          <w:lang w:val="zh-CN"/>
        </w:rPr>
      </w:pPr>
      <w:r>
        <w:rPr>
          <w:color w:val="auto"/>
          <w:kern w:val="0"/>
          <w:sz w:val="24"/>
          <w:highlight w:val="none"/>
          <w:lang w:val="zh-CN"/>
        </w:rPr>
        <w:t>3.13移液精密度：&lt;0.5%。</w:t>
      </w:r>
    </w:p>
    <w:p>
      <w:pPr>
        <w:widowControl/>
        <w:shd w:val="clear" w:color="auto" w:fill="FFFFFF"/>
        <w:snapToGrid w:val="0"/>
        <w:spacing w:line="400" w:lineRule="exact"/>
        <w:contextualSpacing/>
        <w:rPr>
          <w:color w:val="auto"/>
          <w:kern w:val="0"/>
          <w:sz w:val="24"/>
          <w:highlight w:val="none"/>
          <w:lang w:val="zh-CN"/>
        </w:rPr>
      </w:pPr>
      <w:r>
        <w:rPr>
          <w:color w:val="auto"/>
          <w:kern w:val="0"/>
          <w:sz w:val="24"/>
          <w:highlight w:val="none"/>
          <w:lang w:val="zh-CN"/>
        </w:rPr>
        <w:t>3.14可选配重量法加液功能模块，与天平联用根据液体或固体的重量自动计算加液体积，加液准确度小于1μ</w:t>
      </w:r>
      <w:r>
        <w:rPr>
          <w:color w:val="auto"/>
          <w:kern w:val="0"/>
          <w:sz w:val="24"/>
          <w:highlight w:val="none"/>
        </w:rPr>
        <w:t>L</w:t>
      </w:r>
      <w:r>
        <w:rPr>
          <w:color w:val="auto"/>
          <w:kern w:val="0"/>
          <w:sz w:val="24"/>
          <w:highlight w:val="none"/>
          <w:lang w:val="zh-CN"/>
        </w:rPr>
        <w:t>。</w:t>
      </w:r>
    </w:p>
    <w:p>
      <w:pPr>
        <w:widowControl/>
        <w:shd w:val="clear" w:color="auto" w:fill="FFFFFF"/>
        <w:snapToGrid w:val="0"/>
        <w:spacing w:line="400" w:lineRule="exact"/>
        <w:contextualSpacing/>
        <w:rPr>
          <w:color w:val="auto"/>
          <w:kern w:val="0"/>
          <w:sz w:val="24"/>
          <w:highlight w:val="none"/>
          <w:lang w:val="zh-CN"/>
        </w:rPr>
      </w:pPr>
      <w:r>
        <w:rPr>
          <w:rFonts w:hint="eastAsia"/>
          <w:color w:val="auto"/>
          <w:sz w:val="24"/>
          <w:highlight w:val="none"/>
        </w:rPr>
        <w:t>★</w:t>
      </w:r>
      <w:r>
        <w:rPr>
          <w:color w:val="auto"/>
          <w:kern w:val="0"/>
          <w:sz w:val="24"/>
          <w:highlight w:val="none"/>
          <w:lang w:val="zh-CN"/>
        </w:rPr>
        <w:t>3.15配制苯系物和有机氯标准溶液的曲线线性相关系数</w:t>
      </w:r>
      <w:r>
        <w:rPr>
          <w:rFonts w:hint="eastAsia"/>
          <w:color w:val="auto"/>
          <w:kern w:val="0"/>
          <w:sz w:val="24"/>
          <w:highlight w:val="none"/>
          <w:lang w:val="zh-CN"/>
        </w:rPr>
        <w:t>≥</w:t>
      </w:r>
      <w:r>
        <w:rPr>
          <w:color w:val="auto"/>
          <w:kern w:val="0"/>
          <w:sz w:val="24"/>
          <w:highlight w:val="none"/>
          <w:lang w:val="zh-CN"/>
        </w:rPr>
        <w:t>0.999。</w:t>
      </w:r>
    </w:p>
    <w:p>
      <w:pPr>
        <w:widowControl/>
        <w:autoSpaceDE w:val="0"/>
        <w:autoSpaceDN w:val="0"/>
        <w:snapToGrid w:val="0"/>
        <w:spacing w:line="400" w:lineRule="exact"/>
        <w:contextualSpacing/>
        <w:rPr>
          <w:b/>
          <w:color w:val="auto"/>
          <w:kern w:val="0"/>
          <w:sz w:val="24"/>
          <w:highlight w:val="none"/>
          <w:lang w:val="zh-CN"/>
        </w:rPr>
      </w:pPr>
      <w:r>
        <w:rPr>
          <w:rFonts w:hint="eastAsia"/>
          <w:b/>
          <w:color w:val="auto"/>
          <w:kern w:val="0"/>
          <w:sz w:val="24"/>
          <w:highlight w:val="none"/>
          <w:lang w:val="zh-CN"/>
        </w:rPr>
        <w:t>4仪器配置</w:t>
      </w:r>
    </w:p>
    <w:p>
      <w:pPr>
        <w:widowControl/>
        <w:shd w:val="clear" w:color="auto" w:fill="FFFFFF"/>
        <w:snapToGrid w:val="0"/>
        <w:spacing w:line="400" w:lineRule="exact"/>
        <w:contextualSpacing/>
        <w:rPr>
          <w:color w:val="auto"/>
          <w:kern w:val="0"/>
          <w:sz w:val="24"/>
          <w:highlight w:val="none"/>
          <w:lang w:val="zh-CN"/>
        </w:rPr>
      </w:pPr>
      <w:r>
        <w:rPr>
          <w:color w:val="auto"/>
          <w:kern w:val="0"/>
          <w:sz w:val="24"/>
          <w:highlight w:val="none"/>
          <w:lang w:val="zh-CN"/>
        </w:rPr>
        <w:t>4.1主机</w:t>
      </w:r>
      <w:r>
        <w:rPr>
          <w:rFonts w:hint="eastAsia"/>
          <w:color w:val="auto"/>
          <w:kern w:val="0"/>
          <w:sz w:val="24"/>
          <w:highlight w:val="none"/>
          <w:lang w:val="en-US" w:eastAsia="zh-CN"/>
        </w:rPr>
        <w:t>1套，</w:t>
      </w:r>
      <w:r>
        <w:rPr>
          <w:color w:val="auto"/>
          <w:kern w:val="0"/>
          <w:sz w:val="24"/>
          <w:highlight w:val="none"/>
          <w:lang w:val="zh-CN"/>
        </w:rPr>
        <w:t>包括：高精度移液器</w:t>
      </w:r>
      <w:r>
        <w:rPr>
          <w:rFonts w:hint="eastAsia"/>
          <w:color w:val="auto"/>
          <w:kern w:val="0"/>
          <w:sz w:val="24"/>
          <w:highlight w:val="none"/>
        </w:rPr>
        <w:t>1</w:t>
      </w:r>
      <w:r>
        <w:rPr>
          <w:color w:val="auto"/>
          <w:kern w:val="0"/>
          <w:sz w:val="24"/>
          <w:highlight w:val="none"/>
          <w:lang w:val="zh-CN"/>
        </w:rPr>
        <w:t>套、样品采样系统</w:t>
      </w:r>
      <w:r>
        <w:rPr>
          <w:rFonts w:hint="eastAsia"/>
          <w:color w:val="auto"/>
          <w:kern w:val="0"/>
          <w:sz w:val="24"/>
          <w:highlight w:val="none"/>
        </w:rPr>
        <w:t>1</w:t>
      </w:r>
      <w:r>
        <w:rPr>
          <w:color w:val="auto"/>
          <w:kern w:val="0"/>
          <w:sz w:val="24"/>
          <w:highlight w:val="none"/>
          <w:lang w:val="zh-CN"/>
        </w:rPr>
        <w:t>套、进样针自动清洗系统</w:t>
      </w:r>
      <w:r>
        <w:rPr>
          <w:rFonts w:hint="eastAsia"/>
          <w:color w:val="auto"/>
          <w:kern w:val="0"/>
          <w:sz w:val="24"/>
          <w:highlight w:val="none"/>
        </w:rPr>
        <w:t>1</w:t>
      </w:r>
      <w:r>
        <w:rPr>
          <w:color w:val="auto"/>
          <w:kern w:val="0"/>
          <w:sz w:val="24"/>
          <w:highlight w:val="none"/>
          <w:lang w:val="zh-CN"/>
        </w:rPr>
        <w:t>套、样品盘</w:t>
      </w:r>
      <w:r>
        <w:rPr>
          <w:rFonts w:hint="eastAsia"/>
          <w:color w:val="auto"/>
          <w:kern w:val="0"/>
          <w:sz w:val="24"/>
          <w:highlight w:val="none"/>
        </w:rPr>
        <w:t>1</w:t>
      </w:r>
      <w:r>
        <w:rPr>
          <w:color w:val="auto"/>
          <w:kern w:val="0"/>
          <w:sz w:val="24"/>
          <w:highlight w:val="none"/>
          <w:lang w:val="zh-CN"/>
        </w:rPr>
        <w:t>套,带触摸屏的控制系统</w:t>
      </w:r>
      <w:r>
        <w:rPr>
          <w:rFonts w:hint="eastAsia"/>
          <w:color w:val="auto"/>
          <w:kern w:val="0"/>
          <w:sz w:val="24"/>
          <w:highlight w:val="none"/>
        </w:rPr>
        <w:t>1</w:t>
      </w:r>
      <w:r>
        <w:rPr>
          <w:color w:val="auto"/>
          <w:kern w:val="0"/>
          <w:sz w:val="24"/>
          <w:highlight w:val="none"/>
          <w:lang w:val="zh-CN"/>
        </w:rPr>
        <w:t>套，智能化工作站软件</w:t>
      </w:r>
      <w:r>
        <w:rPr>
          <w:rFonts w:hint="eastAsia"/>
          <w:color w:val="auto"/>
          <w:kern w:val="0"/>
          <w:sz w:val="24"/>
          <w:highlight w:val="none"/>
        </w:rPr>
        <w:t>1</w:t>
      </w:r>
      <w:r>
        <w:rPr>
          <w:color w:val="auto"/>
          <w:kern w:val="0"/>
          <w:sz w:val="24"/>
          <w:highlight w:val="none"/>
          <w:lang w:val="zh-CN"/>
        </w:rPr>
        <w:t>套</w:t>
      </w:r>
      <w:r>
        <w:rPr>
          <w:rFonts w:hint="eastAsia"/>
          <w:color w:val="auto"/>
          <w:kern w:val="0"/>
          <w:sz w:val="24"/>
          <w:highlight w:val="none"/>
          <w:lang w:val="zh-CN"/>
        </w:rPr>
        <w:t>；</w:t>
      </w:r>
    </w:p>
    <w:p>
      <w:pPr>
        <w:widowControl/>
        <w:shd w:val="clear" w:color="auto" w:fill="FFFFFF"/>
        <w:snapToGrid w:val="0"/>
        <w:spacing w:line="400" w:lineRule="exact"/>
        <w:contextualSpacing/>
        <w:rPr>
          <w:color w:val="auto"/>
          <w:kern w:val="0"/>
          <w:sz w:val="24"/>
          <w:highlight w:val="none"/>
          <w:lang w:val="zh-CN"/>
        </w:rPr>
      </w:pPr>
      <w:r>
        <w:rPr>
          <w:color w:val="auto"/>
          <w:kern w:val="0"/>
          <w:sz w:val="24"/>
          <w:highlight w:val="none"/>
          <w:lang w:val="zh-CN"/>
        </w:rPr>
        <w:t>4.2溶剂切换阀以及阀控制系统</w:t>
      </w:r>
      <w:r>
        <w:rPr>
          <w:rFonts w:hint="eastAsia"/>
          <w:color w:val="auto"/>
          <w:kern w:val="0"/>
          <w:sz w:val="24"/>
          <w:highlight w:val="none"/>
        </w:rPr>
        <w:t>1</w:t>
      </w:r>
      <w:r>
        <w:rPr>
          <w:color w:val="auto"/>
          <w:kern w:val="0"/>
          <w:sz w:val="24"/>
          <w:highlight w:val="none"/>
          <w:lang w:val="zh-CN"/>
        </w:rPr>
        <w:t>套</w:t>
      </w:r>
      <w:r>
        <w:rPr>
          <w:rFonts w:hint="eastAsia"/>
          <w:color w:val="auto"/>
          <w:kern w:val="0"/>
          <w:sz w:val="24"/>
          <w:highlight w:val="none"/>
          <w:lang w:val="zh-CN"/>
        </w:rPr>
        <w:t>；</w:t>
      </w:r>
    </w:p>
    <w:p>
      <w:pPr>
        <w:widowControl/>
        <w:shd w:val="clear" w:color="auto" w:fill="FFFFFF"/>
        <w:snapToGrid w:val="0"/>
        <w:spacing w:line="400" w:lineRule="exact"/>
        <w:contextualSpacing/>
        <w:rPr>
          <w:color w:val="auto"/>
          <w:kern w:val="0"/>
          <w:sz w:val="24"/>
          <w:highlight w:val="none"/>
          <w:lang w:val="zh-CN"/>
        </w:rPr>
      </w:pPr>
      <w:r>
        <w:rPr>
          <w:color w:val="auto"/>
          <w:kern w:val="0"/>
          <w:sz w:val="24"/>
          <w:highlight w:val="none"/>
          <w:lang w:val="zh-CN"/>
        </w:rPr>
        <w:t>4.3连接管线以及接头</w:t>
      </w:r>
      <w:r>
        <w:rPr>
          <w:rFonts w:hint="eastAsia"/>
          <w:color w:val="auto"/>
          <w:kern w:val="0"/>
          <w:sz w:val="24"/>
          <w:highlight w:val="none"/>
        </w:rPr>
        <w:t>1</w:t>
      </w:r>
      <w:r>
        <w:rPr>
          <w:color w:val="auto"/>
          <w:kern w:val="0"/>
          <w:sz w:val="24"/>
          <w:highlight w:val="none"/>
          <w:lang w:val="zh-CN"/>
        </w:rPr>
        <w:t>套</w:t>
      </w:r>
      <w:r>
        <w:rPr>
          <w:rFonts w:hint="eastAsia"/>
          <w:color w:val="auto"/>
          <w:kern w:val="0"/>
          <w:sz w:val="24"/>
          <w:highlight w:val="none"/>
          <w:lang w:val="zh-CN"/>
        </w:rPr>
        <w:t>；</w:t>
      </w:r>
    </w:p>
    <w:p>
      <w:pPr>
        <w:widowControl/>
        <w:shd w:val="clear" w:color="auto" w:fill="FFFFFF"/>
        <w:snapToGrid w:val="0"/>
        <w:spacing w:line="400" w:lineRule="exact"/>
        <w:contextualSpacing/>
        <w:rPr>
          <w:color w:val="auto"/>
          <w:kern w:val="0"/>
          <w:sz w:val="24"/>
          <w:highlight w:val="none"/>
          <w:lang w:val="zh-CN"/>
        </w:rPr>
      </w:pPr>
      <w:r>
        <w:rPr>
          <w:color w:val="auto"/>
          <w:kern w:val="0"/>
          <w:sz w:val="24"/>
          <w:highlight w:val="none"/>
          <w:lang w:val="zh-CN"/>
        </w:rPr>
        <w:t>4.4取样探针（内外壁电子抛光）</w:t>
      </w:r>
      <w:r>
        <w:rPr>
          <w:rFonts w:hint="eastAsia"/>
          <w:color w:val="auto"/>
          <w:kern w:val="0"/>
          <w:sz w:val="24"/>
          <w:highlight w:val="none"/>
        </w:rPr>
        <w:t>1</w:t>
      </w:r>
      <w:r>
        <w:rPr>
          <w:color w:val="auto"/>
          <w:kern w:val="0"/>
          <w:sz w:val="24"/>
          <w:highlight w:val="none"/>
          <w:lang w:val="zh-CN"/>
        </w:rPr>
        <w:t>只</w:t>
      </w:r>
      <w:r>
        <w:rPr>
          <w:rFonts w:hint="eastAsia"/>
          <w:color w:val="auto"/>
          <w:kern w:val="0"/>
          <w:sz w:val="24"/>
          <w:highlight w:val="none"/>
          <w:lang w:val="zh-CN"/>
        </w:rPr>
        <w:t>；</w:t>
      </w:r>
    </w:p>
    <w:p>
      <w:pPr>
        <w:widowControl/>
        <w:shd w:val="clear" w:color="auto" w:fill="FFFFFF"/>
        <w:snapToGrid w:val="0"/>
        <w:spacing w:line="400" w:lineRule="exact"/>
        <w:contextualSpacing/>
        <w:rPr>
          <w:color w:val="auto"/>
          <w:kern w:val="0"/>
          <w:sz w:val="24"/>
          <w:highlight w:val="none"/>
          <w:lang w:val="zh-CN"/>
        </w:rPr>
      </w:pPr>
      <w:r>
        <w:rPr>
          <w:color w:val="auto"/>
          <w:kern w:val="0"/>
          <w:sz w:val="24"/>
          <w:highlight w:val="none"/>
          <w:lang w:val="zh-CN"/>
        </w:rPr>
        <w:t>4.5配套工具和备件包</w:t>
      </w:r>
      <w:r>
        <w:rPr>
          <w:rFonts w:hint="eastAsia"/>
          <w:color w:val="auto"/>
          <w:kern w:val="0"/>
          <w:sz w:val="24"/>
          <w:highlight w:val="none"/>
        </w:rPr>
        <w:t>1</w:t>
      </w:r>
      <w:r>
        <w:rPr>
          <w:color w:val="auto"/>
          <w:kern w:val="0"/>
          <w:sz w:val="24"/>
          <w:highlight w:val="none"/>
          <w:lang w:val="zh-CN"/>
        </w:rPr>
        <w:t>套</w:t>
      </w:r>
      <w:r>
        <w:rPr>
          <w:rFonts w:hint="eastAsia"/>
          <w:color w:val="auto"/>
          <w:kern w:val="0"/>
          <w:sz w:val="24"/>
          <w:highlight w:val="none"/>
          <w:lang w:val="zh-CN"/>
        </w:rPr>
        <w:t>；</w:t>
      </w:r>
    </w:p>
    <w:p>
      <w:pPr>
        <w:autoSpaceDE w:val="0"/>
        <w:autoSpaceDN w:val="0"/>
        <w:adjustRightInd w:val="0"/>
        <w:spacing w:line="360" w:lineRule="auto"/>
        <w:rPr>
          <w:color w:val="auto"/>
          <w:sz w:val="24"/>
          <w:highlight w:val="none"/>
        </w:rPr>
      </w:pPr>
      <w:r>
        <w:rPr>
          <w:color w:val="auto"/>
          <w:sz w:val="24"/>
          <w:highlight w:val="none"/>
        </w:rPr>
        <w:t>4.6全冷藏冰箱</w:t>
      </w:r>
      <w:r>
        <w:rPr>
          <w:rFonts w:hint="eastAsia"/>
          <w:color w:val="auto"/>
          <w:sz w:val="24"/>
          <w:highlight w:val="none"/>
        </w:rPr>
        <w:t>1台：温度范围0</w:t>
      </w:r>
      <w:r>
        <w:rPr>
          <w:rFonts w:hint="eastAsia"/>
          <w:color w:val="auto"/>
          <w:sz w:val="24"/>
          <w:highlight w:val="none"/>
        </w:rPr>
        <w:sym w:font="Symbol" w:char="F0B0"/>
      </w:r>
      <w:r>
        <w:rPr>
          <w:rFonts w:hint="eastAsia"/>
          <w:color w:val="auto"/>
          <w:sz w:val="24"/>
          <w:highlight w:val="none"/>
        </w:rPr>
        <w:t>C-10</w:t>
      </w:r>
      <w:r>
        <w:rPr>
          <w:rFonts w:hint="eastAsia"/>
          <w:color w:val="auto"/>
          <w:sz w:val="24"/>
          <w:highlight w:val="none"/>
        </w:rPr>
        <w:sym w:font="Symbol" w:char="F0B0"/>
      </w:r>
      <w:r>
        <w:rPr>
          <w:rFonts w:hint="eastAsia"/>
          <w:color w:val="auto"/>
          <w:sz w:val="24"/>
          <w:highlight w:val="none"/>
        </w:rPr>
        <w:t>C，电子显示温度容积不小于400L，配五层四搁架。</w:t>
      </w:r>
    </w:p>
    <w:p>
      <w:pPr>
        <w:autoSpaceDE w:val="0"/>
        <w:autoSpaceDN w:val="0"/>
        <w:adjustRightInd w:val="0"/>
        <w:spacing w:line="360" w:lineRule="auto"/>
        <w:rPr>
          <w:color w:val="auto"/>
          <w:kern w:val="0"/>
          <w:sz w:val="24"/>
          <w:highlight w:val="none"/>
          <w:lang w:val="zh-CN"/>
        </w:rPr>
      </w:pPr>
      <w:r>
        <w:rPr>
          <w:rFonts w:hint="eastAsia"/>
          <w:color w:val="auto"/>
          <w:sz w:val="24"/>
          <w:highlight w:val="none"/>
        </w:rPr>
        <w:t>4.7静音推车4个（长：110cm,宽65cm）。</w:t>
      </w:r>
    </w:p>
    <w:p>
      <w:pPr>
        <w:widowControl/>
        <w:autoSpaceDE w:val="0"/>
        <w:autoSpaceDN w:val="0"/>
        <w:snapToGrid w:val="0"/>
        <w:spacing w:line="400" w:lineRule="exact"/>
        <w:contextualSpacing/>
        <w:rPr>
          <w:b/>
          <w:color w:val="auto"/>
          <w:kern w:val="0"/>
          <w:sz w:val="24"/>
          <w:highlight w:val="none"/>
          <w:lang w:val="zh-CN"/>
        </w:rPr>
      </w:pPr>
      <w:r>
        <w:rPr>
          <w:b/>
          <w:color w:val="auto"/>
          <w:kern w:val="0"/>
          <w:sz w:val="24"/>
          <w:highlight w:val="none"/>
          <w:lang w:val="zh-CN"/>
        </w:rPr>
        <w:t>5技术服务</w:t>
      </w:r>
    </w:p>
    <w:p>
      <w:pPr>
        <w:spacing w:line="400" w:lineRule="exact"/>
        <w:rPr>
          <w:color w:val="auto"/>
          <w:sz w:val="24"/>
          <w:highlight w:val="none"/>
          <w:lang w:val="zh-CN"/>
        </w:rPr>
      </w:pPr>
      <w:r>
        <w:rPr>
          <w:color w:val="auto"/>
          <w:sz w:val="24"/>
          <w:highlight w:val="none"/>
          <w:lang w:val="zh-CN"/>
        </w:rPr>
        <w:t>5.1保证产品为最新型全新原厂设备。</w:t>
      </w:r>
    </w:p>
    <w:p>
      <w:pPr>
        <w:spacing w:line="400" w:lineRule="exact"/>
        <w:rPr>
          <w:color w:val="auto"/>
          <w:sz w:val="24"/>
          <w:highlight w:val="none"/>
          <w:lang w:val="zh-CN"/>
        </w:rPr>
      </w:pPr>
      <w:r>
        <w:rPr>
          <w:color w:val="auto"/>
          <w:sz w:val="24"/>
          <w:highlight w:val="none"/>
          <w:lang w:val="zh-CN"/>
        </w:rPr>
        <w:t>5.2仪器安装验收：供货商在接到用户安装通知后，须在10工作日内安排有经验的工程师到现场安装仪器，并在</w:t>
      </w:r>
      <w:r>
        <w:rPr>
          <w:rFonts w:hint="eastAsia"/>
          <w:color w:val="auto"/>
          <w:sz w:val="24"/>
          <w:highlight w:val="none"/>
        </w:rPr>
        <w:t>3</w:t>
      </w:r>
      <w:r>
        <w:rPr>
          <w:color w:val="auto"/>
          <w:sz w:val="24"/>
          <w:highlight w:val="none"/>
          <w:lang w:val="zh-CN"/>
        </w:rPr>
        <w:t>0工作日内安装、调试完毕，进行操作试验，直至运行正常并验收确认。</w:t>
      </w:r>
    </w:p>
    <w:p>
      <w:pPr>
        <w:spacing w:line="400" w:lineRule="exact"/>
        <w:rPr>
          <w:color w:val="auto"/>
          <w:sz w:val="24"/>
          <w:highlight w:val="none"/>
          <w:lang w:val="zh-CN"/>
        </w:rPr>
      </w:pPr>
      <w:r>
        <w:rPr>
          <w:color w:val="auto"/>
          <w:sz w:val="24"/>
          <w:highlight w:val="none"/>
          <w:lang w:val="zh-CN"/>
        </w:rPr>
        <w:t>5.3保修服务：自验收合格起，厂家向用户提供至少1年的免费保修服务，终生维修。保修期内所有服务免费，一切配件、耗材免费到场更换。保修期外，能及时为用户提供备品备件。</w:t>
      </w:r>
    </w:p>
    <w:p>
      <w:pPr>
        <w:spacing w:line="400" w:lineRule="exact"/>
        <w:rPr>
          <w:color w:val="auto"/>
          <w:sz w:val="24"/>
          <w:highlight w:val="none"/>
          <w:lang w:val="zh-CN"/>
        </w:rPr>
      </w:pPr>
      <w:r>
        <w:rPr>
          <w:color w:val="auto"/>
          <w:sz w:val="24"/>
          <w:highlight w:val="none"/>
          <w:lang w:val="zh-CN"/>
        </w:rPr>
        <w:t>5.4质量及验收标准：安装工程师需对本标书中提出的性能指标须逐项验收；并应当严格按照相关环境标准进行验收。所有验收指标要求一次完成，最终出具符合采购方使用要求的验收报告。如未通过验收，视情节更换部件或主机，直至退货。</w:t>
      </w:r>
    </w:p>
    <w:p>
      <w:pPr>
        <w:spacing w:line="400" w:lineRule="exact"/>
        <w:rPr>
          <w:color w:val="auto"/>
          <w:sz w:val="24"/>
          <w:highlight w:val="none"/>
          <w:lang w:val="zh-CN"/>
        </w:rPr>
      </w:pPr>
      <w:r>
        <w:rPr>
          <w:color w:val="auto"/>
          <w:sz w:val="24"/>
          <w:highlight w:val="none"/>
          <w:lang w:val="zh-CN"/>
        </w:rPr>
        <w:t>5.5培训：仪器安装现场对2名以上仪器操作人员提供免费的上机操作及日常维护培训，至使用者会操作、使用仪器为止。</w:t>
      </w:r>
    </w:p>
    <w:p>
      <w:pPr>
        <w:spacing w:line="400" w:lineRule="exact"/>
        <w:rPr>
          <w:color w:val="auto"/>
          <w:sz w:val="24"/>
          <w:highlight w:val="none"/>
        </w:rPr>
      </w:pPr>
      <w:r>
        <w:rPr>
          <w:color w:val="auto"/>
          <w:sz w:val="24"/>
          <w:highlight w:val="none"/>
          <w:lang w:val="zh-CN"/>
        </w:rPr>
        <w:t>备注：带“*”号的为必须满足指标，与技术性能指标一起做为验收指标。验收时须提供精密度、检出限等技术材料。</w:t>
      </w:r>
    </w:p>
    <w:p>
      <w:pPr>
        <w:pStyle w:val="60"/>
        <w:numPr>
          <w:ilvl w:val="0"/>
          <w:numId w:val="17"/>
        </w:numPr>
        <w:spacing w:line="440" w:lineRule="exact"/>
        <w:ind w:leftChars="0" w:firstLineChars="0"/>
        <w:rPr>
          <w:color w:val="auto"/>
          <w:highlight w:val="none"/>
        </w:rPr>
      </w:pPr>
      <w:r>
        <w:rPr>
          <w:rFonts w:hint="eastAsia"/>
          <w:color w:val="auto"/>
          <w:highlight w:val="none"/>
        </w:rPr>
        <w:t>样品自动进样器</w:t>
      </w:r>
    </w:p>
    <w:p>
      <w:pPr>
        <w:widowControl/>
        <w:autoSpaceDE w:val="0"/>
        <w:autoSpaceDN w:val="0"/>
        <w:snapToGrid w:val="0"/>
        <w:spacing w:line="400" w:lineRule="exact"/>
        <w:contextualSpacing/>
        <w:rPr>
          <w:b/>
          <w:color w:val="auto"/>
          <w:kern w:val="0"/>
          <w:sz w:val="24"/>
          <w:highlight w:val="none"/>
          <w:lang w:val="zh-CN"/>
        </w:rPr>
      </w:pPr>
      <w:r>
        <w:rPr>
          <w:rFonts w:hint="eastAsia"/>
          <w:b/>
          <w:color w:val="auto"/>
          <w:kern w:val="0"/>
          <w:sz w:val="24"/>
          <w:highlight w:val="none"/>
          <w:lang w:val="zh-CN"/>
        </w:rPr>
        <w:t>1设备用途：</w:t>
      </w:r>
    </w:p>
    <w:p>
      <w:pPr>
        <w:widowControl/>
        <w:shd w:val="clear" w:color="auto" w:fill="FFFFFF"/>
        <w:snapToGrid w:val="0"/>
        <w:spacing w:line="400" w:lineRule="exact"/>
        <w:ind w:firstLine="480" w:firstLineChars="200"/>
        <w:contextualSpacing/>
        <w:rPr>
          <w:color w:val="auto"/>
          <w:kern w:val="0"/>
          <w:sz w:val="24"/>
          <w:highlight w:val="none"/>
          <w:lang w:val="zh-CN"/>
        </w:rPr>
      </w:pPr>
      <w:r>
        <w:rPr>
          <w:rFonts w:hint="eastAsia"/>
          <w:color w:val="auto"/>
          <w:kern w:val="0"/>
          <w:sz w:val="24"/>
          <w:highlight w:val="none"/>
          <w:lang w:val="zh-CN"/>
        </w:rPr>
        <w:t>气相色谱联用，自动化完成进样管路清洗，定量环清洗，以及气体样品进样。兼容主流品牌气相色谱，满足国家标准HJ 604-2017、HJ38-2017和HJ121-2022等相关技术要求。</w:t>
      </w:r>
    </w:p>
    <w:p>
      <w:pPr>
        <w:widowControl/>
        <w:autoSpaceDE w:val="0"/>
        <w:autoSpaceDN w:val="0"/>
        <w:snapToGrid w:val="0"/>
        <w:spacing w:line="400" w:lineRule="exact"/>
        <w:contextualSpacing/>
        <w:rPr>
          <w:b/>
          <w:color w:val="auto"/>
          <w:kern w:val="0"/>
          <w:sz w:val="24"/>
          <w:highlight w:val="none"/>
          <w:lang w:val="zh-CN"/>
        </w:rPr>
      </w:pPr>
      <w:r>
        <w:rPr>
          <w:rFonts w:hint="eastAsia"/>
          <w:b/>
          <w:color w:val="auto"/>
          <w:kern w:val="0"/>
          <w:sz w:val="24"/>
          <w:highlight w:val="none"/>
          <w:lang w:val="zh-CN"/>
        </w:rPr>
        <w:t>2工作环境</w:t>
      </w:r>
    </w:p>
    <w:p>
      <w:pPr>
        <w:widowControl/>
        <w:shd w:val="clear" w:color="auto" w:fill="FFFFFF"/>
        <w:snapToGrid w:val="0"/>
        <w:spacing w:line="400" w:lineRule="exact"/>
        <w:contextualSpacing/>
        <w:rPr>
          <w:color w:val="auto"/>
          <w:kern w:val="0"/>
          <w:sz w:val="24"/>
          <w:highlight w:val="none"/>
          <w:lang w:val="zh-CN"/>
        </w:rPr>
      </w:pPr>
      <w:r>
        <w:rPr>
          <w:rFonts w:hint="eastAsia"/>
          <w:color w:val="auto"/>
          <w:kern w:val="0"/>
          <w:sz w:val="24"/>
          <w:highlight w:val="none"/>
          <w:lang w:val="zh-CN"/>
        </w:rPr>
        <w:t>2.1电源电压：220VAC 50/60HZ；</w:t>
      </w:r>
    </w:p>
    <w:p>
      <w:pPr>
        <w:widowControl/>
        <w:shd w:val="clear" w:color="auto" w:fill="FFFFFF"/>
        <w:snapToGrid w:val="0"/>
        <w:spacing w:line="400" w:lineRule="exact"/>
        <w:contextualSpacing/>
        <w:rPr>
          <w:color w:val="auto"/>
          <w:kern w:val="0"/>
          <w:sz w:val="24"/>
          <w:highlight w:val="none"/>
          <w:lang w:val="zh-CN"/>
        </w:rPr>
      </w:pPr>
      <w:r>
        <w:rPr>
          <w:rFonts w:hint="eastAsia"/>
          <w:color w:val="auto"/>
          <w:kern w:val="0"/>
          <w:sz w:val="24"/>
          <w:highlight w:val="none"/>
          <w:lang w:val="zh-CN"/>
        </w:rPr>
        <w:t>2.2环境温度：10-40℃；</w:t>
      </w:r>
    </w:p>
    <w:p>
      <w:pPr>
        <w:widowControl/>
        <w:shd w:val="clear" w:color="auto" w:fill="FFFFFF"/>
        <w:snapToGrid w:val="0"/>
        <w:spacing w:line="400" w:lineRule="exact"/>
        <w:contextualSpacing/>
        <w:rPr>
          <w:color w:val="auto"/>
          <w:kern w:val="0"/>
          <w:sz w:val="24"/>
          <w:highlight w:val="none"/>
          <w:lang w:val="zh-CN"/>
        </w:rPr>
      </w:pPr>
      <w:r>
        <w:rPr>
          <w:rFonts w:hint="eastAsia"/>
          <w:color w:val="auto"/>
          <w:kern w:val="0"/>
          <w:sz w:val="24"/>
          <w:highlight w:val="none"/>
          <w:lang w:val="zh-CN"/>
        </w:rPr>
        <w:t>2.3相对湿度：≤80%。</w:t>
      </w:r>
    </w:p>
    <w:p>
      <w:pPr>
        <w:widowControl/>
        <w:autoSpaceDE w:val="0"/>
        <w:autoSpaceDN w:val="0"/>
        <w:snapToGrid w:val="0"/>
        <w:spacing w:line="400" w:lineRule="exact"/>
        <w:contextualSpacing/>
        <w:rPr>
          <w:b/>
          <w:color w:val="auto"/>
          <w:kern w:val="0"/>
          <w:sz w:val="24"/>
          <w:highlight w:val="none"/>
          <w:lang w:val="zh-CN"/>
        </w:rPr>
      </w:pPr>
      <w:r>
        <w:rPr>
          <w:rFonts w:hint="eastAsia"/>
          <w:b/>
          <w:color w:val="auto"/>
          <w:kern w:val="0"/>
          <w:sz w:val="24"/>
          <w:highlight w:val="none"/>
          <w:lang w:val="zh-CN"/>
        </w:rPr>
        <w:t>3技术要求</w:t>
      </w:r>
    </w:p>
    <w:p>
      <w:pPr>
        <w:widowControl/>
        <w:shd w:val="clear" w:color="auto" w:fill="FFFFFF"/>
        <w:snapToGrid w:val="0"/>
        <w:spacing w:line="400" w:lineRule="exact"/>
        <w:contextualSpacing/>
        <w:rPr>
          <w:color w:val="auto"/>
          <w:kern w:val="0"/>
          <w:sz w:val="24"/>
          <w:highlight w:val="none"/>
          <w:lang w:val="zh-CN"/>
        </w:rPr>
      </w:pPr>
      <w:r>
        <w:rPr>
          <w:rFonts w:hint="eastAsia"/>
          <w:color w:val="auto"/>
          <w:kern w:val="0"/>
          <w:sz w:val="24"/>
          <w:highlight w:val="none"/>
          <w:lang w:val="zh-CN"/>
        </w:rPr>
        <w:t>3.1控制方式：电脑和工作站软件</w:t>
      </w:r>
    </w:p>
    <w:p>
      <w:pPr>
        <w:widowControl/>
        <w:shd w:val="clear" w:color="auto" w:fill="FFFFFF"/>
        <w:snapToGrid w:val="0"/>
        <w:spacing w:line="400" w:lineRule="exact"/>
        <w:contextualSpacing/>
        <w:rPr>
          <w:color w:val="auto"/>
          <w:kern w:val="0"/>
          <w:sz w:val="24"/>
          <w:highlight w:val="none"/>
          <w:lang w:val="zh-CN"/>
        </w:rPr>
      </w:pPr>
      <w:r>
        <w:rPr>
          <w:rFonts w:hint="eastAsia"/>
          <w:color w:val="auto"/>
          <w:kern w:val="0"/>
          <w:sz w:val="24"/>
          <w:highlight w:val="none"/>
          <w:lang w:val="zh-CN"/>
        </w:rPr>
        <w:t>3.2软件功能：具有数据库功能，可以添加样品信息，如采样地址，时间，采样人员，分析人员等。并且对所编辑的信息自动保存，自动检索，提供软件截图证明。</w:t>
      </w:r>
    </w:p>
    <w:p>
      <w:pPr>
        <w:widowControl/>
        <w:shd w:val="clear" w:color="auto" w:fill="FFFFFF"/>
        <w:snapToGrid w:val="0"/>
        <w:spacing w:line="400" w:lineRule="exact"/>
        <w:contextualSpacing/>
        <w:rPr>
          <w:color w:val="auto"/>
          <w:kern w:val="0"/>
          <w:sz w:val="24"/>
          <w:highlight w:val="none"/>
          <w:lang w:val="zh-CN"/>
        </w:rPr>
      </w:pPr>
      <w:r>
        <w:rPr>
          <w:rFonts w:hint="eastAsia"/>
          <w:color w:val="auto"/>
          <w:kern w:val="0"/>
          <w:sz w:val="24"/>
          <w:highlight w:val="none"/>
          <w:lang w:val="zh-CN"/>
        </w:rPr>
        <w:t>3.3样品位数：不小于30位（预留30个位置后续可升级到60位）</w:t>
      </w:r>
    </w:p>
    <w:p>
      <w:pPr>
        <w:widowControl/>
        <w:shd w:val="clear" w:color="auto" w:fill="FFFFFF"/>
        <w:snapToGrid w:val="0"/>
        <w:spacing w:line="400" w:lineRule="exact"/>
        <w:contextualSpacing/>
        <w:rPr>
          <w:color w:val="auto"/>
          <w:kern w:val="0"/>
          <w:sz w:val="24"/>
          <w:highlight w:val="none"/>
          <w:lang w:val="zh-CN"/>
        </w:rPr>
      </w:pPr>
      <w:r>
        <w:rPr>
          <w:rFonts w:hint="eastAsia"/>
          <w:color w:val="auto"/>
          <w:kern w:val="0"/>
          <w:sz w:val="24"/>
          <w:highlight w:val="none"/>
          <w:lang w:val="zh-CN"/>
        </w:rPr>
        <w:t>3.4进样方式：双通道定量环进样。</w:t>
      </w:r>
    </w:p>
    <w:p>
      <w:pPr>
        <w:widowControl/>
        <w:shd w:val="clear" w:color="auto" w:fill="FFFFFF"/>
        <w:snapToGrid w:val="0"/>
        <w:spacing w:line="400" w:lineRule="exact"/>
        <w:contextualSpacing/>
        <w:rPr>
          <w:color w:val="auto"/>
          <w:kern w:val="0"/>
          <w:sz w:val="24"/>
          <w:highlight w:val="none"/>
          <w:lang w:val="zh-CN"/>
        </w:rPr>
      </w:pPr>
      <w:r>
        <w:rPr>
          <w:rFonts w:hint="eastAsia"/>
          <w:color w:val="auto"/>
          <w:kern w:val="0"/>
          <w:sz w:val="24"/>
          <w:highlight w:val="none"/>
          <w:lang w:val="zh-CN"/>
        </w:rPr>
        <w:t>3.5配套的采样装置：采气袋，针筒，苏码罐等。</w:t>
      </w:r>
    </w:p>
    <w:p>
      <w:pPr>
        <w:widowControl/>
        <w:shd w:val="clear" w:color="auto" w:fill="FFFFFF"/>
        <w:snapToGrid w:val="0"/>
        <w:spacing w:line="400" w:lineRule="exact"/>
        <w:contextualSpacing/>
        <w:rPr>
          <w:color w:val="auto"/>
          <w:kern w:val="0"/>
          <w:sz w:val="24"/>
          <w:highlight w:val="none"/>
          <w:lang w:val="zh-CN"/>
        </w:rPr>
      </w:pPr>
      <w:r>
        <w:rPr>
          <w:rFonts w:hint="eastAsia"/>
          <w:color w:val="auto"/>
          <w:kern w:val="0"/>
          <w:sz w:val="24"/>
          <w:highlight w:val="none"/>
          <w:lang w:val="zh-CN"/>
        </w:rPr>
        <w:t>3.6进样体积：1ml样品定量管或其它体积可选。</w:t>
      </w:r>
    </w:p>
    <w:p>
      <w:pPr>
        <w:widowControl/>
        <w:shd w:val="clear" w:color="auto" w:fill="FFFFFF"/>
        <w:snapToGrid w:val="0"/>
        <w:spacing w:line="400" w:lineRule="exact"/>
        <w:contextualSpacing/>
        <w:rPr>
          <w:color w:val="auto"/>
          <w:kern w:val="0"/>
          <w:sz w:val="24"/>
          <w:highlight w:val="none"/>
          <w:lang w:val="zh-CN"/>
        </w:rPr>
      </w:pPr>
      <w:r>
        <w:rPr>
          <w:rFonts w:hint="eastAsia"/>
          <w:color w:val="auto"/>
          <w:kern w:val="0"/>
          <w:sz w:val="24"/>
          <w:highlight w:val="none"/>
          <w:lang w:val="zh-CN"/>
        </w:rPr>
        <w:t>3.7进样系统具备管路反吹功能，反吹气体必须从连接气袋的接口流出，来达到冲洗进样口以及其连接管路的目的。</w:t>
      </w:r>
    </w:p>
    <w:p>
      <w:pPr>
        <w:widowControl/>
        <w:shd w:val="clear" w:color="auto" w:fill="FFFFFF"/>
        <w:snapToGrid w:val="0"/>
        <w:spacing w:line="400" w:lineRule="exact"/>
        <w:contextualSpacing/>
        <w:rPr>
          <w:color w:val="auto"/>
          <w:kern w:val="0"/>
          <w:sz w:val="24"/>
          <w:highlight w:val="none"/>
          <w:lang w:val="zh-CN"/>
        </w:rPr>
      </w:pPr>
      <w:r>
        <w:rPr>
          <w:rFonts w:hint="eastAsia"/>
          <w:color w:val="auto"/>
          <w:sz w:val="24"/>
          <w:highlight w:val="none"/>
        </w:rPr>
        <w:t>★</w:t>
      </w:r>
      <w:r>
        <w:rPr>
          <w:rFonts w:hint="eastAsia"/>
          <w:color w:val="auto"/>
          <w:kern w:val="0"/>
          <w:sz w:val="24"/>
          <w:highlight w:val="none"/>
          <w:lang w:val="zh-CN"/>
        </w:rPr>
        <w:t>3.8标准气体自动配制模块：可以自动在线稀释并进样，稀释倍数不小于100倍。总烃和甲烷曲线线性相关系数要大于等于0.999，做样前后进有证标准气体样品校验，相对误差须小于10%。并提供原厂质量流量计校准证书。</w:t>
      </w:r>
    </w:p>
    <w:p>
      <w:pPr>
        <w:widowControl/>
        <w:shd w:val="clear" w:color="auto" w:fill="FFFFFF"/>
        <w:snapToGrid w:val="0"/>
        <w:spacing w:line="400" w:lineRule="exact"/>
        <w:contextualSpacing/>
        <w:rPr>
          <w:color w:val="auto"/>
          <w:kern w:val="0"/>
          <w:sz w:val="24"/>
          <w:highlight w:val="none"/>
          <w:lang w:val="zh-CN"/>
        </w:rPr>
      </w:pPr>
      <w:r>
        <w:rPr>
          <w:rFonts w:hint="eastAsia"/>
          <w:color w:val="auto"/>
          <w:kern w:val="0"/>
          <w:sz w:val="24"/>
          <w:highlight w:val="none"/>
          <w:lang w:val="zh-CN"/>
        </w:rPr>
        <w:t>*3.9样品稀释模块：高浓度样品自动在线稀释后自动进样，一次批量稀释样品数量不小于30个，最大稀释倍数可达100倍。</w:t>
      </w:r>
    </w:p>
    <w:p>
      <w:pPr>
        <w:widowControl/>
        <w:shd w:val="clear" w:color="auto" w:fill="FFFFFF"/>
        <w:snapToGrid w:val="0"/>
        <w:spacing w:line="400" w:lineRule="exact"/>
        <w:contextualSpacing/>
        <w:rPr>
          <w:color w:val="auto"/>
          <w:kern w:val="0"/>
          <w:sz w:val="24"/>
          <w:highlight w:val="none"/>
          <w:lang w:val="zh-CN"/>
        </w:rPr>
      </w:pPr>
      <w:r>
        <w:rPr>
          <w:rFonts w:hint="eastAsia"/>
          <w:color w:val="auto"/>
          <w:kern w:val="0"/>
          <w:sz w:val="24"/>
          <w:highlight w:val="none"/>
          <w:lang w:val="zh-CN"/>
        </w:rPr>
        <w:t>*3.10气袋自动清洗模块：内置压力检测器，达到设定负压值自动转换充气模式，达到设定正压值自动转换成吸气模式，多次重复清洗气袋。最多可同时清洗40个气袋，清洗过程中对所有气袋进行加热，加热温度可设置（清洗后气袋空白实验总烃测定结果以甲烷计&lt;0.06mg/m3）。</w:t>
      </w:r>
    </w:p>
    <w:p>
      <w:pPr>
        <w:widowControl/>
        <w:shd w:val="clear" w:color="auto" w:fill="FFFFFF"/>
        <w:snapToGrid w:val="0"/>
        <w:spacing w:line="400" w:lineRule="exact"/>
        <w:contextualSpacing/>
        <w:rPr>
          <w:color w:val="auto"/>
          <w:kern w:val="0"/>
          <w:sz w:val="24"/>
          <w:highlight w:val="none"/>
          <w:lang w:val="zh-CN"/>
        </w:rPr>
      </w:pPr>
      <w:r>
        <w:rPr>
          <w:rFonts w:hint="eastAsia"/>
          <w:color w:val="auto"/>
          <w:kern w:val="0"/>
          <w:sz w:val="24"/>
          <w:highlight w:val="none"/>
          <w:lang w:val="zh-CN"/>
        </w:rPr>
        <w:t>3.11进样器内部管路材料：钝化处理过的不锈钢材质和peek材料。</w:t>
      </w:r>
    </w:p>
    <w:p>
      <w:pPr>
        <w:widowControl/>
        <w:shd w:val="clear" w:color="auto" w:fill="FFFFFF"/>
        <w:snapToGrid w:val="0"/>
        <w:spacing w:line="400" w:lineRule="exact"/>
        <w:contextualSpacing/>
        <w:rPr>
          <w:color w:val="auto"/>
          <w:kern w:val="0"/>
          <w:sz w:val="24"/>
          <w:highlight w:val="none"/>
          <w:lang w:val="zh-CN"/>
        </w:rPr>
      </w:pPr>
      <w:r>
        <w:rPr>
          <w:rFonts w:hint="eastAsia"/>
          <w:color w:val="auto"/>
          <w:kern w:val="0"/>
          <w:sz w:val="24"/>
          <w:highlight w:val="none"/>
          <w:lang w:val="zh-CN"/>
        </w:rPr>
        <w:t>3.12进样精度：同个进样口重复进样，测试结果的相对标准偏差小于2%（重复7次，甲烷浓度2 ppm）；不同进样口重复进样，测试结果的相对偏差小于3%（进样口随机，重复测试7次，甲烷浓度2 ppm）</w:t>
      </w:r>
    </w:p>
    <w:p>
      <w:pPr>
        <w:widowControl/>
        <w:shd w:val="clear" w:color="auto" w:fill="FFFFFF"/>
        <w:snapToGrid w:val="0"/>
        <w:spacing w:line="400" w:lineRule="exact"/>
        <w:contextualSpacing/>
        <w:rPr>
          <w:color w:val="auto"/>
          <w:kern w:val="0"/>
          <w:sz w:val="24"/>
          <w:highlight w:val="none"/>
          <w:lang w:val="zh-CN"/>
        </w:rPr>
      </w:pPr>
      <w:r>
        <w:rPr>
          <w:rFonts w:hint="eastAsia"/>
          <w:color w:val="auto"/>
          <w:kern w:val="0"/>
          <w:sz w:val="24"/>
          <w:highlight w:val="none"/>
          <w:lang w:val="zh-CN"/>
        </w:rPr>
        <w:t>3.13正负压两用型隔膜泵：抽气速率可达30L/min，正压力可达30Psi，正压和负压可调并配置表头，泵头采用防腐材料。</w:t>
      </w:r>
    </w:p>
    <w:p>
      <w:pPr>
        <w:widowControl/>
        <w:shd w:val="clear" w:color="auto" w:fill="FFFFFF"/>
        <w:snapToGrid w:val="0"/>
        <w:spacing w:line="400" w:lineRule="exact"/>
        <w:contextualSpacing/>
        <w:rPr>
          <w:color w:val="auto"/>
          <w:kern w:val="0"/>
          <w:sz w:val="24"/>
          <w:highlight w:val="none"/>
          <w:lang w:val="zh-CN"/>
        </w:rPr>
      </w:pPr>
      <w:r>
        <w:rPr>
          <w:rFonts w:hint="eastAsia"/>
          <w:color w:val="auto"/>
          <w:kern w:val="0"/>
          <w:sz w:val="24"/>
          <w:highlight w:val="none"/>
          <w:lang w:val="zh-CN"/>
        </w:rPr>
        <w:t>3.14数据接口：USB接口</w:t>
      </w:r>
    </w:p>
    <w:p>
      <w:pPr>
        <w:widowControl/>
        <w:autoSpaceDE w:val="0"/>
        <w:autoSpaceDN w:val="0"/>
        <w:snapToGrid w:val="0"/>
        <w:spacing w:line="400" w:lineRule="exact"/>
        <w:contextualSpacing/>
        <w:rPr>
          <w:b/>
          <w:color w:val="auto"/>
          <w:kern w:val="0"/>
          <w:sz w:val="24"/>
          <w:highlight w:val="none"/>
          <w:lang w:val="zh-CN"/>
        </w:rPr>
      </w:pPr>
      <w:r>
        <w:rPr>
          <w:rFonts w:hint="eastAsia"/>
          <w:b/>
          <w:color w:val="auto"/>
          <w:kern w:val="0"/>
          <w:sz w:val="24"/>
          <w:highlight w:val="none"/>
          <w:lang w:val="zh-CN"/>
        </w:rPr>
        <w:t>4仪器配置</w:t>
      </w:r>
    </w:p>
    <w:p>
      <w:pPr>
        <w:widowControl/>
        <w:shd w:val="clear" w:color="auto" w:fill="FFFFFF"/>
        <w:snapToGrid w:val="0"/>
        <w:spacing w:line="400" w:lineRule="exact"/>
        <w:contextualSpacing/>
        <w:rPr>
          <w:color w:val="auto"/>
          <w:kern w:val="0"/>
          <w:sz w:val="24"/>
          <w:highlight w:val="none"/>
          <w:lang w:val="zh-CN"/>
        </w:rPr>
      </w:pPr>
      <w:r>
        <w:rPr>
          <w:rFonts w:hint="eastAsia"/>
          <w:color w:val="auto"/>
          <w:kern w:val="0"/>
          <w:sz w:val="24"/>
          <w:highlight w:val="none"/>
          <w:lang w:val="zh-CN"/>
        </w:rPr>
        <w:t>4.1全自动进样器主机1套，并包括：进样阀，选择阀，阀控制系统，连接管线，负压进样系统等。</w:t>
      </w:r>
    </w:p>
    <w:p>
      <w:pPr>
        <w:widowControl/>
        <w:shd w:val="clear" w:color="auto" w:fill="FFFFFF"/>
        <w:snapToGrid w:val="0"/>
        <w:spacing w:line="400" w:lineRule="exact"/>
        <w:contextualSpacing/>
        <w:rPr>
          <w:color w:val="auto"/>
          <w:kern w:val="0"/>
          <w:sz w:val="24"/>
          <w:highlight w:val="none"/>
          <w:lang w:val="zh-CN"/>
        </w:rPr>
      </w:pPr>
      <w:r>
        <w:rPr>
          <w:rFonts w:hint="eastAsia"/>
          <w:color w:val="auto"/>
          <w:kern w:val="0"/>
          <w:sz w:val="24"/>
          <w:highlight w:val="none"/>
          <w:lang w:val="zh-CN"/>
        </w:rPr>
        <w:t>4.2标气在线稀释模块1套。</w:t>
      </w:r>
    </w:p>
    <w:p>
      <w:pPr>
        <w:widowControl/>
        <w:shd w:val="clear" w:color="auto" w:fill="FFFFFF"/>
        <w:snapToGrid w:val="0"/>
        <w:spacing w:line="400" w:lineRule="exact"/>
        <w:contextualSpacing/>
        <w:rPr>
          <w:color w:val="auto"/>
          <w:kern w:val="0"/>
          <w:sz w:val="24"/>
          <w:highlight w:val="none"/>
          <w:lang w:val="zh-CN"/>
        </w:rPr>
      </w:pPr>
      <w:r>
        <w:rPr>
          <w:rFonts w:hint="eastAsia"/>
          <w:color w:val="auto"/>
          <w:kern w:val="0"/>
          <w:sz w:val="24"/>
          <w:highlight w:val="none"/>
          <w:lang w:val="zh-CN"/>
        </w:rPr>
        <w:t>4.3样品自动在线稀释模块1套</w:t>
      </w:r>
    </w:p>
    <w:p>
      <w:pPr>
        <w:widowControl/>
        <w:shd w:val="clear" w:color="auto" w:fill="FFFFFF"/>
        <w:snapToGrid w:val="0"/>
        <w:spacing w:line="400" w:lineRule="exact"/>
        <w:contextualSpacing/>
        <w:rPr>
          <w:color w:val="auto"/>
          <w:kern w:val="0"/>
          <w:sz w:val="24"/>
          <w:highlight w:val="none"/>
          <w:lang w:val="zh-CN"/>
        </w:rPr>
      </w:pPr>
      <w:r>
        <w:rPr>
          <w:rFonts w:hint="eastAsia"/>
          <w:color w:val="auto"/>
          <w:kern w:val="0"/>
          <w:sz w:val="24"/>
          <w:highlight w:val="none"/>
          <w:lang w:val="zh-CN"/>
        </w:rPr>
        <w:t>4.4气袋自动清洗模块1套</w:t>
      </w:r>
    </w:p>
    <w:p>
      <w:pPr>
        <w:widowControl/>
        <w:shd w:val="clear" w:color="auto" w:fill="FFFFFF"/>
        <w:snapToGrid w:val="0"/>
        <w:spacing w:line="400" w:lineRule="exact"/>
        <w:contextualSpacing/>
        <w:rPr>
          <w:color w:val="auto"/>
          <w:kern w:val="0"/>
          <w:sz w:val="24"/>
          <w:highlight w:val="none"/>
          <w:lang w:val="zh-CN"/>
        </w:rPr>
      </w:pPr>
      <w:r>
        <w:rPr>
          <w:rFonts w:hint="eastAsia"/>
          <w:color w:val="auto"/>
          <w:kern w:val="0"/>
          <w:sz w:val="24"/>
          <w:highlight w:val="none"/>
          <w:lang w:val="zh-CN"/>
        </w:rPr>
        <w:t>4.5正负压两用型隔膜泵2套</w:t>
      </w:r>
    </w:p>
    <w:p>
      <w:pPr>
        <w:widowControl/>
        <w:shd w:val="clear" w:color="auto" w:fill="FFFFFF"/>
        <w:snapToGrid w:val="0"/>
        <w:spacing w:line="400" w:lineRule="exact"/>
        <w:contextualSpacing/>
        <w:rPr>
          <w:color w:val="auto"/>
          <w:kern w:val="0"/>
          <w:sz w:val="24"/>
          <w:highlight w:val="none"/>
          <w:lang w:val="zh-CN"/>
        </w:rPr>
      </w:pPr>
      <w:r>
        <w:rPr>
          <w:rFonts w:hint="eastAsia"/>
          <w:color w:val="auto"/>
          <w:kern w:val="0"/>
          <w:sz w:val="24"/>
          <w:highlight w:val="none"/>
          <w:lang w:val="zh-CN"/>
        </w:rPr>
        <w:t>4.6电源线：2个。</w:t>
      </w:r>
    </w:p>
    <w:p>
      <w:pPr>
        <w:widowControl/>
        <w:shd w:val="clear" w:color="auto" w:fill="FFFFFF"/>
        <w:snapToGrid w:val="0"/>
        <w:spacing w:line="400" w:lineRule="exact"/>
        <w:contextualSpacing/>
        <w:rPr>
          <w:color w:val="auto"/>
          <w:kern w:val="0"/>
          <w:sz w:val="24"/>
          <w:highlight w:val="none"/>
          <w:lang w:val="zh-CN"/>
        </w:rPr>
      </w:pPr>
      <w:r>
        <w:rPr>
          <w:rFonts w:hint="eastAsia"/>
          <w:color w:val="auto"/>
          <w:kern w:val="0"/>
          <w:sz w:val="24"/>
          <w:highlight w:val="none"/>
          <w:lang w:val="zh-CN"/>
        </w:rPr>
        <w:t>4.7启动工具包1个。</w:t>
      </w:r>
    </w:p>
    <w:p>
      <w:pPr>
        <w:widowControl/>
        <w:shd w:val="clear" w:color="auto" w:fill="FFFFFF"/>
        <w:snapToGrid w:val="0"/>
        <w:spacing w:line="400" w:lineRule="exact"/>
        <w:contextualSpacing/>
        <w:rPr>
          <w:color w:val="auto"/>
          <w:kern w:val="0"/>
          <w:sz w:val="24"/>
          <w:highlight w:val="none"/>
          <w:lang w:val="zh-CN"/>
        </w:rPr>
      </w:pPr>
      <w:r>
        <w:rPr>
          <w:rFonts w:hint="eastAsia"/>
          <w:color w:val="auto"/>
          <w:kern w:val="0"/>
          <w:sz w:val="24"/>
          <w:highlight w:val="none"/>
          <w:lang w:val="zh-CN"/>
        </w:rPr>
        <w:t>4.8工作站软件1套。</w:t>
      </w:r>
    </w:p>
    <w:p>
      <w:pPr>
        <w:widowControl/>
        <w:shd w:val="clear" w:color="auto" w:fill="FFFFFF"/>
        <w:snapToGrid w:val="0"/>
        <w:spacing w:line="400" w:lineRule="exact"/>
        <w:contextualSpacing/>
        <w:rPr>
          <w:color w:val="auto"/>
          <w:kern w:val="0"/>
          <w:sz w:val="24"/>
          <w:highlight w:val="none"/>
          <w:lang w:val="zh-CN"/>
        </w:rPr>
      </w:pPr>
      <w:r>
        <w:rPr>
          <w:rFonts w:hint="eastAsia"/>
          <w:color w:val="auto"/>
          <w:kern w:val="0"/>
          <w:sz w:val="24"/>
          <w:highlight w:val="none"/>
          <w:lang w:val="zh-CN"/>
        </w:rPr>
        <w:t>4.9 1L聚四氟乙烯采气袋（特氟龙阀）100个</w:t>
      </w:r>
    </w:p>
    <w:p>
      <w:pPr>
        <w:widowControl/>
        <w:autoSpaceDE w:val="0"/>
        <w:autoSpaceDN w:val="0"/>
        <w:snapToGrid w:val="0"/>
        <w:spacing w:line="400" w:lineRule="exact"/>
        <w:contextualSpacing/>
        <w:rPr>
          <w:b/>
          <w:color w:val="auto"/>
          <w:kern w:val="0"/>
          <w:sz w:val="24"/>
          <w:highlight w:val="none"/>
          <w:lang w:val="zh-CN"/>
        </w:rPr>
      </w:pPr>
      <w:r>
        <w:rPr>
          <w:rFonts w:hint="eastAsia"/>
          <w:b/>
          <w:color w:val="auto"/>
          <w:kern w:val="0"/>
          <w:sz w:val="24"/>
          <w:highlight w:val="none"/>
          <w:lang w:val="zh-CN"/>
        </w:rPr>
        <w:t>5技术服务</w:t>
      </w:r>
    </w:p>
    <w:p>
      <w:pPr>
        <w:spacing w:line="400" w:lineRule="exact"/>
        <w:rPr>
          <w:color w:val="auto"/>
          <w:sz w:val="24"/>
          <w:highlight w:val="none"/>
          <w:lang w:val="zh-CN"/>
        </w:rPr>
      </w:pPr>
      <w:r>
        <w:rPr>
          <w:color w:val="auto"/>
          <w:sz w:val="24"/>
          <w:highlight w:val="none"/>
          <w:lang w:val="zh-CN"/>
        </w:rPr>
        <w:t>5.1保证产品为最新型全新原厂设备。</w:t>
      </w:r>
    </w:p>
    <w:p>
      <w:pPr>
        <w:spacing w:line="400" w:lineRule="exact"/>
        <w:rPr>
          <w:color w:val="auto"/>
          <w:sz w:val="24"/>
          <w:highlight w:val="none"/>
          <w:lang w:val="zh-CN"/>
        </w:rPr>
      </w:pPr>
      <w:r>
        <w:rPr>
          <w:color w:val="auto"/>
          <w:sz w:val="24"/>
          <w:highlight w:val="none"/>
          <w:lang w:val="zh-CN"/>
        </w:rPr>
        <w:t>5.2仪器安装验收：供货商在接到用户安装通知后，须在10工作日内安排有经验的工程师到现场安装仪器，并在</w:t>
      </w:r>
      <w:r>
        <w:rPr>
          <w:rFonts w:hint="eastAsia"/>
          <w:color w:val="auto"/>
          <w:sz w:val="24"/>
          <w:highlight w:val="none"/>
        </w:rPr>
        <w:t>3</w:t>
      </w:r>
      <w:r>
        <w:rPr>
          <w:color w:val="auto"/>
          <w:sz w:val="24"/>
          <w:highlight w:val="none"/>
          <w:lang w:val="zh-CN"/>
        </w:rPr>
        <w:t>0工作日内安装、调试完毕，进行操作试验，直至运行正常并验收确认。</w:t>
      </w:r>
    </w:p>
    <w:p>
      <w:pPr>
        <w:spacing w:line="400" w:lineRule="exact"/>
        <w:rPr>
          <w:color w:val="auto"/>
          <w:sz w:val="24"/>
          <w:highlight w:val="none"/>
          <w:lang w:val="zh-CN"/>
        </w:rPr>
      </w:pPr>
      <w:r>
        <w:rPr>
          <w:color w:val="auto"/>
          <w:sz w:val="24"/>
          <w:highlight w:val="none"/>
          <w:lang w:val="zh-CN"/>
        </w:rPr>
        <w:t>5.3保修服务：自验收合格起，厂家向用户提供至少1年的免费保修服务，终生维修。保修期内所有服务免费，一切配件、耗材免费到场更换。保修期外，能及时为用户提供备品备件。</w:t>
      </w:r>
    </w:p>
    <w:p>
      <w:pPr>
        <w:spacing w:line="400" w:lineRule="exact"/>
        <w:rPr>
          <w:color w:val="auto"/>
          <w:sz w:val="24"/>
          <w:highlight w:val="none"/>
          <w:lang w:val="zh-CN"/>
        </w:rPr>
      </w:pPr>
      <w:r>
        <w:rPr>
          <w:color w:val="auto"/>
          <w:sz w:val="24"/>
          <w:highlight w:val="none"/>
          <w:lang w:val="zh-CN"/>
        </w:rPr>
        <w:t>5.4质量及验收标准：安装工程师需对本标书中提出的性能指标须逐项验收；并应当严格按照相关环境标准进行验收。所有验收指标要求一次完成，最终出具符合采购方使用要求的验收报告。如未通过验收，视情节更换部件或主机，直至退货。</w:t>
      </w:r>
    </w:p>
    <w:p>
      <w:pPr>
        <w:spacing w:line="400" w:lineRule="exact"/>
        <w:rPr>
          <w:color w:val="auto"/>
          <w:sz w:val="24"/>
          <w:highlight w:val="none"/>
          <w:lang w:val="zh-CN"/>
        </w:rPr>
      </w:pPr>
      <w:r>
        <w:rPr>
          <w:color w:val="auto"/>
          <w:sz w:val="24"/>
          <w:highlight w:val="none"/>
          <w:lang w:val="zh-CN"/>
        </w:rPr>
        <w:t>5.5培训：仪器安装现场对2名以上仪器操作人员提供免费的上机操作及日常维护培训，至使用者会操作、使用仪器为止。</w:t>
      </w:r>
    </w:p>
    <w:p>
      <w:pPr>
        <w:spacing w:line="400" w:lineRule="exact"/>
        <w:rPr>
          <w:color w:val="auto"/>
          <w:sz w:val="24"/>
          <w:highlight w:val="none"/>
          <w:lang w:val="zh-CN"/>
        </w:rPr>
      </w:pPr>
      <w:r>
        <w:rPr>
          <w:color w:val="auto"/>
          <w:sz w:val="24"/>
          <w:highlight w:val="none"/>
          <w:lang w:val="zh-CN"/>
        </w:rPr>
        <w:t>备注：带“*”号的为必须满足指标，与技术性能指标一起做为验收指标。验收时须提供精密度、检出限等技术材料。</w:t>
      </w:r>
    </w:p>
    <w:p>
      <w:pPr>
        <w:spacing w:line="440" w:lineRule="exact"/>
        <w:rPr>
          <w:b/>
          <w:bCs/>
          <w:color w:val="auto"/>
          <w:kern w:val="0"/>
          <w:sz w:val="24"/>
          <w:highlight w:val="none"/>
        </w:rPr>
      </w:pPr>
      <w:r>
        <w:rPr>
          <w:rFonts w:hint="eastAsia"/>
          <w:b/>
          <w:bCs/>
          <w:color w:val="auto"/>
          <w:kern w:val="0"/>
          <w:sz w:val="24"/>
          <w:highlight w:val="none"/>
        </w:rPr>
        <w:t>第三包</w:t>
      </w:r>
    </w:p>
    <w:p>
      <w:pPr>
        <w:spacing w:line="400" w:lineRule="exact"/>
        <w:rPr>
          <w:color w:val="auto"/>
          <w:sz w:val="24"/>
          <w:highlight w:val="none"/>
          <w:lang w:val="zh-CN"/>
        </w:rPr>
      </w:pPr>
      <w:r>
        <w:rPr>
          <w:rFonts w:hint="eastAsia"/>
          <w:color w:val="auto"/>
          <w:sz w:val="24"/>
          <w:highlight w:val="none"/>
          <w:lang w:val="zh-CN"/>
        </w:rPr>
        <w:t>（一）土壤显示设备</w:t>
      </w:r>
    </w:p>
    <w:p>
      <w:pPr>
        <w:widowControl/>
        <w:autoSpaceDE w:val="0"/>
        <w:autoSpaceDN w:val="0"/>
        <w:snapToGrid w:val="0"/>
        <w:spacing w:line="440" w:lineRule="exact"/>
        <w:rPr>
          <w:b/>
          <w:bCs/>
          <w:color w:val="auto"/>
          <w:kern w:val="0"/>
          <w:sz w:val="24"/>
          <w:highlight w:val="none"/>
        </w:rPr>
      </w:pPr>
      <w:r>
        <w:rPr>
          <w:b/>
          <w:bCs/>
          <w:color w:val="auto"/>
          <w:kern w:val="0"/>
          <w:sz w:val="24"/>
          <w:highlight w:val="none"/>
        </w:rPr>
        <w:t>1.设备用途</w:t>
      </w:r>
    </w:p>
    <w:p>
      <w:pPr>
        <w:spacing w:line="440" w:lineRule="exact"/>
        <w:rPr>
          <w:color w:val="auto"/>
          <w:sz w:val="24"/>
          <w:highlight w:val="none"/>
          <w:lang w:val="zh-CN"/>
        </w:rPr>
      </w:pPr>
      <w:r>
        <w:rPr>
          <w:color w:val="auto"/>
          <w:sz w:val="24"/>
          <w:highlight w:val="none"/>
          <w:lang w:val="zh-CN"/>
        </w:rPr>
        <w:t>用于土壤等</w:t>
      </w:r>
      <w:r>
        <w:rPr>
          <w:rFonts w:hint="eastAsia"/>
          <w:color w:val="auto"/>
          <w:sz w:val="24"/>
          <w:highlight w:val="none"/>
          <w:lang w:val="zh-CN"/>
        </w:rPr>
        <w:t>视频监控图像的监控及检测数据的展示</w:t>
      </w:r>
      <w:r>
        <w:rPr>
          <w:color w:val="auto"/>
          <w:sz w:val="24"/>
          <w:highlight w:val="none"/>
          <w:lang w:val="zh-CN"/>
        </w:rPr>
        <w:t>。</w:t>
      </w:r>
    </w:p>
    <w:p>
      <w:pPr>
        <w:widowControl/>
        <w:autoSpaceDE w:val="0"/>
        <w:autoSpaceDN w:val="0"/>
        <w:snapToGrid w:val="0"/>
        <w:spacing w:line="440" w:lineRule="exact"/>
        <w:rPr>
          <w:b/>
          <w:bCs/>
          <w:color w:val="auto"/>
          <w:kern w:val="0"/>
          <w:sz w:val="24"/>
          <w:highlight w:val="none"/>
        </w:rPr>
      </w:pPr>
      <w:r>
        <w:rPr>
          <w:b/>
          <w:bCs/>
          <w:color w:val="auto"/>
          <w:kern w:val="0"/>
          <w:sz w:val="24"/>
          <w:highlight w:val="none"/>
        </w:rPr>
        <w:t>2.工作环境</w:t>
      </w:r>
    </w:p>
    <w:p>
      <w:pPr>
        <w:spacing w:line="440" w:lineRule="exact"/>
        <w:rPr>
          <w:color w:val="auto"/>
          <w:sz w:val="24"/>
          <w:highlight w:val="none"/>
          <w:lang w:val="es-ES"/>
        </w:rPr>
      </w:pPr>
      <w:r>
        <w:rPr>
          <w:rFonts w:hint="eastAsia"/>
          <w:color w:val="auto"/>
          <w:sz w:val="24"/>
          <w:highlight w:val="none"/>
        </w:rPr>
        <w:t>2</w:t>
      </w:r>
      <w:r>
        <w:rPr>
          <w:color w:val="auto"/>
          <w:sz w:val="24"/>
          <w:highlight w:val="none"/>
          <w:lang w:val="es-ES"/>
        </w:rPr>
        <w:t>.1环境温度：10℃-30 ℃；</w:t>
      </w:r>
    </w:p>
    <w:p>
      <w:pPr>
        <w:spacing w:line="440" w:lineRule="exact"/>
        <w:rPr>
          <w:color w:val="auto"/>
          <w:sz w:val="24"/>
          <w:highlight w:val="none"/>
          <w:lang w:val="es-ES"/>
        </w:rPr>
      </w:pPr>
      <w:r>
        <w:rPr>
          <w:rFonts w:hint="eastAsia"/>
          <w:color w:val="auto"/>
          <w:sz w:val="24"/>
          <w:highlight w:val="none"/>
        </w:rPr>
        <w:t>2</w:t>
      </w:r>
      <w:r>
        <w:rPr>
          <w:color w:val="auto"/>
          <w:sz w:val="24"/>
          <w:highlight w:val="none"/>
          <w:lang w:val="es-ES"/>
        </w:rPr>
        <w:t>.2环境湿度20%-80%；</w:t>
      </w:r>
    </w:p>
    <w:p>
      <w:pPr>
        <w:spacing w:line="440" w:lineRule="exact"/>
        <w:rPr>
          <w:color w:val="auto"/>
          <w:sz w:val="24"/>
          <w:highlight w:val="none"/>
          <w:lang w:val="es-ES"/>
        </w:rPr>
      </w:pPr>
      <w:r>
        <w:rPr>
          <w:rFonts w:hint="eastAsia"/>
          <w:color w:val="auto"/>
          <w:sz w:val="24"/>
          <w:highlight w:val="none"/>
          <w:lang w:val="es-ES"/>
        </w:rPr>
        <w:t>3</w:t>
      </w:r>
      <w:r>
        <w:rPr>
          <w:color w:val="auto"/>
          <w:sz w:val="24"/>
          <w:highlight w:val="none"/>
          <w:lang w:val="es-ES"/>
        </w:rPr>
        <w:t>.技术要求</w:t>
      </w:r>
    </w:p>
    <w:p>
      <w:pPr>
        <w:spacing w:line="440" w:lineRule="exact"/>
        <w:rPr>
          <w:color w:val="auto"/>
          <w:sz w:val="24"/>
          <w:highlight w:val="none"/>
          <w:lang w:val="es-ES"/>
        </w:rPr>
      </w:pPr>
      <w:r>
        <w:rPr>
          <w:rFonts w:hint="eastAsia"/>
          <w:color w:val="auto"/>
          <w:sz w:val="24"/>
          <w:highlight w:val="none"/>
          <w:lang w:val="es-ES"/>
        </w:rPr>
        <w:t>3.</w:t>
      </w:r>
      <w:r>
        <w:rPr>
          <w:color w:val="auto"/>
          <w:sz w:val="24"/>
          <w:highlight w:val="none"/>
          <w:lang w:val="es-ES"/>
        </w:rPr>
        <w:t>1</w:t>
      </w:r>
      <w:r>
        <w:rPr>
          <w:rFonts w:hint="eastAsia"/>
          <w:color w:val="auto"/>
          <w:sz w:val="24"/>
          <w:highlight w:val="none"/>
          <w:lang w:val="es-ES"/>
        </w:rPr>
        <w:t>室内led显示屏</w:t>
      </w:r>
    </w:p>
    <w:p>
      <w:pPr>
        <w:spacing w:line="440" w:lineRule="exact"/>
        <w:rPr>
          <w:color w:val="auto"/>
          <w:sz w:val="24"/>
          <w:highlight w:val="none"/>
          <w:lang w:val="es-ES"/>
        </w:rPr>
      </w:pPr>
      <w:r>
        <w:rPr>
          <w:rFonts w:hint="eastAsia"/>
          <w:color w:val="auto"/>
          <w:sz w:val="24"/>
          <w:highlight w:val="none"/>
          <w:lang w:val="es-ES"/>
        </w:rPr>
        <w:t>3.</w:t>
      </w:r>
      <w:r>
        <w:rPr>
          <w:color w:val="auto"/>
          <w:sz w:val="24"/>
          <w:highlight w:val="none"/>
          <w:lang w:val="es-ES"/>
        </w:rPr>
        <w:t>1.1</w:t>
      </w:r>
      <w:r>
        <w:rPr>
          <w:rFonts w:hint="eastAsia"/>
          <w:color w:val="auto"/>
          <w:sz w:val="24"/>
          <w:highlight w:val="none"/>
          <w:lang w:val="es-ES"/>
        </w:rPr>
        <w:t>屏体尺寸：宽≥5.76米，高≥3.24米；</w:t>
      </w:r>
    </w:p>
    <w:p>
      <w:pPr>
        <w:spacing w:line="440" w:lineRule="exact"/>
        <w:rPr>
          <w:color w:val="auto"/>
          <w:sz w:val="24"/>
          <w:highlight w:val="none"/>
          <w:lang w:val="es-ES"/>
        </w:rPr>
      </w:pPr>
      <w:r>
        <w:rPr>
          <w:color w:val="auto"/>
          <w:sz w:val="24"/>
          <w:highlight w:val="none"/>
          <w:lang w:val="es-ES"/>
        </w:rPr>
        <w:t>3.1.2</w:t>
      </w:r>
      <w:r>
        <w:rPr>
          <w:rFonts w:hint="eastAsia"/>
          <w:color w:val="auto"/>
          <w:sz w:val="24"/>
          <w:highlight w:val="none"/>
          <w:lang w:val="es-ES"/>
        </w:rPr>
        <w:t>屏幕分辨率：≥2880*1620；</w:t>
      </w:r>
    </w:p>
    <w:p>
      <w:pPr>
        <w:spacing w:line="440" w:lineRule="exact"/>
        <w:rPr>
          <w:color w:val="auto"/>
          <w:sz w:val="24"/>
          <w:highlight w:val="none"/>
          <w:lang w:val="es-ES"/>
        </w:rPr>
      </w:pPr>
      <w:r>
        <w:rPr>
          <w:rFonts w:hint="eastAsia"/>
          <w:color w:val="auto"/>
          <w:sz w:val="24"/>
          <w:highlight w:val="none"/>
          <w:lang w:val="es-ES"/>
        </w:rPr>
        <w:t>*3.</w:t>
      </w:r>
      <w:r>
        <w:rPr>
          <w:color w:val="auto"/>
          <w:sz w:val="24"/>
          <w:highlight w:val="none"/>
          <w:lang w:val="es-ES"/>
        </w:rPr>
        <w:t>1.3</w:t>
      </w:r>
      <w:r>
        <w:rPr>
          <w:rFonts w:hint="eastAsia"/>
          <w:color w:val="auto"/>
          <w:sz w:val="24"/>
          <w:highlight w:val="none"/>
          <w:lang w:val="es-ES"/>
        </w:rPr>
        <w:t>模组底壳材质：铝，货物验收时将与安装产品进行比对；</w:t>
      </w:r>
    </w:p>
    <w:p>
      <w:pPr>
        <w:spacing w:line="440" w:lineRule="exact"/>
        <w:rPr>
          <w:color w:val="auto"/>
          <w:sz w:val="24"/>
          <w:highlight w:val="none"/>
          <w:lang w:val="es-ES"/>
        </w:rPr>
      </w:pPr>
      <w:r>
        <w:rPr>
          <w:rFonts w:hint="eastAsia"/>
          <w:color w:val="auto"/>
          <w:sz w:val="24"/>
          <w:highlight w:val="none"/>
          <w:lang w:val="es-ES"/>
        </w:rPr>
        <w:t>★3.</w:t>
      </w:r>
      <w:r>
        <w:rPr>
          <w:color w:val="auto"/>
          <w:sz w:val="24"/>
          <w:highlight w:val="none"/>
          <w:lang w:val="es-ES"/>
        </w:rPr>
        <w:t>1.4</w:t>
      </w:r>
      <w:r>
        <w:rPr>
          <w:rFonts w:hint="eastAsia"/>
          <w:color w:val="auto"/>
          <w:sz w:val="24"/>
          <w:highlight w:val="none"/>
          <w:lang w:val="es-ES"/>
        </w:rPr>
        <w:t>像素点间距：≤2.0mm；</w:t>
      </w:r>
    </w:p>
    <w:p>
      <w:pPr>
        <w:spacing w:line="440" w:lineRule="exact"/>
        <w:rPr>
          <w:color w:val="auto"/>
          <w:sz w:val="24"/>
          <w:highlight w:val="none"/>
          <w:lang w:val="es-ES"/>
        </w:rPr>
      </w:pPr>
      <w:r>
        <w:rPr>
          <w:rFonts w:hint="eastAsia"/>
          <w:color w:val="auto"/>
          <w:sz w:val="24"/>
          <w:highlight w:val="none"/>
          <w:lang w:val="es-ES"/>
        </w:rPr>
        <w:t>*</w:t>
      </w:r>
      <w:r>
        <w:rPr>
          <w:color w:val="auto"/>
          <w:sz w:val="24"/>
          <w:highlight w:val="none"/>
          <w:lang w:val="es-ES"/>
        </w:rPr>
        <w:t>3.1.5</w:t>
      </w:r>
      <w:r>
        <w:rPr>
          <w:rFonts w:hint="eastAsia"/>
          <w:color w:val="auto"/>
          <w:sz w:val="24"/>
          <w:highlight w:val="none"/>
          <w:lang w:val="es-ES"/>
        </w:rPr>
        <w:t>模组尺寸：320mm*180mm；</w:t>
      </w:r>
    </w:p>
    <w:p>
      <w:pPr>
        <w:spacing w:line="440" w:lineRule="exact"/>
        <w:rPr>
          <w:color w:val="auto"/>
          <w:sz w:val="24"/>
          <w:highlight w:val="none"/>
          <w:lang w:val="es-ES"/>
        </w:rPr>
      </w:pPr>
      <w:r>
        <w:rPr>
          <w:rFonts w:hint="eastAsia"/>
          <w:color w:val="auto"/>
          <w:sz w:val="24"/>
          <w:highlight w:val="none"/>
          <w:lang w:val="es-ES"/>
        </w:rPr>
        <w:t>*3.</w:t>
      </w:r>
      <w:r>
        <w:rPr>
          <w:color w:val="auto"/>
          <w:sz w:val="24"/>
          <w:highlight w:val="none"/>
          <w:lang w:val="es-ES"/>
        </w:rPr>
        <w:t>1.6</w:t>
      </w:r>
      <w:r>
        <w:rPr>
          <w:rFonts w:hint="eastAsia"/>
          <w:color w:val="auto"/>
          <w:sz w:val="24"/>
          <w:highlight w:val="none"/>
          <w:lang w:val="es-ES"/>
        </w:rPr>
        <w:t>屏体参数</w:t>
      </w:r>
    </w:p>
    <w:p>
      <w:pPr>
        <w:spacing w:line="440" w:lineRule="exact"/>
        <w:rPr>
          <w:color w:val="auto"/>
          <w:sz w:val="24"/>
          <w:highlight w:val="none"/>
          <w:lang w:val="es-ES"/>
        </w:rPr>
      </w:pPr>
      <w:r>
        <w:rPr>
          <w:color w:val="auto"/>
          <w:sz w:val="24"/>
          <w:highlight w:val="none"/>
          <w:lang w:val="es-ES"/>
        </w:rPr>
        <w:t>3.1.6.1</w:t>
      </w:r>
      <w:r>
        <w:rPr>
          <w:rFonts w:hint="eastAsia"/>
          <w:color w:val="auto"/>
          <w:sz w:val="24"/>
          <w:highlight w:val="none"/>
          <w:lang w:val="es-ES"/>
        </w:rPr>
        <w:t>亮度：≥450nits；</w:t>
      </w:r>
    </w:p>
    <w:p>
      <w:pPr>
        <w:spacing w:line="440" w:lineRule="exact"/>
        <w:rPr>
          <w:color w:val="auto"/>
          <w:sz w:val="24"/>
          <w:highlight w:val="none"/>
          <w:lang w:val="es-ES"/>
        </w:rPr>
      </w:pPr>
      <w:r>
        <w:rPr>
          <w:color w:val="auto"/>
          <w:sz w:val="24"/>
          <w:highlight w:val="none"/>
          <w:lang w:val="es-ES"/>
        </w:rPr>
        <w:t>3.1.6.2</w:t>
      </w:r>
      <w:r>
        <w:rPr>
          <w:rFonts w:hint="eastAsia"/>
          <w:color w:val="auto"/>
          <w:sz w:val="24"/>
          <w:highlight w:val="none"/>
          <w:lang w:val="es-ES"/>
        </w:rPr>
        <w:t>色温：4000—14000可调；</w:t>
      </w:r>
    </w:p>
    <w:p>
      <w:pPr>
        <w:spacing w:line="440" w:lineRule="exact"/>
        <w:rPr>
          <w:color w:val="auto"/>
          <w:sz w:val="24"/>
          <w:highlight w:val="none"/>
          <w:lang w:val="es-ES"/>
        </w:rPr>
      </w:pPr>
      <w:r>
        <w:rPr>
          <w:color w:val="auto"/>
          <w:sz w:val="24"/>
          <w:highlight w:val="none"/>
          <w:lang w:val="es-ES"/>
        </w:rPr>
        <w:t>3.1.6.3</w:t>
      </w:r>
      <w:r>
        <w:rPr>
          <w:rFonts w:hint="eastAsia"/>
          <w:color w:val="auto"/>
          <w:sz w:val="24"/>
          <w:highlight w:val="none"/>
          <w:lang w:val="es-ES"/>
        </w:rPr>
        <w:t>对比度：≥5000：1；</w:t>
      </w:r>
    </w:p>
    <w:p>
      <w:pPr>
        <w:spacing w:line="440" w:lineRule="exact"/>
        <w:rPr>
          <w:color w:val="auto"/>
          <w:sz w:val="24"/>
          <w:highlight w:val="none"/>
          <w:lang w:val="es-ES"/>
        </w:rPr>
      </w:pPr>
      <w:r>
        <w:rPr>
          <w:color w:val="auto"/>
          <w:sz w:val="24"/>
          <w:highlight w:val="none"/>
          <w:lang w:val="es-ES"/>
        </w:rPr>
        <w:t>3.1.6.4</w:t>
      </w:r>
      <w:r>
        <w:rPr>
          <w:rFonts w:hint="eastAsia"/>
          <w:color w:val="auto"/>
          <w:sz w:val="24"/>
          <w:highlight w:val="none"/>
          <w:lang w:val="es-ES"/>
        </w:rPr>
        <w:t>峰值功耗：≤450W/㎡；</w:t>
      </w:r>
    </w:p>
    <w:p>
      <w:pPr>
        <w:spacing w:line="440" w:lineRule="exact"/>
        <w:rPr>
          <w:color w:val="auto"/>
          <w:sz w:val="24"/>
          <w:highlight w:val="none"/>
          <w:lang w:val="es-ES"/>
        </w:rPr>
      </w:pPr>
      <w:r>
        <w:rPr>
          <w:color w:val="auto"/>
          <w:sz w:val="24"/>
          <w:highlight w:val="none"/>
          <w:lang w:val="es-ES"/>
        </w:rPr>
        <w:t>3.1.6.5</w:t>
      </w:r>
      <w:r>
        <w:rPr>
          <w:rFonts w:hint="eastAsia"/>
          <w:color w:val="auto"/>
          <w:sz w:val="24"/>
          <w:highlight w:val="none"/>
          <w:lang w:val="es-ES"/>
        </w:rPr>
        <w:t>平均功耗：≤145W/㎡；</w:t>
      </w:r>
    </w:p>
    <w:p>
      <w:pPr>
        <w:spacing w:line="440" w:lineRule="exact"/>
        <w:rPr>
          <w:color w:val="auto"/>
          <w:sz w:val="24"/>
          <w:highlight w:val="none"/>
          <w:lang w:val="es-ES"/>
        </w:rPr>
      </w:pPr>
      <w:r>
        <w:rPr>
          <w:color w:val="auto"/>
          <w:sz w:val="24"/>
          <w:highlight w:val="none"/>
          <w:lang w:val="es-ES"/>
        </w:rPr>
        <w:t>3.1.6.6</w:t>
      </w:r>
      <w:r>
        <w:rPr>
          <w:rFonts w:hint="eastAsia"/>
          <w:color w:val="auto"/>
          <w:sz w:val="24"/>
          <w:highlight w:val="none"/>
          <w:lang w:val="es-ES"/>
        </w:rPr>
        <w:t>水平视角：≥160°；</w:t>
      </w:r>
    </w:p>
    <w:p>
      <w:pPr>
        <w:spacing w:line="440" w:lineRule="exact"/>
        <w:rPr>
          <w:color w:val="auto"/>
          <w:sz w:val="24"/>
          <w:highlight w:val="none"/>
          <w:lang w:val="es-ES"/>
        </w:rPr>
      </w:pPr>
      <w:r>
        <w:rPr>
          <w:color w:val="auto"/>
          <w:sz w:val="24"/>
          <w:highlight w:val="none"/>
          <w:lang w:val="es-ES"/>
        </w:rPr>
        <w:t>3.1.6.7</w:t>
      </w:r>
      <w:r>
        <w:rPr>
          <w:rFonts w:hint="eastAsia"/>
          <w:color w:val="auto"/>
          <w:sz w:val="24"/>
          <w:highlight w:val="none"/>
          <w:lang w:val="es-ES"/>
        </w:rPr>
        <w:t>垂直视角：≥145°；</w:t>
      </w:r>
    </w:p>
    <w:p>
      <w:pPr>
        <w:spacing w:line="440" w:lineRule="exact"/>
        <w:rPr>
          <w:color w:val="auto"/>
          <w:sz w:val="24"/>
          <w:highlight w:val="none"/>
          <w:lang w:val="es-ES"/>
        </w:rPr>
      </w:pPr>
      <w:r>
        <w:rPr>
          <w:color w:val="auto"/>
          <w:sz w:val="24"/>
          <w:highlight w:val="none"/>
          <w:lang w:val="es-ES"/>
        </w:rPr>
        <w:t>3.1.6.8</w:t>
      </w:r>
      <w:r>
        <w:rPr>
          <w:rFonts w:hint="eastAsia"/>
          <w:color w:val="auto"/>
          <w:sz w:val="24"/>
          <w:highlight w:val="none"/>
          <w:lang w:val="es-ES"/>
        </w:rPr>
        <w:t>亮度均匀性：≥97%；</w:t>
      </w:r>
    </w:p>
    <w:p>
      <w:pPr>
        <w:spacing w:line="440" w:lineRule="exact"/>
        <w:rPr>
          <w:color w:val="auto"/>
          <w:sz w:val="24"/>
          <w:highlight w:val="none"/>
          <w:lang w:val="es-ES"/>
        </w:rPr>
      </w:pPr>
      <w:r>
        <w:rPr>
          <w:color w:val="auto"/>
          <w:sz w:val="24"/>
          <w:highlight w:val="none"/>
          <w:lang w:val="es-ES"/>
        </w:rPr>
        <w:t>3.1.6.9</w:t>
      </w:r>
      <w:r>
        <w:rPr>
          <w:rFonts w:hint="eastAsia"/>
          <w:color w:val="auto"/>
          <w:sz w:val="24"/>
          <w:highlight w:val="none"/>
          <w:lang w:val="es-ES"/>
        </w:rPr>
        <w:t>发光点中心距偏差：＜0.5%；</w:t>
      </w:r>
    </w:p>
    <w:p>
      <w:pPr>
        <w:spacing w:line="440" w:lineRule="exact"/>
        <w:rPr>
          <w:color w:val="auto"/>
          <w:sz w:val="24"/>
          <w:highlight w:val="none"/>
          <w:lang w:val="es-ES"/>
        </w:rPr>
      </w:pPr>
      <w:r>
        <w:rPr>
          <w:color w:val="auto"/>
          <w:sz w:val="24"/>
          <w:highlight w:val="none"/>
          <w:lang w:val="es-ES"/>
        </w:rPr>
        <w:t>3.1.6.10</w:t>
      </w:r>
      <w:r>
        <w:rPr>
          <w:rFonts w:hint="eastAsia"/>
          <w:color w:val="auto"/>
          <w:sz w:val="24"/>
          <w:highlight w:val="none"/>
          <w:lang w:val="es-ES"/>
        </w:rPr>
        <w:t>平整度：≤0.15mm；</w:t>
      </w:r>
    </w:p>
    <w:p>
      <w:pPr>
        <w:spacing w:line="440" w:lineRule="exact"/>
        <w:rPr>
          <w:color w:val="auto"/>
          <w:sz w:val="24"/>
          <w:highlight w:val="none"/>
          <w:lang w:val="es-ES"/>
        </w:rPr>
      </w:pPr>
      <w:r>
        <w:rPr>
          <w:color w:val="auto"/>
          <w:sz w:val="24"/>
          <w:highlight w:val="none"/>
          <w:lang w:val="es-ES"/>
        </w:rPr>
        <w:t>3.1.6.11</w:t>
      </w:r>
      <w:r>
        <w:rPr>
          <w:rFonts w:hint="eastAsia"/>
          <w:color w:val="auto"/>
          <w:sz w:val="24"/>
          <w:highlight w:val="none"/>
          <w:lang w:val="es-ES"/>
        </w:rPr>
        <w:t>像素失控率：≤0.00001；</w:t>
      </w:r>
    </w:p>
    <w:p>
      <w:pPr>
        <w:spacing w:line="440" w:lineRule="exact"/>
        <w:rPr>
          <w:color w:val="auto"/>
          <w:sz w:val="24"/>
          <w:highlight w:val="none"/>
          <w:lang w:val="es-ES"/>
        </w:rPr>
      </w:pPr>
      <w:r>
        <w:rPr>
          <w:color w:val="auto"/>
          <w:sz w:val="24"/>
          <w:highlight w:val="none"/>
          <w:lang w:val="es-ES"/>
        </w:rPr>
        <w:t>3.1.6.12</w:t>
      </w:r>
      <w:r>
        <w:rPr>
          <w:rFonts w:hint="eastAsia"/>
          <w:color w:val="auto"/>
          <w:sz w:val="24"/>
          <w:highlight w:val="none"/>
          <w:lang w:val="es-ES"/>
        </w:rPr>
        <w:t>色域覆盖率：≥100%；</w:t>
      </w:r>
    </w:p>
    <w:p>
      <w:pPr>
        <w:spacing w:line="440" w:lineRule="exact"/>
        <w:rPr>
          <w:color w:val="auto"/>
          <w:sz w:val="24"/>
          <w:highlight w:val="none"/>
          <w:lang w:val="es-ES"/>
        </w:rPr>
      </w:pPr>
      <w:r>
        <w:rPr>
          <w:rFonts w:hint="eastAsia"/>
          <w:color w:val="auto"/>
          <w:sz w:val="24"/>
          <w:highlight w:val="none"/>
          <w:lang w:val="es-ES"/>
        </w:rPr>
        <w:t>*</w:t>
      </w:r>
      <w:r>
        <w:rPr>
          <w:color w:val="auto"/>
          <w:sz w:val="24"/>
          <w:highlight w:val="none"/>
          <w:lang w:val="es-ES"/>
        </w:rPr>
        <w:t>3.1.6.13</w:t>
      </w:r>
      <w:r>
        <w:rPr>
          <w:rFonts w:hint="eastAsia"/>
          <w:color w:val="auto"/>
          <w:sz w:val="24"/>
          <w:highlight w:val="none"/>
          <w:lang w:val="es-ES"/>
        </w:rPr>
        <w:t>灰度等级：100%亮度时≥16bits灰度，20%亮度时≥12bits灰度；</w:t>
      </w:r>
    </w:p>
    <w:p>
      <w:pPr>
        <w:spacing w:line="440" w:lineRule="exact"/>
        <w:rPr>
          <w:color w:val="auto"/>
          <w:sz w:val="24"/>
          <w:highlight w:val="none"/>
          <w:lang w:val="es-ES"/>
        </w:rPr>
      </w:pPr>
      <w:r>
        <w:rPr>
          <w:rFonts w:hint="eastAsia"/>
          <w:color w:val="auto"/>
          <w:sz w:val="24"/>
          <w:highlight w:val="none"/>
          <w:lang w:val="es-ES"/>
        </w:rPr>
        <w:t>*</w:t>
      </w:r>
      <w:r>
        <w:rPr>
          <w:color w:val="auto"/>
          <w:sz w:val="24"/>
          <w:highlight w:val="none"/>
          <w:lang w:val="es-ES"/>
        </w:rPr>
        <w:t>3.1.6.14</w:t>
      </w:r>
      <w:r>
        <w:rPr>
          <w:rFonts w:hint="eastAsia"/>
          <w:color w:val="auto"/>
          <w:sz w:val="24"/>
          <w:highlight w:val="none"/>
          <w:lang w:val="es-ES"/>
        </w:rPr>
        <w:t>模组机械强度：≥5MP；</w:t>
      </w:r>
    </w:p>
    <w:p>
      <w:pPr>
        <w:spacing w:line="440" w:lineRule="exact"/>
        <w:rPr>
          <w:color w:val="auto"/>
          <w:sz w:val="24"/>
          <w:highlight w:val="none"/>
          <w:lang w:val="es-ES"/>
        </w:rPr>
      </w:pPr>
      <w:r>
        <w:rPr>
          <w:color w:val="auto"/>
          <w:sz w:val="24"/>
          <w:highlight w:val="none"/>
          <w:lang w:val="es-ES"/>
        </w:rPr>
        <w:t>3.1.6.15</w:t>
      </w:r>
      <w:r>
        <w:rPr>
          <w:rFonts w:hint="eastAsia"/>
          <w:color w:val="auto"/>
          <w:sz w:val="24"/>
          <w:highlight w:val="none"/>
          <w:lang w:val="es-ES"/>
        </w:rPr>
        <w:t>彩色信号处理位数：≥16bits；</w:t>
      </w:r>
    </w:p>
    <w:p>
      <w:pPr>
        <w:spacing w:line="440" w:lineRule="exact"/>
        <w:rPr>
          <w:color w:val="auto"/>
          <w:sz w:val="24"/>
          <w:highlight w:val="none"/>
          <w:lang w:val="es-ES"/>
        </w:rPr>
      </w:pPr>
      <w:r>
        <w:rPr>
          <w:rFonts w:hint="eastAsia"/>
          <w:color w:val="auto"/>
          <w:sz w:val="24"/>
          <w:highlight w:val="none"/>
          <w:lang w:val="es-ES"/>
        </w:rPr>
        <w:t>3.</w:t>
      </w:r>
      <w:r>
        <w:rPr>
          <w:color w:val="auto"/>
          <w:sz w:val="24"/>
          <w:highlight w:val="none"/>
          <w:lang w:val="es-ES"/>
        </w:rPr>
        <w:t>1.7</w:t>
      </w:r>
      <w:r>
        <w:rPr>
          <w:rFonts w:hint="eastAsia"/>
          <w:color w:val="auto"/>
          <w:sz w:val="24"/>
          <w:highlight w:val="none"/>
          <w:lang w:val="es-ES"/>
        </w:rPr>
        <w:t>整机性能</w:t>
      </w:r>
    </w:p>
    <w:p>
      <w:pPr>
        <w:spacing w:line="440" w:lineRule="exact"/>
        <w:rPr>
          <w:color w:val="auto"/>
          <w:sz w:val="24"/>
          <w:highlight w:val="none"/>
          <w:lang w:val="es-ES"/>
        </w:rPr>
      </w:pPr>
      <w:r>
        <w:rPr>
          <w:color w:val="auto"/>
          <w:sz w:val="24"/>
          <w:highlight w:val="none"/>
          <w:lang w:val="es-ES"/>
        </w:rPr>
        <w:t>3.1.7.1</w:t>
      </w:r>
      <w:r>
        <w:rPr>
          <w:rFonts w:hint="eastAsia"/>
          <w:color w:val="auto"/>
          <w:sz w:val="24"/>
          <w:highlight w:val="none"/>
          <w:lang w:val="es-ES"/>
        </w:rPr>
        <w:t>具有单点亮度校正功能；</w:t>
      </w:r>
    </w:p>
    <w:p>
      <w:pPr>
        <w:spacing w:line="440" w:lineRule="exact"/>
        <w:rPr>
          <w:color w:val="auto"/>
          <w:sz w:val="24"/>
          <w:highlight w:val="none"/>
          <w:lang w:val="es-ES"/>
        </w:rPr>
      </w:pPr>
      <w:r>
        <w:rPr>
          <w:color w:val="auto"/>
          <w:sz w:val="24"/>
          <w:highlight w:val="none"/>
          <w:lang w:val="es-ES"/>
        </w:rPr>
        <w:t>3.1.7.2</w:t>
      </w:r>
      <w:r>
        <w:rPr>
          <w:rFonts w:hint="eastAsia"/>
          <w:color w:val="auto"/>
          <w:sz w:val="24"/>
          <w:highlight w:val="none"/>
          <w:lang w:val="es-ES"/>
        </w:rPr>
        <w:t>支持前拆前维护和后拆后维护功能；</w:t>
      </w:r>
    </w:p>
    <w:p>
      <w:pPr>
        <w:spacing w:line="440" w:lineRule="exact"/>
        <w:rPr>
          <w:color w:val="auto"/>
          <w:sz w:val="24"/>
          <w:highlight w:val="none"/>
          <w:lang w:val="es-ES"/>
        </w:rPr>
      </w:pPr>
      <w:r>
        <w:rPr>
          <w:color w:val="auto"/>
          <w:sz w:val="24"/>
          <w:highlight w:val="none"/>
          <w:lang w:val="es-ES"/>
        </w:rPr>
        <w:t>3.1.7.3</w:t>
      </w:r>
      <w:r>
        <w:rPr>
          <w:rFonts w:hint="eastAsia"/>
          <w:color w:val="auto"/>
          <w:sz w:val="24"/>
          <w:highlight w:val="none"/>
          <w:lang w:val="es-ES"/>
        </w:rPr>
        <w:t>模组电源接口采用4P接插头，免工具维护，同时有防呆设计；</w:t>
      </w:r>
    </w:p>
    <w:p>
      <w:pPr>
        <w:spacing w:line="440" w:lineRule="exact"/>
        <w:rPr>
          <w:color w:val="auto"/>
          <w:sz w:val="24"/>
          <w:highlight w:val="none"/>
          <w:lang w:val="es-ES"/>
        </w:rPr>
      </w:pPr>
      <w:r>
        <w:rPr>
          <w:color w:val="auto"/>
          <w:sz w:val="24"/>
          <w:highlight w:val="none"/>
          <w:lang w:val="es-ES"/>
        </w:rPr>
        <w:t>3.1.7.4</w:t>
      </w:r>
      <w:r>
        <w:rPr>
          <w:rFonts w:hint="eastAsia"/>
          <w:color w:val="auto"/>
          <w:sz w:val="24"/>
          <w:highlight w:val="none"/>
          <w:lang w:val="es-ES"/>
        </w:rPr>
        <w:t>采用集成HUB接收卡控制，支持通讯状态监测；</w:t>
      </w:r>
    </w:p>
    <w:p>
      <w:pPr>
        <w:spacing w:line="440" w:lineRule="exact"/>
        <w:rPr>
          <w:color w:val="auto"/>
          <w:sz w:val="24"/>
          <w:highlight w:val="none"/>
          <w:lang w:val="es-ES"/>
        </w:rPr>
      </w:pPr>
      <w:r>
        <w:rPr>
          <w:rFonts w:hint="eastAsia"/>
          <w:color w:val="auto"/>
          <w:sz w:val="24"/>
          <w:highlight w:val="none"/>
          <w:lang w:val="es-ES"/>
        </w:rPr>
        <w:t>*</w:t>
      </w:r>
      <w:r>
        <w:rPr>
          <w:color w:val="auto"/>
          <w:sz w:val="24"/>
          <w:highlight w:val="none"/>
          <w:lang w:val="es-ES"/>
        </w:rPr>
        <w:t>3.1.7.5</w:t>
      </w:r>
      <w:r>
        <w:rPr>
          <w:rFonts w:hint="eastAsia"/>
          <w:color w:val="auto"/>
          <w:sz w:val="24"/>
          <w:highlight w:val="none"/>
          <w:lang w:val="es-ES"/>
        </w:rPr>
        <w:t>软件具备一键调节亮线、暗线校正功能，需提供软件著作权证书；</w:t>
      </w:r>
    </w:p>
    <w:p>
      <w:pPr>
        <w:spacing w:line="440" w:lineRule="exact"/>
        <w:rPr>
          <w:color w:val="auto"/>
          <w:sz w:val="24"/>
          <w:highlight w:val="none"/>
          <w:lang w:val="es-ES"/>
        </w:rPr>
      </w:pPr>
      <w:r>
        <w:rPr>
          <w:color w:val="auto"/>
          <w:sz w:val="24"/>
          <w:highlight w:val="none"/>
          <w:lang w:val="es-ES"/>
        </w:rPr>
        <w:t>3.1.7.6</w:t>
      </w:r>
      <w:r>
        <w:rPr>
          <w:rFonts w:hint="eastAsia"/>
          <w:color w:val="auto"/>
          <w:sz w:val="24"/>
          <w:highlight w:val="none"/>
          <w:lang w:val="es-ES"/>
        </w:rPr>
        <w:t>电源系统支持冗余备份，支持双电网供电；</w:t>
      </w:r>
    </w:p>
    <w:p>
      <w:pPr>
        <w:spacing w:line="440" w:lineRule="exact"/>
        <w:rPr>
          <w:color w:val="auto"/>
          <w:sz w:val="24"/>
          <w:highlight w:val="none"/>
          <w:lang w:val="es-ES"/>
        </w:rPr>
      </w:pPr>
      <w:r>
        <w:rPr>
          <w:color w:val="auto"/>
          <w:sz w:val="24"/>
          <w:highlight w:val="none"/>
          <w:lang w:val="es-ES"/>
        </w:rPr>
        <w:t>3.1.7.7</w:t>
      </w:r>
      <w:r>
        <w:rPr>
          <w:rFonts w:hint="eastAsia"/>
          <w:color w:val="auto"/>
          <w:sz w:val="24"/>
          <w:highlight w:val="none"/>
          <w:lang w:val="es-ES"/>
        </w:rPr>
        <w:t>模组采用3.5VDC的安全电压供电；</w:t>
      </w:r>
    </w:p>
    <w:p>
      <w:pPr>
        <w:spacing w:line="440" w:lineRule="exact"/>
        <w:rPr>
          <w:color w:val="auto"/>
          <w:sz w:val="24"/>
          <w:highlight w:val="none"/>
          <w:lang w:val="es-ES"/>
        </w:rPr>
      </w:pPr>
      <w:r>
        <w:rPr>
          <w:color w:val="auto"/>
          <w:sz w:val="24"/>
          <w:highlight w:val="none"/>
          <w:lang w:val="es-ES"/>
        </w:rPr>
        <w:t>3.1.7.8</w:t>
      </w:r>
      <w:r>
        <w:rPr>
          <w:rFonts w:hint="eastAsia"/>
          <w:color w:val="auto"/>
          <w:sz w:val="24"/>
          <w:highlight w:val="none"/>
          <w:lang w:val="es-ES"/>
        </w:rPr>
        <w:t>采用无风扇散热结构；</w:t>
      </w:r>
    </w:p>
    <w:p>
      <w:pPr>
        <w:spacing w:line="440" w:lineRule="exact"/>
        <w:rPr>
          <w:color w:val="auto"/>
          <w:sz w:val="24"/>
          <w:highlight w:val="none"/>
          <w:lang w:val="es-ES"/>
        </w:rPr>
      </w:pPr>
      <w:r>
        <w:rPr>
          <w:color w:val="auto"/>
          <w:sz w:val="24"/>
          <w:highlight w:val="none"/>
          <w:lang w:val="es-ES"/>
        </w:rPr>
        <w:t>3.1.7.9</w:t>
      </w:r>
      <w:r>
        <w:rPr>
          <w:rFonts w:hint="eastAsia"/>
          <w:color w:val="auto"/>
          <w:sz w:val="24"/>
          <w:highlight w:val="none"/>
          <w:lang w:val="es-ES"/>
        </w:rPr>
        <w:t>具备故障自诊断及排查功能；</w:t>
      </w:r>
    </w:p>
    <w:p>
      <w:pPr>
        <w:spacing w:line="440" w:lineRule="exact"/>
        <w:rPr>
          <w:color w:val="auto"/>
          <w:sz w:val="24"/>
          <w:highlight w:val="none"/>
          <w:lang w:val="es-ES"/>
        </w:rPr>
      </w:pPr>
      <w:r>
        <w:rPr>
          <w:color w:val="auto"/>
          <w:sz w:val="24"/>
          <w:highlight w:val="none"/>
          <w:lang w:val="es-ES"/>
        </w:rPr>
        <w:t>3.1.7.10</w:t>
      </w:r>
      <w:r>
        <w:rPr>
          <w:rFonts w:hint="eastAsia"/>
          <w:color w:val="auto"/>
          <w:sz w:val="24"/>
          <w:highlight w:val="none"/>
          <w:lang w:val="es-ES"/>
        </w:rPr>
        <w:t>带有智能节电功能；</w:t>
      </w:r>
    </w:p>
    <w:p>
      <w:pPr>
        <w:spacing w:line="440" w:lineRule="exact"/>
        <w:rPr>
          <w:color w:val="auto"/>
          <w:sz w:val="24"/>
          <w:highlight w:val="none"/>
          <w:lang w:val="es-ES"/>
        </w:rPr>
      </w:pPr>
      <w:r>
        <w:rPr>
          <w:color w:val="auto"/>
          <w:sz w:val="24"/>
          <w:highlight w:val="none"/>
          <w:lang w:val="es-ES"/>
        </w:rPr>
        <w:t>3.1.7.11</w:t>
      </w:r>
      <w:r>
        <w:rPr>
          <w:rFonts w:hint="eastAsia"/>
          <w:color w:val="auto"/>
          <w:sz w:val="24"/>
          <w:highlight w:val="none"/>
          <w:lang w:val="es-ES"/>
        </w:rPr>
        <w:t>无几何失真和非线性失真现象；</w:t>
      </w:r>
    </w:p>
    <w:p>
      <w:pPr>
        <w:spacing w:line="440" w:lineRule="exact"/>
        <w:rPr>
          <w:color w:val="auto"/>
          <w:sz w:val="24"/>
          <w:highlight w:val="none"/>
          <w:lang w:val="es-ES"/>
        </w:rPr>
      </w:pPr>
      <w:r>
        <w:rPr>
          <w:rFonts w:hint="eastAsia"/>
          <w:color w:val="auto"/>
          <w:sz w:val="24"/>
          <w:highlight w:val="none"/>
          <w:lang w:val="es-ES"/>
        </w:rPr>
        <w:t>*</w:t>
      </w:r>
      <w:r>
        <w:rPr>
          <w:color w:val="auto"/>
          <w:sz w:val="24"/>
          <w:highlight w:val="none"/>
          <w:lang w:val="es-ES"/>
        </w:rPr>
        <w:t xml:space="preserve">3.1.7.12 </w:t>
      </w:r>
      <w:r>
        <w:rPr>
          <w:rFonts w:hint="eastAsia"/>
          <w:color w:val="auto"/>
          <w:sz w:val="24"/>
          <w:highlight w:val="none"/>
          <w:lang w:val="es-ES"/>
        </w:rPr>
        <w:t>LED显示屏可实时监控显示屏工作状态，具有故障自动告警功能，发生故障立即发消息到指定邮箱，及时处理；</w:t>
      </w:r>
    </w:p>
    <w:p>
      <w:pPr>
        <w:spacing w:line="440" w:lineRule="exact"/>
        <w:rPr>
          <w:color w:val="auto"/>
          <w:sz w:val="24"/>
          <w:highlight w:val="none"/>
          <w:lang w:val="es-ES"/>
        </w:rPr>
      </w:pPr>
      <w:r>
        <w:rPr>
          <w:color w:val="auto"/>
          <w:sz w:val="24"/>
          <w:highlight w:val="none"/>
          <w:lang w:val="es-ES"/>
        </w:rPr>
        <w:t>3.1.7.13</w:t>
      </w:r>
      <w:r>
        <w:rPr>
          <w:rFonts w:hint="eastAsia"/>
          <w:color w:val="auto"/>
          <w:sz w:val="24"/>
          <w:highlight w:val="none"/>
          <w:lang w:val="es-ES"/>
        </w:rPr>
        <w:t>LED显示屏具有多点测温系统，均衡散热，防止局部温度过高造成色彩漂移，提高显示寿命；</w:t>
      </w:r>
    </w:p>
    <w:p>
      <w:pPr>
        <w:spacing w:line="440" w:lineRule="exact"/>
        <w:rPr>
          <w:color w:val="auto"/>
          <w:sz w:val="24"/>
          <w:highlight w:val="none"/>
          <w:lang w:val="es-ES"/>
        </w:rPr>
      </w:pPr>
      <w:r>
        <w:rPr>
          <w:color w:val="auto"/>
          <w:sz w:val="24"/>
          <w:highlight w:val="none"/>
          <w:lang w:val="es-ES"/>
        </w:rPr>
        <w:t>3.1.7.14</w:t>
      </w:r>
      <w:r>
        <w:rPr>
          <w:rFonts w:hint="eastAsia"/>
          <w:color w:val="auto"/>
          <w:sz w:val="24"/>
          <w:highlight w:val="none"/>
          <w:lang w:val="es-ES"/>
        </w:rPr>
        <w:t>LED显示屏具有电源温度控制系统，提供电源实时温度监控，超出设定温度自动报警，防止过温失效；</w:t>
      </w:r>
    </w:p>
    <w:p>
      <w:pPr>
        <w:spacing w:line="440" w:lineRule="exact"/>
        <w:rPr>
          <w:color w:val="auto"/>
          <w:sz w:val="24"/>
          <w:highlight w:val="none"/>
          <w:lang w:val="es-ES"/>
        </w:rPr>
      </w:pPr>
      <w:r>
        <w:rPr>
          <w:color w:val="auto"/>
          <w:sz w:val="24"/>
          <w:highlight w:val="none"/>
          <w:lang w:val="es-ES"/>
        </w:rPr>
        <w:t>3.1.7.15</w:t>
      </w:r>
      <w:r>
        <w:rPr>
          <w:rFonts w:hint="eastAsia"/>
          <w:color w:val="auto"/>
          <w:sz w:val="24"/>
          <w:highlight w:val="none"/>
          <w:lang w:val="es-ES"/>
        </w:rPr>
        <w:t>LED图像质量主观评价：优；</w:t>
      </w:r>
    </w:p>
    <w:p>
      <w:pPr>
        <w:spacing w:line="440" w:lineRule="exact"/>
        <w:rPr>
          <w:color w:val="auto"/>
          <w:sz w:val="24"/>
          <w:highlight w:val="none"/>
          <w:lang w:val="es-ES"/>
        </w:rPr>
      </w:pPr>
      <w:r>
        <w:rPr>
          <w:color w:val="auto"/>
          <w:sz w:val="24"/>
          <w:highlight w:val="none"/>
          <w:lang w:val="es-ES"/>
        </w:rPr>
        <w:t>3.1.8</w:t>
      </w:r>
      <w:r>
        <w:rPr>
          <w:rFonts w:hint="eastAsia"/>
          <w:color w:val="auto"/>
          <w:sz w:val="24"/>
          <w:highlight w:val="none"/>
          <w:lang w:val="es-ES"/>
        </w:rPr>
        <w:t>安全性能</w:t>
      </w:r>
    </w:p>
    <w:p>
      <w:pPr>
        <w:spacing w:line="440" w:lineRule="exact"/>
        <w:rPr>
          <w:color w:val="auto"/>
          <w:sz w:val="24"/>
          <w:highlight w:val="none"/>
          <w:lang w:val="es-ES"/>
        </w:rPr>
      </w:pPr>
      <w:r>
        <w:rPr>
          <w:color w:val="auto"/>
          <w:sz w:val="24"/>
          <w:highlight w:val="none"/>
          <w:lang w:val="es-ES"/>
        </w:rPr>
        <w:t>3.1.8.1</w:t>
      </w:r>
      <w:r>
        <w:rPr>
          <w:rFonts w:hint="eastAsia"/>
          <w:color w:val="auto"/>
          <w:sz w:val="24"/>
          <w:highlight w:val="none"/>
          <w:lang w:val="es-ES"/>
        </w:rPr>
        <w:t>寿命典型值：≥100000hrs；</w:t>
      </w:r>
    </w:p>
    <w:p>
      <w:pPr>
        <w:spacing w:line="440" w:lineRule="exact"/>
        <w:rPr>
          <w:color w:val="auto"/>
          <w:sz w:val="24"/>
          <w:highlight w:val="none"/>
          <w:lang w:val="es-ES"/>
        </w:rPr>
      </w:pPr>
      <w:r>
        <w:rPr>
          <w:color w:val="auto"/>
          <w:sz w:val="24"/>
          <w:highlight w:val="none"/>
          <w:lang w:val="es-ES"/>
        </w:rPr>
        <w:t>3.1.8.2</w:t>
      </w:r>
      <w:r>
        <w:rPr>
          <w:rFonts w:hint="eastAsia"/>
          <w:color w:val="auto"/>
          <w:sz w:val="24"/>
          <w:highlight w:val="none"/>
          <w:lang w:val="es-ES"/>
        </w:rPr>
        <w:t>无故障时间：≥100000hrs；</w:t>
      </w:r>
    </w:p>
    <w:p>
      <w:pPr>
        <w:spacing w:line="440" w:lineRule="exact"/>
        <w:rPr>
          <w:color w:val="auto"/>
          <w:sz w:val="24"/>
          <w:highlight w:val="none"/>
          <w:lang w:val="es-ES"/>
        </w:rPr>
      </w:pPr>
      <w:r>
        <w:rPr>
          <w:color w:val="auto"/>
          <w:sz w:val="24"/>
          <w:highlight w:val="none"/>
          <w:lang w:val="es-ES"/>
        </w:rPr>
        <w:t>3.1.8.3</w:t>
      </w:r>
      <w:r>
        <w:rPr>
          <w:rFonts w:hint="eastAsia"/>
          <w:color w:val="auto"/>
          <w:sz w:val="24"/>
          <w:highlight w:val="none"/>
          <w:lang w:val="es-ES"/>
        </w:rPr>
        <w:t>稳定性：支持7*24小时连续工作；</w:t>
      </w:r>
    </w:p>
    <w:p>
      <w:pPr>
        <w:spacing w:line="440" w:lineRule="exact"/>
        <w:rPr>
          <w:color w:val="auto"/>
          <w:sz w:val="24"/>
          <w:highlight w:val="none"/>
          <w:lang w:val="es-ES"/>
        </w:rPr>
      </w:pPr>
      <w:r>
        <w:rPr>
          <w:rFonts w:hint="eastAsia"/>
          <w:color w:val="auto"/>
          <w:sz w:val="24"/>
          <w:highlight w:val="none"/>
          <w:lang w:val="es-ES"/>
        </w:rPr>
        <w:t>*</w:t>
      </w:r>
      <w:r>
        <w:rPr>
          <w:color w:val="auto"/>
          <w:sz w:val="24"/>
          <w:highlight w:val="none"/>
          <w:lang w:val="es-ES"/>
        </w:rPr>
        <w:t>3.1.8.4</w:t>
      </w:r>
      <w:r>
        <w:rPr>
          <w:rFonts w:hint="eastAsia"/>
          <w:color w:val="auto"/>
          <w:sz w:val="24"/>
          <w:highlight w:val="none"/>
          <w:lang w:val="es-ES"/>
        </w:rPr>
        <w:t>抗电强度：≥1500VAC，持续时间≥60s，模组未被击穿；</w:t>
      </w:r>
    </w:p>
    <w:p>
      <w:pPr>
        <w:spacing w:line="440" w:lineRule="exact"/>
        <w:rPr>
          <w:color w:val="auto"/>
          <w:sz w:val="24"/>
          <w:highlight w:val="none"/>
          <w:lang w:val="es-ES"/>
        </w:rPr>
      </w:pPr>
      <w:r>
        <w:rPr>
          <w:color w:val="auto"/>
          <w:sz w:val="24"/>
          <w:highlight w:val="none"/>
          <w:lang w:val="es-ES"/>
        </w:rPr>
        <w:t>3.1.8.5</w:t>
      </w:r>
      <w:r>
        <w:rPr>
          <w:rFonts w:hint="eastAsia"/>
          <w:color w:val="auto"/>
          <w:sz w:val="24"/>
          <w:highlight w:val="none"/>
          <w:lang w:val="es-ES"/>
        </w:rPr>
        <w:t>泄漏电流：≤2mA；</w:t>
      </w:r>
    </w:p>
    <w:p>
      <w:pPr>
        <w:spacing w:line="440" w:lineRule="exact"/>
        <w:rPr>
          <w:color w:val="auto"/>
          <w:sz w:val="24"/>
          <w:highlight w:val="none"/>
          <w:lang w:val="es-ES"/>
        </w:rPr>
      </w:pPr>
      <w:r>
        <w:rPr>
          <w:color w:val="auto"/>
          <w:sz w:val="24"/>
          <w:highlight w:val="none"/>
          <w:lang w:val="es-ES"/>
        </w:rPr>
        <w:t>3.1.8.6</w:t>
      </w:r>
      <w:r>
        <w:rPr>
          <w:rFonts w:hint="eastAsia"/>
          <w:color w:val="auto"/>
          <w:sz w:val="24"/>
          <w:highlight w:val="none"/>
          <w:lang w:val="es-ES"/>
        </w:rPr>
        <w:t>防护等级：≥IP6X；</w:t>
      </w:r>
    </w:p>
    <w:p>
      <w:pPr>
        <w:spacing w:line="440" w:lineRule="exact"/>
        <w:rPr>
          <w:color w:val="auto"/>
          <w:sz w:val="24"/>
          <w:highlight w:val="none"/>
          <w:lang w:val="es-ES"/>
        </w:rPr>
      </w:pPr>
      <w:r>
        <w:rPr>
          <w:color w:val="auto"/>
          <w:sz w:val="24"/>
          <w:highlight w:val="none"/>
          <w:lang w:val="es-ES"/>
        </w:rPr>
        <w:t>3.1.8.7</w:t>
      </w:r>
      <w:r>
        <w:rPr>
          <w:rFonts w:hint="eastAsia"/>
          <w:color w:val="auto"/>
          <w:sz w:val="24"/>
          <w:highlight w:val="none"/>
          <w:lang w:val="es-ES"/>
        </w:rPr>
        <w:t>显示屏具有防潮、防尘、防腐蚀、防电磁干扰、防静电等功能；</w:t>
      </w:r>
    </w:p>
    <w:p>
      <w:pPr>
        <w:spacing w:line="440" w:lineRule="exact"/>
        <w:rPr>
          <w:color w:val="auto"/>
          <w:sz w:val="24"/>
          <w:highlight w:val="none"/>
          <w:lang w:val="es-ES"/>
        </w:rPr>
      </w:pPr>
      <w:r>
        <w:rPr>
          <w:color w:val="auto"/>
          <w:sz w:val="24"/>
          <w:highlight w:val="none"/>
          <w:lang w:val="es-ES"/>
        </w:rPr>
        <w:t>3.1.8.8</w:t>
      </w:r>
      <w:r>
        <w:rPr>
          <w:rFonts w:hint="eastAsia"/>
          <w:color w:val="auto"/>
          <w:sz w:val="24"/>
          <w:highlight w:val="none"/>
          <w:lang w:val="es-ES"/>
        </w:rPr>
        <w:t>具有过流、短路、过压、欠压保护等功能；</w:t>
      </w:r>
    </w:p>
    <w:p>
      <w:pPr>
        <w:spacing w:line="440" w:lineRule="exact"/>
        <w:rPr>
          <w:color w:val="auto"/>
          <w:sz w:val="24"/>
          <w:highlight w:val="none"/>
          <w:lang w:val="es-ES"/>
        </w:rPr>
      </w:pPr>
      <w:r>
        <w:rPr>
          <w:color w:val="auto"/>
          <w:sz w:val="24"/>
          <w:highlight w:val="none"/>
          <w:lang w:val="es-ES"/>
        </w:rPr>
        <w:t>3.1.9</w:t>
      </w:r>
      <w:r>
        <w:rPr>
          <w:rFonts w:hint="eastAsia"/>
          <w:color w:val="auto"/>
          <w:sz w:val="24"/>
          <w:highlight w:val="none"/>
          <w:lang w:val="es-ES"/>
        </w:rPr>
        <w:t>环境可靠性</w:t>
      </w:r>
    </w:p>
    <w:p>
      <w:pPr>
        <w:spacing w:line="440" w:lineRule="exact"/>
        <w:rPr>
          <w:color w:val="auto"/>
          <w:sz w:val="24"/>
          <w:highlight w:val="none"/>
          <w:lang w:val="es-ES"/>
        </w:rPr>
      </w:pPr>
      <w:r>
        <w:rPr>
          <w:rFonts w:hint="eastAsia"/>
          <w:color w:val="auto"/>
          <w:sz w:val="24"/>
          <w:highlight w:val="none"/>
          <w:lang w:val="es-ES"/>
        </w:rPr>
        <w:t>*</w:t>
      </w:r>
      <w:r>
        <w:rPr>
          <w:color w:val="auto"/>
          <w:sz w:val="24"/>
          <w:highlight w:val="none"/>
          <w:lang w:val="es-ES"/>
        </w:rPr>
        <w:t>3.1.9.1</w:t>
      </w:r>
      <w:r>
        <w:rPr>
          <w:rFonts w:hint="eastAsia"/>
          <w:color w:val="auto"/>
          <w:sz w:val="24"/>
          <w:highlight w:val="none"/>
          <w:lang w:val="es-ES"/>
        </w:rPr>
        <w:t>湿热工作：产品可于40℃，80%RH环境中正常工作；湿热存储：产品可于60℃，85%RH环境中正常存储；低温工作：产品可于-30℃环境中正常工作；低温存储：产品可于-40℃环境中正常存储；</w:t>
      </w:r>
    </w:p>
    <w:p>
      <w:pPr>
        <w:spacing w:line="440" w:lineRule="exact"/>
        <w:rPr>
          <w:color w:val="auto"/>
          <w:sz w:val="24"/>
          <w:highlight w:val="none"/>
          <w:lang w:val="es-ES"/>
        </w:rPr>
      </w:pPr>
      <w:r>
        <w:rPr>
          <w:rFonts w:hint="eastAsia"/>
          <w:color w:val="auto"/>
          <w:sz w:val="24"/>
          <w:highlight w:val="none"/>
          <w:lang w:val="es-ES"/>
        </w:rPr>
        <w:t>*</w:t>
      </w:r>
      <w:r>
        <w:rPr>
          <w:color w:val="auto"/>
          <w:sz w:val="24"/>
          <w:highlight w:val="none"/>
          <w:lang w:val="es-ES"/>
        </w:rPr>
        <w:t>3.1.9.2</w:t>
      </w:r>
      <w:r>
        <w:rPr>
          <w:rFonts w:hint="eastAsia"/>
          <w:color w:val="auto"/>
          <w:sz w:val="24"/>
          <w:highlight w:val="none"/>
          <w:lang w:val="es-ES"/>
        </w:rPr>
        <w:t>通过模拟9级烈度地震试验：无异常，试后正常工作；</w:t>
      </w:r>
    </w:p>
    <w:p>
      <w:pPr>
        <w:spacing w:line="440" w:lineRule="exact"/>
        <w:rPr>
          <w:color w:val="auto"/>
          <w:sz w:val="24"/>
          <w:highlight w:val="none"/>
          <w:lang w:val="es-ES"/>
        </w:rPr>
      </w:pPr>
      <w:r>
        <w:rPr>
          <w:color w:val="auto"/>
          <w:sz w:val="24"/>
          <w:highlight w:val="none"/>
          <w:lang w:val="es-ES"/>
        </w:rPr>
        <w:t>3.1.10</w:t>
      </w:r>
      <w:r>
        <w:rPr>
          <w:rFonts w:hint="eastAsia"/>
          <w:color w:val="auto"/>
          <w:sz w:val="24"/>
          <w:highlight w:val="none"/>
          <w:lang w:val="es-ES"/>
        </w:rPr>
        <w:t>极端条件下产品可靠性</w:t>
      </w:r>
    </w:p>
    <w:p>
      <w:pPr>
        <w:spacing w:line="440" w:lineRule="exact"/>
        <w:rPr>
          <w:color w:val="auto"/>
          <w:sz w:val="24"/>
          <w:highlight w:val="none"/>
          <w:lang w:val="es-ES"/>
        </w:rPr>
      </w:pPr>
      <w:r>
        <w:rPr>
          <w:color w:val="auto"/>
          <w:sz w:val="24"/>
          <w:highlight w:val="none"/>
          <w:lang w:val="es-ES"/>
        </w:rPr>
        <w:t>3.1.10.1</w:t>
      </w:r>
      <w:r>
        <w:rPr>
          <w:rFonts w:hint="eastAsia"/>
          <w:color w:val="auto"/>
          <w:sz w:val="24"/>
          <w:highlight w:val="none"/>
          <w:lang w:val="es-ES"/>
        </w:rPr>
        <w:t>冷热冲击试验：无异常，试后正常工作；</w:t>
      </w:r>
    </w:p>
    <w:p>
      <w:pPr>
        <w:spacing w:line="440" w:lineRule="exact"/>
        <w:rPr>
          <w:color w:val="auto"/>
          <w:sz w:val="24"/>
          <w:highlight w:val="none"/>
          <w:lang w:val="es-ES"/>
        </w:rPr>
      </w:pPr>
      <w:r>
        <w:rPr>
          <w:color w:val="auto"/>
          <w:sz w:val="24"/>
          <w:highlight w:val="none"/>
          <w:lang w:val="es-ES"/>
        </w:rPr>
        <w:t>3.1.10.2</w:t>
      </w:r>
      <w:r>
        <w:rPr>
          <w:rFonts w:hint="eastAsia"/>
          <w:color w:val="auto"/>
          <w:sz w:val="24"/>
          <w:highlight w:val="none"/>
          <w:lang w:val="es-ES"/>
        </w:rPr>
        <w:t>极端高温：≥60℃；</w:t>
      </w:r>
    </w:p>
    <w:p>
      <w:pPr>
        <w:spacing w:line="440" w:lineRule="exact"/>
        <w:rPr>
          <w:color w:val="auto"/>
          <w:sz w:val="24"/>
          <w:highlight w:val="none"/>
          <w:lang w:val="es-ES"/>
        </w:rPr>
      </w:pPr>
      <w:r>
        <w:rPr>
          <w:color w:val="auto"/>
          <w:sz w:val="24"/>
          <w:highlight w:val="none"/>
          <w:lang w:val="es-ES"/>
        </w:rPr>
        <w:t>3.1.10.3</w:t>
      </w:r>
      <w:r>
        <w:rPr>
          <w:rFonts w:hint="eastAsia"/>
          <w:color w:val="auto"/>
          <w:sz w:val="24"/>
          <w:highlight w:val="none"/>
          <w:lang w:val="es-ES"/>
        </w:rPr>
        <w:t>极端低温：≤-40℃；</w:t>
      </w:r>
    </w:p>
    <w:p>
      <w:pPr>
        <w:spacing w:line="440" w:lineRule="exact"/>
        <w:rPr>
          <w:color w:val="auto"/>
          <w:sz w:val="24"/>
          <w:highlight w:val="none"/>
          <w:lang w:val="es-ES"/>
        </w:rPr>
      </w:pPr>
      <w:r>
        <w:rPr>
          <w:color w:val="auto"/>
          <w:sz w:val="24"/>
          <w:highlight w:val="none"/>
          <w:lang w:val="es-ES"/>
        </w:rPr>
        <w:t>3.1.10.4</w:t>
      </w:r>
      <w:r>
        <w:rPr>
          <w:rFonts w:hint="eastAsia"/>
          <w:color w:val="auto"/>
          <w:sz w:val="24"/>
          <w:highlight w:val="none"/>
          <w:lang w:val="es-ES"/>
        </w:rPr>
        <w:t>极端高温持续时间：≥30min；</w:t>
      </w:r>
    </w:p>
    <w:p>
      <w:pPr>
        <w:spacing w:line="440" w:lineRule="exact"/>
        <w:rPr>
          <w:color w:val="auto"/>
          <w:sz w:val="24"/>
          <w:highlight w:val="none"/>
          <w:lang w:val="es-ES"/>
        </w:rPr>
      </w:pPr>
      <w:r>
        <w:rPr>
          <w:color w:val="auto"/>
          <w:sz w:val="24"/>
          <w:highlight w:val="none"/>
          <w:lang w:val="es-ES"/>
        </w:rPr>
        <w:t>3.1.10.5</w:t>
      </w:r>
      <w:r>
        <w:rPr>
          <w:rFonts w:hint="eastAsia"/>
          <w:color w:val="auto"/>
          <w:sz w:val="24"/>
          <w:highlight w:val="none"/>
          <w:lang w:val="es-ES"/>
        </w:rPr>
        <w:t>极端低温持续时间：≥30min；</w:t>
      </w:r>
    </w:p>
    <w:p>
      <w:pPr>
        <w:spacing w:line="440" w:lineRule="exact"/>
        <w:rPr>
          <w:color w:val="auto"/>
          <w:sz w:val="24"/>
          <w:highlight w:val="none"/>
          <w:lang w:val="es-ES"/>
        </w:rPr>
      </w:pPr>
      <w:r>
        <w:rPr>
          <w:color w:val="auto"/>
          <w:sz w:val="24"/>
          <w:highlight w:val="none"/>
          <w:lang w:val="es-ES"/>
        </w:rPr>
        <w:t>3.1.10.6</w:t>
      </w:r>
      <w:r>
        <w:rPr>
          <w:rFonts w:hint="eastAsia"/>
          <w:color w:val="auto"/>
          <w:sz w:val="24"/>
          <w:highlight w:val="none"/>
          <w:lang w:val="es-ES"/>
        </w:rPr>
        <w:t>转换时间：≤5min；</w:t>
      </w:r>
    </w:p>
    <w:p>
      <w:pPr>
        <w:spacing w:line="440" w:lineRule="exact"/>
        <w:rPr>
          <w:color w:val="auto"/>
          <w:sz w:val="24"/>
          <w:highlight w:val="none"/>
          <w:lang w:val="es-ES"/>
        </w:rPr>
      </w:pPr>
      <w:r>
        <w:rPr>
          <w:color w:val="auto"/>
          <w:sz w:val="24"/>
          <w:highlight w:val="none"/>
          <w:lang w:val="es-ES"/>
        </w:rPr>
        <w:t>3.1.10.7</w:t>
      </w:r>
      <w:r>
        <w:rPr>
          <w:rFonts w:hint="eastAsia"/>
          <w:color w:val="auto"/>
          <w:sz w:val="24"/>
          <w:highlight w:val="none"/>
          <w:lang w:val="es-ES"/>
        </w:rPr>
        <w:t>循环次数：≥10次；</w:t>
      </w:r>
    </w:p>
    <w:p>
      <w:pPr>
        <w:spacing w:line="440" w:lineRule="exact"/>
        <w:rPr>
          <w:color w:val="auto"/>
          <w:sz w:val="24"/>
          <w:highlight w:val="none"/>
          <w:lang w:val="es-ES"/>
        </w:rPr>
      </w:pPr>
      <w:r>
        <w:rPr>
          <w:color w:val="auto"/>
          <w:sz w:val="24"/>
          <w:highlight w:val="none"/>
          <w:lang w:val="es-ES"/>
        </w:rPr>
        <w:t>3.1.11</w:t>
      </w:r>
      <w:r>
        <w:rPr>
          <w:rFonts w:hint="eastAsia"/>
          <w:color w:val="auto"/>
          <w:sz w:val="24"/>
          <w:highlight w:val="none"/>
          <w:lang w:val="es-ES"/>
        </w:rPr>
        <w:t>工作噪声</w:t>
      </w:r>
    </w:p>
    <w:p>
      <w:pPr>
        <w:spacing w:line="440" w:lineRule="exact"/>
        <w:rPr>
          <w:color w:val="auto"/>
          <w:sz w:val="24"/>
          <w:highlight w:val="none"/>
          <w:lang w:val="es-ES"/>
        </w:rPr>
      </w:pPr>
      <w:r>
        <w:rPr>
          <w:color w:val="auto"/>
          <w:sz w:val="24"/>
          <w:highlight w:val="none"/>
          <w:lang w:val="es-ES"/>
        </w:rPr>
        <w:t>3.1.11.1</w:t>
      </w:r>
      <w:r>
        <w:rPr>
          <w:rFonts w:hint="eastAsia"/>
          <w:color w:val="auto"/>
          <w:sz w:val="24"/>
          <w:highlight w:val="none"/>
          <w:lang w:val="es-ES"/>
        </w:rPr>
        <w:t>处理距离：≤1m；</w:t>
      </w:r>
    </w:p>
    <w:p>
      <w:pPr>
        <w:spacing w:line="440" w:lineRule="exact"/>
        <w:rPr>
          <w:color w:val="auto"/>
          <w:sz w:val="24"/>
          <w:highlight w:val="none"/>
          <w:lang w:val="es-ES"/>
        </w:rPr>
      </w:pPr>
      <w:r>
        <w:rPr>
          <w:color w:val="auto"/>
          <w:sz w:val="24"/>
          <w:highlight w:val="none"/>
          <w:lang w:val="es-ES"/>
        </w:rPr>
        <w:t>3.1.11.2</w:t>
      </w:r>
      <w:r>
        <w:rPr>
          <w:rFonts w:hint="eastAsia"/>
          <w:color w:val="auto"/>
          <w:sz w:val="24"/>
          <w:highlight w:val="none"/>
          <w:lang w:val="es-ES"/>
        </w:rPr>
        <w:t>前方：≤7dB；</w:t>
      </w:r>
    </w:p>
    <w:p>
      <w:pPr>
        <w:spacing w:line="440" w:lineRule="exact"/>
        <w:rPr>
          <w:color w:val="auto"/>
          <w:sz w:val="24"/>
          <w:highlight w:val="none"/>
          <w:lang w:val="es-ES"/>
        </w:rPr>
      </w:pPr>
      <w:r>
        <w:rPr>
          <w:color w:val="auto"/>
          <w:sz w:val="24"/>
          <w:highlight w:val="none"/>
          <w:lang w:val="es-ES"/>
        </w:rPr>
        <w:t>3.1.11.3</w:t>
      </w:r>
      <w:r>
        <w:rPr>
          <w:rFonts w:hint="eastAsia"/>
          <w:color w:val="auto"/>
          <w:sz w:val="24"/>
          <w:highlight w:val="none"/>
          <w:lang w:val="es-ES"/>
        </w:rPr>
        <w:t>后方：≤8dB；</w:t>
      </w:r>
    </w:p>
    <w:p>
      <w:pPr>
        <w:spacing w:line="440" w:lineRule="exact"/>
        <w:rPr>
          <w:color w:val="auto"/>
          <w:sz w:val="24"/>
          <w:highlight w:val="none"/>
          <w:lang w:val="es-ES"/>
        </w:rPr>
      </w:pPr>
      <w:r>
        <w:rPr>
          <w:color w:val="auto"/>
          <w:sz w:val="24"/>
          <w:highlight w:val="none"/>
          <w:lang w:val="es-ES"/>
        </w:rPr>
        <w:t>3.1.11.4</w:t>
      </w:r>
      <w:r>
        <w:rPr>
          <w:rFonts w:hint="eastAsia"/>
          <w:color w:val="auto"/>
          <w:sz w:val="24"/>
          <w:highlight w:val="none"/>
          <w:lang w:val="es-ES"/>
        </w:rPr>
        <w:t>本底噪声：≤4dB；</w:t>
      </w:r>
    </w:p>
    <w:p>
      <w:pPr>
        <w:spacing w:line="440" w:lineRule="exact"/>
        <w:rPr>
          <w:color w:val="auto"/>
          <w:sz w:val="24"/>
          <w:highlight w:val="none"/>
          <w:lang w:val="es-ES"/>
        </w:rPr>
      </w:pPr>
      <w:r>
        <w:rPr>
          <w:color w:val="auto"/>
          <w:sz w:val="24"/>
          <w:highlight w:val="none"/>
          <w:lang w:val="es-ES"/>
        </w:rPr>
        <w:t>3.1.12</w:t>
      </w:r>
      <w:r>
        <w:rPr>
          <w:rFonts w:hint="eastAsia"/>
          <w:color w:val="auto"/>
          <w:sz w:val="24"/>
          <w:highlight w:val="none"/>
          <w:lang w:val="es-ES"/>
        </w:rPr>
        <w:t>盐雾性能</w:t>
      </w:r>
    </w:p>
    <w:p>
      <w:pPr>
        <w:spacing w:line="440" w:lineRule="exact"/>
        <w:rPr>
          <w:color w:val="auto"/>
          <w:sz w:val="24"/>
          <w:highlight w:val="none"/>
          <w:lang w:val="es-ES"/>
        </w:rPr>
      </w:pPr>
      <w:r>
        <w:rPr>
          <w:color w:val="auto"/>
          <w:sz w:val="24"/>
          <w:highlight w:val="none"/>
          <w:lang w:val="es-ES"/>
        </w:rPr>
        <w:t>3.1.12.1</w:t>
      </w:r>
      <w:r>
        <w:rPr>
          <w:rFonts w:hint="eastAsia"/>
          <w:color w:val="auto"/>
          <w:sz w:val="24"/>
          <w:highlight w:val="none"/>
          <w:lang w:val="es-ES"/>
        </w:rPr>
        <w:t>盐溶液浓度：≥（5±0.1）%；</w:t>
      </w:r>
    </w:p>
    <w:p>
      <w:pPr>
        <w:spacing w:line="440" w:lineRule="exact"/>
        <w:rPr>
          <w:color w:val="auto"/>
          <w:sz w:val="24"/>
          <w:highlight w:val="none"/>
          <w:lang w:val="es-ES"/>
        </w:rPr>
      </w:pPr>
      <w:r>
        <w:rPr>
          <w:color w:val="auto"/>
          <w:sz w:val="24"/>
          <w:highlight w:val="none"/>
          <w:lang w:val="es-ES"/>
        </w:rPr>
        <w:t>3.1.12.2</w:t>
      </w:r>
      <w:r>
        <w:rPr>
          <w:rFonts w:hint="eastAsia"/>
          <w:color w:val="auto"/>
          <w:sz w:val="24"/>
          <w:highlight w:val="none"/>
          <w:lang w:val="es-ES"/>
        </w:rPr>
        <w:t>盐雾测试PH值：6.5-7.2；</w:t>
      </w:r>
    </w:p>
    <w:p>
      <w:pPr>
        <w:spacing w:line="440" w:lineRule="exact"/>
        <w:rPr>
          <w:color w:val="auto"/>
          <w:sz w:val="24"/>
          <w:highlight w:val="none"/>
          <w:lang w:val="es-ES"/>
        </w:rPr>
      </w:pPr>
      <w:r>
        <w:rPr>
          <w:color w:val="auto"/>
          <w:sz w:val="24"/>
          <w:highlight w:val="none"/>
          <w:lang w:val="es-ES"/>
        </w:rPr>
        <w:t>3.1.12.3</w:t>
      </w:r>
      <w:r>
        <w:rPr>
          <w:rFonts w:hint="eastAsia"/>
          <w:color w:val="auto"/>
          <w:sz w:val="24"/>
          <w:highlight w:val="none"/>
          <w:lang w:val="es-ES"/>
        </w:rPr>
        <w:t>放置时间：≥48小时；</w:t>
      </w:r>
    </w:p>
    <w:p>
      <w:pPr>
        <w:spacing w:line="440" w:lineRule="exact"/>
        <w:rPr>
          <w:color w:val="auto"/>
          <w:sz w:val="24"/>
          <w:highlight w:val="none"/>
          <w:lang w:val="es-ES"/>
        </w:rPr>
      </w:pPr>
      <w:r>
        <w:rPr>
          <w:color w:val="auto"/>
          <w:sz w:val="24"/>
          <w:highlight w:val="none"/>
          <w:lang w:val="es-ES"/>
        </w:rPr>
        <w:t>3.1.12.4</w:t>
      </w:r>
      <w:r>
        <w:rPr>
          <w:rFonts w:hint="eastAsia"/>
          <w:color w:val="auto"/>
          <w:sz w:val="24"/>
          <w:highlight w:val="none"/>
          <w:lang w:val="es-ES"/>
        </w:rPr>
        <w:t>试验结束后产品表面无起泡、裂纹、毛刺、、锈蚀等现象；</w:t>
      </w:r>
    </w:p>
    <w:p>
      <w:pPr>
        <w:spacing w:line="440" w:lineRule="exact"/>
        <w:rPr>
          <w:color w:val="auto"/>
          <w:sz w:val="24"/>
          <w:highlight w:val="none"/>
          <w:lang w:val="es-ES"/>
        </w:rPr>
      </w:pPr>
      <w:r>
        <w:rPr>
          <w:color w:val="auto"/>
          <w:sz w:val="24"/>
          <w:highlight w:val="none"/>
          <w:lang w:val="es-ES"/>
        </w:rPr>
        <w:t>3.1.12.5</w:t>
      </w:r>
      <w:r>
        <w:rPr>
          <w:rFonts w:hint="eastAsia"/>
          <w:color w:val="auto"/>
          <w:sz w:val="24"/>
          <w:highlight w:val="none"/>
          <w:lang w:val="es-ES"/>
        </w:rPr>
        <w:t>盐雾等级：≥10级；</w:t>
      </w:r>
    </w:p>
    <w:p>
      <w:pPr>
        <w:spacing w:line="440" w:lineRule="exact"/>
        <w:rPr>
          <w:color w:val="auto"/>
          <w:sz w:val="24"/>
          <w:highlight w:val="none"/>
          <w:lang w:val="es-ES"/>
        </w:rPr>
      </w:pPr>
      <w:r>
        <w:rPr>
          <w:color w:val="auto"/>
          <w:sz w:val="24"/>
          <w:highlight w:val="none"/>
          <w:lang w:val="es-ES"/>
        </w:rPr>
        <w:t>3.1.13</w:t>
      </w:r>
      <w:r>
        <w:rPr>
          <w:rFonts w:hint="eastAsia"/>
          <w:color w:val="auto"/>
          <w:sz w:val="24"/>
          <w:highlight w:val="none"/>
          <w:lang w:val="es-ES"/>
        </w:rPr>
        <w:t>抗紫外UV辐射 ≥5级；</w:t>
      </w:r>
    </w:p>
    <w:p>
      <w:pPr>
        <w:spacing w:line="440" w:lineRule="exact"/>
        <w:rPr>
          <w:color w:val="auto"/>
          <w:sz w:val="24"/>
          <w:highlight w:val="none"/>
          <w:lang w:val="es-ES"/>
        </w:rPr>
      </w:pPr>
      <w:r>
        <w:rPr>
          <w:color w:val="auto"/>
          <w:sz w:val="24"/>
          <w:highlight w:val="none"/>
          <w:lang w:val="es-ES"/>
        </w:rPr>
        <w:t xml:space="preserve">3.1.14 </w:t>
      </w:r>
      <w:r>
        <w:rPr>
          <w:rFonts w:hint="eastAsia"/>
          <w:color w:val="auto"/>
          <w:sz w:val="24"/>
          <w:highlight w:val="none"/>
          <w:lang w:val="es-ES"/>
        </w:rPr>
        <w:t>PCB阻燃</w:t>
      </w:r>
    </w:p>
    <w:p>
      <w:pPr>
        <w:spacing w:line="440" w:lineRule="exact"/>
        <w:rPr>
          <w:color w:val="auto"/>
          <w:sz w:val="24"/>
          <w:highlight w:val="none"/>
          <w:lang w:val="es-ES"/>
        </w:rPr>
      </w:pPr>
      <w:r>
        <w:rPr>
          <w:color w:val="auto"/>
          <w:sz w:val="24"/>
          <w:highlight w:val="none"/>
          <w:lang w:val="es-ES"/>
        </w:rPr>
        <w:t>3.1.13.1</w:t>
      </w:r>
      <w:r>
        <w:rPr>
          <w:rFonts w:hint="eastAsia"/>
          <w:color w:val="auto"/>
          <w:sz w:val="24"/>
          <w:highlight w:val="none"/>
          <w:lang w:val="es-ES"/>
        </w:rPr>
        <w:t>PCB的阻燃等级：≥UL 94V-0级；</w:t>
      </w:r>
    </w:p>
    <w:p>
      <w:pPr>
        <w:spacing w:line="440" w:lineRule="exact"/>
        <w:rPr>
          <w:color w:val="auto"/>
          <w:sz w:val="24"/>
          <w:highlight w:val="none"/>
          <w:lang w:val="es-ES"/>
        </w:rPr>
      </w:pPr>
      <w:r>
        <w:rPr>
          <w:color w:val="auto"/>
          <w:sz w:val="24"/>
          <w:highlight w:val="none"/>
          <w:lang w:val="es-ES"/>
        </w:rPr>
        <w:t>3.1.13.</w:t>
      </w:r>
      <w:r>
        <w:rPr>
          <w:rFonts w:hint="eastAsia"/>
          <w:color w:val="auto"/>
          <w:sz w:val="24"/>
          <w:highlight w:val="none"/>
          <w:lang w:val="es-ES"/>
        </w:rPr>
        <w:t>试验过程中无滴落物，样品自燃在10s内熄灭；</w:t>
      </w:r>
    </w:p>
    <w:p>
      <w:pPr>
        <w:spacing w:line="440" w:lineRule="exact"/>
        <w:rPr>
          <w:color w:val="auto"/>
          <w:sz w:val="24"/>
          <w:highlight w:val="none"/>
          <w:lang w:val="es-ES"/>
        </w:rPr>
      </w:pPr>
      <w:r>
        <w:rPr>
          <w:color w:val="auto"/>
          <w:sz w:val="24"/>
          <w:highlight w:val="none"/>
          <w:lang w:val="es-ES"/>
        </w:rPr>
        <w:t>3.1.15</w:t>
      </w:r>
      <w:r>
        <w:rPr>
          <w:rFonts w:hint="eastAsia"/>
          <w:color w:val="auto"/>
          <w:sz w:val="24"/>
          <w:highlight w:val="none"/>
          <w:lang w:val="es-ES"/>
        </w:rPr>
        <w:t>抗干扰</w:t>
      </w:r>
    </w:p>
    <w:p>
      <w:pPr>
        <w:spacing w:line="440" w:lineRule="exact"/>
        <w:rPr>
          <w:color w:val="auto"/>
          <w:sz w:val="24"/>
          <w:highlight w:val="none"/>
          <w:lang w:val="es-ES"/>
        </w:rPr>
      </w:pPr>
      <w:r>
        <w:rPr>
          <w:rFonts w:hint="eastAsia"/>
          <w:color w:val="auto"/>
          <w:sz w:val="24"/>
          <w:highlight w:val="none"/>
          <w:lang w:val="es-ES"/>
        </w:rPr>
        <w:t>*</w:t>
      </w:r>
      <w:r>
        <w:rPr>
          <w:color w:val="auto"/>
          <w:sz w:val="24"/>
          <w:highlight w:val="none"/>
          <w:lang w:val="es-ES"/>
        </w:rPr>
        <w:t xml:space="preserve">3.1.15.1 </w:t>
      </w:r>
      <w:r>
        <w:rPr>
          <w:rFonts w:hint="eastAsia"/>
          <w:color w:val="auto"/>
          <w:sz w:val="24"/>
          <w:highlight w:val="none"/>
          <w:lang w:val="es-ES"/>
        </w:rPr>
        <w:t>150kHz~30MHz电源端子骚扰电压（EMC）：符合国家推荐标准GB/T9254-2008 Class B限值要求；</w:t>
      </w:r>
    </w:p>
    <w:p>
      <w:pPr>
        <w:spacing w:line="440" w:lineRule="exact"/>
        <w:rPr>
          <w:color w:val="auto"/>
          <w:sz w:val="24"/>
          <w:highlight w:val="none"/>
          <w:lang w:val="es-ES"/>
        </w:rPr>
      </w:pPr>
      <w:r>
        <w:rPr>
          <w:rFonts w:hint="eastAsia"/>
          <w:color w:val="auto"/>
          <w:sz w:val="24"/>
          <w:highlight w:val="none"/>
          <w:lang w:val="es-ES"/>
        </w:rPr>
        <w:t>*</w:t>
      </w:r>
      <w:r>
        <w:rPr>
          <w:color w:val="auto"/>
          <w:sz w:val="24"/>
          <w:highlight w:val="none"/>
          <w:lang w:val="es-ES"/>
        </w:rPr>
        <w:t xml:space="preserve">3.1.15.2 </w:t>
      </w:r>
      <w:r>
        <w:rPr>
          <w:rFonts w:hint="eastAsia"/>
          <w:color w:val="auto"/>
          <w:sz w:val="24"/>
          <w:highlight w:val="none"/>
          <w:lang w:val="es-ES"/>
        </w:rPr>
        <w:t>30MHz~1000MHz辐射骚扰（EMC）：符合国家推荐标准GB/T9254-2008ClassB限值要求；</w:t>
      </w:r>
    </w:p>
    <w:p>
      <w:pPr>
        <w:spacing w:line="440" w:lineRule="exact"/>
        <w:rPr>
          <w:color w:val="auto"/>
          <w:sz w:val="24"/>
          <w:highlight w:val="none"/>
          <w:lang w:val="es-ES"/>
        </w:rPr>
      </w:pPr>
      <w:r>
        <w:rPr>
          <w:color w:val="auto"/>
          <w:sz w:val="24"/>
          <w:highlight w:val="none"/>
          <w:lang w:val="es-ES"/>
        </w:rPr>
        <w:t>3.1.16</w:t>
      </w:r>
      <w:r>
        <w:rPr>
          <w:rFonts w:hint="eastAsia"/>
          <w:color w:val="auto"/>
          <w:sz w:val="24"/>
          <w:highlight w:val="none"/>
          <w:lang w:val="es-ES"/>
        </w:rPr>
        <w:t>视觉保护</w:t>
      </w:r>
    </w:p>
    <w:p>
      <w:pPr>
        <w:spacing w:line="440" w:lineRule="exact"/>
        <w:rPr>
          <w:color w:val="auto"/>
          <w:sz w:val="24"/>
          <w:highlight w:val="none"/>
          <w:lang w:val="es-ES"/>
        </w:rPr>
      </w:pPr>
      <w:r>
        <w:rPr>
          <w:rFonts w:hint="eastAsia"/>
          <w:color w:val="auto"/>
          <w:sz w:val="24"/>
          <w:highlight w:val="none"/>
          <w:lang w:val="es-ES"/>
        </w:rPr>
        <w:t>*</w:t>
      </w:r>
      <w:r>
        <w:rPr>
          <w:color w:val="auto"/>
          <w:sz w:val="24"/>
          <w:highlight w:val="none"/>
          <w:lang w:val="es-ES"/>
        </w:rPr>
        <w:t>3.1.16.1</w:t>
      </w:r>
      <w:r>
        <w:rPr>
          <w:rFonts w:hint="eastAsia"/>
          <w:color w:val="auto"/>
          <w:sz w:val="24"/>
          <w:highlight w:val="none"/>
          <w:lang w:val="es-ES"/>
        </w:rPr>
        <w:t>光生物安全：通过皮肤和眼睛的光化学紫外危害曝辐射值、眼睛的近紫外危害曝福射值、宽波段的光源对视网膜危害、蓝光对皮肤表面及角膜和视网膜的曝辐射值、眼睛的红外辐射危害曝辐射值、皮肤热危害曝辐射值检测，且检测结果为无危害；</w:t>
      </w:r>
    </w:p>
    <w:p>
      <w:pPr>
        <w:spacing w:line="440" w:lineRule="exact"/>
        <w:rPr>
          <w:color w:val="auto"/>
          <w:sz w:val="24"/>
          <w:highlight w:val="none"/>
          <w:lang w:val="es-ES"/>
        </w:rPr>
      </w:pPr>
      <w:r>
        <w:rPr>
          <w:rFonts w:hint="eastAsia"/>
          <w:color w:val="auto"/>
          <w:sz w:val="24"/>
          <w:highlight w:val="none"/>
          <w:lang w:val="es-ES"/>
        </w:rPr>
        <w:t>*</w:t>
      </w:r>
      <w:r>
        <w:rPr>
          <w:color w:val="auto"/>
          <w:sz w:val="24"/>
          <w:highlight w:val="none"/>
          <w:lang w:val="es-ES"/>
        </w:rPr>
        <w:t>3.1.16.2</w:t>
      </w:r>
      <w:r>
        <w:rPr>
          <w:rFonts w:hint="eastAsia"/>
          <w:color w:val="auto"/>
          <w:sz w:val="24"/>
          <w:highlight w:val="none"/>
          <w:lang w:val="es-ES"/>
        </w:rPr>
        <w:t>观看舒适度：VICO指数2.0；</w:t>
      </w:r>
    </w:p>
    <w:p>
      <w:pPr>
        <w:spacing w:line="440" w:lineRule="exact"/>
        <w:rPr>
          <w:color w:val="auto"/>
          <w:sz w:val="24"/>
          <w:highlight w:val="none"/>
          <w:lang w:val="es-ES"/>
        </w:rPr>
      </w:pPr>
      <w:r>
        <w:rPr>
          <w:color w:val="auto"/>
          <w:sz w:val="24"/>
          <w:highlight w:val="none"/>
          <w:lang w:val="es-ES"/>
        </w:rPr>
        <w:t>3.1.16.3</w:t>
      </w:r>
      <w:r>
        <w:rPr>
          <w:rFonts w:hint="eastAsia"/>
          <w:color w:val="auto"/>
          <w:sz w:val="24"/>
          <w:highlight w:val="none"/>
          <w:lang w:val="es-ES"/>
        </w:rPr>
        <w:t>去除100%紫外线；</w:t>
      </w:r>
    </w:p>
    <w:p>
      <w:pPr>
        <w:spacing w:line="440" w:lineRule="exact"/>
        <w:rPr>
          <w:color w:val="auto"/>
          <w:sz w:val="24"/>
          <w:highlight w:val="none"/>
          <w:lang w:val="es-ES"/>
        </w:rPr>
      </w:pPr>
      <w:r>
        <w:rPr>
          <w:color w:val="auto"/>
          <w:sz w:val="24"/>
          <w:highlight w:val="none"/>
          <w:lang w:val="es-ES"/>
        </w:rPr>
        <w:t>3.1.16.4</w:t>
      </w:r>
      <w:r>
        <w:rPr>
          <w:rFonts w:hint="eastAsia"/>
          <w:color w:val="auto"/>
          <w:sz w:val="24"/>
          <w:highlight w:val="none"/>
          <w:lang w:val="es-ES"/>
        </w:rPr>
        <w:t>消除80%摩尔纹；</w:t>
      </w:r>
    </w:p>
    <w:p>
      <w:pPr>
        <w:spacing w:line="440" w:lineRule="exact"/>
        <w:rPr>
          <w:color w:val="auto"/>
          <w:sz w:val="24"/>
          <w:highlight w:val="none"/>
          <w:lang w:val="es-ES"/>
        </w:rPr>
      </w:pPr>
      <w:r>
        <w:rPr>
          <w:color w:val="auto"/>
          <w:sz w:val="24"/>
          <w:highlight w:val="none"/>
          <w:lang w:val="es-ES"/>
        </w:rPr>
        <w:t>*3.1.17</w:t>
      </w:r>
      <w:r>
        <w:rPr>
          <w:rFonts w:hint="eastAsia"/>
          <w:color w:val="auto"/>
          <w:sz w:val="24"/>
          <w:highlight w:val="none"/>
          <w:lang w:val="es-ES"/>
        </w:rPr>
        <w:t xml:space="preserve"> 以上产品功能及参数每一项均依据国家标准或标准测试方法检验符合，未提供或检测依据不能完全覆盖被检测产品功能和参数的检测报告为无效检测；</w:t>
      </w:r>
    </w:p>
    <w:p>
      <w:pPr>
        <w:spacing w:line="440" w:lineRule="exact"/>
        <w:rPr>
          <w:color w:val="auto"/>
          <w:sz w:val="24"/>
          <w:highlight w:val="none"/>
          <w:lang w:val="es-ES"/>
        </w:rPr>
      </w:pPr>
      <w:r>
        <w:rPr>
          <w:color w:val="auto"/>
          <w:sz w:val="24"/>
          <w:highlight w:val="none"/>
          <w:lang w:val="es-ES"/>
        </w:rPr>
        <w:t>*3.1.18</w:t>
      </w:r>
      <w:r>
        <w:rPr>
          <w:rFonts w:hint="eastAsia"/>
          <w:color w:val="auto"/>
          <w:sz w:val="24"/>
          <w:highlight w:val="none"/>
          <w:lang w:val="es-ES"/>
        </w:rPr>
        <w:t>以上参数需提供产品检测报告证明真实性，检测报告加盖产品生产厂家鲜章有效；</w:t>
      </w:r>
    </w:p>
    <w:p>
      <w:pPr>
        <w:spacing w:line="440" w:lineRule="exact"/>
        <w:rPr>
          <w:color w:val="auto"/>
          <w:sz w:val="24"/>
          <w:highlight w:val="none"/>
          <w:lang w:val="es-ES"/>
        </w:rPr>
      </w:pPr>
      <w:r>
        <w:rPr>
          <w:color w:val="auto"/>
          <w:sz w:val="24"/>
          <w:highlight w:val="none"/>
          <w:lang w:val="es-ES"/>
        </w:rPr>
        <w:t>* 3.1.19</w:t>
      </w:r>
      <w:r>
        <w:rPr>
          <w:rFonts w:hint="eastAsia"/>
          <w:color w:val="auto"/>
          <w:sz w:val="24"/>
          <w:highlight w:val="none"/>
          <w:lang w:val="es-ES"/>
        </w:rPr>
        <w:t>产品检测报告需获得ilac-MRA、CNAS、CMA认可；</w:t>
      </w:r>
    </w:p>
    <w:p>
      <w:pPr>
        <w:spacing w:line="440" w:lineRule="exact"/>
        <w:rPr>
          <w:color w:val="auto"/>
          <w:sz w:val="24"/>
          <w:highlight w:val="none"/>
          <w:lang w:val="es-ES"/>
        </w:rPr>
      </w:pPr>
      <w:r>
        <w:rPr>
          <w:color w:val="auto"/>
          <w:sz w:val="24"/>
          <w:highlight w:val="none"/>
          <w:lang w:val="es-ES"/>
        </w:rPr>
        <w:t>*3.1.20</w:t>
      </w:r>
      <w:r>
        <w:rPr>
          <w:rFonts w:hint="eastAsia"/>
          <w:color w:val="auto"/>
          <w:sz w:val="24"/>
          <w:highlight w:val="none"/>
          <w:lang w:val="es-ES"/>
        </w:rPr>
        <w:t>检测报告未加盖“检测专用章”无效；</w:t>
      </w:r>
    </w:p>
    <w:p>
      <w:pPr>
        <w:spacing w:line="440" w:lineRule="exact"/>
        <w:rPr>
          <w:color w:val="auto"/>
          <w:sz w:val="24"/>
          <w:highlight w:val="none"/>
          <w:lang w:val="es-ES"/>
        </w:rPr>
      </w:pPr>
      <w:r>
        <w:rPr>
          <w:color w:val="auto"/>
          <w:sz w:val="24"/>
          <w:highlight w:val="none"/>
          <w:lang w:val="es-ES"/>
        </w:rPr>
        <w:t>*3.1.21</w:t>
      </w:r>
      <w:r>
        <w:rPr>
          <w:rFonts w:hint="eastAsia"/>
          <w:color w:val="auto"/>
          <w:sz w:val="24"/>
          <w:highlight w:val="none"/>
          <w:lang w:val="es-ES"/>
        </w:rPr>
        <w:t>检测报告无检测、批准人员签字无效；</w:t>
      </w:r>
    </w:p>
    <w:p>
      <w:pPr>
        <w:spacing w:line="440" w:lineRule="exact"/>
        <w:rPr>
          <w:color w:val="auto"/>
          <w:sz w:val="24"/>
          <w:highlight w:val="none"/>
          <w:lang w:val="es-ES"/>
        </w:rPr>
      </w:pPr>
      <w:r>
        <w:rPr>
          <w:color w:val="auto"/>
          <w:sz w:val="24"/>
          <w:highlight w:val="none"/>
          <w:lang w:val="es-ES"/>
        </w:rPr>
        <w:t>*3.1.22</w:t>
      </w:r>
      <w:r>
        <w:rPr>
          <w:rFonts w:hint="eastAsia"/>
          <w:color w:val="auto"/>
          <w:sz w:val="24"/>
          <w:highlight w:val="none"/>
          <w:lang w:val="es-ES"/>
        </w:rPr>
        <w:t>检测报告需标明公示网址，同时提供公示网址截图，加盖投标产品生产厂家公章有效；</w:t>
      </w:r>
    </w:p>
    <w:p>
      <w:pPr>
        <w:spacing w:line="440" w:lineRule="exact"/>
        <w:rPr>
          <w:color w:val="auto"/>
          <w:sz w:val="24"/>
          <w:highlight w:val="none"/>
          <w:lang w:val="es-ES"/>
        </w:rPr>
      </w:pPr>
      <w:r>
        <w:rPr>
          <w:color w:val="auto"/>
          <w:sz w:val="24"/>
          <w:highlight w:val="none"/>
          <w:lang w:val="es-ES"/>
        </w:rPr>
        <w:t>*3.1.23</w:t>
      </w:r>
      <w:r>
        <w:rPr>
          <w:rFonts w:hint="eastAsia"/>
          <w:color w:val="auto"/>
          <w:sz w:val="24"/>
          <w:highlight w:val="none"/>
          <w:lang w:val="es-ES"/>
        </w:rPr>
        <w:t>需提供LED显示厂商针对此项目出具的原厂项目授权书及售后服务承诺函，若未能提供检测报告无效；</w:t>
      </w:r>
    </w:p>
    <w:p>
      <w:pPr>
        <w:spacing w:line="440" w:lineRule="exact"/>
        <w:rPr>
          <w:color w:val="auto"/>
          <w:sz w:val="24"/>
          <w:highlight w:val="none"/>
          <w:lang w:val="es-ES"/>
        </w:rPr>
      </w:pPr>
      <w:r>
        <w:rPr>
          <w:color w:val="auto"/>
          <w:sz w:val="24"/>
          <w:highlight w:val="none"/>
          <w:lang w:val="es-ES"/>
        </w:rPr>
        <w:t>*3.1.24</w:t>
      </w:r>
      <w:r>
        <w:rPr>
          <w:rFonts w:hint="eastAsia"/>
          <w:color w:val="auto"/>
          <w:sz w:val="24"/>
          <w:highlight w:val="none"/>
          <w:lang w:val="es-ES"/>
        </w:rPr>
        <w:t>为确保所投的LED显示屏质量可靠并深受客户满意，要求投标人所投LED显示屏生产厂家须：钢结构工程专业承包叁级及以上资质证书，安全生产许可证，知识产权管理体系认证证书，电子与智能化工程专业承包资质，信息技术服务管理体系认证，信息安全管理体系认证、提供厂家所投产品的安全生产许可证、GBT27922商品售后服务评价体系五星、信息系统建设和服务能力CS4级资质证书、提供品牌管理成熟度五星认证证书，(生产厂家复印件并加盖公章)；</w:t>
      </w:r>
    </w:p>
    <w:p>
      <w:pPr>
        <w:spacing w:line="440" w:lineRule="exact"/>
        <w:rPr>
          <w:color w:val="auto"/>
          <w:sz w:val="24"/>
          <w:highlight w:val="none"/>
          <w:lang w:val="es-ES"/>
        </w:rPr>
      </w:pPr>
      <w:r>
        <w:rPr>
          <w:color w:val="auto"/>
          <w:sz w:val="24"/>
          <w:highlight w:val="none"/>
          <w:lang w:val="es-ES"/>
        </w:rPr>
        <w:t>*3.1.25</w:t>
      </w:r>
      <w:r>
        <w:rPr>
          <w:rFonts w:hint="eastAsia"/>
          <w:color w:val="auto"/>
          <w:sz w:val="24"/>
          <w:highlight w:val="none"/>
          <w:lang w:val="es-ES"/>
        </w:rPr>
        <w:t xml:space="preserve">所投 LED 显示屏须通过 CCC 强制认证（提供证书复印件加盖原厂公章）； </w:t>
      </w:r>
    </w:p>
    <w:p>
      <w:pPr>
        <w:spacing w:line="440" w:lineRule="exact"/>
        <w:rPr>
          <w:color w:val="auto"/>
          <w:sz w:val="24"/>
          <w:highlight w:val="none"/>
          <w:lang w:val="es-ES"/>
        </w:rPr>
      </w:pPr>
      <w:r>
        <w:rPr>
          <w:color w:val="auto"/>
          <w:sz w:val="24"/>
          <w:highlight w:val="none"/>
          <w:lang w:val="es-ES"/>
        </w:rPr>
        <w:t xml:space="preserve">*3.1.26 </w:t>
      </w:r>
      <w:r>
        <w:rPr>
          <w:rFonts w:hint="eastAsia"/>
          <w:color w:val="auto"/>
          <w:sz w:val="24"/>
          <w:highlight w:val="none"/>
          <w:lang w:val="es-ES"/>
        </w:rPr>
        <w:t>LED显示屏具备高动态范围图像技术，更高亮度、更高对比度和更鲜活的色彩，具备HDR技术，可极大地扩展视觉，需提供证书证明文件（证书复印件加盖厂商公章）；</w:t>
      </w:r>
    </w:p>
    <w:p>
      <w:pPr>
        <w:spacing w:line="440" w:lineRule="exact"/>
        <w:rPr>
          <w:color w:val="auto"/>
          <w:sz w:val="24"/>
          <w:highlight w:val="none"/>
          <w:lang w:val="es-ES"/>
        </w:rPr>
      </w:pPr>
      <w:r>
        <w:rPr>
          <w:color w:val="auto"/>
          <w:sz w:val="24"/>
          <w:highlight w:val="none"/>
          <w:lang w:val="es-ES"/>
        </w:rPr>
        <w:t>*3.1.27</w:t>
      </w:r>
      <w:r>
        <w:rPr>
          <w:rFonts w:hint="eastAsia"/>
          <w:color w:val="auto"/>
          <w:sz w:val="24"/>
          <w:highlight w:val="none"/>
          <w:lang w:val="es-ES"/>
        </w:rPr>
        <w:t>提供CB认证；</w:t>
      </w:r>
    </w:p>
    <w:p>
      <w:pPr>
        <w:spacing w:line="440" w:lineRule="exact"/>
        <w:rPr>
          <w:color w:val="auto"/>
          <w:sz w:val="24"/>
          <w:highlight w:val="none"/>
          <w:lang w:val="es-ES"/>
        </w:rPr>
      </w:pPr>
      <w:r>
        <w:rPr>
          <w:color w:val="auto"/>
          <w:sz w:val="24"/>
          <w:highlight w:val="none"/>
          <w:lang w:val="es-ES"/>
        </w:rPr>
        <w:t>*3.1.28</w:t>
      </w:r>
      <w:r>
        <w:rPr>
          <w:rFonts w:hint="eastAsia"/>
          <w:color w:val="auto"/>
          <w:sz w:val="24"/>
          <w:highlight w:val="none"/>
          <w:lang w:val="es-ES"/>
        </w:rPr>
        <w:t>屏幕周边包边须使用大理石包边，面积约为45㎡；</w:t>
      </w:r>
    </w:p>
    <w:p>
      <w:pPr>
        <w:spacing w:line="440" w:lineRule="exact"/>
        <w:rPr>
          <w:color w:val="auto"/>
          <w:sz w:val="24"/>
          <w:highlight w:val="none"/>
          <w:lang w:val="es-ES"/>
        </w:rPr>
      </w:pPr>
      <w:r>
        <w:rPr>
          <w:color w:val="auto"/>
          <w:sz w:val="24"/>
          <w:highlight w:val="none"/>
          <w:lang w:val="es-ES"/>
        </w:rPr>
        <w:t>*3.1.29</w:t>
      </w:r>
      <w:r>
        <w:rPr>
          <w:rFonts w:hint="eastAsia"/>
          <w:color w:val="auto"/>
          <w:sz w:val="24"/>
          <w:highlight w:val="none"/>
          <w:lang w:val="es-ES"/>
        </w:rPr>
        <w:t>屏幕上方提供20个字以内的PVC立体字标语及PVC标志牌LOGO；</w:t>
      </w:r>
    </w:p>
    <w:p>
      <w:pPr>
        <w:spacing w:line="440" w:lineRule="exact"/>
        <w:rPr>
          <w:color w:val="auto"/>
          <w:sz w:val="24"/>
          <w:highlight w:val="none"/>
          <w:lang w:val="es-ES"/>
        </w:rPr>
      </w:pPr>
      <w:r>
        <w:rPr>
          <w:rFonts w:hint="eastAsia"/>
          <w:color w:val="auto"/>
          <w:sz w:val="24"/>
          <w:highlight w:val="none"/>
          <w:lang w:val="es-ES"/>
        </w:rPr>
        <w:t>3</w:t>
      </w:r>
      <w:r>
        <w:rPr>
          <w:color w:val="auto"/>
          <w:sz w:val="24"/>
          <w:highlight w:val="none"/>
          <w:lang w:val="es-ES"/>
        </w:rPr>
        <w:t>.2</w:t>
      </w:r>
      <w:r>
        <w:rPr>
          <w:rFonts w:hint="eastAsia"/>
          <w:color w:val="auto"/>
          <w:sz w:val="24"/>
          <w:highlight w:val="none"/>
          <w:lang w:val="es-ES"/>
        </w:rPr>
        <w:t>视频处理器</w:t>
      </w:r>
    </w:p>
    <w:p>
      <w:pPr>
        <w:spacing w:line="440" w:lineRule="exact"/>
        <w:rPr>
          <w:color w:val="auto"/>
          <w:sz w:val="24"/>
          <w:highlight w:val="none"/>
          <w:lang w:val="es-ES"/>
        </w:rPr>
      </w:pPr>
      <w:r>
        <w:rPr>
          <w:rFonts w:hint="eastAsia"/>
          <w:color w:val="auto"/>
          <w:sz w:val="24"/>
          <w:highlight w:val="none"/>
          <w:lang w:val="es-ES"/>
        </w:rPr>
        <w:t>3</w:t>
      </w:r>
      <w:r>
        <w:rPr>
          <w:color w:val="auto"/>
          <w:sz w:val="24"/>
          <w:highlight w:val="none"/>
          <w:lang w:val="es-ES"/>
        </w:rPr>
        <w:t>.2</w:t>
      </w:r>
      <w:r>
        <w:rPr>
          <w:rFonts w:hint="eastAsia"/>
          <w:color w:val="auto"/>
          <w:sz w:val="24"/>
          <w:highlight w:val="none"/>
          <w:lang w:val="es-ES"/>
        </w:rPr>
        <w:t>.</w:t>
      </w:r>
      <w:r>
        <w:rPr>
          <w:color w:val="auto"/>
          <w:sz w:val="24"/>
          <w:highlight w:val="none"/>
          <w:lang w:val="es-ES"/>
        </w:rPr>
        <w:t>1</w:t>
      </w:r>
      <w:r>
        <w:rPr>
          <w:rFonts w:hint="eastAsia"/>
          <w:color w:val="auto"/>
          <w:sz w:val="24"/>
          <w:highlight w:val="none"/>
          <w:lang w:val="es-ES"/>
        </w:rPr>
        <w:t>支持常见的视频接口，包括2 路 HDMI1.3，1 路 DVI；</w:t>
      </w:r>
    </w:p>
    <w:p>
      <w:pPr>
        <w:spacing w:line="440" w:lineRule="exact"/>
        <w:rPr>
          <w:color w:val="auto"/>
          <w:sz w:val="24"/>
          <w:highlight w:val="none"/>
          <w:lang w:val="es-ES"/>
        </w:rPr>
      </w:pPr>
      <w:r>
        <w:rPr>
          <w:rFonts w:hint="eastAsia"/>
          <w:color w:val="auto"/>
          <w:sz w:val="24"/>
          <w:highlight w:val="none"/>
          <w:lang w:val="es-ES"/>
        </w:rPr>
        <w:t>3</w:t>
      </w:r>
      <w:r>
        <w:rPr>
          <w:color w:val="auto"/>
          <w:sz w:val="24"/>
          <w:highlight w:val="none"/>
          <w:lang w:val="es-ES"/>
        </w:rPr>
        <w:t>.2</w:t>
      </w:r>
      <w:r>
        <w:rPr>
          <w:rFonts w:hint="eastAsia"/>
          <w:color w:val="auto"/>
          <w:sz w:val="24"/>
          <w:highlight w:val="none"/>
          <w:lang w:val="es-ES"/>
        </w:rPr>
        <w:t>.</w:t>
      </w:r>
      <w:r>
        <w:rPr>
          <w:color w:val="auto"/>
          <w:sz w:val="24"/>
          <w:highlight w:val="none"/>
          <w:lang w:val="es-ES"/>
        </w:rPr>
        <w:t>2</w:t>
      </w:r>
      <w:r>
        <w:rPr>
          <w:rFonts w:hint="eastAsia"/>
          <w:color w:val="auto"/>
          <w:sz w:val="24"/>
          <w:highlight w:val="none"/>
          <w:lang w:val="es-ES"/>
        </w:rPr>
        <w:t>支持3.5mm音频输入和3.5mm音频输出；</w:t>
      </w:r>
    </w:p>
    <w:p>
      <w:pPr>
        <w:spacing w:line="440" w:lineRule="exact"/>
        <w:rPr>
          <w:color w:val="auto"/>
          <w:sz w:val="24"/>
          <w:highlight w:val="none"/>
          <w:lang w:val="es-ES"/>
        </w:rPr>
      </w:pPr>
      <w:r>
        <w:rPr>
          <w:rFonts w:hint="eastAsia"/>
          <w:color w:val="auto"/>
          <w:sz w:val="24"/>
          <w:highlight w:val="none"/>
          <w:lang w:val="es-ES"/>
        </w:rPr>
        <w:t>3</w:t>
      </w:r>
      <w:r>
        <w:rPr>
          <w:color w:val="auto"/>
          <w:sz w:val="24"/>
          <w:highlight w:val="none"/>
          <w:lang w:val="es-ES"/>
        </w:rPr>
        <w:t>.2</w:t>
      </w:r>
      <w:r>
        <w:rPr>
          <w:rFonts w:hint="eastAsia"/>
          <w:color w:val="auto"/>
          <w:sz w:val="24"/>
          <w:highlight w:val="none"/>
          <w:lang w:val="es-ES"/>
        </w:rPr>
        <w:t>.</w:t>
      </w:r>
      <w:r>
        <w:rPr>
          <w:color w:val="auto"/>
          <w:sz w:val="24"/>
          <w:highlight w:val="none"/>
          <w:lang w:val="es-ES"/>
        </w:rPr>
        <w:t>3</w:t>
      </w:r>
      <w:r>
        <w:rPr>
          <w:rFonts w:hint="eastAsia"/>
          <w:color w:val="auto"/>
          <w:sz w:val="24"/>
          <w:highlight w:val="none"/>
          <w:lang w:val="es-ES"/>
        </w:rPr>
        <w:t>支持</w:t>
      </w:r>
      <w:r>
        <w:rPr>
          <w:color w:val="auto"/>
          <w:sz w:val="24"/>
          <w:highlight w:val="none"/>
          <w:lang w:val="es-ES"/>
        </w:rPr>
        <w:t xml:space="preserve"> 3 </w:t>
      </w:r>
      <w:r>
        <w:rPr>
          <w:rFonts w:hint="eastAsia"/>
          <w:color w:val="auto"/>
          <w:sz w:val="24"/>
          <w:highlight w:val="none"/>
          <w:lang w:val="es-ES"/>
        </w:rPr>
        <w:t>个窗口和</w:t>
      </w:r>
      <w:r>
        <w:rPr>
          <w:color w:val="auto"/>
          <w:sz w:val="24"/>
          <w:highlight w:val="none"/>
          <w:lang w:val="es-ES"/>
        </w:rPr>
        <w:t xml:space="preserve"> 1 </w:t>
      </w:r>
      <w:r>
        <w:rPr>
          <w:rFonts w:hint="eastAsia"/>
          <w:color w:val="auto"/>
          <w:sz w:val="24"/>
          <w:highlight w:val="none"/>
          <w:lang w:val="es-ES"/>
        </w:rPr>
        <w:t>路</w:t>
      </w:r>
      <w:r>
        <w:rPr>
          <w:color w:val="auto"/>
          <w:sz w:val="24"/>
          <w:highlight w:val="none"/>
          <w:lang w:val="es-ES"/>
        </w:rPr>
        <w:t xml:space="preserve"> OSD</w:t>
      </w:r>
      <w:r>
        <w:rPr>
          <w:rFonts w:hint="eastAsia"/>
          <w:color w:val="auto"/>
          <w:sz w:val="24"/>
          <w:highlight w:val="none"/>
          <w:lang w:val="es-ES"/>
        </w:rPr>
        <w:t>；</w:t>
      </w:r>
    </w:p>
    <w:p>
      <w:pPr>
        <w:spacing w:line="440" w:lineRule="exact"/>
        <w:rPr>
          <w:color w:val="auto"/>
          <w:sz w:val="24"/>
          <w:highlight w:val="none"/>
          <w:lang w:val="es-ES"/>
        </w:rPr>
      </w:pPr>
      <w:r>
        <w:rPr>
          <w:rFonts w:hint="eastAsia"/>
          <w:color w:val="auto"/>
          <w:sz w:val="24"/>
          <w:highlight w:val="none"/>
          <w:lang w:val="es-ES"/>
        </w:rPr>
        <w:t>3</w:t>
      </w:r>
      <w:r>
        <w:rPr>
          <w:color w:val="auto"/>
          <w:sz w:val="24"/>
          <w:highlight w:val="none"/>
          <w:lang w:val="es-ES"/>
        </w:rPr>
        <w:t>.2</w:t>
      </w:r>
      <w:r>
        <w:rPr>
          <w:rFonts w:hint="eastAsia"/>
          <w:color w:val="auto"/>
          <w:sz w:val="24"/>
          <w:highlight w:val="none"/>
          <w:lang w:val="es-ES"/>
        </w:rPr>
        <w:t>.</w:t>
      </w:r>
      <w:r>
        <w:rPr>
          <w:color w:val="auto"/>
          <w:sz w:val="24"/>
          <w:highlight w:val="none"/>
          <w:lang w:val="es-ES"/>
        </w:rPr>
        <w:t>4</w:t>
      </w:r>
      <w:r>
        <w:rPr>
          <w:rFonts w:hint="eastAsia"/>
          <w:color w:val="auto"/>
          <w:sz w:val="24"/>
          <w:highlight w:val="none"/>
          <w:lang w:val="es-ES"/>
        </w:rPr>
        <w:t>支持快捷配屏和高级配屏功能；</w:t>
      </w:r>
    </w:p>
    <w:p>
      <w:pPr>
        <w:spacing w:line="440" w:lineRule="exact"/>
        <w:rPr>
          <w:color w:val="auto"/>
          <w:sz w:val="24"/>
          <w:highlight w:val="none"/>
          <w:lang w:val="es-ES"/>
        </w:rPr>
      </w:pPr>
      <w:r>
        <w:rPr>
          <w:rFonts w:hint="eastAsia"/>
          <w:color w:val="auto"/>
          <w:sz w:val="24"/>
          <w:highlight w:val="none"/>
          <w:lang w:val="es-ES"/>
        </w:rPr>
        <w:t>3</w:t>
      </w:r>
      <w:r>
        <w:rPr>
          <w:color w:val="auto"/>
          <w:sz w:val="24"/>
          <w:highlight w:val="none"/>
          <w:lang w:val="es-ES"/>
        </w:rPr>
        <w:t>.2</w:t>
      </w:r>
      <w:r>
        <w:rPr>
          <w:rFonts w:hint="eastAsia"/>
          <w:color w:val="auto"/>
          <w:sz w:val="24"/>
          <w:highlight w:val="none"/>
          <w:lang w:val="es-ES"/>
        </w:rPr>
        <w:t>.</w:t>
      </w:r>
      <w:r>
        <w:rPr>
          <w:color w:val="auto"/>
          <w:sz w:val="24"/>
          <w:highlight w:val="none"/>
          <w:lang w:val="es-ES"/>
        </w:rPr>
        <w:t>5</w:t>
      </w:r>
      <w:r>
        <w:rPr>
          <w:rFonts w:hint="eastAsia"/>
          <w:color w:val="auto"/>
          <w:sz w:val="24"/>
          <w:highlight w:val="none"/>
          <w:lang w:val="es-ES"/>
        </w:rPr>
        <w:t>支持</w:t>
      </w:r>
      <w:r>
        <w:rPr>
          <w:color w:val="auto"/>
          <w:sz w:val="24"/>
          <w:highlight w:val="none"/>
          <w:lang w:val="es-ES"/>
        </w:rPr>
        <w:t xml:space="preserve"> HDMI</w:t>
      </w:r>
      <w:r>
        <w:rPr>
          <w:rFonts w:hint="eastAsia"/>
          <w:color w:val="auto"/>
          <w:sz w:val="24"/>
          <w:highlight w:val="none"/>
          <w:lang w:val="es-ES"/>
        </w:rPr>
        <w:t>、</w:t>
      </w:r>
      <w:r>
        <w:rPr>
          <w:color w:val="auto"/>
          <w:sz w:val="24"/>
          <w:highlight w:val="none"/>
          <w:lang w:val="es-ES"/>
        </w:rPr>
        <w:t xml:space="preserve">DVI </w:t>
      </w:r>
      <w:r>
        <w:rPr>
          <w:rFonts w:hint="eastAsia"/>
          <w:color w:val="auto"/>
          <w:sz w:val="24"/>
          <w:highlight w:val="none"/>
          <w:lang w:val="es-ES"/>
        </w:rPr>
        <w:t>输入分辨率自定义调节；</w:t>
      </w:r>
    </w:p>
    <w:p>
      <w:pPr>
        <w:spacing w:line="440" w:lineRule="exact"/>
        <w:rPr>
          <w:color w:val="auto"/>
          <w:sz w:val="24"/>
          <w:highlight w:val="none"/>
          <w:lang w:val="es-ES"/>
        </w:rPr>
      </w:pPr>
      <w:r>
        <w:rPr>
          <w:rFonts w:hint="eastAsia"/>
          <w:color w:val="auto"/>
          <w:sz w:val="24"/>
          <w:highlight w:val="none"/>
          <w:lang w:val="es-ES"/>
        </w:rPr>
        <w:t>3</w:t>
      </w:r>
      <w:r>
        <w:rPr>
          <w:color w:val="auto"/>
          <w:sz w:val="24"/>
          <w:highlight w:val="none"/>
          <w:lang w:val="es-ES"/>
        </w:rPr>
        <w:t>.2</w:t>
      </w:r>
      <w:r>
        <w:rPr>
          <w:rFonts w:hint="eastAsia"/>
          <w:color w:val="auto"/>
          <w:sz w:val="24"/>
          <w:highlight w:val="none"/>
          <w:lang w:val="es-ES"/>
        </w:rPr>
        <w:t>.</w:t>
      </w:r>
      <w:r>
        <w:rPr>
          <w:color w:val="auto"/>
          <w:sz w:val="24"/>
          <w:highlight w:val="none"/>
          <w:lang w:val="es-ES"/>
        </w:rPr>
        <w:t>6</w:t>
      </w:r>
      <w:r>
        <w:rPr>
          <w:rFonts w:hint="eastAsia"/>
          <w:color w:val="auto"/>
          <w:sz w:val="24"/>
          <w:highlight w:val="none"/>
          <w:lang w:val="es-ES"/>
        </w:rPr>
        <w:t>支持设备间备份设置；</w:t>
      </w:r>
    </w:p>
    <w:p>
      <w:pPr>
        <w:spacing w:line="440" w:lineRule="exact"/>
        <w:rPr>
          <w:color w:val="auto"/>
          <w:sz w:val="24"/>
          <w:highlight w:val="none"/>
          <w:lang w:val="es-ES"/>
        </w:rPr>
      </w:pPr>
      <w:r>
        <w:rPr>
          <w:rFonts w:hint="eastAsia"/>
          <w:color w:val="auto"/>
          <w:sz w:val="24"/>
          <w:highlight w:val="none"/>
          <w:lang w:val="es-ES"/>
        </w:rPr>
        <w:t>3</w:t>
      </w:r>
      <w:r>
        <w:rPr>
          <w:color w:val="auto"/>
          <w:sz w:val="24"/>
          <w:highlight w:val="none"/>
          <w:lang w:val="es-ES"/>
        </w:rPr>
        <w:t>.2</w:t>
      </w:r>
      <w:r>
        <w:rPr>
          <w:rFonts w:hint="eastAsia"/>
          <w:color w:val="auto"/>
          <w:sz w:val="24"/>
          <w:highlight w:val="none"/>
          <w:lang w:val="es-ES"/>
        </w:rPr>
        <w:t>.</w:t>
      </w:r>
      <w:r>
        <w:rPr>
          <w:color w:val="auto"/>
          <w:sz w:val="24"/>
          <w:highlight w:val="none"/>
          <w:lang w:val="es-ES"/>
        </w:rPr>
        <w:t>7</w:t>
      </w:r>
      <w:r>
        <w:rPr>
          <w:rFonts w:hint="eastAsia"/>
          <w:color w:val="auto"/>
          <w:sz w:val="24"/>
          <w:highlight w:val="none"/>
          <w:lang w:val="es-ES"/>
        </w:rPr>
        <w:t>视频输出最大带载高达</w:t>
      </w:r>
      <w:r>
        <w:rPr>
          <w:color w:val="auto"/>
          <w:sz w:val="24"/>
          <w:highlight w:val="none"/>
          <w:lang w:val="es-ES"/>
        </w:rPr>
        <w:t xml:space="preserve"> 390 </w:t>
      </w:r>
      <w:r>
        <w:rPr>
          <w:rFonts w:hint="eastAsia"/>
          <w:color w:val="auto"/>
          <w:sz w:val="24"/>
          <w:highlight w:val="none"/>
          <w:lang w:val="es-ES"/>
        </w:rPr>
        <w:t>万像素；</w:t>
      </w:r>
    </w:p>
    <w:p>
      <w:pPr>
        <w:spacing w:line="440" w:lineRule="exact"/>
        <w:rPr>
          <w:color w:val="auto"/>
          <w:sz w:val="24"/>
          <w:highlight w:val="none"/>
          <w:lang w:val="es-ES"/>
        </w:rPr>
      </w:pPr>
      <w:r>
        <w:rPr>
          <w:rFonts w:hint="eastAsia"/>
          <w:color w:val="auto"/>
          <w:sz w:val="24"/>
          <w:highlight w:val="none"/>
          <w:lang w:val="es-ES"/>
        </w:rPr>
        <w:t>★3</w:t>
      </w:r>
      <w:r>
        <w:rPr>
          <w:color w:val="auto"/>
          <w:sz w:val="24"/>
          <w:highlight w:val="none"/>
          <w:lang w:val="es-ES"/>
        </w:rPr>
        <w:t>.2</w:t>
      </w:r>
      <w:r>
        <w:rPr>
          <w:rFonts w:hint="eastAsia"/>
          <w:color w:val="auto"/>
          <w:sz w:val="24"/>
          <w:highlight w:val="none"/>
          <w:lang w:val="es-ES"/>
        </w:rPr>
        <w:t>.</w:t>
      </w:r>
      <w:r>
        <w:rPr>
          <w:color w:val="auto"/>
          <w:sz w:val="24"/>
          <w:highlight w:val="none"/>
          <w:lang w:val="es-ES"/>
        </w:rPr>
        <w:t>8</w:t>
      </w:r>
      <w:r>
        <w:rPr>
          <w:rFonts w:hint="eastAsia"/>
          <w:color w:val="auto"/>
          <w:sz w:val="24"/>
          <w:highlight w:val="none"/>
          <w:lang w:val="es-ES"/>
        </w:rPr>
        <w:t xml:space="preserve">支持一键将优先级最低的窗口全屏自动缩放，增强产品实用性能； </w:t>
      </w:r>
    </w:p>
    <w:p>
      <w:pPr>
        <w:spacing w:line="440" w:lineRule="exact"/>
        <w:rPr>
          <w:color w:val="auto"/>
          <w:sz w:val="24"/>
          <w:highlight w:val="none"/>
          <w:lang w:val="es-ES"/>
        </w:rPr>
      </w:pPr>
      <w:r>
        <w:rPr>
          <w:rFonts w:hint="eastAsia"/>
          <w:color w:val="auto"/>
          <w:sz w:val="24"/>
          <w:highlight w:val="none"/>
          <w:lang w:val="es-ES"/>
        </w:rPr>
        <w:t>3</w:t>
      </w:r>
      <w:r>
        <w:rPr>
          <w:color w:val="auto"/>
          <w:sz w:val="24"/>
          <w:highlight w:val="none"/>
          <w:lang w:val="es-ES"/>
        </w:rPr>
        <w:t>.2</w:t>
      </w:r>
      <w:r>
        <w:rPr>
          <w:rFonts w:hint="eastAsia"/>
          <w:color w:val="auto"/>
          <w:sz w:val="24"/>
          <w:highlight w:val="none"/>
          <w:lang w:val="es-ES"/>
        </w:rPr>
        <w:t>.</w:t>
      </w:r>
      <w:r>
        <w:rPr>
          <w:color w:val="auto"/>
          <w:sz w:val="24"/>
          <w:highlight w:val="none"/>
          <w:lang w:val="es-ES"/>
        </w:rPr>
        <w:t>9</w:t>
      </w:r>
      <w:r>
        <w:rPr>
          <w:rFonts w:hint="eastAsia"/>
          <w:color w:val="auto"/>
          <w:sz w:val="24"/>
          <w:highlight w:val="none"/>
          <w:lang w:val="es-ES"/>
        </w:rPr>
        <w:t>支持创建</w:t>
      </w:r>
      <w:r>
        <w:rPr>
          <w:color w:val="auto"/>
          <w:sz w:val="24"/>
          <w:highlight w:val="none"/>
          <w:lang w:val="es-ES"/>
        </w:rPr>
        <w:t xml:space="preserve"> 10 </w:t>
      </w:r>
      <w:r>
        <w:rPr>
          <w:rFonts w:hint="eastAsia"/>
          <w:color w:val="auto"/>
          <w:sz w:val="24"/>
          <w:highlight w:val="none"/>
          <w:lang w:val="es-ES"/>
        </w:rPr>
        <w:t>个用户场景作为模板保存，方便使用；</w:t>
      </w:r>
    </w:p>
    <w:p>
      <w:pPr>
        <w:spacing w:line="440" w:lineRule="exact"/>
        <w:rPr>
          <w:color w:val="auto"/>
          <w:sz w:val="24"/>
          <w:highlight w:val="none"/>
          <w:lang w:val="es-ES"/>
        </w:rPr>
      </w:pPr>
      <w:r>
        <w:rPr>
          <w:rFonts w:hint="eastAsia"/>
          <w:color w:val="auto"/>
          <w:sz w:val="24"/>
          <w:highlight w:val="none"/>
          <w:lang w:val="es-ES"/>
        </w:rPr>
        <w:t>3</w:t>
      </w:r>
      <w:r>
        <w:rPr>
          <w:color w:val="auto"/>
          <w:sz w:val="24"/>
          <w:highlight w:val="none"/>
          <w:lang w:val="es-ES"/>
        </w:rPr>
        <w:t>.2</w:t>
      </w:r>
      <w:r>
        <w:rPr>
          <w:rFonts w:hint="eastAsia"/>
          <w:color w:val="auto"/>
          <w:sz w:val="24"/>
          <w:highlight w:val="none"/>
          <w:lang w:val="es-ES"/>
        </w:rPr>
        <w:t>.</w:t>
      </w:r>
      <w:r>
        <w:rPr>
          <w:color w:val="auto"/>
          <w:sz w:val="24"/>
          <w:highlight w:val="none"/>
          <w:lang w:val="es-ES"/>
        </w:rPr>
        <w:t>10</w:t>
      </w:r>
      <w:r>
        <w:rPr>
          <w:rFonts w:hint="eastAsia"/>
          <w:color w:val="auto"/>
          <w:sz w:val="24"/>
          <w:highlight w:val="none"/>
          <w:lang w:val="es-ES"/>
        </w:rPr>
        <w:t>产品本身集成视频处理器与发送卡于一体；</w:t>
      </w:r>
    </w:p>
    <w:p>
      <w:pPr>
        <w:spacing w:line="440" w:lineRule="exact"/>
        <w:rPr>
          <w:color w:val="auto"/>
          <w:sz w:val="24"/>
          <w:highlight w:val="none"/>
          <w:lang w:val="es-ES"/>
        </w:rPr>
      </w:pPr>
      <w:r>
        <w:rPr>
          <w:rFonts w:hint="eastAsia"/>
          <w:color w:val="auto"/>
          <w:sz w:val="24"/>
          <w:highlight w:val="none"/>
          <w:lang w:val="es-ES"/>
        </w:rPr>
        <w:t>3</w:t>
      </w:r>
      <w:r>
        <w:rPr>
          <w:color w:val="auto"/>
          <w:sz w:val="24"/>
          <w:highlight w:val="none"/>
          <w:lang w:val="es-ES"/>
        </w:rPr>
        <w:t>.2</w:t>
      </w:r>
      <w:r>
        <w:rPr>
          <w:rFonts w:hint="eastAsia"/>
          <w:color w:val="auto"/>
          <w:sz w:val="24"/>
          <w:highlight w:val="none"/>
          <w:lang w:val="es-ES"/>
        </w:rPr>
        <w:t>.</w:t>
      </w:r>
      <w:r>
        <w:rPr>
          <w:color w:val="auto"/>
          <w:sz w:val="24"/>
          <w:highlight w:val="none"/>
          <w:lang w:val="es-ES"/>
        </w:rPr>
        <w:t>11</w:t>
      </w:r>
      <w:r>
        <w:rPr>
          <w:rFonts w:hint="eastAsia"/>
          <w:color w:val="auto"/>
          <w:sz w:val="24"/>
          <w:highlight w:val="none"/>
          <w:lang w:val="es-ES"/>
        </w:rPr>
        <w:t>支持逐点亮色度校正技术，校正过程快速高效，支持直接现场校正；</w:t>
      </w:r>
    </w:p>
    <w:p>
      <w:pPr>
        <w:spacing w:line="440" w:lineRule="exact"/>
        <w:rPr>
          <w:color w:val="auto"/>
          <w:sz w:val="24"/>
          <w:highlight w:val="none"/>
          <w:lang w:val="es-ES"/>
        </w:rPr>
      </w:pPr>
      <w:r>
        <w:rPr>
          <w:rFonts w:hint="eastAsia"/>
          <w:color w:val="auto"/>
          <w:sz w:val="24"/>
          <w:highlight w:val="none"/>
          <w:lang w:val="es-ES"/>
        </w:rPr>
        <w:t>3</w:t>
      </w:r>
      <w:r>
        <w:rPr>
          <w:color w:val="auto"/>
          <w:sz w:val="24"/>
          <w:highlight w:val="none"/>
          <w:lang w:val="es-ES"/>
        </w:rPr>
        <w:t>.2</w:t>
      </w:r>
      <w:r>
        <w:rPr>
          <w:rFonts w:hint="eastAsia"/>
          <w:color w:val="auto"/>
          <w:sz w:val="24"/>
          <w:highlight w:val="none"/>
          <w:lang w:val="es-ES"/>
        </w:rPr>
        <w:t>.</w:t>
      </w:r>
      <w:r>
        <w:rPr>
          <w:color w:val="auto"/>
          <w:sz w:val="24"/>
          <w:highlight w:val="none"/>
          <w:lang w:val="es-ES"/>
        </w:rPr>
        <w:t>12</w:t>
      </w:r>
      <w:r>
        <w:rPr>
          <w:rFonts w:hint="eastAsia"/>
          <w:color w:val="auto"/>
          <w:sz w:val="24"/>
          <w:highlight w:val="none"/>
          <w:lang w:val="es-ES"/>
        </w:rPr>
        <w:t>为保证大屏使用稳定性，视频处理器须和大屏为同一生产厂家；</w:t>
      </w:r>
    </w:p>
    <w:p>
      <w:pPr>
        <w:spacing w:line="440" w:lineRule="exact"/>
        <w:rPr>
          <w:color w:val="auto"/>
          <w:sz w:val="24"/>
          <w:highlight w:val="none"/>
          <w:lang w:val="es-ES"/>
        </w:rPr>
      </w:pPr>
      <w:r>
        <w:rPr>
          <w:rFonts w:hint="eastAsia"/>
          <w:color w:val="auto"/>
          <w:sz w:val="24"/>
          <w:highlight w:val="none"/>
          <w:lang w:val="es-ES"/>
        </w:rPr>
        <w:t>3</w:t>
      </w:r>
      <w:r>
        <w:rPr>
          <w:color w:val="auto"/>
          <w:sz w:val="24"/>
          <w:highlight w:val="none"/>
          <w:lang w:val="es-ES"/>
        </w:rPr>
        <w:t>.3</w:t>
      </w:r>
      <w:r>
        <w:rPr>
          <w:rFonts w:hint="eastAsia"/>
          <w:color w:val="auto"/>
          <w:sz w:val="24"/>
          <w:highlight w:val="none"/>
          <w:lang w:val="es-ES"/>
        </w:rPr>
        <w:t>多媒体播放器</w:t>
      </w:r>
    </w:p>
    <w:p>
      <w:pPr>
        <w:spacing w:line="440" w:lineRule="exact"/>
        <w:rPr>
          <w:color w:val="auto"/>
          <w:sz w:val="24"/>
          <w:highlight w:val="none"/>
          <w:lang w:val="es-ES"/>
        </w:rPr>
      </w:pPr>
      <w:r>
        <w:rPr>
          <w:color w:val="auto"/>
          <w:sz w:val="24"/>
          <w:highlight w:val="none"/>
          <w:lang w:val="es-ES"/>
        </w:rPr>
        <w:t>3.3.1</w:t>
      </w:r>
      <w:r>
        <w:rPr>
          <w:rFonts w:hint="eastAsia"/>
          <w:color w:val="auto"/>
          <w:sz w:val="24"/>
          <w:highlight w:val="none"/>
          <w:lang w:val="es-ES"/>
        </w:rPr>
        <w:t>支持 4K×2K 实时硬解 H.265，画质细腻清晰；</w:t>
      </w:r>
    </w:p>
    <w:p>
      <w:pPr>
        <w:spacing w:line="440" w:lineRule="exact"/>
        <w:rPr>
          <w:color w:val="auto"/>
          <w:sz w:val="24"/>
          <w:highlight w:val="none"/>
          <w:lang w:val="es-ES"/>
        </w:rPr>
      </w:pPr>
      <w:r>
        <w:rPr>
          <w:color w:val="auto"/>
          <w:sz w:val="24"/>
          <w:highlight w:val="none"/>
          <w:lang w:val="es-ES"/>
        </w:rPr>
        <w:t>3.3.2</w:t>
      </w:r>
      <w:r>
        <w:rPr>
          <w:rFonts w:hint="eastAsia"/>
          <w:color w:val="auto"/>
          <w:sz w:val="24"/>
          <w:highlight w:val="none"/>
          <w:lang w:val="es-ES"/>
        </w:rPr>
        <w:t>外围接口：至少五个 USB 插口；HDMI 视频输出；支持 LAN、WiFi、4G 混合组网；支持外部拓展设备；</w:t>
      </w:r>
    </w:p>
    <w:p>
      <w:pPr>
        <w:spacing w:line="440" w:lineRule="exact"/>
        <w:rPr>
          <w:color w:val="auto"/>
          <w:sz w:val="24"/>
          <w:highlight w:val="none"/>
          <w:lang w:val="es-ES"/>
        </w:rPr>
      </w:pPr>
      <w:r>
        <w:rPr>
          <w:color w:val="auto"/>
          <w:sz w:val="24"/>
          <w:highlight w:val="none"/>
          <w:lang w:val="es-ES"/>
        </w:rPr>
        <w:t>3.3.</w:t>
      </w:r>
      <w:r>
        <w:rPr>
          <w:rFonts w:hint="eastAsia"/>
          <w:color w:val="auto"/>
          <w:sz w:val="24"/>
          <w:highlight w:val="none"/>
          <w:lang w:val="en-US" w:eastAsia="zh-CN"/>
        </w:rPr>
        <w:t>3</w:t>
      </w:r>
      <w:r>
        <w:rPr>
          <w:rFonts w:hint="eastAsia"/>
          <w:color w:val="auto"/>
          <w:sz w:val="24"/>
          <w:highlight w:val="none"/>
          <w:lang w:val="es-ES"/>
        </w:rPr>
        <w:t>采用端到端的加密技术，从平台到终端的双重加密；数据内容的安全性和完整性校验；各类媒体文件；下发时的数字签名对比；</w:t>
      </w:r>
    </w:p>
    <w:p>
      <w:pPr>
        <w:spacing w:line="440" w:lineRule="exact"/>
        <w:rPr>
          <w:color w:val="auto"/>
          <w:sz w:val="24"/>
          <w:highlight w:val="none"/>
          <w:lang w:val="es-ES"/>
        </w:rPr>
      </w:pPr>
      <w:r>
        <w:rPr>
          <w:color w:val="auto"/>
          <w:sz w:val="24"/>
          <w:highlight w:val="none"/>
          <w:lang w:val="es-ES"/>
        </w:rPr>
        <w:t>3.3.</w:t>
      </w:r>
      <w:r>
        <w:rPr>
          <w:rFonts w:hint="eastAsia"/>
          <w:color w:val="auto"/>
          <w:sz w:val="24"/>
          <w:highlight w:val="none"/>
          <w:lang w:val="en-US" w:eastAsia="zh-CN"/>
        </w:rPr>
        <w:t>4</w:t>
      </w:r>
      <w:r>
        <w:rPr>
          <w:rFonts w:hint="eastAsia"/>
          <w:color w:val="auto"/>
          <w:sz w:val="24"/>
          <w:highlight w:val="none"/>
          <w:lang w:val="es-ES"/>
        </w:rPr>
        <w:t>分屏全屏自由随心，横竖屏任意切换，平滑转场无黑屏；图片、音乐自由组合，循环、定时、插播、垫片播放模式多样；播放时间、顺序、频率、内容、地点等多方位灵活控制；多屏互动，实现多个显示终端同时播放相同内容；多种插件支持显示台标、日期时间星期、天气预报；</w:t>
      </w:r>
    </w:p>
    <w:p>
      <w:pPr>
        <w:spacing w:line="440" w:lineRule="exact"/>
        <w:rPr>
          <w:color w:val="auto"/>
          <w:sz w:val="24"/>
          <w:highlight w:val="none"/>
          <w:lang w:val="es-ES"/>
        </w:rPr>
      </w:pPr>
      <w:r>
        <w:rPr>
          <w:color w:val="auto"/>
          <w:sz w:val="24"/>
          <w:highlight w:val="none"/>
          <w:lang w:val="es-ES"/>
        </w:rPr>
        <w:t>3.3.</w:t>
      </w:r>
      <w:r>
        <w:rPr>
          <w:rFonts w:hint="eastAsia"/>
          <w:color w:val="auto"/>
          <w:sz w:val="24"/>
          <w:highlight w:val="none"/>
          <w:lang w:val="en-US" w:eastAsia="zh-CN"/>
        </w:rPr>
        <w:t>5</w:t>
      </w:r>
      <w:r>
        <w:rPr>
          <w:rFonts w:hint="eastAsia"/>
          <w:color w:val="auto"/>
          <w:sz w:val="24"/>
          <w:highlight w:val="none"/>
          <w:lang w:val="es-ES"/>
        </w:rPr>
        <w:t>内置帧级云拼接功能，支持多达 200 个屏；支持任意角度拼接，异形展示；</w:t>
      </w:r>
    </w:p>
    <w:p>
      <w:pPr>
        <w:spacing w:line="440" w:lineRule="exact"/>
        <w:rPr>
          <w:color w:val="auto"/>
          <w:sz w:val="24"/>
          <w:highlight w:val="none"/>
          <w:lang w:val="es-ES"/>
        </w:rPr>
      </w:pPr>
      <w:r>
        <w:rPr>
          <w:rFonts w:hint="eastAsia"/>
          <w:color w:val="auto"/>
          <w:sz w:val="24"/>
          <w:highlight w:val="none"/>
          <w:lang w:val="es-ES"/>
        </w:rPr>
        <w:t>3</w:t>
      </w:r>
      <w:r>
        <w:rPr>
          <w:color w:val="auto"/>
          <w:sz w:val="24"/>
          <w:highlight w:val="none"/>
          <w:lang w:val="es-ES"/>
        </w:rPr>
        <w:t>.4</w:t>
      </w:r>
      <w:r>
        <w:rPr>
          <w:rFonts w:hint="eastAsia"/>
          <w:color w:val="auto"/>
          <w:sz w:val="24"/>
          <w:highlight w:val="none"/>
          <w:lang w:val="es-ES"/>
        </w:rPr>
        <w:t>钢结构及包边：40*40镀锌矩形管，现场定制，黑色哑光不锈钢包边；</w:t>
      </w:r>
    </w:p>
    <w:p>
      <w:pPr>
        <w:spacing w:line="440" w:lineRule="exact"/>
        <w:rPr>
          <w:color w:val="auto"/>
          <w:sz w:val="24"/>
          <w:highlight w:val="none"/>
          <w:lang w:val="es-ES"/>
        </w:rPr>
      </w:pPr>
      <w:r>
        <w:rPr>
          <w:rFonts w:hint="eastAsia"/>
          <w:color w:val="auto"/>
          <w:sz w:val="24"/>
          <w:highlight w:val="none"/>
          <w:lang w:val="es-ES"/>
        </w:rPr>
        <w:t>3</w:t>
      </w:r>
      <w:r>
        <w:rPr>
          <w:color w:val="auto"/>
          <w:sz w:val="24"/>
          <w:highlight w:val="none"/>
          <w:lang w:val="es-ES"/>
        </w:rPr>
        <w:t>.5</w:t>
      </w:r>
      <w:r>
        <w:rPr>
          <w:rFonts w:hint="eastAsia"/>
          <w:color w:val="auto"/>
          <w:sz w:val="24"/>
          <w:highlight w:val="none"/>
          <w:lang w:val="es-ES"/>
        </w:rPr>
        <w:t>配电箱：30KW，含PLC远程上电系统。</w:t>
      </w:r>
    </w:p>
    <w:p>
      <w:pPr>
        <w:widowControl/>
        <w:autoSpaceDE w:val="0"/>
        <w:autoSpaceDN w:val="0"/>
        <w:snapToGrid w:val="0"/>
        <w:spacing w:line="400" w:lineRule="exact"/>
        <w:contextualSpacing/>
        <w:rPr>
          <w:b/>
          <w:color w:val="auto"/>
          <w:kern w:val="0"/>
          <w:sz w:val="24"/>
          <w:highlight w:val="none"/>
          <w:lang w:val="zh-CN"/>
        </w:rPr>
      </w:pPr>
      <w:r>
        <w:rPr>
          <w:rFonts w:hint="eastAsia"/>
          <w:b/>
          <w:color w:val="auto"/>
          <w:kern w:val="0"/>
          <w:sz w:val="24"/>
          <w:highlight w:val="none"/>
          <w:lang w:val="zh-CN"/>
        </w:rPr>
        <w:t>4设备配置</w:t>
      </w:r>
    </w:p>
    <w:p>
      <w:pPr>
        <w:spacing w:line="440" w:lineRule="exact"/>
        <w:rPr>
          <w:color w:val="auto"/>
          <w:sz w:val="24"/>
          <w:highlight w:val="none"/>
          <w:lang w:val="es-ES"/>
        </w:rPr>
      </w:pPr>
      <w:r>
        <w:rPr>
          <w:rFonts w:hint="eastAsia"/>
          <w:color w:val="auto"/>
          <w:sz w:val="24"/>
          <w:highlight w:val="none"/>
          <w:lang w:val="es-ES"/>
        </w:rPr>
        <w:t>4</w:t>
      </w:r>
      <w:r>
        <w:rPr>
          <w:color w:val="auto"/>
          <w:sz w:val="24"/>
          <w:highlight w:val="none"/>
          <w:lang w:val="es-ES"/>
        </w:rPr>
        <w:t>.1</w:t>
      </w:r>
      <w:r>
        <w:rPr>
          <w:rFonts w:hint="eastAsia"/>
          <w:color w:val="auto"/>
          <w:sz w:val="24"/>
          <w:highlight w:val="none"/>
          <w:lang w:val="es-ES"/>
        </w:rPr>
        <w:t>室内全彩LED显示屏1</w:t>
      </w:r>
      <w:r>
        <w:rPr>
          <w:color w:val="auto"/>
          <w:sz w:val="24"/>
          <w:highlight w:val="none"/>
          <w:lang w:val="es-ES"/>
        </w:rPr>
        <w:t>8.66</w:t>
      </w:r>
      <w:r>
        <w:rPr>
          <w:rFonts w:hint="eastAsia"/>
          <w:color w:val="auto"/>
          <w:sz w:val="24"/>
          <w:highlight w:val="none"/>
          <w:lang w:val="es-ES"/>
        </w:rPr>
        <w:t>m</w:t>
      </w:r>
      <w:r>
        <w:rPr>
          <w:color w:val="auto"/>
          <w:sz w:val="24"/>
          <w:highlight w:val="none"/>
          <w:vertAlign w:val="superscript"/>
          <w:lang w:val="es-ES"/>
        </w:rPr>
        <w:t>2</w:t>
      </w:r>
      <w:r>
        <w:rPr>
          <w:rFonts w:hint="eastAsia"/>
          <w:color w:val="auto"/>
          <w:sz w:val="24"/>
          <w:highlight w:val="none"/>
          <w:lang w:val="es-ES"/>
        </w:rPr>
        <w:t>；</w:t>
      </w:r>
    </w:p>
    <w:p>
      <w:pPr>
        <w:spacing w:line="440" w:lineRule="exact"/>
        <w:rPr>
          <w:color w:val="auto"/>
          <w:sz w:val="24"/>
          <w:highlight w:val="none"/>
          <w:lang w:val="es-ES"/>
        </w:rPr>
      </w:pPr>
      <w:r>
        <w:rPr>
          <w:color w:val="auto"/>
          <w:sz w:val="24"/>
          <w:highlight w:val="none"/>
          <w:lang w:val="es-ES"/>
        </w:rPr>
        <w:t>4.2</w:t>
      </w:r>
      <w:r>
        <w:rPr>
          <w:rFonts w:hint="eastAsia"/>
          <w:color w:val="auto"/>
          <w:sz w:val="24"/>
          <w:highlight w:val="none"/>
          <w:lang w:val="es-ES"/>
        </w:rPr>
        <w:t xml:space="preserve">视频处理器 </w:t>
      </w:r>
      <w:r>
        <w:rPr>
          <w:color w:val="auto"/>
          <w:sz w:val="24"/>
          <w:highlight w:val="none"/>
          <w:lang w:val="es-ES"/>
        </w:rPr>
        <w:t>1</w:t>
      </w:r>
      <w:r>
        <w:rPr>
          <w:rFonts w:hint="eastAsia"/>
          <w:color w:val="auto"/>
          <w:sz w:val="24"/>
          <w:highlight w:val="none"/>
          <w:lang w:val="es-ES"/>
        </w:rPr>
        <w:t>台；</w:t>
      </w:r>
    </w:p>
    <w:p>
      <w:pPr>
        <w:spacing w:line="440" w:lineRule="exact"/>
        <w:rPr>
          <w:color w:val="auto"/>
          <w:sz w:val="24"/>
          <w:highlight w:val="none"/>
          <w:lang w:val="es-ES"/>
        </w:rPr>
      </w:pPr>
      <w:r>
        <w:rPr>
          <w:rFonts w:hint="eastAsia"/>
          <w:color w:val="auto"/>
          <w:sz w:val="24"/>
          <w:highlight w:val="none"/>
          <w:lang w:val="es-ES"/>
        </w:rPr>
        <w:t>4</w:t>
      </w:r>
      <w:r>
        <w:rPr>
          <w:color w:val="auto"/>
          <w:sz w:val="24"/>
          <w:highlight w:val="none"/>
          <w:lang w:val="es-ES"/>
        </w:rPr>
        <w:t>.3</w:t>
      </w:r>
      <w:r>
        <w:rPr>
          <w:rFonts w:hint="eastAsia"/>
          <w:color w:val="auto"/>
          <w:sz w:val="24"/>
          <w:highlight w:val="none"/>
          <w:lang w:val="es-ES"/>
        </w:rPr>
        <w:t xml:space="preserve">多媒体播放器 </w:t>
      </w:r>
      <w:r>
        <w:rPr>
          <w:color w:val="auto"/>
          <w:sz w:val="24"/>
          <w:highlight w:val="none"/>
          <w:lang w:val="es-ES"/>
        </w:rPr>
        <w:t>1</w:t>
      </w:r>
      <w:r>
        <w:rPr>
          <w:rFonts w:hint="eastAsia"/>
          <w:color w:val="auto"/>
          <w:sz w:val="24"/>
          <w:highlight w:val="none"/>
          <w:lang w:val="es-ES"/>
        </w:rPr>
        <w:t>台；</w:t>
      </w:r>
    </w:p>
    <w:p>
      <w:pPr>
        <w:spacing w:line="440" w:lineRule="exact"/>
        <w:rPr>
          <w:color w:val="auto"/>
          <w:sz w:val="24"/>
          <w:highlight w:val="none"/>
          <w:lang w:val="es-ES"/>
        </w:rPr>
      </w:pPr>
      <w:r>
        <w:rPr>
          <w:color w:val="auto"/>
          <w:sz w:val="24"/>
          <w:highlight w:val="none"/>
          <w:lang w:val="es-ES"/>
        </w:rPr>
        <w:t>4.4</w:t>
      </w:r>
      <w:r>
        <w:rPr>
          <w:rFonts w:hint="eastAsia"/>
          <w:color w:val="auto"/>
          <w:sz w:val="24"/>
          <w:highlight w:val="none"/>
          <w:lang w:val="es-ES"/>
        </w:rPr>
        <w:t xml:space="preserve">配电箱 </w:t>
      </w:r>
      <w:r>
        <w:rPr>
          <w:color w:val="auto"/>
          <w:sz w:val="24"/>
          <w:highlight w:val="none"/>
          <w:lang w:val="es-ES"/>
        </w:rPr>
        <w:t>1</w:t>
      </w:r>
      <w:r>
        <w:rPr>
          <w:rFonts w:hint="eastAsia"/>
          <w:color w:val="auto"/>
          <w:sz w:val="24"/>
          <w:highlight w:val="none"/>
          <w:lang w:val="es-ES"/>
        </w:rPr>
        <w:t>台。</w:t>
      </w:r>
    </w:p>
    <w:p>
      <w:pPr>
        <w:widowControl/>
        <w:autoSpaceDE w:val="0"/>
        <w:autoSpaceDN w:val="0"/>
        <w:snapToGrid w:val="0"/>
        <w:spacing w:line="400" w:lineRule="exact"/>
        <w:contextualSpacing/>
        <w:rPr>
          <w:b/>
          <w:color w:val="auto"/>
          <w:kern w:val="0"/>
          <w:sz w:val="24"/>
          <w:highlight w:val="none"/>
          <w:lang w:val="zh-CN"/>
        </w:rPr>
      </w:pPr>
      <w:r>
        <w:rPr>
          <w:rFonts w:hint="eastAsia"/>
          <w:b/>
          <w:color w:val="auto"/>
          <w:kern w:val="0"/>
          <w:sz w:val="24"/>
          <w:highlight w:val="none"/>
          <w:lang w:val="zh-CN"/>
        </w:rPr>
        <w:t>5技术服务</w:t>
      </w:r>
    </w:p>
    <w:p>
      <w:pPr>
        <w:spacing w:line="400" w:lineRule="exact"/>
        <w:rPr>
          <w:color w:val="auto"/>
          <w:sz w:val="24"/>
          <w:highlight w:val="none"/>
          <w:lang w:val="zh-CN"/>
        </w:rPr>
      </w:pPr>
      <w:r>
        <w:rPr>
          <w:color w:val="auto"/>
          <w:sz w:val="24"/>
          <w:highlight w:val="none"/>
          <w:lang w:val="zh-CN"/>
        </w:rPr>
        <w:t>5.1保证产品为最新型全新原厂设备。</w:t>
      </w:r>
    </w:p>
    <w:p>
      <w:pPr>
        <w:spacing w:line="400" w:lineRule="exact"/>
        <w:rPr>
          <w:color w:val="auto"/>
          <w:sz w:val="24"/>
          <w:highlight w:val="none"/>
          <w:lang w:val="zh-CN"/>
        </w:rPr>
      </w:pPr>
      <w:r>
        <w:rPr>
          <w:color w:val="auto"/>
          <w:sz w:val="24"/>
          <w:highlight w:val="none"/>
          <w:lang w:val="zh-CN"/>
        </w:rPr>
        <w:t>5.2仪器安装验收：供货商在接到用户安装通知后，须在10工作日内安排有经验的工程师到现场安装仪器，并在</w:t>
      </w:r>
      <w:r>
        <w:rPr>
          <w:rFonts w:hint="eastAsia"/>
          <w:color w:val="auto"/>
          <w:sz w:val="24"/>
          <w:highlight w:val="none"/>
        </w:rPr>
        <w:t>3</w:t>
      </w:r>
      <w:r>
        <w:rPr>
          <w:color w:val="auto"/>
          <w:sz w:val="24"/>
          <w:highlight w:val="none"/>
          <w:lang w:val="zh-CN"/>
        </w:rPr>
        <w:t>0工作日内安装、调试完毕，进行操作试验，直至运行正常并验收确认。</w:t>
      </w:r>
    </w:p>
    <w:p>
      <w:pPr>
        <w:spacing w:line="400" w:lineRule="exact"/>
        <w:rPr>
          <w:color w:val="auto"/>
          <w:sz w:val="24"/>
          <w:highlight w:val="none"/>
          <w:lang w:val="zh-CN"/>
        </w:rPr>
      </w:pPr>
      <w:r>
        <w:rPr>
          <w:color w:val="auto"/>
          <w:sz w:val="24"/>
          <w:highlight w:val="none"/>
          <w:lang w:val="zh-CN"/>
        </w:rPr>
        <w:t>5.3保修服务：自验收合格起，厂家向用户提供至少1年的免费保修服务，终生维修。保修期内所有服务免费，一切配件、耗材免费到场更换。保修期外，能及时为用户提供备品备件。</w:t>
      </w:r>
    </w:p>
    <w:p>
      <w:pPr>
        <w:spacing w:line="400" w:lineRule="exact"/>
        <w:rPr>
          <w:color w:val="auto"/>
          <w:sz w:val="24"/>
          <w:highlight w:val="none"/>
          <w:lang w:val="zh-CN"/>
        </w:rPr>
      </w:pPr>
      <w:r>
        <w:rPr>
          <w:color w:val="auto"/>
          <w:sz w:val="24"/>
          <w:highlight w:val="none"/>
          <w:lang w:val="zh-CN"/>
        </w:rPr>
        <w:t>5.4质量及验收标准：安装工程师需对本标书中提出的性能指标须逐项验收。所有验收指标要求一次完成，最终出具符合采购方使用要求的验收报告。如未通过验收，视情节更换部件或主机，直至退货。</w:t>
      </w:r>
    </w:p>
    <w:p>
      <w:pPr>
        <w:spacing w:line="400" w:lineRule="exact"/>
        <w:rPr>
          <w:color w:val="auto"/>
          <w:sz w:val="24"/>
          <w:highlight w:val="none"/>
          <w:lang w:val="zh-CN"/>
        </w:rPr>
      </w:pPr>
      <w:r>
        <w:rPr>
          <w:color w:val="auto"/>
          <w:sz w:val="24"/>
          <w:highlight w:val="none"/>
          <w:lang w:val="zh-CN"/>
        </w:rPr>
        <w:t>5.5培训：</w:t>
      </w:r>
      <w:r>
        <w:rPr>
          <w:rFonts w:hint="eastAsia"/>
          <w:color w:val="auto"/>
          <w:sz w:val="24"/>
          <w:highlight w:val="none"/>
          <w:lang w:val="zh-CN"/>
        </w:rPr>
        <w:t>设备</w:t>
      </w:r>
      <w:r>
        <w:rPr>
          <w:color w:val="auto"/>
          <w:sz w:val="24"/>
          <w:highlight w:val="none"/>
          <w:lang w:val="zh-CN"/>
        </w:rPr>
        <w:t>安装现场对2名以上</w:t>
      </w:r>
      <w:r>
        <w:rPr>
          <w:rFonts w:hint="eastAsia"/>
          <w:color w:val="auto"/>
          <w:sz w:val="24"/>
          <w:highlight w:val="none"/>
          <w:lang w:val="zh-CN"/>
        </w:rPr>
        <w:t>设备</w:t>
      </w:r>
      <w:r>
        <w:rPr>
          <w:color w:val="auto"/>
          <w:sz w:val="24"/>
          <w:highlight w:val="none"/>
          <w:lang w:val="zh-CN"/>
        </w:rPr>
        <w:t>操作人员提供免费的日常操作及维护培训，至使用者会操作、使用为止。</w:t>
      </w:r>
    </w:p>
    <w:p>
      <w:pPr>
        <w:spacing w:line="400" w:lineRule="exact"/>
        <w:rPr>
          <w:color w:val="auto"/>
          <w:sz w:val="24"/>
          <w:highlight w:val="none"/>
          <w:lang w:val="zh-CN"/>
        </w:rPr>
      </w:pPr>
      <w:r>
        <w:rPr>
          <w:color w:val="auto"/>
          <w:sz w:val="24"/>
          <w:highlight w:val="none"/>
          <w:lang w:val="zh-CN"/>
        </w:rPr>
        <w:t>备注：带“*”号的为必须满足指标，与技术性能指标一起做为验收指标。</w:t>
      </w:r>
    </w:p>
    <w:p>
      <w:pPr>
        <w:pStyle w:val="39"/>
        <w:rPr>
          <w:color w:val="auto"/>
          <w:highlight w:val="none"/>
          <w:lang w:val="es-ES"/>
        </w:rPr>
      </w:pPr>
    </w:p>
    <w:p>
      <w:pPr>
        <w:spacing w:line="440" w:lineRule="exact"/>
        <w:rPr>
          <w:color w:val="auto"/>
          <w:sz w:val="24"/>
          <w:highlight w:val="none"/>
          <w:lang w:val="es-ES"/>
        </w:rPr>
      </w:pPr>
    </w:p>
    <w:p>
      <w:pPr>
        <w:snapToGrid w:val="0"/>
        <w:spacing w:line="440" w:lineRule="exact"/>
        <w:rPr>
          <w:rFonts w:ascii="宋体" w:hAnsi="宋体"/>
          <w:b/>
          <w:color w:val="auto"/>
          <w:sz w:val="24"/>
          <w:highlight w:val="none"/>
        </w:rPr>
        <w:sectPr>
          <w:footerReference r:id="rId12" w:type="first"/>
          <w:footerReference r:id="rId11" w:type="default"/>
          <w:pgSz w:w="11850" w:h="16783"/>
          <w:pgMar w:top="1134" w:right="1417" w:bottom="1134" w:left="1417" w:header="851" w:footer="964" w:gutter="0"/>
          <w:pgNumType w:start="1"/>
          <w:cols w:space="720" w:num="1"/>
          <w:titlePg/>
          <w:docGrid w:type="lines" w:linePitch="312" w:charSpace="0"/>
        </w:sectPr>
      </w:pPr>
      <w:r>
        <w:rPr>
          <w:rFonts w:hint="eastAsia"/>
          <w:color w:val="auto"/>
          <w:highlight w:val="none"/>
        </w:rPr>
        <w:br w:type="page"/>
      </w:r>
    </w:p>
    <w:p>
      <w:pPr>
        <w:pStyle w:val="57"/>
        <w:rPr>
          <w:color w:val="auto"/>
          <w:highlight w:val="none"/>
        </w:rPr>
      </w:pPr>
      <w:bookmarkStart w:id="160" w:name="_Toc9679"/>
      <w:bookmarkStart w:id="161" w:name="_Hlk519793124"/>
      <w:bookmarkStart w:id="162" w:name="_Hlk89422655"/>
      <w:r>
        <w:rPr>
          <w:color w:val="auto"/>
          <w:highlight w:val="none"/>
        </w:rPr>
        <w:t xml:space="preserve">第四章  </w:t>
      </w:r>
      <w:bookmarkEnd w:id="160"/>
      <w:bookmarkEnd w:id="161"/>
      <w:r>
        <w:rPr>
          <w:rFonts w:hint="eastAsia"/>
          <w:color w:val="auto"/>
          <w:highlight w:val="none"/>
        </w:rPr>
        <w:t>合同条款</w:t>
      </w:r>
    </w:p>
    <w:p>
      <w:pPr>
        <w:pStyle w:val="362"/>
        <w:spacing w:line="480" w:lineRule="auto"/>
        <w:jc w:val="center"/>
        <w:rPr>
          <w:b/>
          <w:color w:val="auto"/>
          <w:sz w:val="48"/>
          <w:szCs w:val="48"/>
          <w:highlight w:val="none"/>
        </w:rPr>
      </w:pPr>
      <w:bookmarkStart w:id="163" w:name="EBe37f5b8a797549599559bd4d79ed5880"/>
      <w:bookmarkStart w:id="164" w:name="_Toc28155"/>
      <w:r>
        <w:rPr>
          <w:rFonts w:hint="eastAsia"/>
          <w:color w:val="auto"/>
          <w:highlight w:val="none"/>
        </w:rPr>
        <w:t xml:space="preserve"> </w:t>
      </w:r>
      <w:bookmarkEnd w:id="163"/>
      <w:bookmarkStart w:id="165" w:name="EB25a5329124b74315b236b5ababbb0bae"/>
      <w:bookmarkEnd w:id="165"/>
    </w:p>
    <w:p>
      <w:pPr>
        <w:pStyle w:val="362"/>
        <w:spacing w:line="480" w:lineRule="auto"/>
        <w:jc w:val="center"/>
        <w:rPr>
          <w:b/>
          <w:color w:val="auto"/>
          <w:sz w:val="48"/>
          <w:szCs w:val="48"/>
          <w:highlight w:val="none"/>
        </w:rPr>
      </w:pPr>
    </w:p>
    <w:p>
      <w:pPr>
        <w:pStyle w:val="362"/>
        <w:spacing w:line="480" w:lineRule="auto"/>
        <w:jc w:val="center"/>
        <w:rPr>
          <w:b/>
          <w:color w:val="auto"/>
          <w:sz w:val="48"/>
          <w:highlight w:val="none"/>
        </w:rPr>
      </w:pPr>
      <w:r>
        <w:rPr>
          <w:b/>
          <w:color w:val="auto"/>
          <w:sz w:val="48"/>
          <w:szCs w:val="48"/>
          <w:highlight w:val="none"/>
        </w:rPr>
        <w:t>新疆维吾尔自治区政府采购</w:t>
      </w:r>
    </w:p>
    <w:p>
      <w:pPr>
        <w:pStyle w:val="362"/>
        <w:spacing w:line="360" w:lineRule="auto"/>
        <w:jc w:val="center"/>
        <w:rPr>
          <w:color w:val="auto"/>
          <w:sz w:val="48"/>
          <w:highlight w:val="none"/>
        </w:rPr>
      </w:pPr>
    </w:p>
    <w:p>
      <w:pPr>
        <w:pStyle w:val="362"/>
        <w:spacing w:line="360" w:lineRule="auto"/>
        <w:jc w:val="center"/>
        <w:rPr>
          <w:color w:val="auto"/>
          <w:sz w:val="96"/>
          <w:highlight w:val="none"/>
        </w:rPr>
      </w:pPr>
      <w:r>
        <w:rPr>
          <w:b/>
          <w:bCs/>
          <w:color w:val="auto"/>
          <w:sz w:val="96"/>
          <w:szCs w:val="112"/>
          <w:highlight w:val="none"/>
        </w:rPr>
        <w:t>合同文本</w:t>
      </w:r>
    </w:p>
    <w:p>
      <w:pPr>
        <w:pStyle w:val="362"/>
        <w:spacing w:line="360" w:lineRule="auto"/>
        <w:rPr>
          <w:color w:val="auto"/>
          <w:sz w:val="32"/>
          <w:highlight w:val="none"/>
        </w:rPr>
      </w:pPr>
      <w:r>
        <w:rPr>
          <w:color w:val="auto"/>
          <w:sz w:val="32"/>
          <w:highlight w:val="none"/>
        </w:rPr>
        <w:t xml:space="preserve">                                               </w:t>
      </w:r>
    </w:p>
    <w:p>
      <w:pPr>
        <w:pStyle w:val="362"/>
        <w:spacing w:line="360" w:lineRule="auto"/>
        <w:ind w:firstLine="1920" w:firstLineChars="600"/>
        <w:rPr>
          <w:color w:val="auto"/>
          <w:sz w:val="32"/>
          <w:highlight w:val="none"/>
        </w:rPr>
      </w:pPr>
    </w:p>
    <w:p>
      <w:pPr>
        <w:pStyle w:val="362"/>
        <w:spacing w:line="360" w:lineRule="auto"/>
        <w:ind w:firstLine="1920" w:firstLineChars="600"/>
        <w:rPr>
          <w:color w:val="auto"/>
          <w:sz w:val="32"/>
          <w:highlight w:val="none"/>
        </w:rPr>
      </w:pPr>
    </w:p>
    <w:p>
      <w:pPr>
        <w:spacing w:line="360" w:lineRule="auto"/>
        <w:jc w:val="center"/>
        <w:rPr>
          <w:color w:val="auto"/>
          <w:sz w:val="30"/>
          <w:szCs w:val="30"/>
          <w:highlight w:val="none"/>
        </w:rPr>
      </w:pPr>
      <w:r>
        <w:rPr>
          <w:color w:val="auto"/>
          <w:sz w:val="30"/>
          <w:szCs w:val="30"/>
          <w:highlight w:val="none"/>
        </w:rPr>
        <w:t xml:space="preserve">招标项目名称： </w:t>
      </w:r>
      <w:r>
        <w:rPr>
          <w:rFonts w:hint="eastAsia"/>
          <w:color w:val="auto"/>
          <w:sz w:val="30"/>
          <w:szCs w:val="30"/>
          <w:highlight w:val="none"/>
        </w:rPr>
        <w:t>2023年中央耕地建设与利用资金（购置土壤监测设备）</w:t>
      </w:r>
      <w:r>
        <w:rPr>
          <w:color w:val="auto"/>
          <w:sz w:val="30"/>
          <w:szCs w:val="30"/>
          <w:highlight w:val="none"/>
        </w:rPr>
        <w:t>项目</w:t>
      </w:r>
    </w:p>
    <w:p>
      <w:pPr>
        <w:spacing w:before="240" w:after="240" w:line="360" w:lineRule="auto"/>
        <w:rPr>
          <w:color w:val="auto"/>
          <w:sz w:val="28"/>
          <w:szCs w:val="28"/>
          <w:highlight w:val="none"/>
        </w:rPr>
      </w:pPr>
    </w:p>
    <w:p>
      <w:pPr>
        <w:tabs>
          <w:tab w:val="left" w:pos="3780"/>
        </w:tabs>
        <w:spacing w:before="240" w:after="240" w:line="360" w:lineRule="auto"/>
        <w:rPr>
          <w:rFonts w:hint="default" w:eastAsia="宋体"/>
          <w:bCs/>
          <w:color w:val="auto"/>
          <w:sz w:val="30"/>
          <w:szCs w:val="30"/>
          <w:highlight w:val="none"/>
          <w:lang w:val="en-US" w:eastAsia="zh-CN"/>
        </w:rPr>
      </w:pPr>
      <w:r>
        <w:rPr>
          <w:color w:val="auto"/>
          <w:sz w:val="30"/>
          <w:szCs w:val="30"/>
          <w:highlight w:val="none"/>
        </w:rPr>
        <w:t>项目文件编号：</w:t>
      </w:r>
      <w:r>
        <w:rPr>
          <w:rFonts w:hint="eastAsia"/>
          <w:color w:val="auto"/>
          <w:sz w:val="30"/>
          <w:szCs w:val="30"/>
          <w:highlight w:val="none"/>
        </w:rPr>
        <w:t>XJDN-2023-</w:t>
      </w:r>
      <w:r>
        <w:rPr>
          <w:rFonts w:hint="eastAsia"/>
          <w:color w:val="auto"/>
          <w:sz w:val="30"/>
          <w:szCs w:val="30"/>
          <w:highlight w:val="none"/>
          <w:lang w:val="en-US" w:eastAsia="zh-CN"/>
        </w:rPr>
        <w:t>14</w:t>
      </w:r>
    </w:p>
    <w:p>
      <w:pPr>
        <w:spacing w:before="240" w:after="240" w:line="360" w:lineRule="auto"/>
        <w:rPr>
          <w:color w:val="auto"/>
          <w:sz w:val="30"/>
          <w:szCs w:val="30"/>
          <w:highlight w:val="none"/>
        </w:rPr>
      </w:pPr>
    </w:p>
    <w:p>
      <w:pPr>
        <w:spacing w:before="240" w:after="240" w:line="360" w:lineRule="auto"/>
        <w:rPr>
          <w:color w:val="auto"/>
          <w:sz w:val="30"/>
          <w:szCs w:val="30"/>
          <w:highlight w:val="none"/>
        </w:rPr>
      </w:pPr>
      <w:r>
        <w:rPr>
          <w:color w:val="auto"/>
          <w:sz w:val="30"/>
          <w:szCs w:val="30"/>
          <w:highlight w:val="none"/>
        </w:rPr>
        <w:t>中标单位：</w:t>
      </w:r>
    </w:p>
    <w:p>
      <w:pPr>
        <w:pStyle w:val="362"/>
        <w:spacing w:line="360" w:lineRule="auto"/>
        <w:rPr>
          <w:color w:val="auto"/>
          <w:sz w:val="32"/>
          <w:highlight w:val="none"/>
          <w:u w:val="single"/>
        </w:rPr>
      </w:pPr>
    </w:p>
    <w:p>
      <w:pPr>
        <w:pStyle w:val="362"/>
        <w:spacing w:line="360" w:lineRule="auto"/>
        <w:jc w:val="both"/>
        <w:rPr>
          <w:color w:val="auto"/>
          <w:spacing w:val="40"/>
          <w:sz w:val="32"/>
          <w:highlight w:val="none"/>
        </w:rPr>
      </w:pPr>
    </w:p>
    <w:p>
      <w:pPr>
        <w:pStyle w:val="362"/>
        <w:spacing w:line="360" w:lineRule="auto"/>
        <w:jc w:val="both"/>
        <w:rPr>
          <w:color w:val="auto"/>
          <w:spacing w:val="40"/>
          <w:sz w:val="32"/>
          <w:highlight w:val="none"/>
        </w:rPr>
      </w:pPr>
      <w:r>
        <w:rPr>
          <w:color w:val="auto"/>
          <w:spacing w:val="40"/>
          <w:sz w:val="32"/>
          <w:highlight w:val="none"/>
        </w:rPr>
        <w:t xml:space="preserve">          二〇二</w:t>
      </w:r>
      <w:r>
        <w:rPr>
          <w:rFonts w:hint="eastAsia"/>
          <w:color w:val="auto"/>
          <w:spacing w:val="40"/>
          <w:sz w:val="32"/>
          <w:highlight w:val="none"/>
        </w:rPr>
        <w:t>三</w:t>
      </w:r>
      <w:r>
        <w:rPr>
          <w:color w:val="auto"/>
          <w:spacing w:val="40"/>
          <w:sz w:val="32"/>
          <w:highlight w:val="none"/>
        </w:rPr>
        <w:t>年</w:t>
      </w:r>
      <w:r>
        <w:rPr>
          <w:rFonts w:hint="eastAsia"/>
          <w:color w:val="auto"/>
          <w:spacing w:val="40"/>
          <w:sz w:val="32"/>
          <w:highlight w:val="none"/>
        </w:rPr>
        <w:t xml:space="preserve">  </w:t>
      </w:r>
      <w:r>
        <w:rPr>
          <w:color w:val="auto"/>
          <w:spacing w:val="40"/>
          <w:sz w:val="32"/>
          <w:highlight w:val="none"/>
        </w:rPr>
        <w:t>月</w:t>
      </w:r>
      <w:r>
        <w:rPr>
          <w:rFonts w:hint="eastAsia"/>
          <w:color w:val="auto"/>
          <w:spacing w:val="40"/>
          <w:sz w:val="32"/>
          <w:highlight w:val="none"/>
        </w:rPr>
        <w:t xml:space="preserve">  </w:t>
      </w:r>
      <w:r>
        <w:rPr>
          <w:color w:val="auto"/>
          <w:spacing w:val="40"/>
          <w:sz w:val="32"/>
          <w:highlight w:val="none"/>
        </w:rPr>
        <w:t>日</w:t>
      </w:r>
    </w:p>
    <w:p>
      <w:pPr>
        <w:pStyle w:val="362"/>
        <w:spacing w:line="360" w:lineRule="auto"/>
        <w:jc w:val="center"/>
        <w:rPr>
          <w:color w:val="auto"/>
          <w:spacing w:val="40"/>
          <w:sz w:val="32"/>
          <w:highlight w:val="none"/>
        </w:rPr>
      </w:pPr>
    </w:p>
    <w:p>
      <w:pPr>
        <w:spacing w:line="360" w:lineRule="auto"/>
        <w:rPr>
          <w:color w:val="auto"/>
          <w:sz w:val="44"/>
          <w:szCs w:val="44"/>
          <w:highlight w:val="none"/>
        </w:rPr>
      </w:pPr>
      <w:r>
        <w:rPr>
          <w:color w:val="auto"/>
          <w:sz w:val="44"/>
          <w:szCs w:val="44"/>
          <w:highlight w:val="none"/>
        </w:rPr>
        <w:br w:type="page"/>
      </w:r>
    </w:p>
    <w:p>
      <w:pPr>
        <w:spacing w:before="240" w:after="240" w:line="360" w:lineRule="auto"/>
        <w:jc w:val="center"/>
        <w:rPr>
          <w:color w:val="auto"/>
          <w:sz w:val="44"/>
          <w:szCs w:val="44"/>
          <w:highlight w:val="none"/>
        </w:rPr>
      </w:pPr>
      <w:r>
        <w:rPr>
          <w:color w:val="auto"/>
          <w:sz w:val="44"/>
          <w:szCs w:val="44"/>
          <w:highlight w:val="none"/>
        </w:rPr>
        <w:t>新疆维吾尔自治区政府采购合同</w:t>
      </w:r>
    </w:p>
    <w:p>
      <w:pPr>
        <w:pStyle w:val="362"/>
        <w:spacing w:before="240" w:after="240" w:line="360" w:lineRule="auto"/>
        <w:ind w:firstLine="240" w:firstLineChars="100"/>
        <w:rPr>
          <w:color w:val="auto"/>
          <w:sz w:val="24"/>
          <w:highlight w:val="none"/>
        </w:rPr>
      </w:pPr>
      <w:r>
        <w:rPr>
          <w:color w:val="auto"/>
          <w:sz w:val="24"/>
          <w:highlight w:val="none"/>
        </w:rPr>
        <w:t>甲方：</w:t>
      </w:r>
      <w:r>
        <w:rPr>
          <w:color w:val="auto"/>
          <w:sz w:val="24"/>
          <w:highlight w:val="none"/>
          <w:u w:val="single"/>
        </w:rPr>
        <w:t>新疆维吾尔自治区生态环境监测总站</w:t>
      </w:r>
    </w:p>
    <w:p>
      <w:pPr>
        <w:spacing w:before="240" w:after="314" w:afterLines="100" w:line="360" w:lineRule="auto"/>
        <w:ind w:firstLine="240" w:firstLineChars="100"/>
        <w:rPr>
          <w:color w:val="auto"/>
          <w:kern w:val="0"/>
          <w:sz w:val="24"/>
          <w:highlight w:val="none"/>
          <w:u w:val="single"/>
        </w:rPr>
      </w:pPr>
      <w:r>
        <w:rPr>
          <w:color w:val="auto"/>
          <w:sz w:val="24"/>
          <w:highlight w:val="none"/>
        </w:rPr>
        <w:t>乙方：</w:t>
      </w:r>
      <w:r>
        <w:rPr>
          <w:rFonts w:hint="eastAsia"/>
          <w:color w:val="auto"/>
          <w:kern w:val="0"/>
          <w:sz w:val="24"/>
          <w:highlight w:val="none"/>
          <w:u w:val="single"/>
        </w:rPr>
        <w:t xml:space="preserve">      </w:t>
      </w:r>
      <w:r>
        <w:rPr>
          <w:color w:val="auto"/>
          <w:kern w:val="0"/>
          <w:sz w:val="24"/>
          <w:highlight w:val="none"/>
          <w:u w:val="single"/>
        </w:rPr>
        <w:t xml:space="preserve">                          </w:t>
      </w:r>
    </w:p>
    <w:p>
      <w:pPr>
        <w:spacing w:line="360" w:lineRule="auto"/>
        <w:ind w:firstLine="480" w:firstLineChars="200"/>
        <w:rPr>
          <w:color w:val="auto"/>
          <w:kern w:val="0"/>
          <w:sz w:val="24"/>
          <w:highlight w:val="none"/>
        </w:rPr>
      </w:pPr>
      <w:r>
        <w:rPr>
          <w:color w:val="auto"/>
          <w:kern w:val="0"/>
          <w:sz w:val="24"/>
          <w:highlight w:val="none"/>
        </w:rPr>
        <w:t>在</w:t>
      </w:r>
      <w:r>
        <w:rPr>
          <w:rFonts w:hint="eastAsia"/>
          <w:color w:val="auto"/>
          <w:kern w:val="0"/>
          <w:sz w:val="24"/>
          <w:highlight w:val="none"/>
          <w:u w:val="single"/>
        </w:rPr>
        <w:t>新疆东南项目管理有限公司</w:t>
      </w:r>
      <w:r>
        <w:rPr>
          <w:color w:val="auto"/>
          <w:kern w:val="0"/>
          <w:sz w:val="24"/>
          <w:highlight w:val="none"/>
        </w:rPr>
        <w:t>于</w:t>
      </w:r>
      <w:r>
        <w:rPr>
          <w:color w:val="auto"/>
          <w:kern w:val="0"/>
          <w:sz w:val="24"/>
          <w:highlight w:val="none"/>
          <w:u w:val="single"/>
        </w:rPr>
        <w:t>202</w:t>
      </w:r>
      <w:r>
        <w:rPr>
          <w:rFonts w:hint="eastAsia"/>
          <w:color w:val="auto"/>
          <w:kern w:val="0"/>
          <w:sz w:val="24"/>
          <w:highlight w:val="none"/>
          <w:u w:val="single"/>
        </w:rPr>
        <w:t>3</w:t>
      </w:r>
      <w:r>
        <w:rPr>
          <w:color w:val="auto"/>
          <w:kern w:val="0"/>
          <w:sz w:val="24"/>
          <w:highlight w:val="none"/>
        </w:rPr>
        <w:t>年</w:t>
      </w:r>
      <w:r>
        <w:rPr>
          <w:rFonts w:hint="eastAsia"/>
          <w:color w:val="auto"/>
          <w:kern w:val="0"/>
          <w:sz w:val="24"/>
          <w:highlight w:val="none"/>
          <w:u w:val="single"/>
        </w:rPr>
        <w:t xml:space="preserve">   </w:t>
      </w:r>
      <w:r>
        <w:rPr>
          <w:color w:val="auto"/>
          <w:kern w:val="0"/>
          <w:sz w:val="24"/>
          <w:highlight w:val="none"/>
        </w:rPr>
        <w:t>月</w:t>
      </w:r>
      <w:r>
        <w:rPr>
          <w:rFonts w:hint="eastAsia"/>
          <w:color w:val="auto"/>
          <w:kern w:val="0"/>
          <w:sz w:val="24"/>
          <w:highlight w:val="none"/>
          <w:u w:val="single"/>
        </w:rPr>
        <w:t xml:space="preserve">   </w:t>
      </w:r>
      <w:r>
        <w:rPr>
          <w:color w:val="auto"/>
          <w:kern w:val="0"/>
          <w:sz w:val="24"/>
          <w:highlight w:val="none"/>
        </w:rPr>
        <w:t>日组织的、招标文件编号为</w:t>
      </w:r>
      <w:r>
        <w:rPr>
          <w:color w:val="auto"/>
          <w:kern w:val="0"/>
          <w:sz w:val="24"/>
          <w:highlight w:val="none"/>
          <w:u w:val="single"/>
        </w:rPr>
        <w:t xml:space="preserve"> </w:t>
      </w:r>
      <w:r>
        <w:rPr>
          <w:rFonts w:hint="eastAsia"/>
          <w:b/>
          <w:color w:val="auto"/>
          <w:sz w:val="24"/>
          <w:highlight w:val="none"/>
          <w:u w:val="single"/>
        </w:rPr>
        <w:t xml:space="preserve">  </w:t>
      </w:r>
      <w:r>
        <w:rPr>
          <w:b/>
          <w:color w:val="auto"/>
          <w:kern w:val="0"/>
          <w:sz w:val="24"/>
          <w:highlight w:val="none"/>
          <w:u w:val="single"/>
        </w:rPr>
        <w:t xml:space="preserve"> </w:t>
      </w:r>
      <w:r>
        <w:rPr>
          <w:color w:val="auto"/>
          <w:kern w:val="0"/>
          <w:sz w:val="24"/>
          <w:highlight w:val="none"/>
        </w:rPr>
        <w:t>的</w:t>
      </w:r>
      <w:r>
        <w:rPr>
          <w:rFonts w:hint="eastAsia"/>
          <w:b/>
          <w:color w:val="auto"/>
          <w:kern w:val="0"/>
          <w:sz w:val="24"/>
          <w:highlight w:val="none"/>
          <w:u w:val="single"/>
        </w:rPr>
        <w:t>2023年中央耕地建设与利用资金（购置土壤监测设备）</w:t>
      </w:r>
      <w:r>
        <w:rPr>
          <w:b/>
          <w:color w:val="auto"/>
          <w:kern w:val="0"/>
          <w:sz w:val="24"/>
          <w:highlight w:val="none"/>
          <w:u w:val="single"/>
        </w:rPr>
        <w:t>项目</w:t>
      </w:r>
      <w:r>
        <w:rPr>
          <w:color w:val="auto"/>
          <w:kern w:val="0"/>
          <w:sz w:val="24"/>
          <w:highlight w:val="none"/>
          <w:u w:val="single"/>
        </w:rPr>
        <w:t xml:space="preserve"> </w:t>
      </w:r>
      <w:r>
        <w:rPr>
          <w:color w:val="auto"/>
          <w:kern w:val="0"/>
          <w:sz w:val="24"/>
          <w:highlight w:val="none"/>
        </w:rPr>
        <w:t>的招标采购中，经评定，乙方</w:t>
      </w:r>
      <w:r>
        <w:rPr>
          <w:rFonts w:hint="eastAsia"/>
          <w:b/>
          <w:color w:val="auto"/>
          <w:sz w:val="24"/>
          <w:highlight w:val="none"/>
          <w:u w:val="single"/>
        </w:rPr>
        <w:t xml:space="preserve">                  </w:t>
      </w:r>
      <w:r>
        <w:rPr>
          <w:color w:val="auto"/>
          <w:kern w:val="0"/>
          <w:sz w:val="24"/>
          <w:highlight w:val="none"/>
          <w:u w:val="single"/>
        </w:rPr>
        <w:t xml:space="preserve">  </w:t>
      </w:r>
      <w:r>
        <w:rPr>
          <w:color w:val="auto"/>
          <w:kern w:val="0"/>
          <w:sz w:val="24"/>
          <w:highlight w:val="none"/>
        </w:rPr>
        <w:t>为中标方，中标金额为人民币大写</w:t>
      </w:r>
      <w:r>
        <w:rPr>
          <w:b/>
          <w:bCs/>
          <w:color w:val="auto"/>
          <w:kern w:val="0"/>
          <w:sz w:val="24"/>
          <w:highlight w:val="none"/>
          <w:u w:val="single"/>
        </w:rPr>
        <w:t xml:space="preserve"> </w:t>
      </w:r>
      <w:r>
        <w:rPr>
          <w:rFonts w:hint="eastAsia"/>
          <w:b/>
          <w:color w:val="auto"/>
          <w:sz w:val="24"/>
          <w:highlight w:val="none"/>
          <w:u w:val="single"/>
        </w:rPr>
        <w:t xml:space="preserve">               </w:t>
      </w:r>
      <w:r>
        <w:rPr>
          <w:b/>
          <w:bCs/>
          <w:color w:val="auto"/>
          <w:kern w:val="0"/>
          <w:sz w:val="24"/>
          <w:highlight w:val="none"/>
          <w:u w:val="single"/>
        </w:rPr>
        <w:t>元整</w:t>
      </w:r>
      <w:r>
        <w:rPr>
          <w:b/>
          <w:bCs/>
          <w:color w:val="auto"/>
          <w:sz w:val="24"/>
          <w:highlight w:val="none"/>
          <w:u w:val="single"/>
        </w:rPr>
        <w:t>（¥</w:t>
      </w:r>
      <w:r>
        <w:rPr>
          <w:rFonts w:hint="eastAsia"/>
          <w:b/>
          <w:color w:val="auto"/>
          <w:sz w:val="24"/>
          <w:highlight w:val="none"/>
          <w:u w:val="single"/>
        </w:rPr>
        <w:t xml:space="preserve">              </w:t>
      </w:r>
      <w:r>
        <w:rPr>
          <w:b/>
          <w:color w:val="auto"/>
          <w:sz w:val="24"/>
          <w:highlight w:val="none"/>
          <w:u w:val="single"/>
        </w:rPr>
        <w:t>元整</w:t>
      </w:r>
      <w:r>
        <w:rPr>
          <w:b/>
          <w:bCs/>
          <w:color w:val="auto"/>
          <w:sz w:val="24"/>
          <w:highlight w:val="none"/>
          <w:u w:val="single"/>
        </w:rPr>
        <w:t>）</w:t>
      </w:r>
      <w:r>
        <w:rPr>
          <w:color w:val="auto"/>
          <w:kern w:val="0"/>
          <w:sz w:val="24"/>
          <w:highlight w:val="none"/>
        </w:rPr>
        <w:t>。</w:t>
      </w:r>
    </w:p>
    <w:p>
      <w:pPr>
        <w:pStyle w:val="362"/>
        <w:spacing w:before="240" w:after="240" w:line="360" w:lineRule="auto"/>
        <w:ind w:firstLine="480" w:firstLineChars="200"/>
        <w:jc w:val="both"/>
        <w:rPr>
          <w:color w:val="auto"/>
          <w:sz w:val="24"/>
          <w:highlight w:val="none"/>
        </w:rPr>
      </w:pPr>
      <w:r>
        <w:rPr>
          <w:color w:val="auto"/>
          <w:sz w:val="24"/>
          <w:highlight w:val="none"/>
        </w:rPr>
        <w:t>甲、乙双方根据《中华人民共和国政府采购法》和《中华人民共和国民法典》的规定，按照公平、公正、平等自愿和诚实信用、协商一致的原则，甲、乙双方授权代表就所供设备的购销、安装、调试和售后服务等事宜达成如下条款。</w:t>
      </w:r>
    </w:p>
    <w:p>
      <w:pPr>
        <w:pStyle w:val="362"/>
        <w:spacing w:before="240" w:after="240" w:line="360" w:lineRule="auto"/>
        <w:ind w:left="472"/>
        <w:rPr>
          <w:b/>
          <w:color w:val="auto"/>
          <w:sz w:val="24"/>
          <w:highlight w:val="none"/>
        </w:rPr>
      </w:pPr>
      <w:r>
        <w:rPr>
          <w:b/>
          <w:color w:val="auto"/>
          <w:sz w:val="24"/>
          <w:highlight w:val="none"/>
        </w:rPr>
        <w:t>一、</w:t>
      </w:r>
      <w:r>
        <w:rPr>
          <w:rFonts w:hint="eastAsia"/>
          <w:b/>
          <w:color w:val="auto"/>
          <w:sz w:val="24"/>
          <w:highlight w:val="none"/>
        </w:rPr>
        <w:t>服务</w:t>
      </w:r>
      <w:r>
        <w:rPr>
          <w:b/>
          <w:color w:val="auto"/>
          <w:sz w:val="24"/>
          <w:highlight w:val="none"/>
        </w:rPr>
        <w:t>名称、型号、数量及价格</w:t>
      </w:r>
    </w:p>
    <w:p>
      <w:pPr>
        <w:pStyle w:val="362"/>
        <w:spacing w:before="240" w:after="240" w:line="360" w:lineRule="auto"/>
        <w:jc w:val="both"/>
        <w:rPr>
          <w:color w:val="auto"/>
          <w:sz w:val="24"/>
          <w:highlight w:val="none"/>
        </w:rPr>
      </w:pPr>
      <w:r>
        <w:rPr>
          <w:color w:val="auto"/>
          <w:sz w:val="24"/>
          <w:highlight w:val="none"/>
        </w:rPr>
        <w:t xml:space="preserve">              表1. </w:t>
      </w:r>
      <w:r>
        <w:rPr>
          <w:rFonts w:hint="eastAsia"/>
          <w:color w:val="auto"/>
          <w:sz w:val="24"/>
          <w:highlight w:val="none"/>
        </w:rPr>
        <w:t>服务</w:t>
      </w:r>
      <w:r>
        <w:rPr>
          <w:color w:val="auto"/>
          <w:sz w:val="24"/>
          <w:highlight w:val="none"/>
        </w:rPr>
        <w:t>名称</w:t>
      </w:r>
      <w:r>
        <w:rPr>
          <w:rFonts w:hint="eastAsia"/>
          <w:color w:val="auto"/>
          <w:sz w:val="24"/>
          <w:highlight w:val="none"/>
        </w:rPr>
        <w:t>、</w:t>
      </w:r>
      <w:r>
        <w:rPr>
          <w:color w:val="auto"/>
          <w:sz w:val="24"/>
          <w:highlight w:val="none"/>
        </w:rPr>
        <w:t>数量及单价（元）</w:t>
      </w:r>
    </w:p>
    <w:tbl>
      <w:tblPr>
        <w:tblStyle w:val="61"/>
        <w:tblW w:w="9356"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523"/>
        <w:gridCol w:w="1243"/>
        <w:gridCol w:w="1470"/>
        <w:gridCol w:w="718"/>
        <w:gridCol w:w="1190"/>
        <w:gridCol w:w="1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color w:val="auto"/>
                <w:sz w:val="24"/>
                <w:highlight w:val="none"/>
              </w:rPr>
            </w:pPr>
            <w:r>
              <w:rPr>
                <w:color w:val="auto"/>
                <w:sz w:val="24"/>
                <w:highlight w:val="none"/>
              </w:rPr>
              <w:t>序号</w:t>
            </w:r>
          </w:p>
        </w:tc>
        <w:tc>
          <w:tcPr>
            <w:tcW w:w="2523" w:type="dxa"/>
            <w:tcBorders>
              <w:top w:val="single" w:color="auto" w:sz="4" w:space="0"/>
              <w:left w:val="nil"/>
              <w:bottom w:val="single" w:color="auto" w:sz="4" w:space="0"/>
              <w:right w:val="single" w:color="auto" w:sz="4" w:space="0"/>
            </w:tcBorders>
            <w:vAlign w:val="center"/>
          </w:tcPr>
          <w:p>
            <w:pPr>
              <w:jc w:val="center"/>
              <w:rPr>
                <w:color w:val="auto"/>
                <w:sz w:val="24"/>
                <w:highlight w:val="none"/>
              </w:rPr>
            </w:pPr>
            <w:r>
              <w:rPr>
                <w:rFonts w:hint="eastAsia"/>
                <w:color w:val="auto"/>
                <w:sz w:val="24"/>
                <w:highlight w:val="none"/>
              </w:rPr>
              <w:t>服务</w:t>
            </w:r>
            <w:r>
              <w:rPr>
                <w:color w:val="auto"/>
                <w:sz w:val="24"/>
                <w:highlight w:val="none"/>
              </w:rPr>
              <w:t>名称及费用名称</w:t>
            </w:r>
          </w:p>
        </w:tc>
        <w:tc>
          <w:tcPr>
            <w:tcW w:w="1243" w:type="dxa"/>
            <w:tcBorders>
              <w:top w:val="single" w:color="auto" w:sz="4" w:space="0"/>
              <w:left w:val="nil"/>
              <w:bottom w:val="single" w:color="auto" w:sz="4" w:space="0"/>
              <w:right w:val="single" w:color="auto" w:sz="4" w:space="0"/>
            </w:tcBorders>
            <w:vAlign w:val="center"/>
          </w:tcPr>
          <w:p>
            <w:pPr>
              <w:jc w:val="center"/>
              <w:rPr>
                <w:color w:val="auto"/>
                <w:sz w:val="24"/>
                <w:highlight w:val="none"/>
              </w:rPr>
            </w:pPr>
            <w:r>
              <w:rPr>
                <w:color w:val="auto"/>
                <w:sz w:val="24"/>
                <w:highlight w:val="none"/>
              </w:rPr>
              <w:t>品牌/规格型号</w:t>
            </w:r>
            <w:r>
              <w:rPr>
                <w:rFonts w:hint="eastAsia"/>
                <w:color w:val="auto"/>
                <w:sz w:val="24"/>
                <w:highlight w:val="none"/>
              </w:rPr>
              <w:t>/产地</w:t>
            </w:r>
          </w:p>
        </w:tc>
        <w:tc>
          <w:tcPr>
            <w:tcW w:w="1470" w:type="dxa"/>
            <w:tcBorders>
              <w:top w:val="single" w:color="auto" w:sz="4" w:space="0"/>
              <w:left w:val="nil"/>
              <w:bottom w:val="single" w:color="auto" w:sz="4" w:space="0"/>
              <w:right w:val="single" w:color="auto" w:sz="4" w:space="0"/>
            </w:tcBorders>
            <w:vAlign w:val="center"/>
          </w:tcPr>
          <w:p>
            <w:pPr>
              <w:jc w:val="center"/>
              <w:rPr>
                <w:color w:val="auto"/>
                <w:sz w:val="24"/>
                <w:highlight w:val="none"/>
              </w:rPr>
            </w:pPr>
            <w:r>
              <w:rPr>
                <w:rFonts w:hint="eastAsia"/>
                <w:color w:val="auto"/>
                <w:sz w:val="24"/>
                <w:highlight w:val="none"/>
              </w:rPr>
              <w:t>服务</w:t>
            </w:r>
            <w:r>
              <w:rPr>
                <w:color w:val="auto"/>
                <w:sz w:val="24"/>
                <w:highlight w:val="none"/>
              </w:rPr>
              <w:t>商</w:t>
            </w:r>
          </w:p>
        </w:tc>
        <w:tc>
          <w:tcPr>
            <w:tcW w:w="718" w:type="dxa"/>
            <w:tcBorders>
              <w:top w:val="single" w:color="auto" w:sz="4" w:space="0"/>
              <w:left w:val="nil"/>
              <w:bottom w:val="single" w:color="auto" w:sz="4" w:space="0"/>
              <w:right w:val="single" w:color="auto" w:sz="4" w:space="0"/>
            </w:tcBorders>
            <w:vAlign w:val="center"/>
          </w:tcPr>
          <w:p>
            <w:pPr>
              <w:jc w:val="center"/>
              <w:rPr>
                <w:color w:val="auto"/>
                <w:sz w:val="24"/>
                <w:highlight w:val="none"/>
              </w:rPr>
            </w:pPr>
            <w:r>
              <w:rPr>
                <w:color w:val="auto"/>
                <w:sz w:val="24"/>
                <w:highlight w:val="none"/>
              </w:rPr>
              <w:t>数量</w:t>
            </w:r>
          </w:p>
        </w:tc>
        <w:tc>
          <w:tcPr>
            <w:tcW w:w="1190" w:type="dxa"/>
            <w:tcBorders>
              <w:top w:val="single" w:color="auto" w:sz="4" w:space="0"/>
              <w:left w:val="nil"/>
              <w:bottom w:val="single" w:color="auto" w:sz="4" w:space="0"/>
              <w:right w:val="single" w:color="auto" w:sz="4" w:space="0"/>
            </w:tcBorders>
            <w:vAlign w:val="center"/>
          </w:tcPr>
          <w:p>
            <w:pPr>
              <w:jc w:val="center"/>
              <w:rPr>
                <w:color w:val="auto"/>
                <w:sz w:val="24"/>
                <w:highlight w:val="none"/>
              </w:rPr>
            </w:pPr>
            <w:r>
              <w:rPr>
                <w:color w:val="auto"/>
                <w:sz w:val="24"/>
                <w:highlight w:val="none"/>
              </w:rPr>
              <w:t>综合单价</w:t>
            </w:r>
          </w:p>
        </w:tc>
        <w:tc>
          <w:tcPr>
            <w:tcW w:w="1361" w:type="dxa"/>
            <w:tcBorders>
              <w:top w:val="single" w:color="auto" w:sz="4" w:space="0"/>
              <w:left w:val="nil"/>
              <w:bottom w:val="single" w:color="auto" w:sz="4" w:space="0"/>
              <w:right w:val="single" w:color="auto" w:sz="4" w:space="0"/>
            </w:tcBorders>
            <w:vAlign w:val="center"/>
          </w:tcPr>
          <w:p>
            <w:pPr>
              <w:jc w:val="center"/>
              <w:rPr>
                <w:color w:val="auto"/>
                <w:sz w:val="24"/>
                <w:highlight w:val="none"/>
              </w:rPr>
            </w:pPr>
            <w:r>
              <w:rPr>
                <w:color w:val="auto"/>
                <w:sz w:val="24"/>
                <w:highlight w:val="none"/>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color w:val="auto"/>
                <w:sz w:val="24"/>
                <w:highlight w:val="none"/>
              </w:rPr>
            </w:pPr>
          </w:p>
        </w:tc>
        <w:tc>
          <w:tcPr>
            <w:tcW w:w="2523" w:type="dxa"/>
            <w:tcBorders>
              <w:top w:val="single" w:color="auto" w:sz="4" w:space="0"/>
              <w:left w:val="nil"/>
              <w:bottom w:val="single" w:color="auto" w:sz="4" w:space="0"/>
              <w:right w:val="single" w:color="auto" w:sz="4" w:space="0"/>
            </w:tcBorders>
            <w:vAlign w:val="center"/>
          </w:tcPr>
          <w:p>
            <w:pPr>
              <w:jc w:val="center"/>
              <w:rPr>
                <w:color w:val="auto"/>
                <w:sz w:val="24"/>
                <w:highlight w:val="none"/>
              </w:rPr>
            </w:pPr>
          </w:p>
        </w:tc>
        <w:tc>
          <w:tcPr>
            <w:tcW w:w="1243" w:type="dxa"/>
            <w:tcBorders>
              <w:top w:val="single" w:color="auto" w:sz="4" w:space="0"/>
              <w:left w:val="nil"/>
              <w:bottom w:val="single" w:color="auto" w:sz="4" w:space="0"/>
              <w:right w:val="single" w:color="auto" w:sz="4" w:space="0"/>
            </w:tcBorders>
            <w:vAlign w:val="center"/>
          </w:tcPr>
          <w:p>
            <w:pPr>
              <w:jc w:val="center"/>
              <w:rPr>
                <w:color w:val="auto"/>
                <w:sz w:val="24"/>
                <w:highlight w:val="none"/>
              </w:rPr>
            </w:pPr>
          </w:p>
        </w:tc>
        <w:tc>
          <w:tcPr>
            <w:tcW w:w="1470" w:type="dxa"/>
            <w:tcBorders>
              <w:top w:val="single" w:color="auto" w:sz="4" w:space="0"/>
              <w:left w:val="nil"/>
              <w:bottom w:val="single" w:color="auto" w:sz="4" w:space="0"/>
              <w:right w:val="single" w:color="auto" w:sz="4" w:space="0"/>
            </w:tcBorders>
            <w:vAlign w:val="center"/>
          </w:tcPr>
          <w:p>
            <w:pPr>
              <w:jc w:val="center"/>
              <w:rPr>
                <w:color w:val="auto"/>
                <w:sz w:val="24"/>
                <w:highlight w:val="none"/>
              </w:rPr>
            </w:pPr>
          </w:p>
        </w:tc>
        <w:tc>
          <w:tcPr>
            <w:tcW w:w="718" w:type="dxa"/>
            <w:tcBorders>
              <w:top w:val="single" w:color="auto" w:sz="4" w:space="0"/>
              <w:left w:val="nil"/>
              <w:bottom w:val="single" w:color="auto" w:sz="4" w:space="0"/>
              <w:right w:val="single" w:color="auto" w:sz="4" w:space="0"/>
            </w:tcBorders>
            <w:vAlign w:val="center"/>
          </w:tcPr>
          <w:p>
            <w:pPr>
              <w:jc w:val="center"/>
              <w:rPr>
                <w:color w:val="auto"/>
                <w:sz w:val="24"/>
                <w:highlight w:val="none"/>
              </w:rPr>
            </w:pPr>
          </w:p>
        </w:tc>
        <w:tc>
          <w:tcPr>
            <w:tcW w:w="1190" w:type="dxa"/>
            <w:tcBorders>
              <w:top w:val="single" w:color="auto" w:sz="4" w:space="0"/>
              <w:left w:val="nil"/>
              <w:bottom w:val="single" w:color="auto" w:sz="4" w:space="0"/>
              <w:right w:val="single" w:color="auto" w:sz="4" w:space="0"/>
            </w:tcBorders>
            <w:vAlign w:val="center"/>
          </w:tcPr>
          <w:p>
            <w:pPr>
              <w:jc w:val="center"/>
              <w:rPr>
                <w:color w:val="auto"/>
                <w:sz w:val="24"/>
                <w:highlight w:val="none"/>
              </w:rPr>
            </w:pPr>
          </w:p>
        </w:tc>
        <w:tc>
          <w:tcPr>
            <w:tcW w:w="1361" w:type="dxa"/>
            <w:tcBorders>
              <w:top w:val="single" w:color="auto" w:sz="4" w:space="0"/>
              <w:left w:val="nil"/>
              <w:bottom w:val="single" w:color="auto" w:sz="4" w:space="0"/>
              <w:right w:val="single" w:color="auto" w:sz="4" w:space="0"/>
            </w:tcBorders>
            <w:vAlign w:val="center"/>
          </w:tcPr>
          <w:p>
            <w:pPr>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color w:val="auto"/>
                <w:sz w:val="24"/>
                <w:highlight w:val="none"/>
              </w:rPr>
            </w:pPr>
          </w:p>
        </w:tc>
        <w:tc>
          <w:tcPr>
            <w:tcW w:w="2523" w:type="dxa"/>
            <w:tcBorders>
              <w:top w:val="single" w:color="auto" w:sz="4" w:space="0"/>
              <w:left w:val="nil"/>
              <w:bottom w:val="single" w:color="auto" w:sz="4" w:space="0"/>
              <w:right w:val="single" w:color="auto" w:sz="4" w:space="0"/>
            </w:tcBorders>
            <w:vAlign w:val="center"/>
          </w:tcPr>
          <w:p>
            <w:pPr>
              <w:jc w:val="center"/>
              <w:rPr>
                <w:color w:val="auto"/>
                <w:sz w:val="24"/>
                <w:highlight w:val="none"/>
              </w:rPr>
            </w:pPr>
          </w:p>
        </w:tc>
        <w:tc>
          <w:tcPr>
            <w:tcW w:w="1243" w:type="dxa"/>
            <w:tcBorders>
              <w:top w:val="single" w:color="auto" w:sz="4" w:space="0"/>
              <w:left w:val="nil"/>
              <w:bottom w:val="single" w:color="auto" w:sz="4" w:space="0"/>
              <w:right w:val="single" w:color="auto" w:sz="4" w:space="0"/>
            </w:tcBorders>
            <w:vAlign w:val="center"/>
          </w:tcPr>
          <w:p>
            <w:pPr>
              <w:jc w:val="center"/>
              <w:rPr>
                <w:color w:val="auto"/>
                <w:sz w:val="24"/>
                <w:highlight w:val="none"/>
              </w:rPr>
            </w:pPr>
          </w:p>
        </w:tc>
        <w:tc>
          <w:tcPr>
            <w:tcW w:w="1470" w:type="dxa"/>
            <w:tcBorders>
              <w:top w:val="single" w:color="auto" w:sz="4" w:space="0"/>
              <w:left w:val="nil"/>
              <w:bottom w:val="single" w:color="auto" w:sz="4" w:space="0"/>
              <w:right w:val="single" w:color="auto" w:sz="4" w:space="0"/>
            </w:tcBorders>
            <w:vAlign w:val="center"/>
          </w:tcPr>
          <w:p>
            <w:pPr>
              <w:jc w:val="center"/>
              <w:rPr>
                <w:color w:val="auto"/>
                <w:sz w:val="24"/>
                <w:highlight w:val="none"/>
              </w:rPr>
            </w:pPr>
          </w:p>
        </w:tc>
        <w:tc>
          <w:tcPr>
            <w:tcW w:w="718" w:type="dxa"/>
            <w:tcBorders>
              <w:top w:val="single" w:color="auto" w:sz="4" w:space="0"/>
              <w:left w:val="nil"/>
              <w:bottom w:val="single" w:color="auto" w:sz="4" w:space="0"/>
              <w:right w:val="single" w:color="auto" w:sz="4" w:space="0"/>
            </w:tcBorders>
            <w:vAlign w:val="center"/>
          </w:tcPr>
          <w:p>
            <w:pPr>
              <w:jc w:val="center"/>
              <w:rPr>
                <w:color w:val="auto"/>
                <w:sz w:val="24"/>
                <w:highlight w:val="none"/>
              </w:rPr>
            </w:pPr>
          </w:p>
        </w:tc>
        <w:tc>
          <w:tcPr>
            <w:tcW w:w="1190" w:type="dxa"/>
            <w:tcBorders>
              <w:top w:val="single" w:color="auto" w:sz="4" w:space="0"/>
              <w:left w:val="nil"/>
              <w:bottom w:val="single" w:color="auto" w:sz="4" w:space="0"/>
              <w:right w:val="single" w:color="auto" w:sz="4" w:space="0"/>
            </w:tcBorders>
            <w:vAlign w:val="center"/>
          </w:tcPr>
          <w:p>
            <w:pPr>
              <w:jc w:val="center"/>
              <w:rPr>
                <w:color w:val="auto"/>
                <w:sz w:val="24"/>
                <w:highlight w:val="none"/>
              </w:rPr>
            </w:pPr>
          </w:p>
        </w:tc>
        <w:tc>
          <w:tcPr>
            <w:tcW w:w="1361" w:type="dxa"/>
            <w:tcBorders>
              <w:top w:val="single" w:color="auto" w:sz="4" w:space="0"/>
              <w:left w:val="nil"/>
              <w:bottom w:val="single" w:color="auto" w:sz="4" w:space="0"/>
              <w:right w:val="single" w:color="auto" w:sz="4" w:space="0"/>
            </w:tcBorders>
            <w:vAlign w:val="center"/>
          </w:tcPr>
          <w:p>
            <w:pPr>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color w:val="auto"/>
                <w:sz w:val="24"/>
                <w:highlight w:val="none"/>
              </w:rPr>
            </w:pPr>
          </w:p>
        </w:tc>
        <w:tc>
          <w:tcPr>
            <w:tcW w:w="2523" w:type="dxa"/>
            <w:tcBorders>
              <w:top w:val="single" w:color="auto" w:sz="4" w:space="0"/>
              <w:left w:val="nil"/>
              <w:bottom w:val="single" w:color="auto" w:sz="4" w:space="0"/>
              <w:right w:val="single" w:color="auto" w:sz="4" w:space="0"/>
            </w:tcBorders>
            <w:vAlign w:val="center"/>
          </w:tcPr>
          <w:p>
            <w:pPr>
              <w:jc w:val="center"/>
              <w:rPr>
                <w:color w:val="auto"/>
                <w:sz w:val="24"/>
                <w:highlight w:val="none"/>
              </w:rPr>
            </w:pPr>
          </w:p>
        </w:tc>
        <w:tc>
          <w:tcPr>
            <w:tcW w:w="1243" w:type="dxa"/>
            <w:tcBorders>
              <w:top w:val="single" w:color="auto" w:sz="4" w:space="0"/>
              <w:left w:val="nil"/>
              <w:bottom w:val="single" w:color="auto" w:sz="4" w:space="0"/>
              <w:right w:val="single" w:color="auto" w:sz="4" w:space="0"/>
            </w:tcBorders>
            <w:vAlign w:val="center"/>
          </w:tcPr>
          <w:p>
            <w:pPr>
              <w:jc w:val="center"/>
              <w:rPr>
                <w:color w:val="auto"/>
                <w:sz w:val="24"/>
                <w:highlight w:val="none"/>
              </w:rPr>
            </w:pPr>
          </w:p>
        </w:tc>
        <w:tc>
          <w:tcPr>
            <w:tcW w:w="1470" w:type="dxa"/>
            <w:tcBorders>
              <w:top w:val="single" w:color="auto" w:sz="4" w:space="0"/>
              <w:left w:val="nil"/>
              <w:bottom w:val="single" w:color="auto" w:sz="4" w:space="0"/>
              <w:right w:val="single" w:color="auto" w:sz="4" w:space="0"/>
            </w:tcBorders>
            <w:vAlign w:val="center"/>
          </w:tcPr>
          <w:p>
            <w:pPr>
              <w:jc w:val="center"/>
              <w:rPr>
                <w:color w:val="auto"/>
                <w:sz w:val="24"/>
                <w:highlight w:val="none"/>
              </w:rPr>
            </w:pPr>
          </w:p>
        </w:tc>
        <w:tc>
          <w:tcPr>
            <w:tcW w:w="718" w:type="dxa"/>
            <w:tcBorders>
              <w:top w:val="single" w:color="auto" w:sz="4" w:space="0"/>
              <w:left w:val="nil"/>
              <w:bottom w:val="single" w:color="auto" w:sz="4" w:space="0"/>
              <w:right w:val="single" w:color="auto" w:sz="4" w:space="0"/>
            </w:tcBorders>
            <w:vAlign w:val="center"/>
          </w:tcPr>
          <w:p>
            <w:pPr>
              <w:jc w:val="center"/>
              <w:rPr>
                <w:color w:val="auto"/>
                <w:sz w:val="24"/>
                <w:highlight w:val="none"/>
              </w:rPr>
            </w:pPr>
          </w:p>
        </w:tc>
        <w:tc>
          <w:tcPr>
            <w:tcW w:w="1190" w:type="dxa"/>
            <w:tcBorders>
              <w:top w:val="single" w:color="auto" w:sz="4" w:space="0"/>
              <w:left w:val="nil"/>
              <w:bottom w:val="single" w:color="auto" w:sz="4" w:space="0"/>
              <w:right w:val="single" w:color="auto" w:sz="4" w:space="0"/>
            </w:tcBorders>
            <w:vAlign w:val="center"/>
          </w:tcPr>
          <w:p>
            <w:pPr>
              <w:jc w:val="center"/>
              <w:rPr>
                <w:color w:val="auto"/>
                <w:sz w:val="24"/>
                <w:highlight w:val="none"/>
              </w:rPr>
            </w:pPr>
          </w:p>
        </w:tc>
        <w:tc>
          <w:tcPr>
            <w:tcW w:w="1361" w:type="dxa"/>
            <w:tcBorders>
              <w:top w:val="single" w:color="auto" w:sz="4" w:space="0"/>
              <w:left w:val="nil"/>
              <w:bottom w:val="single" w:color="auto" w:sz="4" w:space="0"/>
              <w:right w:val="single" w:color="auto" w:sz="4" w:space="0"/>
            </w:tcBorders>
            <w:vAlign w:val="center"/>
          </w:tcPr>
          <w:p>
            <w:pPr>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color w:val="auto"/>
                <w:sz w:val="24"/>
                <w:highlight w:val="none"/>
              </w:rPr>
            </w:pPr>
          </w:p>
        </w:tc>
        <w:tc>
          <w:tcPr>
            <w:tcW w:w="2523" w:type="dxa"/>
            <w:tcBorders>
              <w:top w:val="single" w:color="auto" w:sz="4" w:space="0"/>
              <w:left w:val="nil"/>
              <w:bottom w:val="single" w:color="auto" w:sz="4" w:space="0"/>
              <w:right w:val="single" w:color="auto" w:sz="4" w:space="0"/>
            </w:tcBorders>
            <w:vAlign w:val="center"/>
          </w:tcPr>
          <w:p>
            <w:pPr>
              <w:widowControl/>
              <w:jc w:val="left"/>
              <w:rPr>
                <w:color w:val="auto"/>
                <w:sz w:val="24"/>
                <w:highlight w:val="none"/>
              </w:rPr>
            </w:pPr>
          </w:p>
        </w:tc>
        <w:tc>
          <w:tcPr>
            <w:tcW w:w="1243" w:type="dxa"/>
            <w:tcBorders>
              <w:top w:val="single" w:color="auto" w:sz="4" w:space="0"/>
              <w:left w:val="nil"/>
              <w:bottom w:val="single" w:color="auto" w:sz="4" w:space="0"/>
              <w:right w:val="single" w:color="auto" w:sz="4" w:space="0"/>
            </w:tcBorders>
            <w:vAlign w:val="center"/>
          </w:tcPr>
          <w:p>
            <w:pPr>
              <w:rPr>
                <w:color w:val="auto"/>
                <w:sz w:val="24"/>
                <w:highlight w:val="none"/>
              </w:rPr>
            </w:pPr>
          </w:p>
        </w:tc>
        <w:tc>
          <w:tcPr>
            <w:tcW w:w="1470" w:type="dxa"/>
            <w:tcBorders>
              <w:top w:val="single" w:color="auto" w:sz="4" w:space="0"/>
              <w:left w:val="nil"/>
              <w:bottom w:val="single" w:color="auto" w:sz="4" w:space="0"/>
              <w:right w:val="single" w:color="auto" w:sz="4" w:space="0"/>
            </w:tcBorders>
            <w:vAlign w:val="center"/>
          </w:tcPr>
          <w:p>
            <w:pPr>
              <w:jc w:val="center"/>
              <w:rPr>
                <w:color w:val="auto"/>
                <w:sz w:val="24"/>
                <w:highlight w:val="none"/>
              </w:rPr>
            </w:pPr>
          </w:p>
        </w:tc>
        <w:tc>
          <w:tcPr>
            <w:tcW w:w="718" w:type="dxa"/>
            <w:tcBorders>
              <w:top w:val="single" w:color="auto" w:sz="4" w:space="0"/>
              <w:left w:val="nil"/>
              <w:bottom w:val="single" w:color="auto" w:sz="4" w:space="0"/>
              <w:right w:val="single" w:color="auto" w:sz="4" w:space="0"/>
            </w:tcBorders>
            <w:vAlign w:val="center"/>
          </w:tcPr>
          <w:p>
            <w:pPr>
              <w:jc w:val="center"/>
              <w:rPr>
                <w:color w:val="auto"/>
                <w:sz w:val="24"/>
                <w:highlight w:val="none"/>
              </w:rPr>
            </w:pPr>
          </w:p>
        </w:tc>
        <w:tc>
          <w:tcPr>
            <w:tcW w:w="1190" w:type="dxa"/>
            <w:tcBorders>
              <w:top w:val="single" w:color="auto" w:sz="4" w:space="0"/>
              <w:left w:val="nil"/>
              <w:bottom w:val="single" w:color="auto" w:sz="4" w:space="0"/>
              <w:right w:val="single" w:color="auto" w:sz="4" w:space="0"/>
            </w:tcBorders>
            <w:vAlign w:val="center"/>
          </w:tcPr>
          <w:p>
            <w:pPr>
              <w:jc w:val="center"/>
              <w:rPr>
                <w:color w:val="auto"/>
                <w:sz w:val="24"/>
                <w:highlight w:val="none"/>
              </w:rPr>
            </w:pPr>
          </w:p>
        </w:tc>
        <w:tc>
          <w:tcPr>
            <w:tcW w:w="1361" w:type="dxa"/>
            <w:tcBorders>
              <w:top w:val="single" w:color="auto" w:sz="4" w:space="0"/>
              <w:left w:val="nil"/>
              <w:bottom w:val="single" w:color="auto" w:sz="4" w:space="0"/>
              <w:right w:val="single" w:color="auto" w:sz="4" w:space="0"/>
            </w:tcBorders>
            <w:vAlign w:val="center"/>
          </w:tcPr>
          <w:p>
            <w:pPr>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color w:val="auto"/>
                <w:sz w:val="24"/>
                <w:highlight w:val="none"/>
              </w:rPr>
            </w:pPr>
          </w:p>
        </w:tc>
        <w:tc>
          <w:tcPr>
            <w:tcW w:w="2523" w:type="dxa"/>
            <w:tcBorders>
              <w:top w:val="single" w:color="auto" w:sz="4" w:space="0"/>
              <w:left w:val="nil"/>
              <w:bottom w:val="single" w:color="auto" w:sz="4" w:space="0"/>
              <w:right w:val="single" w:color="auto" w:sz="4" w:space="0"/>
            </w:tcBorders>
            <w:vAlign w:val="center"/>
          </w:tcPr>
          <w:p>
            <w:pPr>
              <w:adjustRightInd w:val="0"/>
              <w:snapToGrid w:val="0"/>
              <w:rPr>
                <w:color w:val="auto"/>
                <w:sz w:val="24"/>
                <w:highlight w:val="none"/>
              </w:rPr>
            </w:pPr>
          </w:p>
        </w:tc>
        <w:tc>
          <w:tcPr>
            <w:tcW w:w="1243" w:type="dxa"/>
            <w:tcBorders>
              <w:top w:val="single" w:color="auto" w:sz="4" w:space="0"/>
              <w:left w:val="nil"/>
              <w:bottom w:val="single" w:color="auto" w:sz="4" w:space="0"/>
              <w:right w:val="single" w:color="auto" w:sz="4" w:space="0"/>
            </w:tcBorders>
            <w:vAlign w:val="center"/>
          </w:tcPr>
          <w:p>
            <w:pPr>
              <w:jc w:val="center"/>
              <w:rPr>
                <w:color w:val="auto"/>
                <w:sz w:val="24"/>
                <w:highlight w:val="none"/>
              </w:rPr>
            </w:pPr>
          </w:p>
        </w:tc>
        <w:tc>
          <w:tcPr>
            <w:tcW w:w="1470" w:type="dxa"/>
            <w:tcBorders>
              <w:top w:val="single" w:color="auto" w:sz="4" w:space="0"/>
              <w:left w:val="nil"/>
              <w:bottom w:val="single" w:color="auto" w:sz="4" w:space="0"/>
              <w:right w:val="single" w:color="auto" w:sz="4" w:space="0"/>
            </w:tcBorders>
            <w:vAlign w:val="center"/>
          </w:tcPr>
          <w:p>
            <w:pPr>
              <w:jc w:val="center"/>
              <w:rPr>
                <w:color w:val="auto"/>
                <w:sz w:val="24"/>
                <w:highlight w:val="none"/>
              </w:rPr>
            </w:pPr>
          </w:p>
        </w:tc>
        <w:tc>
          <w:tcPr>
            <w:tcW w:w="718" w:type="dxa"/>
            <w:tcBorders>
              <w:top w:val="single" w:color="auto" w:sz="4" w:space="0"/>
              <w:left w:val="nil"/>
              <w:bottom w:val="single" w:color="auto" w:sz="4" w:space="0"/>
              <w:right w:val="single" w:color="auto" w:sz="4" w:space="0"/>
            </w:tcBorders>
            <w:vAlign w:val="center"/>
          </w:tcPr>
          <w:p>
            <w:pPr>
              <w:jc w:val="center"/>
              <w:rPr>
                <w:color w:val="auto"/>
                <w:sz w:val="24"/>
                <w:highlight w:val="none"/>
              </w:rPr>
            </w:pPr>
          </w:p>
        </w:tc>
        <w:tc>
          <w:tcPr>
            <w:tcW w:w="1190" w:type="dxa"/>
            <w:tcBorders>
              <w:top w:val="single" w:color="auto" w:sz="4" w:space="0"/>
              <w:left w:val="nil"/>
              <w:bottom w:val="single" w:color="auto" w:sz="4" w:space="0"/>
              <w:right w:val="single" w:color="auto" w:sz="4" w:space="0"/>
            </w:tcBorders>
            <w:vAlign w:val="center"/>
          </w:tcPr>
          <w:p>
            <w:pPr>
              <w:jc w:val="center"/>
              <w:rPr>
                <w:color w:val="auto"/>
                <w:sz w:val="24"/>
                <w:highlight w:val="none"/>
              </w:rPr>
            </w:pPr>
          </w:p>
        </w:tc>
        <w:tc>
          <w:tcPr>
            <w:tcW w:w="1361" w:type="dxa"/>
            <w:tcBorders>
              <w:top w:val="single" w:color="auto" w:sz="4" w:space="0"/>
              <w:left w:val="nil"/>
              <w:bottom w:val="single" w:color="auto" w:sz="4" w:space="0"/>
              <w:right w:val="single" w:color="auto" w:sz="4" w:space="0"/>
            </w:tcBorders>
            <w:vAlign w:val="center"/>
          </w:tcPr>
          <w:p>
            <w:pPr>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color w:val="auto"/>
                <w:sz w:val="24"/>
                <w:highlight w:val="none"/>
              </w:rPr>
            </w:pPr>
          </w:p>
        </w:tc>
        <w:tc>
          <w:tcPr>
            <w:tcW w:w="2523" w:type="dxa"/>
            <w:tcBorders>
              <w:top w:val="single" w:color="auto" w:sz="4" w:space="0"/>
              <w:left w:val="nil"/>
              <w:bottom w:val="single" w:color="auto" w:sz="4" w:space="0"/>
              <w:right w:val="single" w:color="auto" w:sz="4" w:space="0"/>
            </w:tcBorders>
            <w:vAlign w:val="center"/>
          </w:tcPr>
          <w:p>
            <w:pPr>
              <w:widowControl/>
              <w:jc w:val="center"/>
              <w:rPr>
                <w:color w:val="auto"/>
                <w:sz w:val="24"/>
                <w:highlight w:val="none"/>
              </w:rPr>
            </w:pPr>
            <w:r>
              <w:rPr>
                <w:color w:val="auto"/>
                <w:sz w:val="24"/>
                <w:highlight w:val="none"/>
              </w:rPr>
              <w:t>税费</w:t>
            </w:r>
          </w:p>
        </w:tc>
        <w:tc>
          <w:tcPr>
            <w:tcW w:w="1243" w:type="dxa"/>
            <w:tcBorders>
              <w:top w:val="single" w:color="auto" w:sz="4" w:space="0"/>
              <w:left w:val="nil"/>
              <w:bottom w:val="single" w:color="auto" w:sz="4" w:space="0"/>
              <w:right w:val="single" w:color="auto" w:sz="4" w:space="0"/>
            </w:tcBorders>
            <w:vAlign w:val="center"/>
          </w:tcPr>
          <w:p>
            <w:pPr>
              <w:jc w:val="center"/>
              <w:rPr>
                <w:color w:val="auto"/>
                <w:sz w:val="24"/>
                <w:highlight w:val="none"/>
              </w:rPr>
            </w:pPr>
            <w:r>
              <w:rPr>
                <w:color w:val="auto"/>
                <w:szCs w:val="21"/>
                <w:highlight w:val="none"/>
              </w:rPr>
              <w:t>/</w:t>
            </w:r>
          </w:p>
        </w:tc>
        <w:tc>
          <w:tcPr>
            <w:tcW w:w="1470" w:type="dxa"/>
            <w:tcBorders>
              <w:top w:val="single" w:color="auto" w:sz="4" w:space="0"/>
              <w:left w:val="nil"/>
              <w:bottom w:val="single" w:color="auto" w:sz="4" w:space="0"/>
              <w:right w:val="single" w:color="auto" w:sz="4" w:space="0"/>
            </w:tcBorders>
            <w:vAlign w:val="center"/>
          </w:tcPr>
          <w:p>
            <w:pPr>
              <w:jc w:val="center"/>
              <w:rPr>
                <w:color w:val="auto"/>
                <w:sz w:val="24"/>
                <w:highlight w:val="none"/>
              </w:rPr>
            </w:pPr>
            <w:r>
              <w:rPr>
                <w:color w:val="auto"/>
                <w:szCs w:val="21"/>
                <w:highlight w:val="none"/>
              </w:rPr>
              <w:t>/</w:t>
            </w:r>
          </w:p>
        </w:tc>
        <w:tc>
          <w:tcPr>
            <w:tcW w:w="718" w:type="dxa"/>
            <w:tcBorders>
              <w:top w:val="single" w:color="auto" w:sz="4" w:space="0"/>
              <w:left w:val="nil"/>
              <w:bottom w:val="single" w:color="auto" w:sz="4" w:space="0"/>
              <w:right w:val="single" w:color="auto" w:sz="4" w:space="0"/>
            </w:tcBorders>
            <w:vAlign w:val="center"/>
          </w:tcPr>
          <w:p>
            <w:pPr>
              <w:jc w:val="center"/>
              <w:rPr>
                <w:color w:val="auto"/>
                <w:sz w:val="24"/>
                <w:highlight w:val="none"/>
              </w:rPr>
            </w:pPr>
            <w:r>
              <w:rPr>
                <w:color w:val="auto"/>
                <w:szCs w:val="21"/>
                <w:highlight w:val="none"/>
              </w:rPr>
              <w:t>/</w:t>
            </w:r>
          </w:p>
        </w:tc>
        <w:tc>
          <w:tcPr>
            <w:tcW w:w="1190" w:type="dxa"/>
            <w:tcBorders>
              <w:top w:val="single" w:color="auto" w:sz="4" w:space="0"/>
              <w:left w:val="nil"/>
              <w:bottom w:val="single" w:color="auto" w:sz="4" w:space="0"/>
              <w:right w:val="single" w:color="auto" w:sz="4" w:space="0"/>
            </w:tcBorders>
            <w:vAlign w:val="center"/>
          </w:tcPr>
          <w:p>
            <w:pPr>
              <w:jc w:val="center"/>
              <w:rPr>
                <w:color w:val="auto"/>
                <w:sz w:val="24"/>
                <w:highlight w:val="none"/>
              </w:rPr>
            </w:pPr>
            <w:r>
              <w:rPr>
                <w:color w:val="auto"/>
                <w:szCs w:val="21"/>
                <w:highlight w:val="none"/>
              </w:rPr>
              <w:t>已含</w:t>
            </w:r>
          </w:p>
        </w:tc>
        <w:tc>
          <w:tcPr>
            <w:tcW w:w="1361" w:type="dxa"/>
            <w:tcBorders>
              <w:top w:val="single" w:color="auto" w:sz="4" w:space="0"/>
              <w:left w:val="nil"/>
              <w:bottom w:val="single" w:color="auto" w:sz="4" w:space="0"/>
              <w:right w:val="single" w:color="auto" w:sz="4" w:space="0"/>
            </w:tcBorders>
            <w:vAlign w:val="center"/>
          </w:tcPr>
          <w:p>
            <w:pPr>
              <w:jc w:val="center"/>
              <w:rPr>
                <w:color w:val="auto"/>
                <w:sz w:val="24"/>
                <w:highlight w:val="none"/>
              </w:rPr>
            </w:pPr>
            <w:r>
              <w:rPr>
                <w:color w:val="auto"/>
                <w:szCs w:val="21"/>
                <w:highlight w:val="none"/>
              </w:rPr>
              <w:t>已含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color w:val="auto"/>
                <w:sz w:val="24"/>
                <w:highlight w:val="none"/>
              </w:rPr>
            </w:pPr>
          </w:p>
        </w:tc>
        <w:tc>
          <w:tcPr>
            <w:tcW w:w="2523" w:type="dxa"/>
            <w:tcBorders>
              <w:top w:val="single" w:color="auto" w:sz="4" w:space="0"/>
              <w:left w:val="nil"/>
              <w:bottom w:val="single" w:color="auto" w:sz="4" w:space="0"/>
              <w:right w:val="single" w:color="auto" w:sz="4" w:space="0"/>
            </w:tcBorders>
            <w:vAlign w:val="center"/>
          </w:tcPr>
          <w:p>
            <w:pPr>
              <w:widowControl/>
              <w:jc w:val="center"/>
              <w:rPr>
                <w:color w:val="auto"/>
                <w:sz w:val="24"/>
                <w:highlight w:val="none"/>
              </w:rPr>
            </w:pPr>
            <w:r>
              <w:rPr>
                <w:color w:val="auto"/>
                <w:sz w:val="24"/>
                <w:highlight w:val="none"/>
              </w:rPr>
              <w:t>其他</w:t>
            </w:r>
          </w:p>
        </w:tc>
        <w:tc>
          <w:tcPr>
            <w:tcW w:w="1243" w:type="dxa"/>
            <w:tcBorders>
              <w:top w:val="single" w:color="auto" w:sz="4" w:space="0"/>
              <w:left w:val="nil"/>
              <w:bottom w:val="single" w:color="auto" w:sz="4" w:space="0"/>
              <w:right w:val="single" w:color="auto" w:sz="4" w:space="0"/>
            </w:tcBorders>
            <w:vAlign w:val="center"/>
          </w:tcPr>
          <w:p>
            <w:pPr>
              <w:jc w:val="center"/>
              <w:rPr>
                <w:color w:val="auto"/>
                <w:sz w:val="24"/>
                <w:highlight w:val="none"/>
              </w:rPr>
            </w:pPr>
            <w:r>
              <w:rPr>
                <w:color w:val="auto"/>
                <w:szCs w:val="21"/>
                <w:highlight w:val="none"/>
              </w:rPr>
              <w:t>/</w:t>
            </w:r>
          </w:p>
        </w:tc>
        <w:tc>
          <w:tcPr>
            <w:tcW w:w="1470" w:type="dxa"/>
            <w:tcBorders>
              <w:top w:val="single" w:color="auto" w:sz="4" w:space="0"/>
              <w:left w:val="nil"/>
              <w:bottom w:val="single" w:color="auto" w:sz="4" w:space="0"/>
              <w:right w:val="single" w:color="auto" w:sz="4" w:space="0"/>
            </w:tcBorders>
            <w:vAlign w:val="center"/>
          </w:tcPr>
          <w:p>
            <w:pPr>
              <w:jc w:val="center"/>
              <w:rPr>
                <w:color w:val="auto"/>
                <w:sz w:val="24"/>
                <w:highlight w:val="none"/>
              </w:rPr>
            </w:pPr>
            <w:r>
              <w:rPr>
                <w:color w:val="auto"/>
                <w:szCs w:val="21"/>
                <w:highlight w:val="none"/>
              </w:rPr>
              <w:t>/</w:t>
            </w:r>
          </w:p>
        </w:tc>
        <w:tc>
          <w:tcPr>
            <w:tcW w:w="718" w:type="dxa"/>
            <w:tcBorders>
              <w:top w:val="single" w:color="auto" w:sz="4" w:space="0"/>
              <w:left w:val="nil"/>
              <w:bottom w:val="single" w:color="auto" w:sz="4" w:space="0"/>
              <w:right w:val="single" w:color="auto" w:sz="4" w:space="0"/>
            </w:tcBorders>
            <w:vAlign w:val="center"/>
          </w:tcPr>
          <w:p>
            <w:pPr>
              <w:jc w:val="center"/>
              <w:rPr>
                <w:color w:val="auto"/>
                <w:sz w:val="24"/>
                <w:highlight w:val="none"/>
              </w:rPr>
            </w:pPr>
            <w:r>
              <w:rPr>
                <w:color w:val="auto"/>
                <w:szCs w:val="21"/>
                <w:highlight w:val="none"/>
              </w:rPr>
              <w:t>/</w:t>
            </w:r>
          </w:p>
        </w:tc>
        <w:tc>
          <w:tcPr>
            <w:tcW w:w="1190" w:type="dxa"/>
            <w:tcBorders>
              <w:top w:val="single" w:color="auto" w:sz="4" w:space="0"/>
              <w:left w:val="nil"/>
              <w:bottom w:val="single" w:color="auto" w:sz="4" w:space="0"/>
              <w:right w:val="single" w:color="auto" w:sz="4" w:space="0"/>
            </w:tcBorders>
            <w:vAlign w:val="center"/>
          </w:tcPr>
          <w:p>
            <w:pPr>
              <w:jc w:val="center"/>
              <w:rPr>
                <w:color w:val="auto"/>
                <w:sz w:val="24"/>
                <w:highlight w:val="none"/>
              </w:rPr>
            </w:pPr>
            <w:r>
              <w:rPr>
                <w:color w:val="auto"/>
                <w:szCs w:val="21"/>
                <w:highlight w:val="none"/>
              </w:rPr>
              <w:t>已含</w:t>
            </w:r>
          </w:p>
        </w:tc>
        <w:tc>
          <w:tcPr>
            <w:tcW w:w="1361" w:type="dxa"/>
            <w:tcBorders>
              <w:top w:val="single" w:color="auto" w:sz="4" w:space="0"/>
              <w:left w:val="nil"/>
              <w:bottom w:val="single" w:color="auto" w:sz="4" w:space="0"/>
              <w:right w:val="single" w:color="auto" w:sz="4" w:space="0"/>
            </w:tcBorders>
            <w:vAlign w:val="center"/>
          </w:tcPr>
          <w:p>
            <w:pPr>
              <w:jc w:val="center"/>
              <w:rPr>
                <w:color w:val="auto"/>
                <w:sz w:val="24"/>
                <w:highlight w:val="none"/>
              </w:rPr>
            </w:pPr>
            <w:r>
              <w:rPr>
                <w:color w:val="auto"/>
                <w:szCs w:val="21"/>
                <w:highlight w:val="none"/>
              </w:rPr>
              <w:t>已含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color w:val="auto"/>
                <w:sz w:val="24"/>
                <w:highlight w:val="none"/>
              </w:rPr>
            </w:pPr>
          </w:p>
        </w:tc>
        <w:tc>
          <w:tcPr>
            <w:tcW w:w="2523" w:type="dxa"/>
            <w:tcBorders>
              <w:top w:val="single" w:color="auto" w:sz="4" w:space="0"/>
              <w:left w:val="nil"/>
              <w:bottom w:val="single" w:color="auto" w:sz="4" w:space="0"/>
              <w:right w:val="single" w:color="auto" w:sz="4" w:space="0"/>
            </w:tcBorders>
            <w:vAlign w:val="center"/>
          </w:tcPr>
          <w:p>
            <w:pPr>
              <w:widowControl/>
              <w:jc w:val="center"/>
              <w:rPr>
                <w:color w:val="auto"/>
                <w:sz w:val="24"/>
                <w:highlight w:val="none"/>
              </w:rPr>
            </w:pPr>
            <w:r>
              <w:rPr>
                <w:color w:val="auto"/>
                <w:sz w:val="24"/>
                <w:highlight w:val="none"/>
              </w:rPr>
              <w:t>投标总报价</w:t>
            </w:r>
          </w:p>
        </w:tc>
        <w:tc>
          <w:tcPr>
            <w:tcW w:w="1243" w:type="dxa"/>
            <w:tcBorders>
              <w:top w:val="single" w:color="auto" w:sz="4" w:space="0"/>
              <w:left w:val="nil"/>
              <w:bottom w:val="single" w:color="auto" w:sz="4" w:space="0"/>
              <w:right w:val="single" w:color="auto" w:sz="4" w:space="0"/>
            </w:tcBorders>
            <w:vAlign w:val="center"/>
          </w:tcPr>
          <w:p>
            <w:pPr>
              <w:jc w:val="center"/>
              <w:rPr>
                <w:color w:val="auto"/>
                <w:sz w:val="24"/>
                <w:highlight w:val="none"/>
              </w:rPr>
            </w:pPr>
          </w:p>
        </w:tc>
        <w:tc>
          <w:tcPr>
            <w:tcW w:w="1470" w:type="dxa"/>
            <w:tcBorders>
              <w:top w:val="single" w:color="auto" w:sz="4" w:space="0"/>
              <w:left w:val="nil"/>
              <w:bottom w:val="single" w:color="auto" w:sz="4" w:space="0"/>
              <w:right w:val="single" w:color="auto" w:sz="4" w:space="0"/>
            </w:tcBorders>
            <w:vAlign w:val="center"/>
          </w:tcPr>
          <w:p>
            <w:pPr>
              <w:jc w:val="center"/>
              <w:rPr>
                <w:color w:val="auto"/>
                <w:sz w:val="24"/>
                <w:highlight w:val="none"/>
              </w:rPr>
            </w:pPr>
          </w:p>
        </w:tc>
        <w:tc>
          <w:tcPr>
            <w:tcW w:w="718" w:type="dxa"/>
            <w:tcBorders>
              <w:top w:val="single" w:color="auto" w:sz="4" w:space="0"/>
              <w:left w:val="nil"/>
              <w:bottom w:val="single" w:color="auto" w:sz="4" w:space="0"/>
              <w:right w:val="single" w:color="auto" w:sz="4" w:space="0"/>
            </w:tcBorders>
            <w:vAlign w:val="center"/>
          </w:tcPr>
          <w:p>
            <w:pPr>
              <w:jc w:val="center"/>
              <w:rPr>
                <w:color w:val="auto"/>
                <w:sz w:val="24"/>
                <w:highlight w:val="none"/>
              </w:rPr>
            </w:pPr>
          </w:p>
        </w:tc>
        <w:tc>
          <w:tcPr>
            <w:tcW w:w="1190" w:type="dxa"/>
            <w:tcBorders>
              <w:top w:val="single" w:color="auto" w:sz="4" w:space="0"/>
              <w:left w:val="nil"/>
              <w:bottom w:val="single" w:color="auto" w:sz="4" w:space="0"/>
              <w:right w:val="single" w:color="auto" w:sz="4" w:space="0"/>
            </w:tcBorders>
            <w:vAlign w:val="center"/>
          </w:tcPr>
          <w:p>
            <w:pPr>
              <w:jc w:val="center"/>
              <w:rPr>
                <w:color w:val="auto"/>
                <w:sz w:val="24"/>
                <w:highlight w:val="none"/>
              </w:rPr>
            </w:pPr>
          </w:p>
        </w:tc>
        <w:tc>
          <w:tcPr>
            <w:tcW w:w="1361" w:type="dxa"/>
            <w:tcBorders>
              <w:top w:val="single" w:color="auto" w:sz="4" w:space="0"/>
              <w:left w:val="nil"/>
              <w:bottom w:val="single" w:color="auto" w:sz="4" w:space="0"/>
              <w:right w:val="single" w:color="auto" w:sz="4" w:space="0"/>
            </w:tcBorders>
            <w:vAlign w:val="center"/>
          </w:tcPr>
          <w:p>
            <w:pPr>
              <w:jc w:val="center"/>
              <w:rPr>
                <w:color w:val="auto"/>
                <w:sz w:val="24"/>
                <w:highlight w:val="none"/>
              </w:rPr>
            </w:pPr>
          </w:p>
        </w:tc>
      </w:tr>
    </w:tbl>
    <w:p>
      <w:pPr>
        <w:pStyle w:val="362"/>
        <w:spacing w:before="240" w:after="240" w:line="360" w:lineRule="auto"/>
        <w:jc w:val="both"/>
        <w:rPr>
          <w:color w:val="auto"/>
          <w:sz w:val="24"/>
          <w:highlight w:val="none"/>
        </w:rPr>
      </w:pPr>
    </w:p>
    <w:p>
      <w:pPr>
        <w:pStyle w:val="362"/>
        <w:spacing w:before="240" w:after="240" w:line="360" w:lineRule="auto"/>
        <w:rPr>
          <w:b/>
          <w:color w:val="auto"/>
          <w:sz w:val="24"/>
          <w:highlight w:val="none"/>
        </w:rPr>
      </w:pPr>
      <w:r>
        <w:rPr>
          <w:b/>
          <w:color w:val="auto"/>
          <w:sz w:val="24"/>
          <w:highlight w:val="none"/>
        </w:rPr>
        <w:t>二、报价币种、合同总价</w:t>
      </w:r>
    </w:p>
    <w:p>
      <w:pPr>
        <w:pStyle w:val="362"/>
        <w:spacing w:line="360" w:lineRule="auto"/>
        <w:ind w:firstLine="480" w:firstLineChars="200"/>
        <w:jc w:val="both"/>
        <w:rPr>
          <w:color w:val="auto"/>
          <w:sz w:val="24"/>
          <w:highlight w:val="none"/>
        </w:rPr>
      </w:pPr>
      <w:r>
        <w:rPr>
          <w:color w:val="auto"/>
          <w:sz w:val="24"/>
          <w:highlight w:val="none"/>
        </w:rPr>
        <w:t>1、本合同总金额大写:人民币</w:t>
      </w:r>
      <w:r>
        <w:rPr>
          <w:b/>
          <w:bCs/>
          <w:color w:val="auto"/>
          <w:sz w:val="24"/>
          <w:highlight w:val="none"/>
          <w:u w:val="single"/>
        </w:rPr>
        <w:t xml:space="preserve"> </w:t>
      </w:r>
      <w:r>
        <w:rPr>
          <w:rFonts w:hint="eastAsia"/>
          <w:b/>
          <w:color w:val="auto"/>
          <w:sz w:val="24"/>
          <w:highlight w:val="none"/>
          <w:u w:val="single"/>
        </w:rPr>
        <w:t xml:space="preserve">            </w:t>
      </w:r>
      <w:r>
        <w:rPr>
          <w:b/>
          <w:bCs/>
          <w:color w:val="auto"/>
          <w:sz w:val="24"/>
          <w:highlight w:val="none"/>
          <w:u w:val="single"/>
        </w:rPr>
        <w:t>元整（¥</w:t>
      </w:r>
      <w:r>
        <w:rPr>
          <w:rFonts w:hint="eastAsia"/>
          <w:b/>
          <w:color w:val="auto"/>
          <w:sz w:val="24"/>
          <w:highlight w:val="none"/>
          <w:u w:val="single"/>
        </w:rPr>
        <w:t xml:space="preserve">          </w:t>
      </w:r>
      <w:r>
        <w:rPr>
          <w:b/>
          <w:bCs/>
          <w:color w:val="auto"/>
          <w:sz w:val="24"/>
          <w:highlight w:val="none"/>
          <w:u w:val="single"/>
        </w:rPr>
        <w:t>）</w:t>
      </w:r>
      <w:r>
        <w:rPr>
          <w:color w:val="auto"/>
          <w:sz w:val="24"/>
          <w:highlight w:val="none"/>
        </w:rPr>
        <w:t>。合同总金额中包含全部货物的运输、保管、税金、保险、组装、调试、运维服务等所有的费用。</w:t>
      </w:r>
    </w:p>
    <w:p>
      <w:pPr>
        <w:pStyle w:val="362"/>
        <w:spacing w:line="360" w:lineRule="auto"/>
        <w:ind w:firstLine="480" w:firstLineChars="200"/>
        <w:jc w:val="both"/>
        <w:rPr>
          <w:b/>
          <w:color w:val="auto"/>
          <w:sz w:val="24"/>
          <w:highlight w:val="none"/>
        </w:rPr>
      </w:pPr>
      <w:r>
        <w:rPr>
          <w:color w:val="auto"/>
          <w:sz w:val="24"/>
          <w:highlight w:val="none"/>
        </w:rPr>
        <w:t>2、本合同生效后，若无型号、品种、规格、数量、颜色、交货期等事宜上的重大变更，合同总价款不再做任何调整，甲方为此项目不再向乙方支付任何其他费用。</w:t>
      </w:r>
    </w:p>
    <w:p>
      <w:pPr>
        <w:pStyle w:val="362"/>
        <w:spacing w:before="240" w:after="240" w:line="360" w:lineRule="auto"/>
        <w:rPr>
          <w:b/>
          <w:color w:val="auto"/>
          <w:sz w:val="24"/>
          <w:highlight w:val="none"/>
        </w:rPr>
      </w:pPr>
      <w:r>
        <w:rPr>
          <w:b/>
          <w:color w:val="auto"/>
          <w:sz w:val="24"/>
          <w:highlight w:val="none"/>
        </w:rPr>
        <w:t>三、付款方式</w:t>
      </w:r>
    </w:p>
    <w:p>
      <w:pPr>
        <w:pStyle w:val="27"/>
        <w:ind w:left="63" w:leftChars="30" w:firstLine="480" w:firstLineChars="200"/>
        <w:rPr>
          <w:rFonts w:hAnsi="宋体" w:cs="宋体"/>
          <w:color w:val="auto"/>
          <w:sz w:val="24"/>
          <w:highlight w:val="none"/>
        </w:rPr>
      </w:pPr>
      <w:r>
        <w:rPr>
          <w:rFonts w:hint="eastAsia" w:hAnsi="宋体" w:cs="宋体"/>
          <w:color w:val="auto"/>
          <w:sz w:val="24"/>
          <w:highlight w:val="none"/>
        </w:rPr>
        <w:t>3.1、合同签订后，在5个工作日内甲方向乙方支付合同总额的30%作为预付款，计¥</w:t>
      </w:r>
      <w:r>
        <w:rPr>
          <w:rFonts w:hint="eastAsia" w:hAnsi="宋体" w:cs="宋体"/>
          <w:color w:val="auto"/>
          <w:sz w:val="24"/>
          <w:highlight w:val="none"/>
          <w:u w:val="single"/>
        </w:rPr>
        <w:t xml:space="preserve">       </w:t>
      </w:r>
      <w:r>
        <w:rPr>
          <w:rFonts w:hint="eastAsia" w:hAnsi="宋体" w:cs="宋体"/>
          <w:color w:val="auto"/>
          <w:sz w:val="24"/>
          <w:highlight w:val="none"/>
        </w:rPr>
        <w:t>元整（大写：</w:t>
      </w:r>
      <w:r>
        <w:rPr>
          <w:rFonts w:hint="eastAsia" w:hAnsi="宋体" w:cs="宋体"/>
          <w:color w:val="auto"/>
          <w:sz w:val="24"/>
          <w:highlight w:val="none"/>
          <w:u w:val="single"/>
        </w:rPr>
        <w:t xml:space="preserve">        </w:t>
      </w:r>
      <w:r>
        <w:rPr>
          <w:rFonts w:hint="eastAsia" w:hAnsi="宋体" w:cs="宋体"/>
          <w:color w:val="auto"/>
          <w:sz w:val="24"/>
          <w:highlight w:val="none"/>
        </w:rPr>
        <w:t>元整）。</w:t>
      </w:r>
    </w:p>
    <w:p>
      <w:pPr>
        <w:pStyle w:val="27"/>
        <w:ind w:left="63" w:leftChars="30" w:firstLine="480" w:firstLineChars="200"/>
        <w:rPr>
          <w:rFonts w:hAnsi="宋体" w:cs="宋体"/>
          <w:color w:val="auto"/>
          <w:sz w:val="24"/>
          <w:highlight w:val="none"/>
        </w:rPr>
      </w:pPr>
      <w:r>
        <w:rPr>
          <w:rFonts w:hint="eastAsia" w:hAnsi="宋体" w:cs="宋体"/>
          <w:color w:val="auto"/>
          <w:sz w:val="24"/>
          <w:highlight w:val="none"/>
        </w:rPr>
        <w:t>3.2、设备安装调试完毕并经甲方终验合格后，乙方提供合同总额3%的银行保函，计¥</w:t>
      </w:r>
      <w:r>
        <w:rPr>
          <w:rFonts w:hint="eastAsia" w:hAnsi="宋体" w:cs="宋体"/>
          <w:color w:val="auto"/>
          <w:sz w:val="24"/>
          <w:highlight w:val="none"/>
          <w:u w:val="single"/>
        </w:rPr>
        <w:t xml:space="preserve">       </w:t>
      </w:r>
      <w:r>
        <w:rPr>
          <w:rFonts w:hint="eastAsia" w:hAnsi="宋体" w:cs="宋体"/>
          <w:color w:val="auto"/>
          <w:sz w:val="24"/>
          <w:highlight w:val="none"/>
        </w:rPr>
        <w:t>元整（大写：</w:t>
      </w:r>
      <w:r>
        <w:rPr>
          <w:rFonts w:hint="eastAsia" w:hAnsi="宋体" w:cs="宋体"/>
          <w:color w:val="auto"/>
          <w:sz w:val="24"/>
          <w:highlight w:val="none"/>
          <w:u w:val="single"/>
        </w:rPr>
        <w:t xml:space="preserve">        </w:t>
      </w:r>
      <w:r>
        <w:rPr>
          <w:rFonts w:hint="eastAsia" w:hAnsi="宋体" w:cs="宋体"/>
          <w:color w:val="auto"/>
          <w:sz w:val="24"/>
          <w:highlight w:val="none"/>
        </w:rPr>
        <w:t>元整）后，甲方支付合同总额的70%，计¥</w:t>
      </w:r>
      <w:r>
        <w:rPr>
          <w:rFonts w:hint="eastAsia" w:hAnsi="宋体" w:cs="宋体"/>
          <w:color w:val="auto"/>
          <w:sz w:val="24"/>
          <w:highlight w:val="none"/>
          <w:u w:val="single"/>
        </w:rPr>
        <w:t xml:space="preserve">        </w:t>
      </w:r>
      <w:r>
        <w:rPr>
          <w:rFonts w:hint="eastAsia" w:hAnsi="宋体" w:cs="宋体"/>
          <w:color w:val="auto"/>
          <w:sz w:val="24"/>
          <w:highlight w:val="none"/>
        </w:rPr>
        <w:t>元整（大写：</w:t>
      </w:r>
      <w:r>
        <w:rPr>
          <w:rFonts w:hint="eastAsia" w:hAnsi="宋体" w:cs="宋体"/>
          <w:color w:val="auto"/>
          <w:sz w:val="24"/>
          <w:highlight w:val="none"/>
          <w:u w:val="single"/>
        </w:rPr>
        <w:t xml:space="preserve">       </w:t>
      </w:r>
      <w:r>
        <w:rPr>
          <w:rFonts w:hint="eastAsia" w:hAnsi="宋体" w:cs="宋体"/>
          <w:color w:val="auto"/>
          <w:sz w:val="24"/>
          <w:highlight w:val="none"/>
        </w:rPr>
        <w:t>元整）给乙方。</w:t>
      </w:r>
    </w:p>
    <w:p>
      <w:pPr>
        <w:pStyle w:val="27"/>
        <w:ind w:left="63" w:leftChars="30" w:firstLine="480" w:firstLineChars="200"/>
        <w:rPr>
          <w:rFonts w:hAnsi="宋体" w:cs="宋体"/>
          <w:color w:val="auto"/>
          <w:sz w:val="24"/>
          <w:highlight w:val="none"/>
        </w:rPr>
      </w:pPr>
      <w:r>
        <w:rPr>
          <w:rFonts w:hint="eastAsia" w:hAnsi="宋体" w:cs="宋体"/>
          <w:color w:val="auto"/>
          <w:sz w:val="24"/>
          <w:highlight w:val="none"/>
        </w:rPr>
        <w:t>3.3、质保期满后10个工作日内，甲方向乙方退还银行保函。</w:t>
      </w:r>
    </w:p>
    <w:p>
      <w:pPr>
        <w:pStyle w:val="27"/>
        <w:spacing w:before="240"/>
        <w:rPr>
          <w:rFonts w:ascii="Times New Roman" w:hAnsi="Times New Roman"/>
          <w:b/>
          <w:color w:val="auto"/>
          <w:sz w:val="24"/>
          <w:highlight w:val="none"/>
        </w:rPr>
      </w:pPr>
      <w:r>
        <w:rPr>
          <w:rFonts w:ascii="Times New Roman" w:hAnsi="Times New Roman"/>
          <w:b/>
          <w:color w:val="auto"/>
          <w:sz w:val="24"/>
          <w:highlight w:val="none"/>
        </w:rPr>
        <w:t>四、</w:t>
      </w:r>
      <w:r>
        <w:rPr>
          <w:rFonts w:hint="eastAsia" w:ascii="Times New Roman" w:hAnsi="Times New Roman"/>
          <w:b/>
          <w:color w:val="auto"/>
          <w:sz w:val="24"/>
          <w:highlight w:val="none"/>
        </w:rPr>
        <w:t>交货</w:t>
      </w:r>
      <w:r>
        <w:rPr>
          <w:rFonts w:ascii="Times New Roman" w:hAnsi="Times New Roman"/>
          <w:b/>
          <w:color w:val="auto"/>
          <w:sz w:val="24"/>
          <w:highlight w:val="none"/>
        </w:rPr>
        <w:t>日期</w:t>
      </w:r>
    </w:p>
    <w:p>
      <w:pPr>
        <w:pStyle w:val="362"/>
        <w:spacing w:line="360" w:lineRule="auto"/>
        <w:ind w:firstLine="480" w:firstLineChars="200"/>
        <w:rPr>
          <w:rFonts w:ascii="Arial" w:hAnsi="Arial" w:cs="Arial"/>
          <w:color w:val="auto"/>
          <w:sz w:val="24"/>
          <w:highlight w:val="none"/>
        </w:rPr>
      </w:pPr>
      <w:r>
        <w:rPr>
          <w:rFonts w:hint="eastAsia" w:ascii="Arial" w:hAnsi="Arial" w:cs="Arial"/>
          <w:color w:val="auto"/>
          <w:sz w:val="24"/>
          <w:highlight w:val="none"/>
        </w:rPr>
        <w:t>乙方在签订合同后30个日历日内完成供货。</w:t>
      </w:r>
    </w:p>
    <w:p>
      <w:pPr>
        <w:pStyle w:val="362"/>
        <w:spacing w:before="240" w:after="240" w:line="360" w:lineRule="auto"/>
        <w:rPr>
          <w:b/>
          <w:color w:val="auto"/>
          <w:sz w:val="24"/>
          <w:highlight w:val="none"/>
        </w:rPr>
      </w:pPr>
      <w:r>
        <w:rPr>
          <w:b/>
          <w:color w:val="auto"/>
          <w:sz w:val="24"/>
          <w:highlight w:val="none"/>
        </w:rPr>
        <w:t>五、</w:t>
      </w:r>
      <w:r>
        <w:rPr>
          <w:rFonts w:hint="eastAsia"/>
          <w:b/>
          <w:color w:val="auto"/>
          <w:sz w:val="24"/>
          <w:highlight w:val="none"/>
        </w:rPr>
        <w:t>交货</w:t>
      </w:r>
      <w:r>
        <w:rPr>
          <w:b/>
          <w:color w:val="auto"/>
          <w:sz w:val="24"/>
          <w:highlight w:val="none"/>
        </w:rPr>
        <w:t>地点</w:t>
      </w:r>
    </w:p>
    <w:p>
      <w:pPr>
        <w:pStyle w:val="362"/>
        <w:spacing w:before="240" w:after="240" w:line="360" w:lineRule="auto"/>
        <w:ind w:firstLine="480" w:firstLineChars="200"/>
        <w:rPr>
          <w:b/>
          <w:color w:val="auto"/>
          <w:sz w:val="24"/>
          <w:highlight w:val="none"/>
        </w:rPr>
      </w:pPr>
      <w:r>
        <w:rPr>
          <w:bCs/>
          <w:color w:val="auto"/>
          <w:sz w:val="24"/>
          <w:highlight w:val="none"/>
        </w:rPr>
        <w:t>甲方指定。</w:t>
      </w:r>
    </w:p>
    <w:p>
      <w:pPr>
        <w:pStyle w:val="362"/>
        <w:spacing w:line="360" w:lineRule="auto"/>
        <w:rPr>
          <w:rFonts w:ascii="宋体" w:hAnsi="宋体" w:cs="宋体"/>
          <w:color w:val="auto"/>
          <w:sz w:val="24"/>
          <w:highlight w:val="none"/>
        </w:rPr>
      </w:pPr>
      <w:r>
        <w:rPr>
          <w:rFonts w:hint="eastAsia" w:ascii="宋体" w:hAnsi="宋体" w:cs="宋体"/>
          <w:b/>
          <w:color w:val="auto"/>
          <w:sz w:val="24"/>
          <w:highlight w:val="none"/>
        </w:rPr>
        <w:t>六、产品质量保证</w:t>
      </w:r>
    </w:p>
    <w:p>
      <w:pPr>
        <w:pStyle w:val="362"/>
        <w:spacing w:line="360" w:lineRule="auto"/>
        <w:ind w:firstLine="480" w:firstLineChars="200"/>
        <w:rPr>
          <w:rFonts w:ascii="宋体" w:hAnsi="宋体" w:cs="宋体"/>
          <w:bCs/>
          <w:color w:val="auto"/>
          <w:sz w:val="24"/>
          <w:highlight w:val="none"/>
        </w:rPr>
      </w:pPr>
      <w:r>
        <w:rPr>
          <w:rFonts w:hint="eastAsia" w:ascii="宋体" w:hAnsi="宋体" w:cs="宋体"/>
          <w:color w:val="auto"/>
          <w:sz w:val="24"/>
          <w:highlight w:val="none"/>
        </w:rPr>
        <w:t>1、乙</w:t>
      </w:r>
      <w:r>
        <w:rPr>
          <w:rFonts w:hint="eastAsia" w:ascii="宋体" w:hAnsi="宋体" w:cs="宋体"/>
          <w:bCs/>
          <w:color w:val="auto"/>
          <w:sz w:val="24"/>
          <w:highlight w:val="none"/>
        </w:rPr>
        <w:t>方保证提供的货物为全新的产品。</w:t>
      </w:r>
    </w:p>
    <w:p>
      <w:pPr>
        <w:pStyle w:val="362"/>
        <w:spacing w:line="360" w:lineRule="auto"/>
        <w:ind w:firstLine="480" w:firstLineChars="200"/>
        <w:rPr>
          <w:rFonts w:ascii="宋体" w:hAnsi="宋体" w:cs="宋体"/>
          <w:color w:val="auto"/>
          <w:sz w:val="24"/>
          <w:highlight w:val="none"/>
        </w:rPr>
      </w:pPr>
      <w:r>
        <w:rPr>
          <w:rFonts w:hint="eastAsia" w:ascii="宋体" w:hAnsi="宋体" w:cs="宋体"/>
          <w:bCs/>
          <w:color w:val="auto"/>
          <w:sz w:val="24"/>
          <w:highlight w:val="none"/>
        </w:rPr>
        <w:t>2、乙方所提供的货物的型号、数量、规格及技术、质量标准、售后服务必须满足招标文件规定的技术要求。</w:t>
      </w:r>
    </w:p>
    <w:p>
      <w:pPr>
        <w:pStyle w:val="362"/>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3、乙方保证提供的货物按国家标准要求制作，质量完全满足合同的要求。</w:t>
      </w:r>
    </w:p>
    <w:p>
      <w:pPr>
        <w:pStyle w:val="362"/>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4、如果是进口产品，则乙方必须提供海关证明材料。</w:t>
      </w:r>
    </w:p>
    <w:p>
      <w:pPr>
        <w:pStyle w:val="362"/>
        <w:spacing w:line="360" w:lineRule="auto"/>
        <w:rPr>
          <w:rFonts w:ascii="宋体" w:hAnsi="宋体" w:cs="宋体"/>
          <w:b/>
          <w:color w:val="auto"/>
          <w:sz w:val="24"/>
          <w:highlight w:val="none"/>
        </w:rPr>
      </w:pPr>
      <w:r>
        <w:rPr>
          <w:rFonts w:hint="eastAsia" w:ascii="宋体" w:hAnsi="宋体" w:cs="宋体"/>
          <w:b/>
          <w:color w:val="auto"/>
          <w:sz w:val="24"/>
          <w:highlight w:val="none"/>
        </w:rPr>
        <w:t>七、</w:t>
      </w:r>
      <w:bookmarkStart w:id="166" w:name="_Toc197842253"/>
      <w:bookmarkStart w:id="167" w:name="_Toc256088519"/>
      <w:r>
        <w:rPr>
          <w:rFonts w:hint="eastAsia" w:ascii="宋体" w:hAnsi="宋体" w:cs="宋体"/>
          <w:b/>
          <w:color w:val="auto"/>
          <w:sz w:val="24"/>
          <w:highlight w:val="none"/>
        </w:rPr>
        <w:t>安装、验收及售后要求</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1、交货要求：</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（1）交货时间：合同签订后</w:t>
      </w:r>
      <w:r>
        <w:rPr>
          <w:rFonts w:hint="eastAsia" w:ascii="宋体" w:hAnsi="宋体" w:cs="宋体"/>
          <w:color w:val="auto"/>
          <w:sz w:val="24"/>
          <w:highlight w:val="none"/>
        </w:rPr>
        <w:t>30个日历日</w:t>
      </w:r>
      <w:r>
        <w:rPr>
          <w:rFonts w:hint="eastAsia" w:ascii="宋体" w:hAnsi="宋体" w:cs="宋体"/>
          <w:color w:val="auto"/>
          <w:kern w:val="0"/>
          <w:sz w:val="24"/>
          <w:highlight w:val="none"/>
        </w:rPr>
        <w:t>内送至指定地点。</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（2）安装完成时间：货到之日起5日内（特殊情况以合同为准）。</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（3）交货地点：根据甲方要求送达指定地点。</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（4）提供制造商完整的随机资料，包括完整的使用和维修手册等，如乙方未提交，甲方有权拒绝验收。</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5）特别要求：交货时要求乙方提供产品说明书，同时甲方有权要求乙方对产品的合法供货渠道进行说明，经核实如乙方提供非法渠道的商品，视为欺诈，为维护甲方合法权益，乙方要承担商品价值双倍的赔偿；同时，依据现行的国家法律法规追究其他责任，并连带追究产品制造商的责任。</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2、货物到达安装现场后，甲方和乙方共同打开包装验货检查货物数量。乙方应提供详细单据。如果货物质量或技术规格与合同不符，或货物有明显损坏，甲方有权提出索赔。只有经安装调试并且技术性能达到本合同附件所述的技术要求后，甲方才能接受全部货物。仪器设备不满足招标文件要求的，甲方有权解除合同并追究乙方法律责任。</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3、乙方提供的货物必须符合国家最新颁布的与之相关的技术规范与标准，同时必须满足招标要求。乙方须在仪器到货后60天内完成所有仪器设备的开箱和性能测试。</w:t>
      </w:r>
    </w:p>
    <w:p>
      <w:pPr>
        <w:numPr>
          <w:ilvl w:val="0"/>
          <w:numId w:val="19"/>
        </w:num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验收方式：</w:t>
      </w:r>
    </w:p>
    <w:p>
      <w:pPr>
        <w:numPr>
          <w:ilvl w:val="0"/>
          <w:numId w:val="19"/>
        </w:num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验收时须提供原环境保护部环境监测仪器质量监督检验中心出具的产品适应性检测合格报告、设备出厂检验报告、关键技术参数清单、出厂初始设置值、仪器硬件配置清单、环境空气自动监测仪器供应商承诺书以及主要设备的安装调试报告、试运行报告，颗粒物手工比对报告等。</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6、乙方必须接受甲方的监督，乙方对甲方提出的合理意见与建议必须采纳。乙方须提交承诺函，如果由于仪器本身的原因未能在六十天内调试通过，必须更换新的同型号仪器。</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7、免费质保期为终验合格起1年。在质保期内，应无偿并迅速更换由于元器件缺陷及工艺等问题而发生故障的产品，并对因维修、保养，更换零部件等所发生的相关费用，均由乙方承担。在期间如发生影响系统运行的重大故障，维修或更换导致设备无法实际使用的时间，在原质保期基础上顺延。提供原厂标准的易耗品、消耗材料价格清单及折扣率，保修期后设备维修的价格清单及折扣率。</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8、在安装调试、试运行期间，乙方对出现的仪器故障应做到4小时内响应，24小时解决出现的问题。在质保期结束后，乙方也必须提供12小时对仪器故障做出响应和48小时解决出现问题的技术服务。</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9、乙方应终身免费提供设备软件的更新服务。</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10、操作手册及工具：乙方必须提供系统所有仪器设备、软件、附件、备品备件等详细的中文操作手册，详细的系统操作和维护手册、组态软件使用手册。提供配套完整的专用工具箱。</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11、乙方必须保证所提供的货物为新制造设备，严禁提供翻新或者陈旧设备。</w:t>
      </w:r>
    </w:p>
    <w:p>
      <w:pPr>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rPr>
        <w:t>12、乙方</w:t>
      </w:r>
      <w:r>
        <w:rPr>
          <w:rFonts w:hint="eastAsia" w:ascii="宋体" w:hAnsi="宋体" w:cs="宋体"/>
          <w:color w:val="auto"/>
          <w:kern w:val="0"/>
          <w:sz w:val="24"/>
          <w:highlight w:val="none"/>
          <w:lang w:val="zh-CN"/>
        </w:rPr>
        <w:t>免费提供技术水平高、质量高的培训服务，提供现场培训4天，其中现场理论培训2天、操作培训2天；提供3人次</w:t>
      </w:r>
      <w:r>
        <w:rPr>
          <w:rFonts w:hint="eastAsia" w:ascii="宋体" w:hAnsi="宋体" w:cs="宋体"/>
          <w:color w:val="auto"/>
          <w:kern w:val="0"/>
          <w:sz w:val="24"/>
          <w:highlight w:val="none"/>
        </w:rPr>
        <w:t>原厂</w:t>
      </w:r>
      <w:r>
        <w:rPr>
          <w:rFonts w:hint="eastAsia" w:ascii="宋体" w:hAnsi="宋体" w:cs="宋体"/>
          <w:color w:val="auto"/>
          <w:kern w:val="0"/>
          <w:sz w:val="24"/>
          <w:highlight w:val="none"/>
          <w:lang w:val="zh-CN"/>
        </w:rPr>
        <w:t>培训5天，每人接受培训时间为40个课时以上，最终需达到预定的培训目标。</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13、本项目仪器设备安装调试验收等工作产生的运输费、运输保险费、装卸费、安装调试费、验收及其他应有的费用均由乙方全权负责。本合同的全部都不得转让与分包，一经发现，甲方有权终止合同，因此产生的一切损失由乙方承担并追究其法律责任。项目总价为一次性报定，包括完成该项目全部服务和货物、耗材、安装、调试、维护（含货物安装过程中对原站房的维护）、人工、机械、保险、劳保、各种税费、专利技术、技术支持与培训、政策性文件规定及合同包含的所有风险、责任等各项应有费用等一切费用。</w:t>
      </w:r>
    </w:p>
    <w:bookmarkEnd w:id="166"/>
    <w:bookmarkEnd w:id="167"/>
    <w:p>
      <w:pPr>
        <w:pStyle w:val="362"/>
        <w:spacing w:before="240" w:after="240" w:line="360" w:lineRule="auto"/>
        <w:rPr>
          <w:rFonts w:ascii="宋体" w:hAnsi="宋体" w:cs="宋体"/>
          <w:b/>
          <w:color w:val="auto"/>
          <w:sz w:val="24"/>
          <w:highlight w:val="none"/>
        </w:rPr>
      </w:pPr>
      <w:r>
        <w:rPr>
          <w:rFonts w:hint="eastAsia" w:ascii="宋体" w:hAnsi="宋体" w:cs="宋体"/>
          <w:b/>
          <w:color w:val="auto"/>
          <w:sz w:val="24"/>
          <w:highlight w:val="none"/>
        </w:rPr>
        <w:t>八、技术资料</w:t>
      </w:r>
    </w:p>
    <w:p>
      <w:pPr>
        <w:pStyle w:val="362"/>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乙方需向甲方提供下述资料（交货时必须同时提交）：</w:t>
      </w:r>
    </w:p>
    <w:p>
      <w:pPr>
        <w:pStyle w:val="362"/>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所供货物的型号、规格、数量及生产厂家的产品检验证书、出厂检验报告。</w:t>
      </w:r>
    </w:p>
    <w:p>
      <w:pPr>
        <w:pStyle w:val="362"/>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提供使用、维修、故障查询中文文字版说明，如有电子版一并提供。</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如乙方未提交，甲方有权拒绝验收。</w:t>
      </w:r>
    </w:p>
    <w:p>
      <w:pPr>
        <w:pStyle w:val="362"/>
        <w:spacing w:before="240" w:after="240" w:line="360" w:lineRule="auto"/>
        <w:rPr>
          <w:rFonts w:ascii="宋体" w:hAnsi="宋体" w:cs="宋体"/>
          <w:b/>
          <w:color w:val="auto"/>
          <w:sz w:val="24"/>
          <w:highlight w:val="none"/>
        </w:rPr>
      </w:pPr>
      <w:r>
        <w:rPr>
          <w:rFonts w:hint="eastAsia" w:ascii="宋体" w:hAnsi="宋体" w:cs="宋体"/>
          <w:b/>
          <w:color w:val="auto"/>
          <w:sz w:val="24"/>
          <w:highlight w:val="none"/>
        </w:rPr>
        <w:t>九、包装及验收</w:t>
      </w:r>
    </w:p>
    <w:p>
      <w:pPr>
        <w:pStyle w:val="362"/>
        <w:spacing w:line="360" w:lineRule="auto"/>
        <w:ind w:firstLine="470" w:firstLineChars="196"/>
        <w:rPr>
          <w:rFonts w:ascii="宋体" w:hAnsi="宋体" w:cs="宋体"/>
          <w:color w:val="auto"/>
          <w:sz w:val="24"/>
          <w:highlight w:val="none"/>
        </w:rPr>
      </w:pPr>
      <w:r>
        <w:rPr>
          <w:rFonts w:hint="eastAsia" w:ascii="宋体" w:hAnsi="宋体" w:cs="宋体"/>
          <w:color w:val="auto"/>
          <w:sz w:val="24"/>
          <w:highlight w:val="none"/>
        </w:rPr>
        <w:t>1、所提供设备必须进行包装，免收包装费，包装物不回收。</w:t>
      </w:r>
    </w:p>
    <w:p>
      <w:pPr>
        <w:pStyle w:val="362"/>
        <w:spacing w:line="360" w:lineRule="auto"/>
        <w:ind w:firstLine="470" w:firstLineChars="196"/>
        <w:rPr>
          <w:rFonts w:ascii="宋体" w:hAnsi="宋体" w:cs="宋体"/>
          <w:color w:val="auto"/>
          <w:sz w:val="24"/>
          <w:highlight w:val="none"/>
        </w:rPr>
      </w:pPr>
      <w:r>
        <w:rPr>
          <w:rFonts w:hint="eastAsia" w:ascii="宋体" w:hAnsi="宋体" w:cs="宋体"/>
          <w:color w:val="auto"/>
          <w:sz w:val="24"/>
          <w:highlight w:val="none"/>
        </w:rPr>
        <w:t>2、因包装不妥在运输过程中发生丢失的，损坏由乙方承担完全责任，运输过程中造成破损的，无条件换货。</w:t>
      </w:r>
    </w:p>
    <w:p>
      <w:pPr>
        <w:pStyle w:val="362"/>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验收标准：按投标文件规定的型号、技术参数、数量、产地，并根据制造商签发的《产品合格证》、《出厂清单》、《技术文件》进行现场验收，达到应答水平后，由甲、乙双方签署验收报告。如有异议，验收七天内以书面形式通知对方。对技术参数达不到招标文件要求的设备，甲方有权予以退货或调换设备，乙方收到甲方书面通知3个工作日内不回复甲方的，视为同意甲方的异议和处理方式。终验合格后，货物的所有权随之转交，由甲方提供货物的存放地点，并负责货物的保管和安全。</w:t>
      </w:r>
    </w:p>
    <w:p>
      <w:pPr>
        <w:pStyle w:val="362"/>
        <w:spacing w:before="240" w:after="240" w:line="360" w:lineRule="auto"/>
        <w:rPr>
          <w:rFonts w:ascii="宋体" w:hAnsi="宋体" w:cs="宋体"/>
          <w:color w:val="auto"/>
          <w:sz w:val="24"/>
          <w:highlight w:val="none"/>
        </w:rPr>
      </w:pPr>
      <w:r>
        <w:rPr>
          <w:rFonts w:hint="eastAsia" w:ascii="宋体" w:hAnsi="宋体" w:cs="宋体"/>
          <w:b/>
          <w:color w:val="auto"/>
          <w:sz w:val="24"/>
          <w:highlight w:val="none"/>
        </w:rPr>
        <w:t>十、甲、乙双方的权利及义务</w:t>
      </w:r>
    </w:p>
    <w:p>
      <w:pPr>
        <w:pStyle w:val="362"/>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若甲方对订购的货物有任何更改，包括货物的型号、品种、规格、数量、颜色、交货期等事宜，必须在双方签订合同后七天内书面通知乙方，交货期相应从变更之日起顺延。由于变更引起的合同总额的增减，则由甲、乙双方友好协商后，多退少补。</w:t>
      </w:r>
    </w:p>
    <w:p>
      <w:pPr>
        <w:pStyle w:val="362"/>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2、若甲方在验收后的质量保证期内，发现货物内有部分出现质量问题，应及时通知乙方，若需要更换时，乙方应在接到通知后10天内给予更换，如不更换甲方有权退货，并单方面解除合同。</w:t>
      </w:r>
    </w:p>
    <w:p>
      <w:pPr>
        <w:pStyle w:val="362"/>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3、乙方须按合同要求提供质量合格的货物，如期交付甲方指定的交货地点。</w:t>
      </w:r>
    </w:p>
    <w:p>
      <w:pPr>
        <w:pStyle w:val="362"/>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4、乙方对售予甲方的货物提供的质量保证期的质量保证范围，不包括意外事件、不可抗力原因及违规使用。</w:t>
      </w:r>
    </w:p>
    <w:p>
      <w:pPr>
        <w:pStyle w:val="362"/>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5、乙方在供货同时向供货单位提供本项目招标文件、合同以及答疑记录复印件一份。</w:t>
      </w:r>
    </w:p>
    <w:p>
      <w:pPr>
        <w:pStyle w:val="362"/>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6、货物验收不合格，甲方有权退货，并单方面解除合同。</w:t>
      </w:r>
    </w:p>
    <w:p>
      <w:pPr>
        <w:pStyle w:val="362"/>
        <w:spacing w:before="240" w:after="240" w:line="360" w:lineRule="auto"/>
        <w:rPr>
          <w:rFonts w:ascii="宋体" w:hAnsi="宋体" w:cs="宋体"/>
          <w:b/>
          <w:color w:val="auto"/>
          <w:sz w:val="24"/>
          <w:highlight w:val="none"/>
        </w:rPr>
      </w:pPr>
      <w:r>
        <w:rPr>
          <w:rFonts w:hint="eastAsia" w:ascii="宋体" w:hAnsi="宋体" w:cs="宋体"/>
          <w:b/>
          <w:color w:val="auto"/>
          <w:sz w:val="24"/>
          <w:highlight w:val="none"/>
        </w:rPr>
        <w:t>十一、合同变更、违约及其它</w:t>
      </w:r>
    </w:p>
    <w:p>
      <w:pPr>
        <w:pStyle w:val="362"/>
        <w:spacing w:line="360" w:lineRule="auto"/>
        <w:ind w:firstLine="470" w:firstLineChars="196"/>
        <w:rPr>
          <w:rFonts w:ascii="宋体" w:hAnsi="宋体" w:cs="宋体"/>
          <w:color w:val="auto"/>
          <w:sz w:val="24"/>
          <w:highlight w:val="none"/>
        </w:rPr>
      </w:pPr>
      <w:r>
        <w:rPr>
          <w:rFonts w:hint="eastAsia" w:ascii="宋体" w:hAnsi="宋体" w:cs="宋体"/>
          <w:color w:val="auto"/>
          <w:sz w:val="24"/>
          <w:highlight w:val="none"/>
        </w:rPr>
        <w:t>1、甲方按合同规定的付款要求履约，合同价格不变，甲方由于非不可抗力原因不能在本合同规定的时间内支付合同款项时，应与乙方协商。如遇非甲方原因导致逾期付款的，甲方不承担违约责任。甲方因财政政策原因未按期支付合同款项的，甲方不承担违约责任。</w:t>
      </w:r>
    </w:p>
    <w:p>
      <w:pPr>
        <w:pStyle w:val="362"/>
        <w:spacing w:line="360" w:lineRule="auto"/>
        <w:ind w:firstLine="470" w:firstLineChars="196"/>
        <w:rPr>
          <w:rFonts w:ascii="宋体" w:hAnsi="宋体" w:cs="宋体"/>
          <w:color w:val="auto"/>
          <w:sz w:val="24"/>
          <w:highlight w:val="none"/>
        </w:rPr>
      </w:pPr>
      <w:r>
        <w:rPr>
          <w:rFonts w:hint="eastAsia" w:ascii="宋体" w:hAnsi="宋体" w:cs="宋体"/>
          <w:color w:val="auto"/>
          <w:sz w:val="24"/>
          <w:highlight w:val="none"/>
        </w:rPr>
        <w:t>2、乙方必须在本合同规定的时间内按时交货并按时通过验收，每逾期一天，乙方应向甲方支付合同价款1%的违约金，累计逾期超过60天的，甲方有权单方解除合同。</w:t>
      </w:r>
    </w:p>
    <w:p>
      <w:pPr>
        <w:pStyle w:val="362"/>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乙方应严格按照招标、投标文件中规定的产品规格、型号名称、数量和质量提供相应的产品及服务。若乙方违反合同及招投标文件规定的义务的，每违反一项的，乙方应向甲方支付合同价款10%的违约金，累计违反5项的，甲方可选择解除合同。</w:t>
      </w:r>
    </w:p>
    <w:p>
      <w:pPr>
        <w:pStyle w:val="362"/>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4、本合同根据由</w:t>
      </w:r>
      <w:r>
        <w:rPr>
          <w:rFonts w:hint="eastAsia" w:ascii="宋体" w:hAnsi="宋体" w:cs="宋体"/>
          <w:color w:val="auto"/>
          <w:sz w:val="24"/>
          <w:highlight w:val="none"/>
          <w:u w:val="single"/>
        </w:rPr>
        <w:t>新疆东南项目管理有限公司</w:t>
      </w:r>
      <w:r>
        <w:rPr>
          <w:rFonts w:hint="eastAsia" w:ascii="宋体" w:hAnsi="宋体" w:cs="宋体"/>
          <w:color w:val="auto"/>
          <w:sz w:val="24"/>
          <w:highlight w:val="none"/>
        </w:rPr>
        <w:t>组织的招标会的招投标结果签订。招标文件、投标文件及开标会议上签名的答疑和承诺内容等均作为合同的附件，是合同文本不可分割的组成部分。合同文本未述及和不详之处，以附件为准。</w:t>
      </w:r>
    </w:p>
    <w:p>
      <w:pPr>
        <w:pStyle w:val="362"/>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5、合同文本不得涂改，如需修改应在合同附件中注明。经甲、乙双方协商达成一致修改意见，需经甲、乙双方代表共同签署此附件，方能生效。</w:t>
      </w:r>
    </w:p>
    <w:p>
      <w:pPr>
        <w:pStyle w:val="362"/>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6、合同所有附件（包括乙方在招标会现场答疑及承诺内容），均与合同具有同等法律效力。</w:t>
      </w:r>
    </w:p>
    <w:p>
      <w:pPr>
        <w:pStyle w:val="362"/>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7、合同经甲、乙双方签字盖章后即行生效。本合同签订后，乙方不履行、不能履行本合同，或因乙方原因导致本合同解除的，乙方除应返还甲方已支付的货款外，还应按合同总价款的30%向甲方支付违约金。</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8、本合同依照《中华人民共和国政府采购法》和《中华人民共和国民法典》等相关法律法规制定。未尽事项皆受上述法律法规约束。甲、乙双方发生争议时，应先协商解决，协商不成的，任何一方有权向甲方住所地有管辖权的人民法院提起诉讼。</w:t>
      </w:r>
    </w:p>
    <w:p>
      <w:pPr>
        <w:pStyle w:val="362"/>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9、合同一式七份，甲方执五份，乙方执二份。</w:t>
      </w:r>
    </w:p>
    <w:p>
      <w:pPr>
        <w:pStyle w:val="362"/>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10、本合同自签字盖章完毕之日起生效，质量保证期满后终止。</w:t>
      </w:r>
    </w:p>
    <w:p>
      <w:pPr>
        <w:pStyle w:val="362"/>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本合同尾部记载的各方邮寄地址、授权代表、电话号码等信息（以下统称送达地址），可用于接收合同相对方或人民法院发送的各类纸质或电子数据通知、信函、法律文书，送达地址持续适用于本协议履行期间、人民法院一审、二审、再审和执行期间。</w:t>
      </w:r>
    </w:p>
    <w:p>
      <w:pPr>
        <w:autoSpaceDE w:val="0"/>
        <w:autoSpaceDN w:val="0"/>
        <w:adjustRightInd w:val="0"/>
        <w:snapToGrid w:val="0"/>
        <w:spacing w:before="240" w:after="240" w:line="360" w:lineRule="auto"/>
        <w:rPr>
          <w:rFonts w:ascii="宋体" w:hAnsi="宋体" w:cs="宋体"/>
          <w:b/>
          <w:color w:val="auto"/>
          <w:kern w:val="0"/>
          <w:sz w:val="24"/>
          <w:highlight w:val="none"/>
        </w:rPr>
      </w:pPr>
      <w:r>
        <w:rPr>
          <w:rFonts w:hint="eastAsia" w:ascii="宋体" w:hAnsi="宋体" w:cs="宋体"/>
          <w:b/>
          <w:color w:val="auto"/>
          <w:sz w:val="24"/>
          <w:highlight w:val="none"/>
        </w:rPr>
        <w:t>十二、</w:t>
      </w:r>
      <w:r>
        <w:rPr>
          <w:rFonts w:hint="eastAsia" w:ascii="宋体" w:hAnsi="宋体" w:cs="宋体"/>
          <w:b/>
          <w:color w:val="auto"/>
          <w:kern w:val="0"/>
          <w:sz w:val="24"/>
          <w:highlight w:val="none"/>
        </w:rPr>
        <w:t>技术资料及知识产权</w:t>
      </w:r>
    </w:p>
    <w:p>
      <w:pPr>
        <w:autoSpaceDE w:val="0"/>
        <w:autoSpaceDN w:val="0"/>
        <w:adjustRightInd w:val="0"/>
        <w:snapToGrid w:val="0"/>
        <w:spacing w:before="240" w:after="240"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1、知识产权归属</w:t>
      </w:r>
    </w:p>
    <w:p>
      <w:pPr>
        <w:tabs>
          <w:tab w:val="left" w:pos="709"/>
          <w:tab w:val="left" w:pos="834"/>
        </w:tabs>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乙方向甲方提交的成果以及乙方在本项目服务过程中形成的专利、秘密信息、技术资料和文件的知识产权归甲方单独所有。乙方在本合同签署之前已经拥有的知识产权和乙方按照本合同约定使用的第三方的知识产权以及通用科学技术方法除外。</w:t>
      </w:r>
    </w:p>
    <w:p>
      <w:pPr>
        <w:tabs>
          <w:tab w:val="left" w:pos="709"/>
          <w:tab w:val="left" w:pos="834"/>
        </w:tabs>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2）除非甲方书面同意，乙方不得以任何方式向第三方披露、转让和许可有关的技术成果、秘密信息、技术资料、文件等。</w:t>
      </w:r>
    </w:p>
    <w:p>
      <w:pPr>
        <w:tabs>
          <w:tab w:val="left" w:pos="709"/>
          <w:tab w:val="left" w:pos="834"/>
        </w:tabs>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3）除本项目服务需要之外，未得到甲方的书面许可，乙方不得以任何方式商业性地利用上述资料和技术。</w:t>
      </w:r>
    </w:p>
    <w:p>
      <w:pPr>
        <w:autoSpaceDE w:val="0"/>
        <w:autoSpaceDN w:val="0"/>
        <w:adjustRightInd w:val="0"/>
        <w:snapToGrid w:val="0"/>
        <w:spacing w:before="240" w:after="240"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2、禁止对第三方造成侵权</w:t>
      </w:r>
    </w:p>
    <w:p>
      <w:pPr>
        <w:autoSpaceDE w:val="0"/>
        <w:autoSpaceDN w:val="0"/>
        <w:adjustRightInd w:val="0"/>
        <w:snapToGrid w:val="0"/>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乙方应当保证其提供的成果及服务过程不侵害任何第三方的知识产权。如乙方需要使用第三方的知识产权，应当在使用前合法的获得使用该知识产权的许可，并在获得许可后7日内将相关协议及许可文件复印件报甲方备案。乙方为本合同履行之目的使用自身或第三方知识产权的费用已包含在合同价款中，甲方不再另行支付。</w:t>
      </w:r>
    </w:p>
    <w:p>
      <w:pPr>
        <w:autoSpaceDE w:val="0"/>
        <w:autoSpaceDN w:val="0"/>
        <w:adjustRightInd w:val="0"/>
        <w:snapToGrid w:val="0"/>
        <w:spacing w:before="240" w:after="240"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3、乙方保证</w:t>
      </w:r>
    </w:p>
    <w:p>
      <w:pPr>
        <w:autoSpaceDE w:val="0"/>
        <w:autoSpaceDN w:val="0"/>
        <w:adjustRightInd w:val="0"/>
        <w:snapToGrid w:val="0"/>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乙方保证甲方及其授权的第三方能够合法地使用其提供的成果。如果任何第三人因甲方及其授权的第三方使用成果向甲方及其授权的第三方提出有关知识产权的任何索赔、要求停止使用、要求支付费用、诉讼、仲裁或其它不利于甲方及其授权的第三方之行为，乙方应当自费为甲方及其授权的第三方进行处理，并保证甲方及其授权的第三方能够正常使用成果，由此给甲方及其授权的第三方造成的一切损失由乙方承担（包括但不限于赔偿、补偿、诉讼费、仲裁费用、律师费、甲方的其他损失及合理费用等）。</w:t>
      </w:r>
    </w:p>
    <w:p>
      <w:pPr>
        <w:pStyle w:val="60"/>
        <w:ind w:firstLine="480"/>
        <w:rPr>
          <w:color w:val="auto"/>
          <w:highlight w:val="none"/>
        </w:rPr>
      </w:pPr>
    </w:p>
    <w:p>
      <w:pPr>
        <w:pStyle w:val="60"/>
        <w:ind w:firstLine="480"/>
        <w:rPr>
          <w:color w:val="auto"/>
          <w:highlight w:val="none"/>
        </w:rPr>
      </w:pPr>
    </w:p>
    <w:p>
      <w:pPr>
        <w:pStyle w:val="60"/>
        <w:ind w:firstLine="480"/>
        <w:rPr>
          <w:color w:val="auto"/>
          <w:highlight w:val="none"/>
        </w:rPr>
      </w:pPr>
    </w:p>
    <w:p>
      <w:pPr>
        <w:pStyle w:val="60"/>
        <w:ind w:firstLine="480"/>
        <w:rPr>
          <w:color w:val="auto"/>
          <w:highlight w:val="none"/>
        </w:rPr>
      </w:pPr>
    </w:p>
    <w:p>
      <w:pPr>
        <w:pStyle w:val="60"/>
        <w:ind w:firstLine="480"/>
        <w:rPr>
          <w:color w:val="auto"/>
          <w:highlight w:val="none"/>
        </w:rPr>
      </w:pPr>
    </w:p>
    <w:p>
      <w:pPr>
        <w:pStyle w:val="60"/>
        <w:ind w:firstLine="480"/>
        <w:rPr>
          <w:color w:val="auto"/>
          <w:highlight w:val="none"/>
        </w:rPr>
      </w:pPr>
    </w:p>
    <w:p>
      <w:pPr>
        <w:pStyle w:val="362"/>
        <w:spacing w:before="240" w:after="240" w:line="360" w:lineRule="auto"/>
        <w:rPr>
          <w:bCs/>
          <w:color w:val="auto"/>
          <w:sz w:val="24"/>
          <w:highlight w:val="none"/>
        </w:rPr>
      </w:pPr>
      <w:r>
        <w:rPr>
          <w:bCs/>
          <w:color w:val="auto"/>
          <w:sz w:val="24"/>
          <w:highlight w:val="none"/>
        </w:rPr>
        <w:t>（此页无正文）</w:t>
      </w:r>
    </w:p>
    <w:p>
      <w:pPr>
        <w:pStyle w:val="362"/>
        <w:spacing w:before="240" w:after="240" w:line="360" w:lineRule="auto"/>
        <w:rPr>
          <w:b/>
          <w:color w:val="auto"/>
          <w:sz w:val="24"/>
          <w:highlight w:val="none"/>
        </w:rPr>
      </w:pPr>
      <w:r>
        <w:rPr>
          <w:b/>
          <w:color w:val="auto"/>
          <w:sz w:val="24"/>
          <w:highlight w:val="none"/>
        </w:rPr>
        <w:t>甲方（公章）：新疆维吾尔自治区生态环境监测总站</w:t>
      </w:r>
    </w:p>
    <w:p>
      <w:pPr>
        <w:pStyle w:val="362"/>
        <w:spacing w:line="360" w:lineRule="auto"/>
        <w:rPr>
          <w:color w:val="auto"/>
          <w:sz w:val="24"/>
          <w:highlight w:val="none"/>
        </w:rPr>
      </w:pPr>
      <w:r>
        <w:rPr>
          <w:color w:val="auto"/>
          <w:sz w:val="24"/>
          <w:highlight w:val="none"/>
        </w:rPr>
        <w:t>法人或授权代表签字：</w:t>
      </w:r>
    </w:p>
    <w:p>
      <w:pPr>
        <w:pStyle w:val="362"/>
        <w:spacing w:line="360" w:lineRule="auto"/>
        <w:rPr>
          <w:color w:val="auto"/>
          <w:sz w:val="24"/>
          <w:highlight w:val="none"/>
        </w:rPr>
      </w:pPr>
      <w:r>
        <w:rPr>
          <w:color w:val="auto"/>
          <w:sz w:val="24"/>
          <w:highlight w:val="none"/>
        </w:rPr>
        <w:t>合同联系人：杨焕明</w:t>
      </w:r>
    </w:p>
    <w:p>
      <w:pPr>
        <w:pStyle w:val="362"/>
        <w:spacing w:line="360" w:lineRule="auto"/>
        <w:rPr>
          <w:color w:val="auto"/>
          <w:sz w:val="24"/>
          <w:highlight w:val="none"/>
        </w:rPr>
      </w:pPr>
      <w:r>
        <w:rPr>
          <w:color w:val="auto"/>
          <w:sz w:val="24"/>
          <w:highlight w:val="none"/>
        </w:rPr>
        <w:t>联系电话：18999179586</w:t>
      </w:r>
    </w:p>
    <w:p>
      <w:pPr>
        <w:pStyle w:val="362"/>
        <w:spacing w:line="360" w:lineRule="auto"/>
        <w:rPr>
          <w:color w:val="auto"/>
          <w:sz w:val="24"/>
          <w:highlight w:val="none"/>
        </w:rPr>
      </w:pPr>
      <w:r>
        <w:rPr>
          <w:color w:val="auto"/>
          <w:sz w:val="24"/>
          <w:highlight w:val="none"/>
        </w:rPr>
        <w:t>签订日期：      年  月   日</w:t>
      </w:r>
    </w:p>
    <w:p>
      <w:pPr>
        <w:pStyle w:val="362"/>
        <w:spacing w:before="240" w:after="240" w:line="360" w:lineRule="auto"/>
        <w:rPr>
          <w:b/>
          <w:color w:val="auto"/>
          <w:sz w:val="24"/>
          <w:highlight w:val="none"/>
        </w:rPr>
      </w:pPr>
    </w:p>
    <w:p>
      <w:pPr>
        <w:pStyle w:val="362"/>
        <w:spacing w:before="240" w:after="240" w:line="360" w:lineRule="auto"/>
        <w:rPr>
          <w:b/>
          <w:color w:val="auto"/>
          <w:sz w:val="24"/>
          <w:highlight w:val="none"/>
        </w:rPr>
      </w:pPr>
      <w:r>
        <w:rPr>
          <w:b/>
          <w:color w:val="auto"/>
          <w:sz w:val="24"/>
          <w:highlight w:val="none"/>
        </w:rPr>
        <w:t xml:space="preserve">乙方（公章）：   </w:t>
      </w:r>
    </w:p>
    <w:p>
      <w:pPr>
        <w:pStyle w:val="362"/>
        <w:spacing w:line="360" w:lineRule="auto"/>
        <w:ind w:right="-512" w:rightChars="-244"/>
        <w:rPr>
          <w:color w:val="auto"/>
          <w:sz w:val="24"/>
          <w:highlight w:val="none"/>
        </w:rPr>
      </w:pPr>
      <w:r>
        <w:rPr>
          <w:color w:val="auto"/>
          <w:sz w:val="24"/>
          <w:highlight w:val="none"/>
        </w:rPr>
        <w:t>法人或授权代表签字：</w:t>
      </w:r>
    </w:p>
    <w:p>
      <w:pPr>
        <w:pStyle w:val="362"/>
        <w:spacing w:line="360" w:lineRule="auto"/>
        <w:ind w:right="-512" w:rightChars="-244"/>
        <w:rPr>
          <w:color w:val="auto"/>
          <w:sz w:val="24"/>
          <w:highlight w:val="none"/>
        </w:rPr>
      </w:pPr>
      <w:r>
        <w:rPr>
          <w:color w:val="auto"/>
          <w:sz w:val="24"/>
          <w:highlight w:val="none"/>
        </w:rPr>
        <w:t>联系人：</w:t>
      </w:r>
    </w:p>
    <w:p>
      <w:pPr>
        <w:pStyle w:val="362"/>
        <w:spacing w:line="360" w:lineRule="auto"/>
        <w:ind w:right="-512" w:rightChars="-244"/>
        <w:rPr>
          <w:color w:val="auto"/>
          <w:sz w:val="24"/>
          <w:highlight w:val="none"/>
        </w:rPr>
      </w:pPr>
      <w:r>
        <w:rPr>
          <w:color w:val="auto"/>
          <w:sz w:val="24"/>
          <w:highlight w:val="none"/>
        </w:rPr>
        <w:t>联系电话：</w:t>
      </w:r>
    </w:p>
    <w:p>
      <w:pPr>
        <w:pStyle w:val="362"/>
        <w:spacing w:line="360" w:lineRule="auto"/>
        <w:rPr>
          <w:color w:val="auto"/>
          <w:sz w:val="24"/>
          <w:highlight w:val="none"/>
        </w:rPr>
      </w:pPr>
      <w:r>
        <w:rPr>
          <w:color w:val="auto"/>
          <w:sz w:val="24"/>
          <w:highlight w:val="none"/>
        </w:rPr>
        <w:t>签订日期：    年  月   日</w:t>
      </w:r>
    </w:p>
    <w:p>
      <w:pPr>
        <w:pStyle w:val="362"/>
        <w:spacing w:line="360" w:lineRule="auto"/>
        <w:ind w:right="-512" w:rightChars="-244"/>
        <w:rPr>
          <w:color w:val="auto"/>
          <w:sz w:val="24"/>
          <w:highlight w:val="none"/>
        </w:rPr>
      </w:pPr>
      <w:r>
        <w:rPr>
          <w:color w:val="auto"/>
          <w:sz w:val="24"/>
          <w:highlight w:val="none"/>
        </w:rPr>
        <w:t>开户银行：</w:t>
      </w:r>
    </w:p>
    <w:p>
      <w:pPr>
        <w:pStyle w:val="362"/>
        <w:spacing w:line="360" w:lineRule="auto"/>
        <w:ind w:right="-512" w:rightChars="-244"/>
        <w:rPr>
          <w:color w:val="auto"/>
          <w:sz w:val="24"/>
          <w:highlight w:val="none"/>
        </w:rPr>
      </w:pPr>
      <w:r>
        <w:rPr>
          <w:color w:val="auto"/>
          <w:sz w:val="24"/>
          <w:highlight w:val="none"/>
        </w:rPr>
        <w:t>行    号：</w:t>
      </w:r>
    </w:p>
    <w:p>
      <w:pPr>
        <w:pStyle w:val="362"/>
        <w:spacing w:line="360" w:lineRule="auto"/>
        <w:ind w:right="-512" w:rightChars="-244"/>
        <w:rPr>
          <w:color w:val="auto"/>
          <w:sz w:val="24"/>
          <w:highlight w:val="none"/>
        </w:rPr>
      </w:pPr>
      <w:r>
        <w:rPr>
          <w:color w:val="auto"/>
          <w:sz w:val="24"/>
          <w:highlight w:val="none"/>
        </w:rPr>
        <w:t>帐    号：</w:t>
      </w:r>
    </w:p>
    <w:p>
      <w:pPr>
        <w:pStyle w:val="362"/>
        <w:spacing w:line="360" w:lineRule="auto"/>
        <w:ind w:right="-512" w:rightChars="-244"/>
        <w:rPr>
          <w:color w:val="auto"/>
          <w:sz w:val="24"/>
          <w:highlight w:val="none"/>
        </w:rPr>
      </w:pPr>
    </w:p>
    <w:p>
      <w:pPr>
        <w:rPr>
          <w:rFonts w:ascii="宋体" w:hAnsi="宋体"/>
          <w:b/>
          <w:color w:val="auto"/>
          <w:sz w:val="36"/>
          <w:highlight w:val="none"/>
        </w:rPr>
      </w:pPr>
    </w:p>
    <w:p>
      <w:pPr>
        <w:rPr>
          <w:rFonts w:ascii="宋体" w:hAnsi="宋体" w:cs="宋体"/>
          <w:color w:val="auto"/>
          <w:sz w:val="24"/>
          <w:highlight w:val="none"/>
        </w:rPr>
      </w:pPr>
      <w:bookmarkStart w:id="168" w:name="_Toc1584"/>
      <w:bookmarkStart w:id="169" w:name="_Toc25967980"/>
      <w:bookmarkStart w:id="170" w:name="EBba7e027aca274ccfa22cbebede35febf"/>
    </w:p>
    <w:p>
      <w:pPr>
        <w:rPr>
          <w:rFonts w:ascii="宋体" w:hAnsi="宋体" w:cs="宋体"/>
          <w:color w:val="auto"/>
          <w:sz w:val="24"/>
          <w:highlight w:val="none"/>
        </w:rPr>
      </w:pPr>
    </w:p>
    <w:p>
      <w:pPr>
        <w:rPr>
          <w:rFonts w:ascii="宋体" w:hAnsi="宋体" w:cs="宋体"/>
          <w:color w:val="auto"/>
          <w:sz w:val="24"/>
          <w:highlight w:val="none"/>
        </w:rPr>
      </w:pPr>
    </w:p>
    <w:p>
      <w:pPr>
        <w:rPr>
          <w:rFonts w:ascii="宋体" w:hAnsi="宋体" w:cs="宋体"/>
          <w:color w:val="auto"/>
          <w:sz w:val="24"/>
          <w:highlight w:val="none"/>
        </w:rPr>
      </w:pPr>
    </w:p>
    <w:p>
      <w:pPr>
        <w:rPr>
          <w:rFonts w:ascii="宋体" w:hAnsi="宋体" w:cs="宋体"/>
          <w:color w:val="auto"/>
          <w:sz w:val="24"/>
          <w:highlight w:val="none"/>
        </w:rPr>
      </w:pPr>
    </w:p>
    <w:p>
      <w:pPr>
        <w:rPr>
          <w:rFonts w:ascii="宋体" w:hAnsi="宋体" w:cs="宋体"/>
          <w:color w:val="auto"/>
          <w:sz w:val="24"/>
          <w:highlight w:val="none"/>
        </w:rPr>
      </w:pPr>
    </w:p>
    <w:p>
      <w:pPr>
        <w:rPr>
          <w:rFonts w:ascii="宋体" w:hAnsi="宋体" w:cs="宋体"/>
          <w:color w:val="auto"/>
          <w:sz w:val="24"/>
          <w:highlight w:val="none"/>
        </w:rPr>
      </w:pPr>
    </w:p>
    <w:p>
      <w:pPr>
        <w:rPr>
          <w:rFonts w:ascii="宋体" w:hAnsi="宋体" w:cs="宋体"/>
          <w:color w:val="auto"/>
          <w:sz w:val="24"/>
          <w:highlight w:val="none"/>
        </w:rPr>
      </w:pPr>
    </w:p>
    <w:p>
      <w:pPr>
        <w:rPr>
          <w:rFonts w:ascii="宋体" w:hAnsi="宋体" w:cs="宋体"/>
          <w:color w:val="auto"/>
          <w:sz w:val="24"/>
          <w:highlight w:val="none"/>
        </w:rPr>
      </w:pPr>
    </w:p>
    <w:p>
      <w:pPr>
        <w:rPr>
          <w:rFonts w:ascii="宋体" w:hAnsi="宋体" w:cs="宋体"/>
          <w:color w:val="auto"/>
          <w:sz w:val="24"/>
          <w:highlight w:val="none"/>
        </w:rPr>
      </w:pPr>
      <w:r>
        <w:rPr>
          <w:b/>
          <w:color w:val="auto"/>
          <w:sz w:val="28"/>
          <w:szCs w:val="28"/>
          <w:highlight w:val="none"/>
        </w:rPr>
        <w:t>附件一、技术指标</w:t>
      </w:r>
    </w:p>
    <w:p>
      <w:pPr>
        <w:rPr>
          <w:rFonts w:ascii="宋体" w:hAnsi="宋体" w:cs="宋体"/>
          <w:color w:val="auto"/>
          <w:sz w:val="24"/>
          <w:highlight w:val="none"/>
        </w:rPr>
      </w:pPr>
    </w:p>
    <w:p>
      <w:pPr>
        <w:rPr>
          <w:color w:val="auto"/>
          <w:highlight w:val="none"/>
        </w:rPr>
      </w:pPr>
      <w:r>
        <w:rPr>
          <w:rFonts w:hint="eastAsia" w:ascii="宋体" w:hAnsi="宋体" w:cs="宋体"/>
          <w:color w:val="auto"/>
          <w:sz w:val="24"/>
          <w:highlight w:val="none"/>
        </w:rPr>
        <w:br w:type="page"/>
      </w:r>
      <w:bookmarkEnd w:id="162"/>
      <w:bookmarkEnd w:id="168"/>
      <w:bookmarkEnd w:id="169"/>
    </w:p>
    <w:bookmarkEnd w:id="170"/>
    <w:p>
      <w:pPr>
        <w:pStyle w:val="341"/>
        <w:jc w:val="center"/>
        <w:rPr>
          <w:rFonts w:ascii="宋体" w:hAnsi="宋体" w:cs="宋体"/>
          <w:color w:val="auto"/>
          <w:highlight w:val="none"/>
        </w:rPr>
      </w:pPr>
      <w:bookmarkStart w:id="171" w:name="_Toc12593"/>
      <w:r>
        <w:rPr>
          <w:rFonts w:hint="eastAsia" w:ascii="宋体" w:hAnsi="宋体" w:cs="宋体"/>
          <w:color w:val="auto"/>
          <w:highlight w:val="none"/>
        </w:rPr>
        <w:t>第五章 评审办法</w:t>
      </w:r>
      <w:bookmarkEnd w:id="171"/>
    </w:p>
    <w:p>
      <w:pPr>
        <w:pStyle w:val="59"/>
        <w:numPr>
          <w:ilvl w:val="0"/>
          <w:numId w:val="20"/>
        </w:numPr>
        <w:snapToGrid w:val="0"/>
        <w:spacing w:after="0" w:line="440" w:lineRule="exact"/>
        <w:ind w:firstLine="241"/>
        <w:rPr>
          <w:rFonts w:hAnsi="宋体" w:cs="宋体"/>
          <w:b/>
          <w:bCs/>
          <w:color w:val="auto"/>
          <w:sz w:val="24"/>
          <w:szCs w:val="24"/>
          <w:highlight w:val="none"/>
        </w:rPr>
      </w:pPr>
      <w:r>
        <w:rPr>
          <w:rFonts w:hint="eastAsia" w:hAnsi="宋体" w:cs="宋体"/>
          <w:b/>
          <w:bCs/>
          <w:color w:val="auto"/>
          <w:sz w:val="24"/>
          <w:szCs w:val="24"/>
          <w:highlight w:val="none"/>
        </w:rPr>
        <w:t>评审说明</w:t>
      </w:r>
    </w:p>
    <w:p>
      <w:pPr>
        <w:pStyle w:val="59"/>
        <w:snapToGrid w:val="0"/>
        <w:spacing w:after="0" w:line="440" w:lineRule="exact"/>
        <w:ind w:firstLine="480" w:firstLineChars="200"/>
        <w:rPr>
          <w:rFonts w:hAnsi="宋体" w:cs="宋体"/>
          <w:color w:val="auto"/>
          <w:kern w:val="0"/>
          <w:sz w:val="24"/>
          <w:szCs w:val="24"/>
          <w:highlight w:val="none"/>
        </w:rPr>
      </w:pPr>
      <w:r>
        <w:rPr>
          <w:rFonts w:hint="eastAsia" w:hAnsi="宋体" w:cs="宋体"/>
          <w:color w:val="auto"/>
          <w:sz w:val="24"/>
          <w:szCs w:val="24"/>
          <w:highlight w:val="none"/>
        </w:rPr>
        <w:t>1.1本次招标采用综合评分法进行评审。</w:t>
      </w:r>
      <w:r>
        <w:rPr>
          <w:rFonts w:hint="eastAsia" w:hAnsi="宋体" w:cs="宋体"/>
          <w:color w:val="auto"/>
          <w:kern w:val="0"/>
          <w:sz w:val="24"/>
          <w:szCs w:val="24"/>
          <w:highlight w:val="none"/>
        </w:rPr>
        <w:t>综合评分法是指投标文件满足招标文件全部实质性要求，且按照评审因素的量化指标评审综合得分（即商务部分、技术部分、报价部分合计分值）最高的供应商为中标候选人的评标方法。采用综合评分法的，评标委员会将按供应商得分顺序由高到低依次排名，得分相同的，按投标报价由低到高顺序排列。得分及报价相同的，按技术指标优劣顺序排列。得分最高的前一至三名供应商将成为中标候选人。</w:t>
      </w:r>
    </w:p>
    <w:p>
      <w:pPr>
        <w:pStyle w:val="59"/>
        <w:snapToGrid w:val="0"/>
        <w:spacing w:after="0" w:line="44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1.2 根据财政部发布的《政府采购促进中小企业发展管理办法》（财库〔2020〕46号）规定，对小微企业报价给予10%-20%（工程项目为 6%—10%）的扣除，用扣除后的价格参加评审。在服务采购项目中，只有当供应商提供的全部标的均由小微企业制造，才能享受价格扣除政策；在工程、服务采购项目中，只有由小微企业承建、承接，才能享受价格扣除政策；允许联合体形式参加政府采购活动的，联合体各方均为小微企业的，联合体视同小微企业。专门面向中小企业采购的项目或者采购包，不再执行价格评审优惠的扶持政策。</w:t>
      </w:r>
      <w:r>
        <w:rPr>
          <w:rFonts w:hint="eastAsia" w:hAnsi="宋体" w:cs="宋体"/>
          <w:b/>
          <w:bCs/>
          <w:color w:val="auto"/>
          <w:sz w:val="24"/>
          <w:szCs w:val="24"/>
          <w:highlight w:val="none"/>
        </w:rPr>
        <w:t>本项目小微企业报价扣除比例为10%</w:t>
      </w:r>
      <w:r>
        <w:rPr>
          <w:rFonts w:hint="eastAsia" w:hAnsi="宋体" w:cs="宋体"/>
          <w:color w:val="auto"/>
          <w:sz w:val="24"/>
          <w:szCs w:val="24"/>
          <w:highlight w:val="none"/>
        </w:rPr>
        <w:t>。</w:t>
      </w:r>
    </w:p>
    <w:p>
      <w:pPr>
        <w:pStyle w:val="71"/>
        <w:tabs>
          <w:tab w:val="left" w:pos="-120"/>
        </w:tabs>
        <w:spacing w:line="440" w:lineRule="exact"/>
        <w:rPr>
          <w:rFonts w:ascii="宋体" w:hAnsi="宋体" w:eastAsia="宋体" w:cs="宋体"/>
          <w:b/>
          <w:bCs/>
          <w:color w:val="auto"/>
          <w:spacing w:val="0"/>
          <w:sz w:val="24"/>
          <w:szCs w:val="24"/>
          <w:highlight w:val="none"/>
        </w:rPr>
      </w:pPr>
      <w:r>
        <w:rPr>
          <w:rFonts w:hint="eastAsia" w:ascii="宋体" w:hAnsi="宋体" w:eastAsia="宋体" w:cs="宋体"/>
          <w:b/>
          <w:bCs/>
          <w:color w:val="auto"/>
          <w:spacing w:val="0"/>
          <w:sz w:val="24"/>
          <w:szCs w:val="24"/>
          <w:highlight w:val="none"/>
        </w:rPr>
        <w:t>1.3 在评审过程中，供应商对于评标委员会要求的澄清、说明、补正应以书面形式进行确认。采用电子评标形式进行评审的，须按照评标委员会在线质询的问题进行远程回复并加盖供应商电子公章提交确认。供应商没有按评标委员会的要求提交经授权代表签字（或未加盖供应商电子公章）的澄清、说明、补正或改变了响应文件的实质性内容，其响应文件无效。</w:t>
      </w:r>
    </w:p>
    <w:p>
      <w:pPr>
        <w:pStyle w:val="59"/>
        <w:snapToGrid w:val="0"/>
        <w:spacing w:after="0" w:line="440" w:lineRule="exact"/>
        <w:ind w:firstLine="482" w:firstLineChars="200"/>
        <w:rPr>
          <w:rFonts w:hAnsi="宋体" w:cs="宋体"/>
          <w:color w:val="auto"/>
          <w:sz w:val="24"/>
          <w:szCs w:val="24"/>
          <w:highlight w:val="none"/>
        </w:rPr>
      </w:pPr>
      <w:r>
        <w:rPr>
          <w:rFonts w:hint="eastAsia" w:hAnsi="宋体" w:cs="宋体"/>
          <w:b/>
          <w:bCs/>
          <w:color w:val="auto"/>
          <w:sz w:val="24"/>
          <w:szCs w:val="24"/>
          <w:highlight w:val="none"/>
        </w:rPr>
        <w:t>2、评审</w:t>
      </w:r>
    </w:p>
    <w:p>
      <w:pPr>
        <w:pStyle w:val="59"/>
        <w:snapToGrid w:val="0"/>
        <w:spacing w:after="0" w:line="480" w:lineRule="exact"/>
        <w:ind w:firstLine="241"/>
        <w:rPr>
          <w:rFonts w:hAnsi="宋体"/>
          <w:b/>
          <w:bCs/>
          <w:color w:val="auto"/>
          <w:highlight w:val="none"/>
        </w:rPr>
      </w:pPr>
      <w:r>
        <w:rPr>
          <w:rFonts w:hAnsi="宋体" w:cs="宋体;SimSun"/>
          <w:b/>
          <w:bCs/>
          <w:color w:val="auto"/>
          <w:sz w:val="24"/>
          <w:szCs w:val="24"/>
          <w:highlight w:val="none"/>
        </w:rPr>
        <w:t xml:space="preserve">2.1 </w:t>
      </w:r>
      <w:r>
        <w:rPr>
          <w:rFonts w:hint="eastAsia" w:hAnsi="宋体" w:cs="宋体;SimSun"/>
          <w:b/>
          <w:bCs/>
          <w:color w:val="auto"/>
          <w:sz w:val="24"/>
          <w:szCs w:val="24"/>
          <w:highlight w:val="none"/>
        </w:rPr>
        <w:t>本次招标采用综合评分法进行评审。评审分初步评审和详细评审两个阶段。初步评审分为资格性检查和符合性检查，只有通过初步评审的供应商才可进入详细评审阶段。</w:t>
      </w:r>
    </w:p>
    <w:p>
      <w:pPr>
        <w:pStyle w:val="59"/>
        <w:snapToGrid w:val="0"/>
        <w:spacing w:after="0" w:line="480" w:lineRule="exact"/>
        <w:ind w:firstLine="241"/>
        <w:rPr>
          <w:rFonts w:hAnsi="宋体"/>
          <w:b/>
          <w:bCs/>
          <w:color w:val="auto"/>
          <w:highlight w:val="none"/>
        </w:rPr>
      </w:pPr>
      <w:r>
        <w:rPr>
          <w:rFonts w:hAnsi="宋体" w:cs="宋体;SimSun"/>
          <w:b/>
          <w:bCs/>
          <w:color w:val="auto"/>
          <w:sz w:val="24"/>
          <w:szCs w:val="24"/>
          <w:highlight w:val="none"/>
        </w:rPr>
        <w:t>2.</w:t>
      </w:r>
      <w:r>
        <w:rPr>
          <w:rFonts w:hint="eastAsia" w:hAnsi="宋体" w:cs="宋体;SimSun"/>
          <w:b/>
          <w:bCs/>
          <w:color w:val="auto"/>
          <w:sz w:val="24"/>
          <w:szCs w:val="24"/>
          <w:highlight w:val="none"/>
        </w:rPr>
        <w:t>2评审方法</w:t>
      </w:r>
    </w:p>
    <w:p>
      <w:pPr>
        <w:pStyle w:val="59"/>
        <w:snapToGrid w:val="0"/>
        <w:spacing w:after="0" w:line="480" w:lineRule="exact"/>
        <w:ind w:firstLine="241"/>
        <w:rPr>
          <w:rFonts w:hAnsi="宋体"/>
          <w:color w:val="auto"/>
          <w:highlight w:val="none"/>
        </w:rPr>
      </w:pPr>
      <w:r>
        <w:rPr>
          <w:rFonts w:hint="eastAsia" w:hAnsi="宋体" w:cs="宋体;SimSun"/>
          <w:b/>
          <w:bCs/>
          <w:color w:val="auto"/>
          <w:sz w:val="24"/>
          <w:szCs w:val="24"/>
          <w:highlight w:val="none"/>
        </w:rPr>
        <w:t>评标委员会将对下述评审因素进行量化，并根据评标委员会每个成员对响应文件的评审和理解进行打分，满分为</w:t>
      </w:r>
      <w:r>
        <w:rPr>
          <w:rFonts w:hAnsi="宋体" w:cs="宋体;SimSun"/>
          <w:b/>
          <w:bCs/>
          <w:color w:val="auto"/>
          <w:sz w:val="24"/>
          <w:szCs w:val="24"/>
          <w:highlight w:val="none"/>
        </w:rPr>
        <w:t>100</w:t>
      </w:r>
      <w:r>
        <w:rPr>
          <w:rFonts w:hint="eastAsia" w:hAnsi="宋体" w:cs="宋体;SimSun"/>
          <w:b/>
          <w:bCs/>
          <w:color w:val="auto"/>
          <w:sz w:val="24"/>
          <w:szCs w:val="24"/>
          <w:highlight w:val="none"/>
        </w:rPr>
        <w:t>分，其中价格满分</w:t>
      </w:r>
      <w:r>
        <w:rPr>
          <w:rFonts w:hint="eastAsia" w:hAnsi="宋体" w:cs="宋体;SimSun"/>
          <w:b/>
          <w:bCs/>
          <w:color w:val="auto"/>
          <w:sz w:val="24"/>
          <w:szCs w:val="24"/>
          <w:highlight w:val="none"/>
          <w:lang w:val="en-US" w:eastAsia="zh-CN"/>
        </w:rPr>
        <w:t>3</w:t>
      </w:r>
      <w:r>
        <w:rPr>
          <w:rFonts w:hint="eastAsia" w:hAnsi="宋体" w:cs="宋体;SimSun"/>
          <w:b/>
          <w:bCs/>
          <w:color w:val="auto"/>
          <w:sz w:val="24"/>
          <w:szCs w:val="24"/>
          <w:highlight w:val="none"/>
        </w:rPr>
        <w:t>0分；商务部分及技术部分满分合计为</w:t>
      </w:r>
      <w:r>
        <w:rPr>
          <w:rFonts w:hint="eastAsia" w:hAnsi="宋体" w:cs="宋体;SimSun"/>
          <w:b/>
          <w:bCs/>
          <w:color w:val="auto"/>
          <w:sz w:val="24"/>
          <w:szCs w:val="24"/>
          <w:highlight w:val="none"/>
          <w:lang w:val="en-US" w:eastAsia="zh-CN"/>
        </w:rPr>
        <w:t>7</w:t>
      </w:r>
      <w:r>
        <w:rPr>
          <w:rFonts w:hint="eastAsia" w:hAnsi="宋体" w:cs="宋体;SimSun"/>
          <w:b/>
          <w:bCs/>
          <w:color w:val="auto"/>
          <w:sz w:val="24"/>
          <w:szCs w:val="24"/>
          <w:highlight w:val="none"/>
        </w:rPr>
        <w:t>0分，供应商各部分的分值相加，即为该供应商的综合评估分。</w:t>
      </w:r>
    </w:p>
    <w:p>
      <w:pPr>
        <w:pStyle w:val="59"/>
        <w:snapToGrid w:val="0"/>
        <w:spacing w:line="480" w:lineRule="exact"/>
        <w:ind w:firstLine="240"/>
        <w:rPr>
          <w:rFonts w:hint="eastAsia" w:hAnsi="宋体" w:cs="宋体;SimSun"/>
          <w:color w:val="auto"/>
          <w:sz w:val="24"/>
          <w:szCs w:val="24"/>
          <w:highlight w:val="none"/>
        </w:rPr>
      </w:pPr>
      <w:r>
        <w:rPr>
          <w:rFonts w:hAnsi="宋体"/>
          <w:color w:val="auto"/>
          <w:sz w:val="24"/>
          <w:szCs w:val="24"/>
          <w:highlight w:val="none"/>
        </w:rPr>
        <w:t>2.</w:t>
      </w:r>
      <w:r>
        <w:rPr>
          <w:rFonts w:hint="eastAsia" w:hAnsi="宋体"/>
          <w:color w:val="auto"/>
          <w:sz w:val="24"/>
          <w:szCs w:val="24"/>
          <w:highlight w:val="none"/>
        </w:rPr>
        <w:t>3</w:t>
      </w:r>
      <w:r>
        <w:rPr>
          <w:rFonts w:hint="eastAsia" w:hAnsi="宋体" w:cs="宋体;SimSun"/>
          <w:color w:val="auto"/>
          <w:sz w:val="24"/>
          <w:szCs w:val="24"/>
          <w:highlight w:val="none"/>
        </w:rPr>
        <w:t>评审办法附表</w:t>
      </w:r>
    </w:p>
    <w:p>
      <w:pPr>
        <w:rPr>
          <w:rFonts w:hint="eastAsia" w:hAnsi="宋体" w:cs="宋体;SimSun"/>
          <w:color w:val="auto"/>
          <w:sz w:val="24"/>
          <w:szCs w:val="24"/>
          <w:highlight w:val="none"/>
        </w:rPr>
      </w:pPr>
    </w:p>
    <w:p>
      <w:pPr>
        <w:pStyle w:val="27"/>
        <w:rPr>
          <w:rFonts w:hint="eastAsia"/>
          <w:color w:val="auto"/>
          <w:highlight w:val="none"/>
        </w:rPr>
      </w:pPr>
    </w:p>
    <w:p>
      <w:pPr>
        <w:snapToGrid w:val="0"/>
        <w:spacing w:line="360" w:lineRule="auto"/>
        <w:jc w:val="center"/>
        <w:rPr>
          <w:rFonts w:hint="eastAsia" w:ascii="宋体" w:hAnsi="宋体" w:cs="宋体"/>
          <w:b/>
          <w:bCs/>
          <w:color w:val="auto"/>
          <w:sz w:val="24"/>
          <w:highlight w:val="none"/>
        </w:rPr>
      </w:pPr>
      <w:r>
        <w:rPr>
          <w:rFonts w:hint="eastAsia" w:ascii="宋体" w:hAnsi="宋体" w:cs="宋体"/>
          <w:b/>
          <w:bCs/>
          <w:color w:val="auto"/>
          <w:sz w:val="24"/>
          <w:highlight w:val="none"/>
        </w:rPr>
        <w:t>初步审查表-资格性审查</w:t>
      </w:r>
    </w:p>
    <w:tbl>
      <w:tblPr>
        <w:tblStyle w:val="61"/>
        <w:tblW w:w="8900" w:type="dxa"/>
        <w:tblInd w:w="98" w:type="dxa"/>
        <w:tblLayout w:type="fixed"/>
        <w:tblCellMar>
          <w:top w:w="0" w:type="dxa"/>
          <w:left w:w="108" w:type="dxa"/>
          <w:bottom w:w="0" w:type="dxa"/>
          <w:right w:w="108" w:type="dxa"/>
        </w:tblCellMar>
      </w:tblPr>
      <w:tblGrid>
        <w:gridCol w:w="735"/>
        <w:gridCol w:w="1338"/>
        <w:gridCol w:w="3547"/>
        <w:gridCol w:w="3280"/>
      </w:tblGrid>
      <w:tr>
        <w:tblPrEx>
          <w:tblCellMar>
            <w:top w:w="0" w:type="dxa"/>
            <w:left w:w="108" w:type="dxa"/>
            <w:bottom w:w="0" w:type="dxa"/>
            <w:right w:w="108" w:type="dxa"/>
          </w:tblCellMar>
        </w:tblPrEx>
        <w:trPr>
          <w:trHeight w:val="662" w:hRule="atLeast"/>
        </w:trPr>
        <w:tc>
          <w:tcPr>
            <w:tcW w:w="73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auto"/>
                <w:sz w:val="24"/>
                <w:highlight w:val="none"/>
              </w:rPr>
            </w:pPr>
            <w:r>
              <w:rPr>
                <w:rFonts w:hint="eastAsia" w:ascii="宋体" w:hAnsi="宋体"/>
                <w:color w:val="auto"/>
                <w:kern w:val="0"/>
                <w:sz w:val="24"/>
                <w:highlight w:val="none"/>
                <w:lang w:bidi="ar"/>
              </w:rPr>
              <w:t>序号</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auto"/>
                <w:sz w:val="24"/>
                <w:highlight w:val="none"/>
              </w:rPr>
            </w:pPr>
            <w:r>
              <w:rPr>
                <w:rFonts w:hint="eastAsia" w:ascii="宋体" w:hAnsi="宋体"/>
                <w:color w:val="auto"/>
                <w:kern w:val="0"/>
                <w:sz w:val="24"/>
                <w:highlight w:val="none"/>
                <w:lang w:bidi="ar"/>
              </w:rPr>
              <w:t>类型</w:t>
            </w:r>
          </w:p>
        </w:tc>
        <w:tc>
          <w:tcPr>
            <w:tcW w:w="354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auto"/>
                <w:sz w:val="24"/>
                <w:highlight w:val="none"/>
              </w:rPr>
            </w:pPr>
            <w:r>
              <w:rPr>
                <w:rFonts w:hint="eastAsia" w:ascii="宋体" w:hAnsi="宋体"/>
                <w:color w:val="auto"/>
                <w:kern w:val="0"/>
                <w:sz w:val="24"/>
                <w:highlight w:val="none"/>
                <w:lang w:bidi="ar"/>
              </w:rPr>
              <w:t>审查要求</w:t>
            </w:r>
          </w:p>
        </w:tc>
        <w:tc>
          <w:tcPr>
            <w:tcW w:w="328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auto"/>
                <w:sz w:val="24"/>
                <w:highlight w:val="none"/>
              </w:rPr>
            </w:pPr>
            <w:r>
              <w:rPr>
                <w:rFonts w:hint="eastAsia" w:ascii="宋体" w:hAnsi="宋体"/>
                <w:color w:val="auto"/>
                <w:kern w:val="0"/>
                <w:sz w:val="24"/>
                <w:highlight w:val="none"/>
                <w:lang w:bidi="ar"/>
              </w:rPr>
              <w:t>要求说明</w:t>
            </w:r>
          </w:p>
        </w:tc>
      </w:tr>
      <w:tr>
        <w:tblPrEx>
          <w:tblCellMar>
            <w:top w:w="0" w:type="dxa"/>
            <w:left w:w="108" w:type="dxa"/>
            <w:bottom w:w="0" w:type="dxa"/>
            <w:right w:w="108" w:type="dxa"/>
          </w:tblCellMar>
        </w:tblPrEx>
        <w:trPr>
          <w:trHeight w:val="295" w:hRule="atLeast"/>
        </w:trPr>
        <w:tc>
          <w:tcPr>
            <w:tcW w:w="73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olor w:val="auto"/>
                <w:kern w:val="0"/>
                <w:sz w:val="24"/>
                <w:highlight w:val="none"/>
                <w:lang w:bidi="ar"/>
              </w:rPr>
            </w:pPr>
            <w:r>
              <w:rPr>
                <w:rFonts w:hint="eastAsia" w:ascii="宋体" w:hAnsi="宋体"/>
                <w:color w:val="auto"/>
                <w:kern w:val="0"/>
                <w:sz w:val="24"/>
                <w:highlight w:val="none"/>
                <w:lang w:bidi="ar"/>
              </w:rPr>
              <w:t>1</w:t>
            </w:r>
          </w:p>
        </w:tc>
        <w:tc>
          <w:tcPr>
            <w:tcW w:w="1338"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top"/>
              <w:rPr>
                <w:rFonts w:ascii="Arial" w:hAnsi="Arial" w:cs="Arial"/>
                <w:color w:val="auto"/>
                <w:kern w:val="0"/>
                <w:sz w:val="24"/>
                <w:highlight w:val="none"/>
                <w:lang w:bidi="ar"/>
              </w:rPr>
            </w:pPr>
            <w:r>
              <w:rPr>
                <w:rFonts w:hint="eastAsia" w:ascii="Arial" w:hAnsi="Arial" w:cs="Arial"/>
                <w:color w:val="auto"/>
                <w:kern w:val="0"/>
                <w:sz w:val="24"/>
                <w:highlight w:val="none"/>
                <w:lang w:bidi="ar"/>
              </w:rPr>
              <w:t>基本资质</w:t>
            </w:r>
          </w:p>
        </w:tc>
        <w:tc>
          <w:tcPr>
            <w:tcW w:w="354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hint="eastAsia" w:ascii="宋体" w:hAnsi="宋体"/>
                <w:color w:val="auto"/>
                <w:kern w:val="0"/>
                <w:sz w:val="24"/>
                <w:highlight w:val="none"/>
                <w:lang w:bidi="ar"/>
              </w:rPr>
            </w:pPr>
            <w:r>
              <w:rPr>
                <w:rFonts w:hint="eastAsia" w:ascii="宋体" w:hAnsi="宋体"/>
                <w:color w:val="auto"/>
                <w:kern w:val="0"/>
                <w:sz w:val="24"/>
                <w:highlight w:val="none"/>
                <w:lang w:bidi="ar"/>
              </w:rPr>
              <w:t>法定代表人身份证明或授权委托书及被授权人身份证是否提供且有效</w:t>
            </w:r>
          </w:p>
        </w:tc>
        <w:tc>
          <w:tcPr>
            <w:tcW w:w="3280"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olor w:val="auto"/>
                <w:kern w:val="0"/>
                <w:sz w:val="24"/>
                <w:highlight w:val="none"/>
                <w:lang w:bidi="ar"/>
              </w:rPr>
            </w:pPr>
            <w:r>
              <w:rPr>
                <w:rFonts w:hint="eastAsia" w:ascii="宋体" w:hAnsi="宋体"/>
                <w:color w:val="auto"/>
                <w:kern w:val="0"/>
                <w:sz w:val="24"/>
                <w:highlight w:val="none"/>
                <w:lang w:bidi="ar"/>
              </w:rPr>
              <w:t>查看法定代表人身份证明或授权委托书</w:t>
            </w:r>
          </w:p>
        </w:tc>
      </w:tr>
      <w:tr>
        <w:tblPrEx>
          <w:tblCellMar>
            <w:top w:w="0" w:type="dxa"/>
            <w:left w:w="108" w:type="dxa"/>
            <w:bottom w:w="0" w:type="dxa"/>
            <w:right w:w="108" w:type="dxa"/>
          </w:tblCellMar>
        </w:tblPrEx>
        <w:trPr>
          <w:trHeight w:val="737" w:hRule="atLeast"/>
        </w:trPr>
        <w:tc>
          <w:tcPr>
            <w:tcW w:w="73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olor w:val="auto"/>
                <w:kern w:val="0"/>
                <w:sz w:val="24"/>
                <w:highlight w:val="none"/>
                <w:lang w:bidi="ar"/>
              </w:rPr>
            </w:pPr>
            <w:r>
              <w:rPr>
                <w:rFonts w:hint="eastAsia" w:ascii="宋体" w:hAnsi="宋体"/>
                <w:color w:val="auto"/>
                <w:kern w:val="0"/>
                <w:sz w:val="24"/>
                <w:highlight w:val="none"/>
                <w:lang w:bidi="ar"/>
              </w:rPr>
              <w:t>2</w:t>
            </w:r>
          </w:p>
        </w:tc>
        <w:tc>
          <w:tcPr>
            <w:tcW w:w="1338"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top"/>
              <w:rPr>
                <w:rFonts w:ascii="Arial" w:hAnsi="Arial" w:cs="Arial"/>
                <w:color w:val="auto"/>
                <w:kern w:val="0"/>
                <w:sz w:val="24"/>
                <w:highlight w:val="none"/>
                <w:lang w:bidi="ar"/>
              </w:rPr>
            </w:pPr>
            <w:r>
              <w:rPr>
                <w:rFonts w:hint="eastAsia" w:ascii="Arial" w:hAnsi="Arial" w:cs="Arial"/>
                <w:color w:val="auto"/>
                <w:kern w:val="0"/>
                <w:sz w:val="24"/>
                <w:highlight w:val="none"/>
                <w:lang w:bidi="ar"/>
              </w:rPr>
              <w:t>基本资质</w:t>
            </w:r>
          </w:p>
        </w:tc>
        <w:tc>
          <w:tcPr>
            <w:tcW w:w="354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hint="eastAsia" w:ascii="宋体" w:hAnsi="宋体"/>
                <w:color w:val="auto"/>
                <w:kern w:val="0"/>
                <w:sz w:val="24"/>
                <w:highlight w:val="none"/>
                <w:lang w:bidi="ar"/>
              </w:rPr>
            </w:pPr>
            <w:r>
              <w:rPr>
                <w:rFonts w:hint="eastAsia" w:ascii="宋体" w:hAnsi="宋体"/>
                <w:color w:val="auto"/>
                <w:kern w:val="0"/>
                <w:sz w:val="24"/>
                <w:highlight w:val="none"/>
                <w:lang w:bidi="ar"/>
              </w:rPr>
              <w:t>投标保证金是否足额交纳</w:t>
            </w:r>
          </w:p>
        </w:tc>
        <w:tc>
          <w:tcPr>
            <w:tcW w:w="3280"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olor w:val="auto"/>
                <w:kern w:val="0"/>
                <w:sz w:val="24"/>
                <w:highlight w:val="none"/>
                <w:lang w:bidi="ar"/>
              </w:rPr>
            </w:pPr>
            <w:r>
              <w:rPr>
                <w:rFonts w:hint="eastAsia" w:ascii="宋体" w:hAnsi="宋体"/>
                <w:color w:val="auto"/>
                <w:kern w:val="0"/>
                <w:sz w:val="24"/>
                <w:highlight w:val="none"/>
                <w:lang w:bidi="ar"/>
              </w:rPr>
              <w:t>查看保证金汇款凭证</w:t>
            </w:r>
          </w:p>
        </w:tc>
      </w:tr>
      <w:tr>
        <w:tblPrEx>
          <w:tblCellMar>
            <w:top w:w="0" w:type="dxa"/>
            <w:left w:w="108" w:type="dxa"/>
            <w:bottom w:w="0" w:type="dxa"/>
            <w:right w:w="108" w:type="dxa"/>
          </w:tblCellMar>
        </w:tblPrEx>
        <w:trPr>
          <w:trHeight w:val="975" w:hRule="atLeast"/>
        </w:trPr>
        <w:tc>
          <w:tcPr>
            <w:tcW w:w="73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auto"/>
                <w:sz w:val="24"/>
                <w:highlight w:val="none"/>
              </w:rPr>
            </w:pPr>
            <w:r>
              <w:rPr>
                <w:rFonts w:hint="eastAsia" w:ascii="宋体" w:hAnsi="宋体"/>
                <w:color w:val="auto"/>
                <w:kern w:val="0"/>
                <w:sz w:val="24"/>
                <w:highlight w:val="none"/>
                <w:lang w:bidi="ar"/>
              </w:rPr>
              <w:t>3</w:t>
            </w:r>
          </w:p>
        </w:tc>
        <w:tc>
          <w:tcPr>
            <w:tcW w:w="1338"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top"/>
              <w:rPr>
                <w:rFonts w:ascii="Arial" w:hAnsi="Arial" w:cs="Arial"/>
                <w:color w:val="auto"/>
                <w:sz w:val="24"/>
                <w:highlight w:val="none"/>
              </w:rPr>
            </w:pPr>
            <w:r>
              <w:rPr>
                <w:rFonts w:ascii="Arial" w:hAnsi="Arial" w:cs="Arial"/>
                <w:color w:val="auto"/>
                <w:kern w:val="0"/>
                <w:sz w:val="24"/>
                <w:highlight w:val="none"/>
                <w:lang w:bidi="ar"/>
              </w:rPr>
              <w:t>基本资质</w:t>
            </w:r>
          </w:p>
        </w:tc>
        <w:tc>
          <w:tcPr>
            <w:tcW w:w="354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hint="eastAsia" w:ascii="宋体" w:hAnsi="宋体"/>
                <w:color w:val="auto"/>
                <w:sz w:val="24"/>
                <w:highlight w:val="none"/>
              </w:rPr>
            </w:pPr>
            <w:r>
              <w:rPr>
                <w:rFonts w:hint="eastAsia" w:ascii="宋体" w:hAnsi="宋体"/>
                <w:color w:val="auto"/>
                <w:kern w:val="0"/>
                <w:sz w:val="24"/>
                <w:highlight w:val="none"/>
                <w:lang w:bidi="ar"/>
              </w:rPr>
              <w:t>满足《中华人民共和国政府采购法》第二十二条规定</w:t>
            </w:r>
          </w:p>
        </w:tc>
        <w:tc>
          <w:tcPr>
            <w:tcW w:w="328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hint="eastAsia" w:ascii="宋体" w:hAnsi="宋体"/>
                <w:color w:val="auto"/>
                <w:sz w:val="24"/>
                <w:highlight w:val="none"/>
              </w:rPr>
            </w:pPr>
            <w:r>
              <w:rPr>
                <w:rFonts w:hint="eastAsia" w:ascii="宋体" w:hAnsi="宋体"/>
                <w:color w:val="auto"/>
                <w:kern w:val="0"/>
                <w:sz w:val="24"/>
                <w:highlight w:val="none"/>
                <w:lang w:bidi="ar"/>
              </w:rPr>
              <w:t>查看</w:t>
            </w:r>
            <w:r>
              <w:rPr>
                <w:rFonts w:hint="eastAsia" w:ascii="宋体" w:hAnsi="宋体"/>
                <w:color w:val="auto"/>
                <w:kern w:val="0"/>
                <w:sz w:val="24"/>
                <w:highlight w:val="none"/>
                <w:lang w:eastAsia="zh-CN" w:bidi="ar"/>
              </w:rPr>
              <w:t>供应商</w:t>
            </w:r>
            <w:r>
              <w:rPr>
                <w:rFonts w:hint="eastAsia" w:ascii="宋体" w:hAnsi="宋体"/>
                <w:color w:val="auto"/>
                <w:kern w:val="0"/>
                <w:sz w:val="24"/>
                <w:highlight w:val="none"/>
                <w:lang w:bidi="ar"/>
              </w:rPr>
              <w:t>资格审查证明材料（营业执照、财务会计制度、人员清单或承诺书、纳税证明材料、社保缴纳证明材料、无重大违法记录的承诺书）</w:t>
            </w:r>
          </w:p>
        </w:tc>
      </w:tr>
      <w:tr>
        <w:tblPrEx>
          <w:tblCellMar>
            <w:top w:w="0" w:type="dxa"/>
            <w:left w:w="108" w:type="dxa"/>
            <w:bottom w:w="0" w:type="dxa"/>
            <w:right w:w="108" w:type="dxa"/>
          </w:tblCellMar>
        </w:tblPrEx>
        <w:trPr>
          <w:trHeight w:val="839" w:hRule="atLeast"/>
        </w:trPr>
        <w:tc>
          <w:tcPr>
            <w:tcW w:w="73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auto"/>
                <w:kern w:val="0"/>
                <w:sz w:val="24"/>
                <w:highlight w:val="none"/>
                <w:lang w:bidi="ar"/>
              </w:rPr>
            </w:pPr>
            <w:r>
              <w:rPr>
                <w:rFonts w:hint="eastAsia" w:ascii="宋体" w:hAnsi="宋体"/>
                <w:color w:val="auto"/>
                <w:kern w:val="0"/>
                <w:sz w:val="24"/>
                <w:highlight w:val="none"/>
                <w:lang w:bidi="ar"/>
              </w:rPr>
              <w:t>4</w:t>
            </w:r>
          </w:p>
        </w:tc>
        <w:tc>
          <w:tcPr>
            <w:tcW w:w="1338"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top"/>
              <w:rPr>
                <w:rFonts w:ascii="Arial" w:hAnsi="Arial" w:cs="Arial"/>
                <w:color w:val="auto"/>
                <w:kern w:val="0"/>
                <w:sz w:val="24"/>
                <w:highlight w:val="none"/>
                <w:lang w:bidi="ar"/>
              </w:rPr>
            </w:pPr>
            <w:r>
              <w:rPr>
                <w:rFonts w:ascii="Arial" w:hAnsi="Arial" w:cs="Arial"/>
                <w:color w:val="auto"/>
                <w:kern w:val="0"/>
                <w:sz w:val="24"/>
                <w:highlight w:val="none"/>
                <w:lang w:bidi="ar"/>
              </w:rPr>
              <w:t>特定资质</w:t>
            </w:r>
          </w:p>
        </w:tc>
        <w:tc>
          <w:tcPr>
            <w:tcW w:w="3547"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ascii="宋体" w:hAnsi="宋体" w:eastAsia="宋体"/>
                <w:color w:val="auto"/>
                <w:kern w:val="0"/>
                <w:sz w:val="24"/>
                <w:highlight w:val="none"/>
                <w:lang w:eastAsia="zh-CN" w:bidi="ar"/>
              </w:rPr>
            </w:pPr>
            <w:r>
              <w:rPr>
                <w:rFonts w:hint="eastAsia" w:ascii="宋体" w:hAnsi="宋体"/>
                <w:color w:val="auto"/>
                <w:kern w:val="0"/>
                <w:sz w:val="24"/>
                <w:highlight w:val="none"/>
                <w:lang w:eastAsia="zh-CN" w:bidi="ar"/>
              </w:rPr>
              <w:t>供应商</w:t>
            </w:r>
            <w:r>
              <w:rPr>
                <w:rFonts w:hint="eastAsia" w:ascii="宋体" w:hAnsi="宋体"/>
                <w:color w:val="auto"/>
                <w:kern w:val="0"/>
                <w:sz w:val="24"/>
                <w:highlight w:val="none"/>
                <w:lang w:bidi="ar"/>
              </w:rPr>
              <w:t>需在中华人民共和国境内注册</w:t>
            </w:r>
            <w:r>
              <w:rPr>
                <w:rFonts w:hint="eastAsia" w:ascii="宋体" w:hAnsi="宋体"/>
                <w:color w:val="auto"/>
                <w:kern w:val="0"/>
                <w:sz w:val="24"/>
                <w:highlight w:val="none"/>
                <w:lang w:eastAsia="zh-CN" w:bidi="ar"/>
              </w:rPr>
              <w:t>；</w:t>
            </w:r>
          </w:p>
        </w:tc>
        <w:tc>
          <w:tcPr>
            <w:tcW w:w="328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hint="eastAsia" w:ascii="宋体" w:hAnsi="宋体"/>
                <w:color w:val="auto"/>
                <w:kern w:val="0"/>
                <w:sz w:val="24"/>
                <w:highlight w:val="none"/>
                <w:lang w:bidi="ar"/>
              </w:rPr>
            </w:pPr>
            <w:r>
              <w:rPr>
                <w:rFonts w:hint="eastAsia" w:ascii="宋体" w:hAnsi="宋体"/>
                <w:color w:val="auto"/>
                <w:kern w:val="0"/>
                <w:sz w:val="24"/>
                <w:highlight w:val="none"/>
                <w:lang w:bidi="ar"/>
              </w:rPr>
              <w:t>查看</w:t>
            </w:r>
            <w:r>
              <w:rPr>
                <w:rFonts w:hint="eastAsia" w:ascii="宋体" w:hAnsi="宋体"/>
                <w:color w:val="auto"/>
                <w:kern w:val="0"/>
                <w:sz w:val="24"/>
                <w:highlight w:val="none"/>
                <w:lang w:eastAsia="zh-CN" w:bidi="ar"/>
              </w:rPr>
              <w:t>供应商</w:t>
            </w:r>
            <w:r>
              <w:rPr>
                <w:rFonts w:hint="eastAsia" w:ascii="宋体" w:hAnsi="宋体"/>
                <w:color w:val="auto"/>
                <w:kern w:val="0"/>
                <w:sz w:val="24"/>
                <w:highlight w:val="none"/>
                <w:lang w:bidi="ar"/>
              </w:rPr>
              <w:t>营业执照</w:t>
            </w:r>
          </w:p>
        </w:tc>
      </w:tr>
      <w:tr>
        <w:tblPrEx>
          <w:tblCellMar>
            <w:top w:w="0" w:type="dxa"/>
            <w:left w:w="108" w:type="dxa"/>
            <w:bottom w:w="0" w:type="dxa"/>
            <w:right w:w="108" w:type="dxa"/>
          </w:tblCellMar>
        </w:tblPrEx>
        <w:trPr>
          <w:trHeight w:val="3018" w:hRule="atLeast"/>
        </w:trPr>
        <w:tc>
          <w:tcPr>
            <w:tcW w:w="73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auto"/>
                <w:sz w:val="24"/>
                <w:highlight w:val="none"/>
              </w:rPr>
            </w:pPr>
            <w:r>
              <w:rPr>
                <w:rFonts w:hint="eastAsia" w:ascii="宋体" w:hAnsi="宋体"/>
                <w:color w:val="auto"/>
                <w:kern w:val="0"/>
                <w:sz w:val="24"/>
                <w:highlight w:val="none"/>
                <w:lang w:bidi="ar"/>
              </w:rPr>
              <w:t>5</w:t>
            </w:r>
          </w:p>
        </w:tc>
        <w:tc>
          <w:tcPr>
            <w:tcW w:w="1338"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top"/>
              <w:rPr>
                <w:rFonts w:ascii="Arial" w:hAnsi="Arial" w:cs="Arial"/>
                <w:color w:val="auto"/>
                <w:sz w:val="24"/>
                <w:highlight w:val="none"/>
              </w:rPr>
            </w:pPr>
            <w:r>
              <w:rPr>
                <w:rFonts w:ascii="Arial" w:hAnsi="Arial" w:cs="Arial"/>
                <w:color w:val="auto"/>
                <w:kern w:val="0"/>
                <w:sz w:val="24"/>
                <w:highlight w:val="none"/>
                <w:lang w:bidi="ar"/>
              </w:rPr>
              <w:t>特定资质</w:t>
            </w:r>
          </w:p>
        </w:tc>
        <w:tc>
          <w:tcPr>
            <w:tcW w:w="3547"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ascii="宋体" w:hAnsi="宋体"/>
                <w:color w:val="auto"/>
                <w:sz w:val="24"/>
                <w:highlight w:val="none"/>
              </w:rPr>
            </w:pPr>
            <w:r>
              <w:rPr>
                <w:rFonts w:hint="eastAsia" w:ascii="宋体" w:hAnsi="宋体"/>
                <w:color w:val="auto"/>
                <w:kern w:val="0"/>
                <w:sz w:val="24"/>
                <w:highlight w:val="none"/>
                <w:lang w:eastAsia="zh-CN" w:bidi="ar"/>
              </w:rPr>
              <w:t>供应商</w:t>
            </w:r>
            <w:r>
              <w:rPr>
                <w:rFonts w:hint="eastAsia" w:ascii="宋体" w:hAnsi="宋体"/>
                <w:color w:val="auto"/>
                <w:kern w:val="0"/>
                <w:sz w:val="24"/>
                <w:highlight w:val="none"/>
                <w:lang w:bidi="ar"/>
              </w:rPr>
              <w:t>的信誉情况需在开标日前未被列入信用中国和中国政府采购网的“失信被执行人” “重大税收违法案件当事人名单” “政府采购严重违法失信名单”其中之一。若列入，将拒绝其参与本项目。（网址：http://www.creditchina.gov.cn/、ttp://www.ccgp.gov.cn/）</w:t>
            </w:r>
          </w:p>
        </w:tc>
        <w:tc>
          <w:tcPr>
            <w:tcW w:w="328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hint="eastAsia" w:ascii="宋体" w:hAnsi="宋体"/>
                <w:color w:val="auto"/>
                <w:sz w:val="24"/>
                <w:highlight w:val="none"/>
              </w:rPr>
            </w:pPr>
            <w:r>
              <w:rPr>
                <w:rFonts w:hint="eastAsia" w:ascii="宋体" w:hAnsi="宋体"/>
                <w:color w:val="auto"/>
                <w:kern w:val="0"/>
                <w:sz w:val="24"/>
                <w:highlight w:val="none"/>
                <w:lang w:bidi="ar"/>
              </w:rPr>
              <w:t>查看</w:t>
            </w:r>
            <w:r>
              <w:rPr>
                <w:rFonts w:hint="eastAsia" w:ascii="宋体" w:hAnsi="宋体"/>
                <w:color w:val="auto"/>
                <w:kern w:val="0"/>
                <w:sz w:val="24"/>
                <w:highlight w:val="none"/>
                <w:lang w:eastAsia="zh-CN" w:bidi="ar"/>
              </w:rPr>
              <w:t>供应商</w:t>
            </w:r>
            <w:r>
              <w:rPr>
                <w:rFonts w:hint="eastAsia" w:ascii="宋体" w:hAnsi="宋体"/>
                <w:color w:val="auto"/>
                <w:kern w:val="0"/>
                <w:sz w:val="24"/>
                <w:highlight w:val="none"/>
                <w:lang w:bidi="ar"/>
              </w:rPr>
              <w:t>信用情况</w:t>
            </w:r>
          </w:p>
        </w:tc>
      </w:tr>
    </w:tbl>
    <w:p>
      <w:pPr>
        <w:snapToGrid w:val="0"/>
        <w:spacing w:line="360" w:lineRule="auto"/>
        <w:jc w:val="center"/>
        <w:rPr>
          <w:rFonts w:hint="eastAsia" w:ascii="宋体" w:hAnsi="宋体" w:cs="宋体"/>
          <w:b/>
          <w:bCs/>
          <w:color w:val="auto"/>
          <w:sz w:val="24"/>
          <w:highlight w:val="none"/>
        </w:rPr>
      </w:pPr>
    </w:p>
    <w:p>
      <w:pPr>
        <w:snapToGrid w:val="0"/>
        <w:spacing w:line="360" w:lineRule="auto"/>
        <w:jc w:val="center"/>
        <w:rPr>
          <w:rFonts w:hint="eastAsia" w:ascii="宋体" w:hAnsi="宋体" w:cs="宋体"/>
          <w:b/>
          <w:bCs/>
          <w:color w:val="auto"/>
          <w:sz w:val="24"/>
          <w:highlight w:val="none"/>
        </w:rPr>
      </w:pPr>
      <w:r>
        <w:rPr>
          <w:rFonts w:hint="eastAsia" w:ascii="宋体" w:hAnsi="宋体" w:cs="宋体"/>
          <w:b/>
          <w:bCs/>
          <w:color w:val="auto"/>
          <w:sz w:val="24"/>
          <w:highlight w:val="none"/>
        </w:rPr>
        <w:t>初步审查表-符合性审查</w:t>
      </w:r>
    </w:p>
    <w:tbl>
      <w:tblPr>
        <w:tblStyle w:val="61"/>
        <w:tblW w:w="8900" w:type="dxa"/>
        <w:tblInd w:w="98" w:type="dxa"/>
        <w:tblLayout w:type="fixed"/>
        <w:tblCellMar>
          <w:top w:w="0" w:type="dxa"/>
          <w:left w:w="108" w:type="dxa"/>
          <w:bottom w:w="0" w:type="dxa"/>
          <w:right w:w="108" w:type="dxa"/>
        </w:tblCellMar>
      </w:tblPr>
      <w:tblGrid>
        <w:gridCol w:w="735"/>
        <w:gridCol w:w="1338"/>
        <w:gridCol w:w="5135"/>
        <w:gridCol w:w="1692"/>
      </w:tblGrid>
      <w:tr>
        <w:tblPrEx>
          <w:tblCellMar>
            <w:top w:w="0" w:type="dxa"/>
            <w:left w:w="108" w:type="dxa"/>
            <w:bottom w:w="0" w:type="dxa"/>
            <w:right w:w="108" w:type="dxa"/>
          </w:tblCellMar>
        </w:tblPrEx>
        <w:trPr>
          <w:trHeight w:val="652" w:hRule="atLeast"/>
        </w:trPr>
        <w:tc>
          <w:tcPr>
            <w:tcW w:w="73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auto"/>
                <w:sz w:val="24"/>
                <w:highlight w:val="none"/>
              </w:rPr>
            </w:pPr>
            <w:r>
              <w:rPr>
                <w:rFonts w:hint="eastAsia" w:ascii="宋体" w:hAnsi="宋体"/>
                <w:color w:val="auto"/>
                <w:kern w:val="0"/>
                <w:sz w:val="24"/>
                <w:highlight w:val="none"/>
                <w:lang w:bidi="ar"/>
              </w:rPr>
              <w:t>序号</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auto"/>
                <w:sz w:val="24"/>
                <w:highlight w:val="none"/>
              </w:rPr>
            </w:pPr>
            <w:r>
              <w:rPr>
                <w:rFonts w:hint="eastAsia" w:ascii="宋体" w:hAnsi="宋体"/>
                <w:color w:val="auto"/>
                <w:kern w:val="0"/>
                <w:sz w:val="24"/>
                <w:highlight w:val="none"/>
                <w:lang w:bidi="ar"/>
              </w:rPr>
              <w:t>类型</w:t>
            </w:r>
          </w:p>
        </w:tc>
        <w:tc>
          <w:tcPr>
            <w:tcW w:w="513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auto"/>
                <w:sz w:val="24"/>
                <w:highlight w:val="none"/>
              </w:rPr>
            </w:pPr>
            <w:r>
              <w:rPr>
                <w:rFonts w:hint="eastAsia" w:ascii="宋体" w:hAnsi="宋体"/>
                <w:color w:val="auto"/>
                <w:kern w:val="0"/>
                <w:sz w:val="24"/>
                <w:highlight w:val="none"/>
                <w:lang w:bidi="ar"/>
              </w:rPr>
              <w:t>审查要求</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auto"/>
                <w:sz w:val="24"/>
                <w:highlight w:val="none"/>
              </w:rPr>
            </w:pPr>
            <w:r>
              <w:rPr>
                <w:rFonts w:hint="eastAsia" w:ascii="宋体" w:hAnsi="宋体"/>
                <w:color w:val="auto"/>
                <w:kern w:val="0"/>
                <w:sz w:val="24"/>
                <w:highlight w:val="none"/>
                <w:lang w:bidi="ar"/>
              </w:rPr>
              <w:t>要求说明</w:t>
            </w:r>
          </w:p>
        </w:tc>
      </w:tr>
      <w:tr>
        <w:tblPrEx>
          <w:tblCellMar>
            <w:top w:w="0" w:type="dxa"/>
            <w:left w:w="108" w:type="dxa"/>
            <w:bottom w:w="0" w:type="dxa"/>
            <w:right w:w="108" w:type="dxa"/>
          </w:tblCellMar>
        </w:tblPrEx>
        <w:trPr>
          <w:trHeight w:val="777" w:hRule="atLeast"/>
        </w:trPr>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outlineLvl w:val="0"/>
              <w:rPr>
                <w:rFonts w:hint="eastAsia" w:ascii="宋体" w:hAnsi="宋体"/>
                <w:color w:val="auto"/>
                <w:sz w:val="24"/>
                <w:highlight w:val="none"/>
              </w:rPr>
            </w:pPr>
            <w:r>
              <w:rPr>
                <w:rFonts w:hint="eastAsia" w:ascii="宋体" w:hAnsi="宋体"/>
                <w:color w:val="auto"/>
                <w:sz w:val="24"/>
                <w:highlight w:val="none"/>
              </w:rPr>
              <w:t>1</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auto"/>
                <w:kern w:val="0"/>
                <w:sz w:val="24"/>
                <w:highlight w:val="none"/>
                <w:lang w:bidi="ar"/>
              </w:rPr>
            </w:pPr>
            <w:r>
              <w:rPr>
                <w:rFonts w:hint="eastAsia" w:ascii="宋体" w:hAnsi="宋体"/>
                <w:color w:val="auto"/>
                <w:kern w:val="0"/>
                <w:sz w:val="24"/>
                <w:highlight w:val="none"/>
                <w:lang w:bidi="ar"/>
              </w:rPr>
              <w:t>报价</w:t>
            </w:r>
          </w:p>
        </w:tc>
        <w:tc>
          <w:tcPr>
            <w:tcW w:w="51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0"/>
              <w:rPr>
                <w:rFonts w:hint="eastAsia" w:ascii="宋体" w:hAnsi="宋体" w:eastAsia="宋体"/>
                <w:color w:val="auto"/>
                <w:sz w:val="24"/>
                <w:highlight w:val="none"/>
                <w:lang w:eastAsia="zh-CN"/>
              </w:rPr>
            </w:pPr>
            <w:r>
              <w:rPr>
                <w:rFonts w:hint="eastAsia" w:ascii="宋体" w:hAnsi="宋体"/>
                <w:color w:val="auto"/>
                <w:sz w:val="24"/>
                <w:highlight w:val="none"/>
                <w:lang w:eastAsia="zh-CN"/>
              </w:rPr>
              <w:t>供应商</w:t>
            </w:r>
            <w:r>
              <w:rPr>
                <w:rFonts w:hint="eastAsia" w:ascii="宋体" w:hAnsi="宋体"/>
                <w:color w:val="auto"/>
                <w:sz w:val="24"/>
                <w:highlight w:val="none"/>
              </w:rPr>
              <w:t>的报价是否有效，且未超过</w:t>
            </w:r>
            <w:r>
              <w:rPr>
                <w:rFonts w:hint="eastAsia" w:ascii="宋体" w:hAnsi="宋体"/>
                <w:color w:val="auto"/>
                <w:sz w:val="24"/>
                <w:highlight w:val="none"/>
                <w:lang w:val="en-US" w:eastAsia="zh-CN"/>
              </w:rPr>
              <w:t>最高限价</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olor w:val="auto"/>
                <w:kern w:val="0"/>
                <w:sz w:val="24"/>
                <w:highlight w:val="none"/>
                <w:lang w:bidi="ar"/>
              </w:rPr>
            </w:pPr>
            <w:r>
              <w:rPr>
                <w:rFonts w:hint="eastAsia" w:ascii="宋体" w:hAnsi="宋体"/>
                <w:color w:val="auto"/>
                <w:kern w:val="0"/>
                <w:sz w:val="24"/>
                <w:highlight w:val="none"/>
                <w:lang w:bidi="ar"/>
              </w:rPr>
              <w:t>查看报价</w:t>
            </w:r>
          </w:p>
        </w:tc>
      </w:tr>
      <w:tr>
        <w:tblPrEx>
          <w:tblCellMar>
            <w:top w:w="0" w:type="dxa"/>
            <w:left w:w="108" w:type="dxa"/>
            <w:bottom w:w="0" w:type="dxa"/>
            <w:right w:w="108" w:type="dxa"/>
          </w:tblCellMar>
        </w:tblPrEx>
        <w:trPr>
          <w:trHeight w:val="1060" w:hRule="atLeast"/>
        </w:trPr>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outlineLvl w:val="0"/>
              <w:rPr>
                <w:rFonts w:hint="eastAsia" w:ascii="宋体" w:hAnsi="宋体"/>
                <w:color w:val="auto"/>
                <w:sz w:val="24"/>
                <w:highlight w:val="none"/>
              </w:rPr>
            </w:pPr>
            <w:r>
              <w:rPr>
                <w:rFonts w:hint="eastAsia" w:ascii="宋体" w:hAnsi="宋体"/>
                <w:color w:val="auto"/>
                <w:sz w:val="24"/>
                <w:highlight w:val="none"/>
              </w:rPr>
              <w:t>2</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auto"/>
                <w:kern w:val="0"/>
                <w:sz w:val="24"/>
                <w:highlight w:val="none"/>
                <w:lang w:bidi="ar"/>
              </w:rPr>
            </w:pPr>
            <w:r>
              <w:rPr>
                <w:rFonts w:hint="eastAsia" w:ascii="宋体" w:hAnsi="宋体"/>
                <w:color w:val="auto"/>
                <w:kern w:val="0"/>
                <w:sz w:val="24"/>
                <w:highlight w:val="none"/>
                <w:lang w:bidi="ar"/>
              </w:rPr>
              <w:t>商务</w:t>
            </w:r>
          </w:p>
        </w:tc>
        <w:tc>
          <w:tcPr>
            <w:tcW w:w="5135" w:type="dxa"/>
            <w:tcBorders>
              <w:top w:val="single" w:color="auto" w:sz="4" w:space="0"/>
              <w:left w:val="single" w:color="auto" w:sz="4" w:space="0"/>
              <w:bottom w:val="single" w:color="auto" w:sz="4" w:space="0"/>
              <w:right w:val="single" w:color="auto" w:sz="4" w:space="0"/>
            </w:tcBorders>
            <w:noWrap w:val="0"/>
            <w:vAlign w:val="bottom"/>
          </w:tcPr>
          <w:p>
            <w:pPr>
              <w:spacing w:line="360" w:lineRule="auto"/>
              <w:outlineLvl w:val="0"/>
              <w:rPr>
                <w:rFonts w:hint="eastAsia" w:ascii="宋体" w:hAnsi="宋体"/>
                <w:color w:val="auto"/>
                <w:sz w:val="24"/>
                <w:highlight w:val="none"/>
              </w:rPr>
            </w:pPr>
            <w:r>
              <w:rPr>
                <w:rFonts w:hint="eastAsia" w:ascii="宋体" w:hAnsi="宋体"/>
                <w:color w:val="auto"/>
                <w:sz w:val="24"/>
                <w:highlight w:val="none"/>
              </w:rPr>
              <w:t>投标文件是否有</w:t>
            </w:r>
            <w:r>
              <w:rPr>
                <w:rFonts w:hint="eastAsia" w:ascii="宋体" w:hAnsi="宋体"/>
                <w:color w:val="auto"/>
                <w:sz w:val="24"/>
                <w:highlight w:val="none"/>
                <w:lang w:eastAsia="zh-CN"/>
              </w:rPr>
              <w:t>供应商</w:t>
            </w:r>
            <w:r>
              <w:rPr>
                <w:rFonts w:hint="eastAsia" w:ascii="宋体" w:hAnsi="宋体"/>
                <w:color w:val="auto"/>
                <w:sz w:val="24"/>
                <w:highlight w:val="none"/>
              </w:rPr>
              <w:t>法定代表人或其授权代表签字，并加盖了</w:t>
            </w:r>
            <w:r>
              <w:rPr>
                <w:rFonts w:hint="eastAsia" w:ascii="宋体" w:hAnsi="宋体"/>
                <w:color w:val="auto"/>
                <w:sz w:val="24"/>
                <w:highlight w:val="none"/>
                <w:lang w:eastAsia="zh-CN"/>
              </w:rPr>
              <w:t>供应商</w:t>
            </w:r>
            <w:r>
              <w:rPr>
                <w:rFonts w:hint="eastAsia" w:ascii="宋体" w:hAnsi="宋体"/>
                <w:color w:val="auto"/>
                <w:sz w:val="24"/>
                <w:highlight w:val="none"/>
              </w:rPr>
              <w:t>的公章</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auto"/>
                <w:kern w:val="0"/>
                <w:sz w:val="24"/>
                <w:highlight w:val="none"/>
                <w:lang w:bidi="ar"/>
              </w:rPr>
            </w:pPr>
            <w:r>
              <w:rPr>
                <w:rFonts w:hint="eastAsia" w:ascii="宋体" w:hAnsi="宋体"/>
                <w:color w:val="auto"/>
                <w:kern w:val="0"/>
                <w:sz w:val="24"/>
                <w:highlight w:val="none"/>
                <w:lang w:bidi="ar"/>
              </w:rPr>
              <w:t>查看投标文件</w:t>
            </w:r>
          </w:p>
        </w:tc>
      </w:tr>
      <w:tr>
        <w:tblPrEx>
          <w:tblCellMar>
            <w:top w:w="0" w:type="dxa"/>
            <w:left w:w="108" w:type="dxa"/>
            <w:bottom w:w="0" w:type="dxa"/>
            <w:right w:w="108" w:type="dxa"/>
          </w:tblCellMar>
        </w:tblPrEx>
        <w:trPr>
          <w:trHeight w:val="1060" w:hRule="atLeast"/>
        </w:trPr>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outlineLvl w:val="0"/>
              <w:rPr>
                <w:rFonts w:hint="eastAsia" w:ascii="宋体" w:hAnsi="宋体"/>
                <w:color w:val="auto"/>
                <w:sz w:val="24"/>
                <w:highlight w:val="none"/>
              </w:rPr>
            </w:pPr>
            <w:r>
              <w:rPr>
                <w:rFonts w:hint="eastAsia" w:ascii="宋体" w:hAnsi="宋体"/>
                <w:color w:val="auto"/>
                <w:sz w:val="24"/>
                <w:highlight w:val="none"/>
              </w:rPr>
              <w:t>3</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auto"/>
                <w:kern w:val="0"/>
                <w:sz w:val="24"/>
                <w:highlight w:val="none"/>
                <w:lang w:bidi="ar"/>
              </w:rPr>
            </w:pPr>
            <w:r>
              <w:rPr>
                <w:rFonts w:hint="eastAsia" w:ascii="宋体" w:hAnsi="宋体"/>
                <w:color w:val="auto"/>
                <w:kern w:val="0"/>
                <w:sz w:val="24"/>
                <w:highlight w:val="none"/>
                <w:lang w:bidi="ar"/>
              </w:rPr>
              <w:t>商务</w:t>
            </w:r>
          </w:p>
        </w:tc>
        <w:tc>
          <w:tcPr>
            <w:tcW w:w="51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0"/>
              <w:rPr>
                <w:rFonts w:hint="eastAsia" w:ascii="宋体" w:hAnsi="宋体"/>
                <w:color w:val="auto"/>
                <w:sz w:val="24"/>
                <w:highlight w:val="none"/>
              </w:rPr>
            </w:pPr>
            <w:r>
              <w:rPr>
                <w:rFonts w:hint="eastAsia" w:ascii="宋体" w:hAnsi="宋体"/>
                <w:color w:val="auto"/>
                <w:sz w:val="24"/>
                <w:highlight w:val="none"/>
              </w:rPr>
              <w:t>投标文件是否按</w:t>
            </w:r>
            <w:r>
              <w:rPr>
                <w:rFonts w:hint="eastAsia" w:ascii="宋体" w:hAnsi="宋体"/>
                <w:color w:val="auto"/>
                <w:sz w:val="24"/>
                <w:highlight w:val="none"/>
                <w:lang w:val="en-US" w:eastAsia="zh-CN"/>
              </w:rPr>
              <w:t>招标文件</w:t>
            </w:r>
            <w:r>
              <w:rPr>
                <w:rFonts w:hint="eastAsia" w:ascii="宋体" w:hAnsi="宋体"/>
                <w:color w:val="auto"/>
                <w:sz w:val="24"/>
                <w:highlight w:val="none"/>
              </w:rPr>
              <w:t>规定的内容完整，无重大缺漏项</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auto"/>
                <w:kern w:val="0"/>
                <w:sz w:val="24"/>
                <w:highlight w:val="none"/>
                <w:lang w:bidi="ar"/>
              </w:rPr>
            </w:pPr>
            <w:r>
              <w:rPr>
                <w:rFonts w:hint="eastAsia" w:ascii="宋体" w:hAnsi="宋体"/>
                <w:color w:val="auto"/>
                <w:kern w:val="0"/>
                <w:sz w:val="24"/>
                <w:highlight w:val="none"/>
                <w:lang w:bidi="ar"/>
              </w:rPr>
              <w:t>查看投标文件</w:t>
            </w:r>
          </w:p>
        </w:tc>
      </w:tr>
      <w:tr>
        <w:tblPrEx>
          <w:tblCellMar>
            <w:top w:w="0" w:type="dxa"/>
            <w:left w:w="108" w:type="dxa"/>
            <w:bottom w:w="0" w:type="dxa"/>
            <w:right w:w="108" w:type="dxa"/>
          </w:tblCellMar>
        </w:tblPrEx>
        <w:trPr>
          <w:trHeight w:val="709" w:hRule="atLeast"/>
        </w:trPr>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outlineLvl w:val="0"/>
              <w:rPr>
                <w:rFonts w:hint="eastAsia" w:ascii="宋体" w:hAnsi="宋体"/>
                <w:color w:val="auto"/>
                <w:sz w:val="24"/>
                <w:highlight w:val="none"/>
              </w:rPr>
            </w:pPr>
            <w:r>
              <w:rPr>
                <w:rFonts w:hint="eastAsia" w:ascii="宋体" w:hAnsi="宋体"/>
                <w:color w:val="auto"/>
                <w:sz w:val="24"/>
                <w:highlight w:val="none"/>
              </w:rPr>
              <w:t>4</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auto"/>
                <w:kern w:val="0"/>
                <w:sz w:val="24"/>
                <w:highlight w:val="none"/>
                <w:lang w:bidi="ar"/>
              </w:rPr>
            </w:pPr>
            <w:r>
              <w:rPr>
                <w:rFonts w:hint="eastAsia" w:ascii="宋体" w:hAnsi="宋体"/>
                <w:color w:val="auto"/>
                <w:kern w:val="0"/>
                <w:sz w:val="24"/>
                <w:highlight w:val="none"/>
                <w:lang w:bidi="ar"/>
              </w:rPr>
              <w:t>商务</w:t>
            </w:r>
          </w:p>
        </w:tc>
        <w:tc>
          <w:tcPr>
            <w:tcW w:w="51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0"/>
              <w:rPr>
                <w:rFonts w:hint="eastAsia" w:ascii="宋体" w:hAnsi="宋体"/>
                <w:color w:val="auto"/>
                <w:sz w:val="24"/>
                <w:highlight w:val="none"/>
              </w:rPr>
            </w:pPr>
            <w:r>
              <w:rPr>
                <w:rFonts w:hint="eastAsia" w:ascii="宋体" w:hAnsi="宋体"/>
                <w:color w:val="auto"/>
                <w:sz w:val="24"/>
                <w:highlight w:val="none"/>
              </w:rPr>
              <w:t>付款方式是否是否满足招标文件要求</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auto"/>
                <w:kern w:val="0"/>
                <w:sz w:val="24"/>
                <w:highlight w:val="none"/>
                <w:lang w:bidi="ar"/>
              </w:rPr>
            </w:pPr>
            <w:r>
              <w:rPr>
                <w:rFonts w:hint="eastAsia" w:ascii="宋体" w:hAnsi="宋体"/>
                <w:color w:val="auto"/>
                <w:kern w:val="0"/>
                <w:sz w:val="24"/>
                <w:highlight w:val="none"/>
                <w:lang w:bidi="ar"/>
              </w:rPr>
              <w:t>查看投标文件</w:t>
            </w:r>
          </w:p>
        </w:tc>
      </w:tr>
      <w:tr>
        <w:tblPrEx>
          <w:tblCellMar>
            <w:top w:w="0" w:type="dxa"/>
            <w:left w:w="108" w:type="dxa"/>
            <w:bottom w:w="0" w:type="dxa"/>
            <w:right w:w="108" w:type="dxa"/>
          </w:tblCellMar>
        </w:tblPrEx>
        <w:trPr>
          <w:trHeight w:val="777" w:hRule="atLeast"/>
        </w:trPr>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outlineLvl w:val="0"/>
              <w:rPr>
                <w:rFonts w:ascii="宋体" w:hAnsi="宋体"/>
                <w:color w:val="auto"/>
                <w:sz w:val="24"/>
                <w:highlight w:val="none"/>
              </w:rPr>
            </w:pPr>
            <w:r>
              <w:rPr>
                <w:rFonts w:hint="eastAsia" w:ascii="宋体" w:hAnsi="宋体"/>
                <w:color w:val="auto"/>
                <w:sz w:val="24"/>
                <w:highlight w:val="none"/>
              </w:rPr>
              <w:t>5</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olor w:val="auto"/>
                <w:kern w:val="0"/>
                <w:sz w:val="24"/>
                <w:highlight w:val="none"/>
                <w:lang w:bidi="ar"/>
              </w:rPr>
            </w:pPr>
            <w:r>
              <w:rPr>
                <w:rFonts w:hint="eastAsia" w:ascii="宋体" w:hAnsi="宋体"/>
                <w:color w:val="auto"/>
                <w:kern w:val="0"/>
                <w:sz w:val="24"/>
                <w:highlight w:val="none"/>
                <w:lang w:bidi="ar"/>
              </w:rPr>
              <w:t>商务</w:t>
            </w:r>
          </w:p>
        </w:tc>
        <w:tc>
          <w:tcPr>
            <w:tcW w:w="51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0"/>
              <w:rPr>
                <w:rFonts w:ascii="宋体" w:hAnsi="宋体"/>
                <w:color w:val="auto"/>
                <w:sz w:val="24"/>
                <w:highlight w:val="none"/>
              </w:rPr>
            </w:pPr>
            <w:r>
              <w:rPr>
                <w:rFonts w:hint="eastAsia" w:ascii="宋体" w:hAnsi="宋体"/>
                <w:color w:val="auto"/>
                <w:sz w:val="24"/>
                <w:highlight w:val="none"/>
              </w:rPr>
              <w:t>投标主体是否为非联合体</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olor w:val="auto"/>
                <w:kern w:val="0"/>
                <w:sz w:val="24"/>
                <w:highlight w:val="none"/>
                <w:lang w:bidi="ar"/>
              </w:rPr>
            </w:pPr>
            <w:r>
              <w:rPr>
                <w:rFonts w:hint="eastAsia" w:ascii="宋体" w:hAnsi="宋体"/>
                <w:color w:val="auto"/>
                <w:kern w:val="0"/>
                <w:sz w:val="24"/>
                <w:highlight w:val="none"/>
                <w:lang w:bidi="ar"/>
              </w:rPr>
              <w:t>查看投标主体</w:t>
            </w:r>
          </w:p>
        </w:tc>
      </w:tr>
      <w:tr>
        <w:tblPrEx>
          <w:tblCellMar>
            <w:top w:w="0" w:type="dxa"/>
            <w:left w:w="108" w:type="dxa"/>
            <w:bottom w:w="0" w:type="dxa"/>
            <w:right w:w="108" w:type="dxa"/>
          </w:tblCellMar>
        </w:tblPrEx>
        <w:trPr>
          <w:trHeight w:val="2110" w:hRule="atLeast"/>
        </w:trPr>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outlineLvl w:val="0"/>
              <w:rPr>
                <w:rFonts w:hint="eastAsia" w:ascii="宋体" w:hAnsi="宋体"/>
                <w:color w:val="auto"/>
                <w:sz w:val="24"/>
                <w:highlight w:val="none"/>
              </w:rPr>
            </w:pPr>
            <w:r>
              <w:rPr>
                <w:rFonts w:hint="eastAsia" w:ascii="宋体" w:hAnsi="宋体"/>
                <w:color w:val="auto"/>
                <w:sz w:val="24"/>
                <w:highlight w:val="none"/>
              </w:rPr>
              <w:t>6</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auto"/>
                <w:kern w:val="0"/>
                <w:sz w:val="24"/>
                <w:highlight w:val="none"/>
                <w:lang w:bidi="ar"/>
              </w:rPr>
            </w:pPr>
            <w:r>
              <w:rPr>
                <w:rFonts w:hint="eastAsia" w:ascii="宋体" w:hAnsi="宋体"/>
                <w:color w:val="auto"/>
                <w:kern w:val="0"/>
                <w:sz w:val="24"/>
                <w:highlight w:val="none"/>
                <w:lang w:bidi="ar"/>
              </w:rPr>
              <w:t>技术</w:t>
            </w:r>
          </w:p>
        </w:tc>
        <w:tc>
          <w:tcPr>
            <w:tcW w:w="51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0"/>
              <w:rPr>
                <w:rFonts w:ascii="宋体" w:hAnsi="宋体"/>
                <w:color w:val="auto"/>
                <w:sz w:val="24"/>
                <w:highlight w:val="none"/>
              </w:rPr>
            </w:pPr>
            <w:r>
              <w:rPr>
                <w:rFonts w:ascii="宋体" w:hAnsi="宋体"/>
                <w:color w:val="auto"/>
                <w:sz w:val="24"/>
                <w:highlight w:val="none"/>
              </w:rPr>
              <w:t>投标产品</w:t>
            </w:r>
            <w:r>
              <w:rPr>
                <w:rFonts w:hint="eastAsia" w:ascii="宋体" w:hAnsi="宋体"/>
                <w:color w:val="auto"/>
                <w:sz w:val="24"/>
                <w:highlight w:val="none"/>
              </w:rPr>
              <w:t>是否为进口产品，并且是否提供</w:t>
            </w:r>
            <w:r>
              <w:rPr>
                <w:rFonts w:ascii="宋体" w:hAnsi="宋体"/>
                <w:color w:val="auto"/>
                <w:sz w:val="24"/>
                <w:highlight w:val="none"/>
              </w:rPr>
              <w:t>生产厂家针对本项目的专项授权函或区域总代理针对本项目的转授权函（提供转授权函的，还需提供生产厂家对区域总代理的授权函</w:t>
            </w:r>
            <w:r>
              <w:rPr>
                <w:rFonts w:hint="eastAsia" w:ascii="宋体" w:hAnsi="宋体"/>
                <w:color w:val="auto"/>
                <w:sz w:val="24"/>
                <w:highlight w:val="none"/>
              </w:rPr>
              <w:t>）</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auto"/>
                <w:kern w:val="0"/>
                <w:sz w:val="24"/>
                <w:highlight w:val="none"/>
                <w:lang w:bidi="ar"/>
              </w:rPr>
            </w:pPr>
            <w:r>
              <w:rPr>
                <w:rFonts w:hint="eastAsia" w:ascii="宋体" w:hAnsi="宋体"/>
                <w:color w:val="auto"/>
                <w:kern w:val="0"/>
                <w:sz w:val="24"/>
                <w:highlight w:val="none"/>
                <w:lang w:bidi="ar"/>
              </w:rPr>
              <w:t>查看投标文件</w:t>
            </w:r>
          </w:p>
        </w:tc>
      </w:tr>
      <w:tr>
        <w:tblPrEx>
          <w:tblCellMar>
            <w:top w:w="0" w:type="dxa"/>
            <w:left w:w="108" w:type="dxa"/>
            <w:bottom w:w="0" w:type="dxa"/>
            <w:right w:w="108" w:type="dxa"/>
          </w:tblCellMar>
        </w:tblPrEx>
        <w:trPr>
          <w:trHeight w:val="1060" w:hRule="atLeast"/>
        </w:trPr>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outlineLvl w:val="0"/>
              <w:rPr>
                <w:rFonts w:ascii="宋体" w:hAnsi="宋体"/>
                <w:color w:val="auto"/>
                <w:sz w:val="24"/>
                <w:highlight w:val="none"/>
              </w:rPr>
            </w:pPr>
            <w:r>
              <w:rPr>
                <w:rFonts w:hint="eastAsia" w:ascii="宋体" w:hAnsi="宋体"/>
                <w:color w:val="auto"/>
                <w:sz w:val="24"/>
                <w:highlight w:val="none"/>
              </w:rPr>
              <w:t>7</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auto"/>
                <w:kern w:val="0"/>
                <w:sz w:val="24"/>
                <w:highlight w:val="none"/>
                <w:lang w:bidi="ar"/>
              </w:rPr>
            </w:pPr>
            <w:r>
              <w:rPr>
                <w:rFonts w:hint="eastAsia" w:ascii="宋体" w:hAnsi="宋体"/>
                <w:color w:val="auto"/>
                <w:kern w:val="0"/>
                <w:sz w:val="24"/>
                <w:highlight w:val="none"/>
                <w:lang w:bidi="ar"/>
              </w:rPr>
              <w:t>技术</w:t>
            </w:r>
          </w:p>
        </w:tc>
        <w:tc>
          <w:tcPr>
            <w:tcW w:w="51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0"/>
              <w:rPr>
                <w:rFonts w:hint="eastAsia" w:ascii="宋体" w:hAnsi="宋体"/>
                <w:color w:val="auto"/>
                <w:sz w:val="24"/>
                <w:highlight w:val="none"/>
              </w:rPr>
            </w:pPr>
            <w:r>
              <w:rPr>
                <w:rFonts w:hint="eastAsia" w:ascii="宋体" w:hAnsi="宋体"/>
                <w:color w:val="auto"/>
                <w:sz w:val="24"/>
                <w:highlight w:val="none"/>
              </w:rPr>
              <w:t>产品交货期、交货地点、质保期是否满足招标文件要求</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auto"/>
                <w:kern w:val="0"/>
                <w:sz w:val="24"/>
                <w:highlight w:val="none"/>
                <w:lang w:bidi="ar"/>
              </w:rPr>
            </w:pPr>
            <w:r>
              <w:rPr>
                <w:rFonts w:hint="eastAsia" w:ascii="宋体" w:hAnsi="宋体"/>
                <w:color w:val="auto"/>
                <w:kern w:val="0"/>
                <w:sz w:val="24"/>
                <w:highlight w:val="none"/>
                <w:lang w:bidi="ar"/>
              </w:rPr>
              <w:t>查看投标文件</w:t>
            </w:r>
          </w:p>
        </w:tc>
      </w:tr>
      <w:tr>
        <w:tblPrEx>
          <w:tblCellMar>
            <w:top w:w="0" w:type="dxa"/>
            <w:left w:w="108" w:type="dxa"/>
            <w:bottom w:w="0" w:type="dxa"/>
            <w:right w:w="108" w:type="dxa"/>
          </w:tblCellMar>
        </w:tblPrEx>
        <w:trPr>
          <w:trHeight w:val="1060" w:hRule="atLeast"/>
        </w:trPr>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outlineLvl w:val="0"/>
              <w:rPr>
                <w:rFonts w:hint="eastAsia" w:ascii="宋体" w:hAnsi="宋体"/>
                <w:color w:val="auto"/>
                <w:sz w:val="24"/>
                <w:highlight w:val="none"/>
              </w:rPr>
            </w:pPr>
            <w:r>
              <w:rPr>
                <w:rFonts w:hint="eastAsia" w:ascii="宋体" w:hAnsi="宋体"/>
                <w:color w:val="auto"/>
                <w:sz w:val="24"/>
                <w:highlight w:val="none"/>
              </w:rPr>
              <w:t>8</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olor w:val="auto"/>
                <w:kern w:val="0"/>
                <w:sz w:val="24"/>
                <w:highlight w:val="none"/>
                <w:lang w:bidi="ar"/>
              </w:rPr>
            </w:pPr>
            <w:r>
              <w:rPr>
                <w:rFonts w:hint="eastAsia" w:ascii="宋体" w:hAnsi="宋体"/>
                <w:color w:val="auto"/>
                <w:kern w:val="0"/>
                <w:sz w:val="24"/>
                <w:highlight w:val="none"/>
                <w:lang w:bidi="ar"/>
              </w:rPr>
              <w:t>技术</w:t>
            </w:r>
          </w:p>
        </w:tc>
        <w:tc>
          <w:tcPr>
            <w:tcW w:w="51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0"/>
              <w:rPr>
                <w:rFonts w:ascii="宋体" w:hAnsi="宋体"/>
                <w:color w:val="auto"/>
                <w:sz w:val="24"/>
                <w:highlight w:val="none"/>
              </w:rPr>
            </w:pPr>
            <w:r>
              <w:rPr>
                <w:rFonts w:hint="eastAsia" w:ascii="宋体" w:hAnsi="宋体"/>
                <w:color w:val="auto"/>
                <w:sz w:val="24"/>
                <w:highlight w:val="none"/>
              </w:rPr>
              <w:t>产品的数量，主要技术性能（带</w:t>
            </w:r>
            <w:r>
              <w:rPr>
                <w:rFonts w:hint="eastAsia" w:ascii="宋体" w:hAnsi="宋体" w:cs="宋体"/>
                <w:color w:val="auto"/>
                <w:sz w:val="24"/>
                <w:highlight w:val="none"/>
              </w:rPr>
              <w:t>★号</w:t>
            </w:r>
            <w:r>
              <w:rPr>
                <w:rFonts w:hint="eastAsia" w:ascii="宋体" w:hAnsi="宋体"/>
                <w:color w:val="auto"/>
                <w:sz w:val="24"/>
                <w:highlight w:val="none"/>
              </w:rPr>
              <w:t>）是否满足招标文件要求</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auto"/>
                <w:kern w:val="0"/>
                <w:sz w:val="24"/>
                <w:highlight w:val="none"/>
                <w:lang w:bidi="ar"/>
              </w:rPr>
            </w:pPr>
            <w:r>
              <w:rPr>
                <w:rFonts w:hint="eastAsia" w:ascii="宋体" w:hAnsi="宋体"/>
                <w:color w:val="auto"/>
                <w:kern w:val="0"/>
                <w:sz w:val="24"/>
                <w:highlight w:val="none"/>
                <w:lang w:bidi="ar"/>
              </w:rPr>
              <w:t>查看投标文件</w:t>
            </w:r>
          </w:p>
        </w:tc>
      </w:tr>
      <w:tr>
        <w:tblPrEx>
          <w:tblCellMar>
            <w:top w:w="0" w:type="dxa"/>
            <w:left w:w="108" w:type="dxa"/>
            <w:bottom w:w="0" w:type="dxa"/>
            <w:right w:w="108" w:type="dxa"/>
          </w:tblCellMar>
        </w:tblPrEx>
        <w:trPr>
          <w:trHeight w:val="849" w:hRule="atLeast"/>
        </w:trPr>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outlineLvl w:val="0"/>
              <w:rPr>
                <w:rFonts w:hint="eastAsia" w:ascii="宋体" w:hAnsi="宋体"/>
                <w:color w:val="auto"/>
                <w:sz w:val="24"/>
                <w:highlight w:val="none"/>
              </w:rPr>
            </w:pPr>
            <w:r>
              <w:rPr>
                <w:rFonts w:hint="eastAsia" w:ascii="宋体" w:hAnsi="宋体"/>
                <w:color w:val="auto"/>
                <w:sz w:val="24"/>
                <w:highlight w:val="none"/>
              </w:rPr>
              <w:t>9</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olor w:val="auto"/>
                <w:kern w:val="0"/>
                <w:sz w:val="24"/>
                <w:highlight w:val="none"/>
                <w:lang w:bidi="ar"/>
              </w:rPr>
            </w:pPr>
            <w:r>
              <w:rPr>
                <w:rFonts w:hint="eastAsia" w:ascii="宋体" w:hAnsi="宋体"/>
                <w:color w:val="auto"/>
                <w:kern w:val="0"/>
                <w:sz w:val="24"/>
                <w:highlight w:val="none"/>
                <w:lang w:bidi="ar"/>
              </w:rPr>
              <w:t>技术</w:t>
            </w:r>
          </w:p>
        </w:tc>
        <w:tc>
          <w:tcPr>
            <w:tcW w:w="51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0"/>
              <w:rPr>
                <w:rFonts w:hint="eastAsia" w:ascii="宋体" w:hAnsi="宋体"/>
                <w:color w:val="auto"/>
                <w:sz w:val="24"/>
                <w:highlight w:val="none"/>
              </w:rPr>
            </w:pPr>
            <w:r>
              <w:rPr>
                <w:rFonts w:hint="eastAsia" w:ascii="宋体" w:hAnsi="宋体"/>
                <w:color w:val="auto"/>
                <w:sz w:val="24"/>
                <w:highlight w:val="none"/>
              </w:rPr>
              <w:t>投标文件是否有采购人不能接受的条件</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auto"/>
                <w:kern w:val="0"/>
                <w:sz w:val="24"/>
                <w:highlight w:val="none"/>
                <w:lang w:bidi="ar"/>
              </w:rPr>
            </w:pPr>
            <w:r>
              <w:rPr>
                <w:rFonts w:hint="eastAsia" w:ascii="宋体" w:hAnsi="宋体"/>
                <w:color w:val="auto"/>
                <w:kern w:val="0"/>
                <w:sz w:val="24"/>
                <w:highlight w:val="none"/>
                <w:lang w:bidi="ar"/>
              </w:rPr>
              <w:t>查看投标文件</w:t>
            </w:r>
          </w:p>
        </w:tc>
      </w:tr>
    </w:tbl>
    <w:p>
      <w:pPr>
        <w:rPr>
          <w:rFonts w:hint="eastAsia" w:ascii="宋体" w:hAnsi="宋体" w:cs="宋体"/>
          <w:b/>
          <w:color w:val="auto"/>
          <w:sz w:val="24"/>
          <w:highlight w:val="none"/>
        </w:rPr>
      </w:pPr>
    </w:p>
    <w:p>
      <w:pPr>
        <w:spacing w:line="360" w:lineRule="auto"/>
        <w:jc w:val="center"/>
        <w:rPr>
          <w:rFonts w:hint="eastAsia" w:ascii="宋体" w:hAnsi="宋体" w:cs="宋体"/>
          <w:b/>
          <w:color w:val="auto"/>
          <w:sz w:val="24"/>
          <w:highlight w:val="none"/>
        </w:rPr>
      </w:pPr>
      <w:r>
        <w:rPr>
          <w:rFonts w:hint="eastAsia" w:ascii="宋体" w:hAnsi="宋体" w:cs="宋体"/>
          <w:b/>
          <w:color w:val="auto"/>
          <w:sz w:val="24"/>
          <w:highlight w:val="none"/>
        </w:rPr>
        <w:t>评分标准</w:t>
      </w:r>
    </w:p>
    <w:tbl>
      <w:tblPr>
        <w:tblStyle w:val="61"/>
        <w:tblW w:w="92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1"/>
        <w:gridCol w:w="1332"/>
        <w:gridCol w:w="6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1211" w:type="dxa"/>
            <w:noWrap w:val="0"/>
            <w:vAlign w:val="center"/>
          </w:tcPr>
          <w:p>
            <w:pPr>
              <w:snapToGrid w:val="0"/>
              <w:spacing w:line="360" w:lineRule="auto"/>
              <w:jc w:val="center"/>
              <w:rPr>
                <w:rFonts w:hint="eastAsia" w:ascii="宋体" w:hAnsi="宋体"/>
                <w:b/>
                <w:bCs/>
                <w:color w:val="auto"/>
                <w:sz w:val="24"/>
                <w:highlight w:val="none"/>
              </w:rPr>
            </w:pPr>
            <w:r>
              <w:rPr>
                <w:rFonts w:hint="eastAsia" w:ascii="宋体" w:hAnsi="宋体"/>
                <w:b/>
                <w:bCs/>
                <w:color w:val="auto"/>
                <w:sz w:val="24"/>
                <w:highlight w:val="none"/>
              </w:rPr>
              <w:t>评审项目</w:t>
            </w:r>
          </w:p>
        </w:tc>
        <w:tc>
          <w:tcPr>
            <w:tcW w:w="1332" w:type="dxa"/>
            <w:noWrap w:val="0"/>
            <w:vAlign w:val="center"/>
          </w:tcPr>
          <w:p>
            <w:pPr>
              <w:snapToGrid w:val="0"/>
              <w:spacing w:line="360" w:lineRule="auto"/>
              <w:jc w:val="center"/>
              <w:rPr>
                <w:rFonts w:hint="eastAsia" w:ascii="宋体" w:hAnsi="宋体"/>
                <w:b/>
                <w:bCs/>
                <w:color w:val="auto"/>
                <w:sz w:val="24"/>
                <w:highlight w:val="none"/>
              </w:rPr>
            </w:pPr>
            <w:r>
              <w:rPr>
                <w:rFonts w:hint="eastAsia" w:ascii="宋体" w:hAnsi="宋体"/>
                <w:b/>
                <w:bCs/>
                <w:color w:val="auto"/>
                <w:sz w:val="24"/>
                <w:highlight w:val="none"/>
              </w:rPr>
              <w:t>权重值%</w:t>
            </w:r>
          </w:p>
        </w:tc>
        <w:tc>
          <w:tcPr>
            <w:tcW w:w="6756" w:type="dxa"/>
            <w:noWrap w:val="0"/>
            <w:vAlign w:val="center"/>
          </w:tcPr>
          <w:p>
            <w:pPr>
              <w:snapToGrid w:val="0"/>
              <w:spacing w:line="360" w:lineRule="auto"/>
              <w:jc w:val="center"/>
              <w:rPr>
                <w:rFonts w:hint="eastAsia" w:ascii="宋体" w:hAnsi="宋体"/>
                <w:b/>
                <w:bCs/>
                <w:color w:val="auto"/>
                <w:sz w:val="24"/>
                <w:highlight w:val="none"/>
              </w:rPr>
            </w:pPr>
            <w:r>
              <w:rPr>
                <w:rFonts w:hint="eastAsia" w:ascii="宋体" w:hAnsi="宋体"/>
                <w:b/>
                <w:bCs/>
                <w:color w:val="auto"/>
                <w:sz w:val="24"/>
                <w:highlight w:val="none"/>
              </w:rPr>
              <w:t>评分标准说明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9299" w:type="dxa"/>
            <w:gridSpan w:val="3"/>
            <w:noWrap w:val="0"/>
            <w:vAlign w:val="center"/>
          </w:tcPr>
          <w:p>
            <w:pPr>
              <w:widowControl/>
              <w:snapToGrid w:val="0"/>
              <w:spacing w:line="360" w:lineRule="auto"/>
              <w:jc w:val="left"/>
              <w:rPr>
                <w:rFonts w:hint="eastAsia" w:ascii="宋体" w:hAnsi="宋体"/>
                <w:color w:val="auto"/>
                <w:sz w:val="24"/>
                <w:highlight w:val="none"/>
              </w:rPr>
            </w:pPr>
            <w:r>
              <w:rPr>
                <w:rFonts w:hint="eastAsia" w:ascii="宋体" w:hAnsi="宋体"/>
                <w:color w:val="auto"/>
                <w:kern w:val="0"/>
                <w:sz w:val="24"/>
                <w:highlight w:val="none"/>
                <w:lang w:bidi="ar"/>
              </w:rPr>
              <w:t>一、价格部分</w:t>
            </w:r>
            <w:r>
              <w:rPr>
                <w:rFonts w:hint="eastAsia" w:ascii="宋体" w:hAnsi="宋体"/>
                <w:color w:val="auto"/>
                <w:kern w:val="0"/>
                <w:sz w:val="24"/>
                <w:highlight w:val="none"/>
                <w:lang w:val="en-US" w:eastAsia="zh-CN" w:bidi="ar"/>
              </w:rPr>
              <w:t>3</w:t>
            </w:r>
            <w:r>
              <w:rPr>
                <w:rFonts w:hint="eastAsia" w:ascii="宋体" w:hAnsi="宋体"/>
                <w:color w:val="auto"/>
                <w:kern w:val="0"/>
                <w:sz w:val="24"/>
                <w:highlight w:val="none"/>
                <w:lang w:bidi="ar"/>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3" w:hRule="atLeast"/>
          <w:jc w:val="center"/>
        </w:trPr>
        <w:tc>
          <w:tcPr>
            <w:tcW w:w="1211" w:type="dxa"/>
            <w:noWrap w:val="0"/>
            <w:vAlign w:val="center"/>
          </w:tcPr>
          <w:p>
            <w:pPr>
              <w:widowControl/>
              <w:snapToGrid w:val="0"/>
              <w:spacing w:line="360" w:lineRule="auto"/>
              <w:jc w:val="center"/>
              <w:rPr>
                <w:rFonts w:hint="eastAsia" w:ascii="宋体" w:hAnsi="宋体"/>
                <w:color w:val="auto"/>
                <w:kern w:val="0"/>
                <w:sz w:val="24"/>
                <w:highlight w:val="none"/>
                <w:lang w:bidi="ar"/>
              </w:rPr>
            </w:pPr>
            <w:r>
              <w:rPr>
                <w:rFonts w:hint="eastAsia" w:ascii="宋体" w:hAnsi="宋体"/>
                <w:color w:val="auto"/>
                <w:kern w:val="0"/>
                <w:sz w:val="24"/>
                <w:highlight w:val="none"/>
                <w:lang w:bidi="ar"/>
              </w:rPr>
              <w:t>价格</w:t>
            </w:r>
          </w:p>
        </w:tc>
        <w:tc>
          <w:tcPr>
            <w:tcW w:w="1332" w:type="dxa"/>
            <w:noWrap w:val="0"/>
            <w:vAlign w:val="center"/>
          </w:tcPr>
          <w:p>
            <w:pPr>
              <w:snapToGrid w:val="0"/>
              <w:spacing w:line="360" w:lineRule="auto"/>
              <w:jc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3</w:t>
            </w:r>
            <w:r>
              <w:rPr>
                <w:rFonts w:hint="eastAsia" w:ascii="宋体" w:hAnsi="宋体"/>
                <w:color w:val="auto"/>
                <w:kern w:val="0"/>
                <w:sz w:val="24"/>
                <w:highlight w:val="none"/>
                <w:lang w:bidi="ar"/>
              </w:rPr>
              <w:t>0</w:t>
            </w:r>
          </w:p>
        </w:tc>
        <w:tc>
          <w:tcPr>
            <w:tcW w:w="6756" w:type="dxa"/>
            <w:noWrap w:val="0"/>
            <w:vAlign w:val="center"/>
          </w:tcPr>
          <w:p>
            <w:pPr>
              <w:widowControl/>
              <w:snapToGrid w:val="0"/>
              <w:spacing w:line="360" w:lineRule="auto"/>
              <w:jc w:val="left"/>
              <w:rPr>
                <w:rFonts w:hint="eastAsia" w:ascii="宋体" w:hAnsi="宋体"/>
                <w:color w:val="auto"/>
                <w:kern w:val="0"/>
                <w:sz w:val="24"/>
                <w:highlight w:val="none"/>
                <w:lang w:bidi="ar"/>
              </w:rPr>
            </w:pPr>
            <w:r>
              <w:rPr>
                <w:rFonts w:hint="eastAsia" w:ascii="宋体" w:hAnsi="宋体"/>
                <w:color w:val="auto"/>
                <w:kern w:val="0"/>
                <w:sz w:val="24"/>
                <w:highlight w:val="none"/>
                <w:lang w:bidi="ar"/>
              </w:rPr>
              <w:t>经评委会审核，满足招标文件要求且报价最低的</w:t>
            </w:r>
            <w:r>
              <w:rPr>
                <w:rFonts w:hint="eastAsia" w:ascii="宋体" w:hAnsi="宋体"/>
                <w:color w:val="auto"/>
                <w:kern w:val="0"/>
                <w:sz w:val="24"/>
                <w:highlight w:val="none"/>
                <w:lang w:eastAsia="zh-CN" w:bidi="ar"/>
              </w:rPr>
              <w:t>供应商</w:t>
            </w:r>
            <w:r>
              <w:rPr>
                <w:rFonts w:hint="eastAsia" w:ascii="宋体" w:hAnsi="宋体"/>
                <w:color w:val="auto"/>
                <w:kern w:val="0"/>
                <w:sz w:val="24"/>
                <w:highlight w:val="none"/>
                <w:lang w:bidi="ar"/>
              </w:rPr>
              <w:t>的价格为评标基准价，其价格分为满分。其他</w:t>
            </w:r>
            <w:r>
              <w:rPr>
                <w:rFonts w:hint="eastAsia" w:ascii="宋体" w:hAnsi="宋体"/>
                <w:color w:val="auto"/>
                <w:kern w:val="0"/>
                <w:sz w:val="24"/>
                <w:highlight w:val="none"/>
                <w:lang w:eastAsia="zh-CN" w:bidi="ar"/>
              </w:rPr>
              <w:t>供应商</w:t>
            </w:r>
            <w:r>
              <w:rPr>
                <w:rFonts w:hint="eastAsia" w:ascii="宋体" w:hAnsi="宋体"/>
                <w:color w:val="auto"/>
                <w:kern w:val="0"/>
                <w:sz w:val="24"/>
                <w:highlight w:val="none"/>
                <w:lang w:bidi="ar"/>
              </w:rPr>
              <w:t>的价格分统一按下列公式折算递减。即：</w:t>
            </w:r>
          </w:p>
          <w:p>
            <w:pPr>
              <w:snapToGrid w:val="0"/>
              <w:spacing w:line="360" w:lineRule="auto"/>
              <w:jc w:val="left"/>
              <w:rPr>
                <w:rFonts w:ascii="宋体" w:hAnsi="宋体"/>
                <w:color w:val="auto"/>
                <w:kern w:val="0"/>
                <w:sz w:val="24"/>
                <w:highlight w:val="none"/>
                <w:lang w:bidi="ar"/>
              </w:rPr>
            </w:pPr>
            <w:r>
              <w:rPr>
                <w:rFonts w:hint="eastAsia" w:ascii="宋体" w:hAnsi="宋体"/>
                <w:color w:val="auto"/>
                <w:kern w:val="0"/>
                <w:sz w:val="24"/>
                <w:highlight w:val="none"/>
                <w:lang w:bidi="ar"/>
              </w:rPr>
              <w:t>投标报价得分=（评标基准价/投标报价）×</w:t>
            </w:r>
            <w:r>
              <w:rPr>
                <w:rFonts w:hint="eastAsia" w:ascii="宋体" w:hAnsi="宋体"/>
                <w:color w:val="auto"/>
                <w:kern w:val="0"/>
                <w:sz w:val="24"/>
                <w:highlight w:val="none"/>
                <w:lang w:val="en-US" w:eastAsia="zh-CN" w:bidi="ar"/>
              </w:rPr>
              <w:t>3</w:t>
            </w:r>
            <w:r>
              <w:rPr>
                <w:rFonts w:hint="eastAsia" w:ascii="宋体" w:hAnsi="宋体"/>
                <w:color w:val="auto"/>
                <w:kern w:val="0"/>
                <w:sz w:val="24"/>
                <w:highlight w:val="none"/>
                <w:lang w:bidi="ar"/>
              </w:rPr>
              <w:t>0</w:t>
            </w:r>
          </w:p>
          <w:p>
            <w:pPr>
              <w:snapToGrid w:val="0"/>
              <w:spacing w:line="360" w:lineRule="auto"/>
              <w:jc w:val="left"/>
              <w:rPr>
                <w:rFonts w:hint="eastAsia" w:ascii="宋体" w:hAnsi="宋体"/>
                <w:color w:val="auto"/>
                <w:kern w:val="0"/>
                <w:sz w:val="24"/>
                <w:highlight w:val="none"/>
                <w:lang w:bidi="ar"/>
              </w:rPr>
            </w:pPr>
            <w:r>
              <w:rPr>
                <w:rFonts w:hint="eastAsia" w:ascii="宋体" w:hAnsi="宋体"/>
                <w:bCs/>
                <w:color w:val="auto"/>
                <w:kern w:val="0"/>
                <w:sz w:val="24"/>
                <w:highlight w:val="none"/>
                <w:lang w:bidi="ar"/>
              </w:rPr>
              <w:t>（注：小型、微型及小微企业在投标文件中提交了《中小企业声明函》、《残疾人福利性单位声明函》或省级以上监狱管理局、戒毒管理局（含新疆生产建设兵团）出具的属于监狱企业的证明文件的供应商，其报价扣除 10 %后参与评审。对于同时属于小型、微型及小微企业、监狱企业或残疾人福利性单位的，不重复进行报价扣除。）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6" w:hRule="atLeast"/>
          <w:jc w:val="center"/>
        </w:trPr>
        <w:tc>
          <w:tcPr>
            <w:tcW w:w="9299" w:type="dxa"/>
            <w:gridSpan w:val="3"/>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left"/>
              <w:rPr>
                <w:rFonts w:hint="eastAsia" w:ascii="宋体" w:hAnsi="宋体"/>
                <w:color w:val="auto"/>
                <w:kern w:val="0"/>
                <w:sz w:val="24"/>
                <w:highlight w:val="none"/>
                <w:lang w:bidi="ar"/>
              </w:rPr>
            </w:pPr>
            <w:r>
              <w:rPr>
                <w:rFonts w:hint="eastAsia" w:ascii="宋体" w:hAnsi="宋体"/>
                <w:color w:val="auto"/>
                <w:kern w:val="0"/>
                <w:sz w:val="24"/>
                <w:highlight w:val="none"/>
                <w:lang w:bidi="ar"/>
              </w:rPr>
              <w:t>二、商务部分</w:t>
            </w:r>
            <w:r>
              <w:rPr>
                <w:rFonts w:hint="eastAsia" w:ascii="宋体" w:hAnsi="宋体"/>
                <w:color w:val="auto"/>
                <w:kern w:val="0"/>
                <w:sz w:val="24"/>
                <w:highlight w:val="none"/>
                <w:lang w:val="en-US" w:eastAsia="zh-CN" w:bidi="ar"/>
              </w:rPr>
              <w:t>17</w:t>
            </w:r>
            <w:r>
              <w:rPr>
                <w:rFonts w:hint="eastAsia" w:ascii="宋体" w:hAnsi="宋体"/>
                <w:color w:val="auto"/>
                <w:kern w:val="0"/>
                <w:sz w:val="24"/>
                <w:highlight w:val="none"/>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5" w:hRule="atLeast"/>
          <w:jc w:val="center"/>
        </w:trPr>
        <w:tc>
          <w:tcPr>
            <w:tcW w:w="1211"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rPr>
                <w:rFonts w:hint="eastAsia" w:ascii="宋体" w:hAnsi="宋体"/>
                <w:color w:val="auto"/>
                <w:kern w:val="0"/>
                <w:sz w:val="24"/>
                <w:highlight w:val="none"/>
                <w:lang w:bidi="ar"/>
              </w:rPr>
            </w:pPr>
            <w:r>
              <w:rPr>
                <w:rFonts w:hint="eastAsia" w:ascii="宋体" w:hAnsi="宋体"/>
                <w:color w:val="auto"/>
                <w:kern w:val="0"/>
                <w:sz w:val="24"/>
                <w:highlight w:val="none"/>
                <w:lang w:bidi="ar"/>
              </w:rPr>
              <w:t>业绩</w:t>
            </w:r>
          </w:p>
        </w:tc>
        <w:tc>
          <w:tcPr>
            <w:tcW w:w="1332"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rPr>
                <w:rFonts w:hint="default" w:ascii="宋体" w:hAnsi="宋体" w:eastAsia="宋体"/>
                <w:color w:val="auto"/>
                <w:kern w:val="0"/>
                <w:sz w:val="24"/>
                <w:highlight w:val="none"/>
                <w:lang w:val="en-US" w:eastAsia="zh-CN" w:bidi="ar"/>
              </w:rPr>
            </w:pPr>
            <w:r>
              <w:rPr>
                <w:rFonts w:hint="eastAsia" w:ascii="宋体" w:hAnsi="宋体"/>
                <w:color w:val="auto"/>
                <w:kern w:val="0"/>
                <w:sz w:val="24"/>
                <w:highlight w:val="none"/>
                <w:lang w:val="en-US" w:eastAsia="zh-CN" w:bidi="ar"/>
              </w:rPr>
              <w:t>10</w:t>
            </w:r>
          </w:p>
        </w:tc>
        <w:tc>
          <w:tcPr>
            <w:tcW w:w="6756"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left"/>
              <w:rPr>
                <w:rFonts w:hint="eastAsia" w:ascii="宋体" w:hAnsi="宋体"/>
                <w:color w:val="auto"/>
                <w:kern w:val="0"/>
                <w:sz w:val="24"/>
                <w:highlight w:val="none"/>
                <w:lang w:bidi="ar"/>
              </w:rPr>
            </w:pPr>
            <w:r>
              <w:rPr>
                <w:rFonts w:hint="eastAsia" w:ascii="宋体" w:hAnsi="宋体"/>
                <w:color w:val="auto"/>
                <w:kern w:val="0"/>
                <w:sz w:val="24"/>
                <w:highlight w:val="none"/>
                <w:lang w:eastAsia="zh-CN" w:bidi="ar"/>
              </w:rPr>
              <w:t>供应商</w:t>
            </w:r>
            <w:r>
              <w:rPr>
                <w:rFonts w:hint="eastAsia" w:ascii="宋体" w:hAnsi="宋体"/>
                <w:color w:val="auto"/>
                <w:kern w:val="0"/>
                <w:sz w:val="24"/>
                <w:highlight w:val="none"/>
                <w:lang w:val="en-US" w:eastAsia="zh-CN" w:bidi="ar"/>
              </w:rPr>
              <w:t>（所投产品）</w:t>
            </w:r>
            <w:r>
              <w:rPr>
                <w:rFonts w:hint="eastAsia" w:ascii="宋体" w:hAnsi="宋体"/>
                <w:color w:val="auto"/>
                <w:kern w:val="0"/>
                <w:sz w:val="24"/>
                <w:highlight w:val="none"/>
                <w:lang w:bidi="ar"/>
              </w:rPr>
              <w:t>近三年（2020年1月1日起）项目具有同类型项目业绩，有一项得</w:t>
            </w:r>
            <w:r>
              <w:rPr>
                <w:rFonts w:ascii="宋体" w:hAnsi="宋体"/>
                <w:color w:val="auto"/>
                <w:kern w:val="0"/>
                <w:sz w:val="24"/>
                <w:highlight w:val="none"/>
                <w:lang w:bidi="ar"/>
              </w:rPr>
              <w:t>1</w:t>
            </w:r>
            <w:r>
              <w:rPr>
                <w:rFonts w:hint="eastAsia" w:ascii="宋体" w:hAnsi="宋体"/>
                <w:color w:val="auto"/>
                <w:kern w:val="0"/>
                <w:sz w:val="24"/>
                <w:highlight w:val="none"/>
                <w:lang w:bidi="ar"/>
              </w:rPr>
              <w:t>分，总分</w:t>
            </w:r>
            <w:r>
              <w:rPr>
                <w:rFonts w:hint="eastAsia" w:ascii="宋体" w:hAnsi="宋体"/>
                <w:color w:val="auto"/>
                <w:kern w:val="0"/>
                <w:sz w:val="24"/>
                <w:highlight w:val="none"/>
                <w:lang w:val="en-US" w:eastAsia="zh-CN" w:bidi="ar"/>
              </w:rPr>
              <w:t>10</w:t>
            </w:r>
            <w:r>
              <w:rPr>
                <w:rFonts w:hint="eastAsia" w:ascii="宋体" w:hAnsi="宋体"/>
                <w:color w:val="auto"/>
                <w:kern w:val="0"/>
                <w:sz w:val="24"/>
                <w:highlight w:val="none"/>
                <w:lang w:bidi="ar"/>
              </w:rPr>
              <w:t>分，没有不得分。（以合同或中标通知书为准）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1" w:hRule="atLeast"/>
          <w:jc w:val="center"/>
        </w:trPr>
        <w:tc>
          <w:tcPr>
            <w:tcW w:w="1211" w:type="dxa"/>
            <w:vMerge w:val="restart"/>
            <w:tcBorders>
              <w:top w:val="single" w:color="auto" w:sz="4" w:space="0"/>
              <w:left w:val="single" w:color="auto" w:sz="4" w:space="0"/>
              <w:right w:val="single" w:color="auto" w:sz="4" w:space="0"/>
            </w:tcBorders>
            <w:noWrap w:val="0"/>
            <w:vAlign w:val="center"/>
          </w:tcPr>
          <w:p>
            <w:pPr>
              <w:widowControl/>
              <w:snapToGrid w:val="0"/>
              <w:spacing w:line="360" w:lineRule="auto"/>
              <w:jc w:val="left"/>
              <w:rPr>
                <w:rFonts w:hint="eastAsia" w:ascii="宋体" w:hAnsi="宋体"/>
                <w:color w:val="auto"/>
                <w:kern w:val="0"/>
                <w:sz w:val="24"/>
                <w:highlight w:val="none"/>
                <w:lang w:bidi="ar"/>
              </w:rPr>
            </w:pPr>
            <w:r>
              <w:rPr>
                <w:rFonts w:hint="eastAsia" w:ascii="宋体" w:hAnsi="宋体"/>
                <w:color w:val="auto"/>
                <w:kern w:val="0"/>
                <w:sz w:val="24"/>
                <w:highlight w:val="none"/>
                <w:lang w:bidi="ar"/>
              </w:rPr>
              <w:t>售后服务</w:t>
            </w:r>
          </w:p>
        </w:tc>
        <w:tc>
          <w:tcPr>
            <w:tcW w:w="1332"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rPr>
                <w:rFonts w:hint="eastAsia" w:ascii="宋体" w:hAnsi="宋体"/>
                <w:color w:val="auto"/>
                <w:kern w:val="0"/>
                <w:sz w:val="24"/>
                <w:highlight w:val="none"/>
                <w:lang w:bidi="ar"/>
              </w:rPr>
            </w:pPr>
            <w:r>
              <w:rPr>
                <w:rFonts w:hint="eastAsia" w:ascii="宋体" w:hAnsi="宋体"/>
                <w:color w:val="auto"/>
                <w:kern w:val="0"/>
                <w:sz w:val="24"/>
                <w:highlight w:val="none"/>
                <w:lang w:bidi="ar"/>
              </w:rPr>
              <w:t>5</w:t>
            </w:r>
          </w:p>
        </w:tc>
        <w:tc>
          <w:tcPr>
            <w:tcW w:w="6756"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left"/>
              <w:rPr>
                <w:rFonts w:hint="eastAsia" w:ascii="宋体" w:hAnsi="宋体"/>
                <w:color w:val="auto"/>
                <w:kern w:val="0"/>
                <w:sz w:val="24"/>
                <w:highlight w:val="none"/>
                <w:lang w:bidi="ar"/>
              </w:rPr>
            </w:pPr>
            <w:r>
              <w:rPr>
                <w:rFonts w:hint="eastAsia" w:ascii="宋体" w:hAnsi="宋体"/>
                <w:color w:val="auto"/>
                <w:kern w:val="0"/>
                <w:sz w:val="24"/>
                <w:highlight w:val="none"/>
                <w:lang w:bidi="ar"/>
              </w:rPr>
              <w:t>售后服务方案详细、合理且可行（包含运维服务方案、故障处理应急预案、响应时间、故障解决时间），售后服务方案详细、合理可行的得</w:t>
            </w:r>
            <w:r>
              <w:rPr>
                <w:rFonts w:ascii="宋体" w:hAnsi="宋体"/>
                <w:color w:val="auto"/>
                <w:kern w:val="0"/>
                <w:sz w:val="24"/>
                <w:highlight w:val="none"/>
                <w:lang w:bidi="ar"/>
              </w:rPr>
              <w:t>5</w:t>
            </w:r>
            <w:r>
              <w:rPr>
                <w:rFonts w:hint="eastAsia" w:ascii="宋体" w:hAnsi="宋体"/>
                <w:color w:val="auto"/>
                <w:kern w:val="0"/>
                <w:sz w:val="24"/>
                <w:highlight w:val="none"/>
                <w:lang w:bidi="ar"/>
              </w:rPr>
              <w:t xml:space="preserve">分，售后服务方案一般、可行性不高的得3-4分，售后服务方案较差得1-2分，未提供不得分；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06" w:hRule="atLeast"/>
          <w:jc w:val="center"/>
        </w:trPr>
        <w:tc>
          <w:tcPr>
            <w:tcW w:w="1211" w:type="dxa"/>
            <w:vMerge w:val="continue"/>
            <w:tcBorders>
              <w:left w:val="single" w:color="auto" w:sz="4" w:space="0"/>
              <w:bottom w:val="single" w:color="auto" w:sz="4" w:space="0"/>
              <w:right w:val="single" w:color="auto" w:sz="4" w:space="0"/>
            </w:tcBorders>
            <w:noWrap w:val="0"/>
            <w:vAlign w:val="center"/>
          </w:tcPr>
          <w:p>
            <w:pPr>
              <w:widowControl/>
              <w:snapToGrid w:val="0"/>
              <w:spacing w:line="360" w:lineRule="auto"/>
              <w:jc w:val="left"/>
              <w:rPr>
                <w:rFonts w:hint="eastAsia" w:ascii="宋体" w:hAnsi="宋体"/>
                <w:color w:val="auto"/>
                <w:kern w:val="0"/>
                <w:sz w:val="24"/>
                <w:highlight w:val="none"/>
                <w:lang w:bidi="ar"/>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rPr>
                <w:rFonts w:hint="eastAsia" w:ascii="宋体" w:hAnsi="宋体" w:eastAsia="宋体"/>
                <w:color w:val="auto"/>
                <w:kern w:val="0"/>
                <w:sz w:val="24"/>
                <w:highlight w:val="none"/>
                <w:lang w:eastAsia="zh-CN" w:bidi="ar"/>
              </w:rPr>
            </w:pPr>
            <w:r>
              <w:rPr>
                <w:rFonts w:hint="eastAsia" w:ascii="宋体" w:hAnsi="宋体"/>
                <w:color w:val="auto"/>
                <w:kern w:val="0"/>
                <w:sz w:val="24"/>
                <w:highlight w:val="none"/>
                <w:lang w:val="en-US" w:eastAsia="zh-CN" w:bidi="ar"/>
              </w:rPr>
              <w:t>2</w:t>
            </w:r>
          </w:p>
        </w:tc>
        <w:tc>
          <w:tcPr>
            <w:tcW w:w="6756"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left"/>
              <w:rPr>
                <w:rFonts w:hint="eastAsia" w:ascii="宋体" w:hAnsi="宋体" w:eastAsia="宋体"/>
                <w:color w:val="auto"/>
                <w:kern w:val="0"/>
                <w:sz w:val="24"/>
                <w:highlight w:val="none"/>
                <w:lang w:eastAsia="zh-CN" w:bidi="ar"/>
              </w:rPr>
            </w:pPr>
            <w:r>
              <w:rPr>
                <w:rFonts w:hint="eastAsia" w:ascii="宋体" w:hAnsi="宋体"/>
                <w:color w:val="auto"/>
                <w:kern w:val="0"/>
                <w:sz w:val="24"/>
                <w:highlight w:val="none"/>
                <w:lang w:bidi="ar"/>
              </w:rPr>
              <w:t>可提供48小时技术服务承诺得2分，未承诺不得分</w:t>
            </w:r>
            <w:r>
              <w:rPr>
                <w:rFonts w:hint="eastAsia" w:ascii="宋体" w:hAnsi="宋体"/>
                <w:color w:val="auto"/>
                <w:kern w:val="0"/>
                <w:sz w:val="24"/>
                <w:highlight w:val="none"/>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6" w:hRule="atLeast"/>
          <w:jc w:val="center"/>
        </w:trPr>
        <w:tc>
          <w:tcPr>
            <w:tcW w:w="9299" w:type="dxa"/>
            <w:gridSpan w:val="3"/>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left"/>
              <w:rPr>
                <w:rFonts w:hint="eastAsia" w:ascii="宋体" w:hAnsi="宋体"/>
                <w:color w:val="auto"/>
                <w:kern w:val="0"/>
                <w:sz w:val="24"/>
                <w:highlight w:val="none"/>
                <w:lang w:bidi="ar"/>
              </w:rPr>
            </w:pPr>
            <w:r>
              <w:rPr>
                <w:rFonts w:hint="eastAsia" w:ascii="宋体" w:hAnsi="宋体"/>
                <w:color w:val="auto"/>
                <w:kern w:val="0"/>
                <w:sz w:val="24"/>
                <w:highlight w:val="none"/>
                <w:lang w:bidi="ar"/>
              </w:rPr>
              <w:t>三、技术部分</w:t>
            </w:r>
            <w:r>
              <w:rPr>
                <w:rFonts w:hint="eastAsia" w:ascii="宋体" w:hAnsi="宋体"/>
                <w:color w:val="auto"/>
                <w:kern w:val="0"/>
                <w:sz w:val="24"/>
                <w:highlight w:val="none"/>
                <w:lang w:val="en-US" w:eastAsia="zh-CN" w:bidi="ar"/>
              </w:rPr>
              <w:t>53</w:t>
            </w:r>
            <w:r>
              <w:rPr>
                <w:rFonts w:hint="eastAsia" w:ascii="宋体" w:hAnsi="宋体"/>
                <w:color w:val="auto"/>
                <w:kern w:val="0"/>
                <w:sz w:val="24"/>
                <w:highlight w:val="none"/>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1211"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rPr>
                <w:rFonts w:hint="eastAsia" w:ascii="宋体" w:hAnsi="宋体"/>
                <w:color w:val="auto"/>
                <w:kern w:val="0"/>
                <w:sz w:val="24"/>
                <w:highlight w:val="none"/>
                <w:lang w:bidi="ar"/>
              </w:rPr>
            </w:pPr>
            <w:r>
              <w:rPr>
                <w:rFonts w:hint="eastAsia" w:ascii="宋体" w:hAnsi="宋体"/>
                <w:color w:val="auto"/>
                <w:kern w:val="0"/>
                <w:sz w:val="24"/>
                <w:highlight w:val="none"/>
                <w:lang w:bidi="ar"/>
              </w:rPr>
              <w:t>产品技术参数</w:t>
            </w:r>
          </w:p>
        </w:tc>
        <w:tc>
          <w:tcPr>
            <w:tcW w:w="1332"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rPr>
                <w:rFonts w:hint="default" w:ascii="宋体" w:hAnsi="宋体" w:eastAsia="宋体"/>
                <w:color w:val="auto"/>
                <w:kern w:val="0"/>
                <w:sz w:val="24"/>
                <w:highlight w:val="none"/>
                <w:lang w:val="en-US" w:eastAsia="zh-CN" w:bidi="ar"/>
              </w:rPr>
            </w:pPr>
            <w:r>
              <w:rPr>
                <w:rFonts w:hint="eastAsia" w:ascii="宋体" w:hAnsi="宋体"/>
                <w:color w:val="auto"/>
                <w:kern w:val="0"/>
                <w:sz w:val="24"/>
                <w:highlight w:val="none"/>
                <w:lang w:val="en-US" w:eastAsia="zh-CN" w:bidi="ar"/>
              </w:rPr>
              <w:t>20</w:t>
            </w:r>
          </w:p>
        </w:tc>
        <w:tc>
          <w:tcPr>
            <w:tcW w:w="6756"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left"/>
              <w:rPr>
                <w:rFonts w:ascii="宋体" w:hAnsi="宋体"/>
                <w:color w:val="auto"/>
                <w:kern w:val="0"/>
                <w:sz w:val="24"/>
                <w:highlight w:val="none"/>
                <w:lang w:bidi="ar"/>
              </w:rPr>
            </w:pPr>
            <w:r>
              <w:rPr>
                <w:rFonts w:hint="eastAsia" w:ascii="宋体" w:hAnsi="宋体"/>
                <w:color w:val="auto"/>
                <w:kern w:val="0"/>
                <w:sz w:val="24"/>
                <w:highlight w:val="none"/>
                <w:lang w:bidi="ar"/>
              </w:rPr>
              <w:t>所投产品技术参数完全满足招标文件要求得</w:t>
            </w:r>
            <w:r>
              <w:rPr>
                <w:rFonts w:hint="eastAsia" w:ascii="宋体" w:hAnsi="宋体"/>
                <w:color w:val="auto"/>
                <w:kern w:val="0"/>
                <w:sz w:val="24"/>
                <w:highlight w:val="none"/>
                <w:lang w:val="en-US" w:eastAsia="zh-CN" w:bidi="ar"/>
              </w:rPr>
              <w:t>20</w:t>
            </w:r>
            <w:r>
              <w:rPr>
                <w:rFonts w:hint="eastAsia" w:ascii="宋体" w:hAnsi="宋体"/>
                <w:color w:val="auto"/>
                <w:kern w:val="0"/>
                <w:sz w:val="24"/>
                <w:highlight w:val="none"/>
                <w:lang w:bidi="ar"/>
              </w:rPr>
              <w:t>分，有1项负偏离扣</w:t>
            </w:r>
            <w:r>
              <w:rPr>
                <w:rFonts w:hint="eastAsia" w:ascii="宋体" w:hAnsi="宋体"/>
                <w:color w:val="auto"/>
                <w:kern w:val="0"/>
                <w:sz w:val="24"/>
                <w:highlight w:val="none"/>
                <w:lang w:val="en-US" w:eastAsia="zh-CN" w:bidi="ar"/>
              </w:rPr>
              <w:t>2</w:t>
            </w:r>
            <w:r>
              <w:rPr>
                <w:rFonts w:hint="eastAsia" w:ascii="宋体" w:hAnsi="宋体"/>
                <w:color w:val="auto"/>
                <w:kern w:val="0"/>
                <w:sz w:val="24"/>
                <w:highlight w:val="none"/>
                <w:lang w:bidi="ar"/>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21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ascii="宋体" w:hAnsi="宋体" w:cs="宋体"/>
                <w:color w:val="auto"/>
                <w:kern w:val="0"/>
                <w:sz w:val="24"/>
                <w:highlight w:val="none"/>
                <w:lang w:bidi="ar"/>
              </w:rPr>
            </w:pPr>
            <w:r>
              <w:rPr>
                <w:rFonts w:hint="eastAsia" w:ascii="宋体" w:hAnsi="宋体" w:cs="宋体"/>
                <w:color w:val="auto"/>
                <w:kern w:val="0"/>
                <w:sz w:val="24"/>
                <w:highlight w:val="none"/>
                <w:lang w:bidi="ar"/>
              </w:rPr>
              <w:t>产品质量</w:t>
            </w:r>
          </w:p>
        </w:tc>
        <w:tc>
          <w:tcPr>
            <w:tcW w:w="133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cs="宋体"/>
                <w:color w:val="auto"/>
                <w:kern w:val="0"/>
                <w:sz w:val="24"/>
                <w:highlight w:val="none"/>
                <w:lang w:bidi="ar"/>
              </w:rPr>
            </w:pPr>
            <w:r>
              <w:rPr>
                <w:rFonts w:hint="eastAsia" w:ascii="宋体" w:hAnsi="宋体" w:cs="宋体"/>
                <w:color w:val="auto"/>
                <w:kern w:val="0"/>
                <w:sz w:val="24"/>
                <w:highlight w:val="none"/>
                <w:lang w:bidi="ar"/>
              </w:rPr>
              <w:t>5</w:t>
            </w:r>
          </w:p>
        </w:tc>
        <w:tc>
          <w:tcPr>
            <w:tcW w:w="675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textAlignment w:val="center"/>
              <w:rPr>
                <w:rFonts w:ascii="宋体" w:hAnsi="宋体" w:cs="宋体"/>
                <w:color w:val="auto"/>
                <w:kern w:val="0"/>
                <w:sz w:val="24"/>
                <w:highlight w:val="none"/>
                <w:lang w:bidi="ar"/>
              </w:rPr>
            </w:pPr>
            <w:r>
              <w:rPr>
                <w:rFonts w:hint="eastAsia" w:ascii="宋体" w:hAnsi="宋体" w:cs="宋体"/>
                <w:color w:val="auto"/>
                <w:kern w:val="0"/>
                <w:sz w:val="24"/>
                <w:highlight w:val="none"/>
                <w:lang w:bidi="ar"/>
              </w:rPr>
              <w:t>评标委员会根据所投产品的质量（比如：稳定性、故障率、准确度等）进行综合评定得0-5分</w:t>
            </w:r>
            <w:r>
              <w:rPr>
                <w:rFonts w:hint="eastAsia" w:ascii="宋体" w:hAnsi="宋体" w:cs="宋体"/>
                <w:color w:val="auto"/>
                <w:kern w:val="0"/>
                <w:sz w:val="24"/>
                <w:highlight w:val="none"/>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4" w:hRule="atLeast"/>
          <w:jc w:val="center"/>
        </w:trPr>
        <w:tc>
          <w:tcPr>
            <w:tcW w:w="1211" w:type="dxa"/>
            <w:tcBorders>
              <w:left w:val="single" w:color="auto" w:sz="4" w:space="0"/>
              <w:bottom w:val="single" w:color="auto" w:sz="4" w:space="0"/>
              <w:right w:val="single" w:color="auto" w:sz="4" w:space="0"/>
            </w:tcBorders>
            <w:noWrap w:val="0"/>
            <w:vAlign w:val="center"/>
          </w:tcPr>
          <w:p>
            <w:pPr>
              <w:widowControl/>
              <w:snapToGrid w:val="0"/>
              <w:spacing w:line="360" w:lineRule="auto"/>
              <w:jc w:val="left"/>
              <w:rPr>
                <w:rFonts w:ascii="宋体" w:hAnsi="宋体"/>
                <w:color w:val="auto"/>
                <w:kern w:val="0"/>
                <w:sz w:val="24"/>
                <w:highlight w:val="none"/>
                <w:lang w:bidi="ar"/>
              </w:rPr>
            </w:pPr>
            <w:r>
              <w:rPr>
                <w:rFonts w:hint="eastAsia" w:ascii="宋体" w:hAnsi="宋体"/>
                <w:color w:val="auto"/>
                <w:kern w:val="0"/>
                <w:sz w:val="24"/>
                <w:highlight w:val="none"/>
                <w:lang w:bidi="ar"/>
              </w:rPr>
              <w:t>相关证书</w:t>
            </w:r>
          </w:p>
        </w:tc>
        <w:tc>
          <w:tcPr>
            <w:tcW w:w="1332"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rPr>
                <w:rFonts w:hint="eastAsia" w:ascii="宋体" w:hAnsi="宋体" w:eastAsia="宋体"/>
                <w:color w:val="auto"/>
                <w:kern w:val="0"/>
                <w:sz w:val="24"/>
                <w:highlight w:val="none"/>
                <w:lang w:eastAsia="zh-CN" w:bidi="ar"/>
              </w:rPr>
            </w:pPr>
            <w:r>
              <w:rPr>
                <w:rFonts w:hint="eastAsia" w:ascii="宋体" w:hAnsi="宋体"/>
                <w:color w:val="auto"/>
                <w:kern w:val="0"/>
                <w:sz w:val="24"/>
                <w:highlight w:val="none"/>
                <w:lang w:val="en-US" w:eastAsia="zh-CN" w:bidi="ar"/>
              </w:rPr>
              <w:t>4</w:t>
            </w:r>
          </w:p>
        </w:tc>
        <w:tc>
          <w:tcPr>
            <w:tcW w:w="6756"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left"/>
              <w:rPr>
                <w:rFonts w:hint="eastAsia" w:ascii="宋体" w:hAnsi="宋体"/>
                <w:color w:val="auto"/>
                <w:kern w:val="0"/>
                <w:sz w:val="24"/>
                <w:highlight w:val="none"/>
                <w:lang w:bidi="ar"/>
              </w:rPr>
            </w:pPr>
            <w:r>
              <w:rPr>
                <w:rFonts w:hint="eastAsia" w:ascii="宋体" w:hAnsi="宋体"/>
                <w:color w:val="auto"/>
                <w:kern w:val="0"/>
                <w:sz w:val="24"/>
                <w:highlight w:val="none"/>
                <w:lang w:bidi="ar"/>
              </w:rPr>
              <w:t>提供产品环保、节能减排等认证证明，有1项得</w:t>
            </w:r>
            <w:r>
              <w:rPr>
                <w:rFonts w:hint="eastAsia" w:ascii="宋体" w:hAnsi="宋体"/>
                <w:color w:val="auto"/>
                <w:kern w:val="0"/>
                <w:sz w:val="24"/>
                <w:highlight w:val="none"/>
                <w:lang w:val="en-US" w:eastAsia="zh-CN" w:bidi="ar"/>
              </w:rPr>
              <w:t>2</w:t>
            </w:r>
            <w:r>
              <w:rPr>
                <w:rFonts w:hint="eastAsia" w:ascii="宋体" w:hAnsi="宋体"/>
                <w:color w:val="auto"/>
                <w:kern w:val="0"/>
                <w:sz w:val="24"/>
                <w:highlight w:val="none"/>
                <w:lang w:bidi="ar"/>
              </w:rPr>
              <w:t>分，总计</w:t>
            </w:r>
            <w:r>
              <w:rPr>
                <w:rFonts w:hint="eastAsia" w:ascii="宋体" w:hAnsi="宋体"/>
                <w:color w:val="auto"/>
                <w:kern w:val="0"/>
                <w:sz w:val="24"/>
                <w:highlight w:val="none"/>
                <w:lang w:val="en-US" w:eastAsia="zh-CN" w:bidi="ar"/>
              </w:rPr>
              <w:t>4</w:t>
            </w:r>
            <w:r>
              <w:rPr>
                <w:rFonts w:hint="eastAsia" w:ascii="宋体" w:hAnsi="宋体"/>
                <w:color w:val="auto"/>
                <w:kern w:val="0"/>
                <w:sz w:val="24"/>
                <w:highlight w:val="none"/>
                <w:lang w:bidi="ar"/>
              </w:rPr>
              <w:t>分。不提供不得分。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1" w:hRule="atLeast"/>
          <w:jc w:val="center"/>
        </w:trPr>
        <w:tc>
          <w:tcPr>
            <w:tcW w:w="1211"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left"/>
              <w:rPr>
                <w:rFonts w:hint="eastAsia" w:ascii="宋体" w:hAnsi="宋体"/>
                <w:color w:val="auto"/>
                <w:kern w:val="0"/>
                <w:sz w:val="24"/>
                <w:highlight w:val="none"/>
                <w:lang w:bidi="ar"/>
              </w:rPr>
            </w:pPr>
            <w:r>
              <w:rPr>
                <w:rFonts w:hint="eastAsia" w:ascii="宋体" w:hAnsi="宋体"/>
                <w:color w:val="auto"/>
                <w:kern w:val="0"/>
                <w:sz w:val="24"/>
                <w:highlight w:val="none"/>
                <w:lang w:bidi="ar"/>
              </w:rPr>
              <w:t>供货方案</w:t>
            </w:r>
          </w:p>
        </w:tc>
        <w:tc>
          <w:tcPr>
            <w:tcW w:w="1332"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rPr>
                <w:rFonts w:ascii="宋体" w:hAnsi="宋体"/>
                <w:color w:val="auto"/>
                <w:kern w:val="0"/>
                <w:sz w:val="24"/>
                <w:highlight w:val="none"/>
                <w:lang w:bidi="ar"/>
              </w:rPr>
            </w:pPr>
            <w:r>
              <w:rPr>
                <w:rFonts w:hint="eastAsia" w:ascii="宋体" w:hAnsi="宋体"/>
                <w:color w:val="auto"/>
                <w:kern w:val="0"/>
                <w:sz w:val="24"/>
                <w:highlight w:val="none"/>
                <w:lang w:bidi="ar"/>
              </w:rPr>
              <w:t>5</w:t>
            </w:r>
          </w:p>
        </w:tc>
        <w:tc>
          <w:tcPr>
            <w:tcW w:w="6756"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left"/>
              <w:rPr>
                <w:rFonts w:hint="eastAsia" w:ascii="宋体" w:hAnsi="宋体"/>
                <w:color w:val="auto"/>
                <w:kern w:val="0"/>
                <w:sz w:val="24"/>
                <w:highlight w:val="none"/>
                <w:lang w:bidi="ar"/>
              </w:rPr>
            </w:pPr>
            <w:r>
              <w:rPr>
                <w:rFonts w:hint="eastAsia" w:ascii="宋体" w:hAnsi="宋体"/>
                <w:color w:val="auto"/>
                <w:kern w:val="0"/>
                <w:sz w:val="24"/>
                <w:highlight w:val="none"/>
                <w:lang w:bidi="ar"/>
              </w:rPr>
              <w:t>投标人所提供货方案（包括但不限于供货时间安排、供货进度计划）描述详细全面、合理可行的得5分；方案方案描述详细但不全面、可行性不高的得3-4分；方案描述不详细也不全面得1-2分，未提供的不得分。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1" w:hRule="atLeast"/>
          <w:jc w:val="center"/>
        </w:trPr>
        <w:tc>
          <w:tcPr>
            <w:tcW w:w="1211"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rPr>
                <w:rFonts w:hint="eastAsia" w:ascii="宋体" w:hAnsi="宋体"/>
                <w:color w:val="auto"/>
                <w:kern w:val="0"/>
                <w:sz w:val="24"/>
                <w:highlight w:val="none"/>
                <w:lang w:bidi="ar"/>
              </w:rPr>
            </w:pPr>
            <w:r>
              <w:rPr>
                <w:rFonts w:hint="eastAsia" w:ascii="宋体" w:hAnsi="宋体"/>
                <w:color w:val="auto"/>
                <w:kern w:val="0"/>
                <w:sz w:val="24"/>
                <w:highlight w:val="none"/>
                <w:lang w:bidi="ar"/>
              </w:rPr>
              <w:t>质保期后的维修</w:t>
            </w:r>
          </w:p>
        </w:tc>
        <w:tc>
          <w:tcPr>
            <w:tcW w:w="1332"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rPr>
                <w:rFonts w:hint="eastAsia" w:ascii="宋体" w:hAnsi="宋体"/>
                <w:color w:val="auto"/>
                <w:kern w:val="0"/>
                <w:sz w:val="24"/>
                <w:highlight w:val="none"/>
                <w:lang w:bidi="ar"/>
              </w:rPr>
            </w:pPr>
            <w:r>
              <w:rPr>
                <w:rFonts w:hint="eastAsia" w:ascii="宋体" w:hAnsi="宋体"/>
                <w:color w:val="auto"/>
                <w:kern w:val="0"/>
                <w:sz w:val="24"/>
                <w:highlight w:val="none"/>
                <w:lang w:bidi="ar"/>
              </w:rPr>
              <w:t>5</w:t>
            </w:r>
          </w:p>
        </w:tc>
        <w:tc>
          <w:tcPr>
            <w:tcW w:w="6756"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left"/>
              <w:rPr>
                <w:rFonts w:hint="eastAsia" w:ascii="宋体" w:hAnsi="宋体"/>
                <w:color w:val="auto"/>
                <w:kern w:val="0"/>
                <w:sz w:val="24"/>
                <w:highlight w:val="none"/>
                <w:lang w:bidi="ar"/>
              </w:rPr>
            </w:pPr>
            <w:r>
              <w:rPr>
                <w:rFonts w:hint="eastAsia" w:ascii="宋体" w:hAnsi="宋体"/>
                <w:color w:val="auto"/>
                <w:kern w:val="0"/>
                <w:sz w:val="24"/>
                <w:highlight w:val="none"/>
                <w:lang w:bidi="ar"/>
              </w:rPr>
              <w:t>1.质保期结束后硬件设备能够提供终身维修且明确承诺只能收取零配件费（零部件保证按采购人设备安装地市场最低价供应），免人工费、交通费等的，可得3分；能够提供终身维修服务，但承诺收费标准完全参照市场价格的，可得1分；不能提供终身维修服务的，得0分。</w:t>
            </w:r>
          </w:p>
          <w:p>
            <w:pPr>
              <w:widowControl/>
              <w:snapToGrid w:val="0"/>
              <w:spacing w:line="360" w:lineRule="auto"/>
              <w:jc w:val="left"/>
              <w:rPr>
                <w:rFonts w:hint="eastAsia" w:ascii="宋体" w:hAnsi="宋体"/>
                <w:color w:val="auto"/>
                <w:kern w:val="0"/>
                <w:sz w:val="24"/>
                <w:highlight w:val="none"/>
                <w:lang w:bidi="ar"/>
              </w:rPr>
            </w:pPr>
            <w:r>
              <w:rPr>
                <w:rFonts w:hint="eastAsia" w:ascii="宋体" w:hAnsi="宋体"/>
                <w:color w:val="auto"/>
                <w:kern w:val="0"/>
                <w:sz w:val="24"/>
                <w:highlight w:val="none"/>
                <w:lang w:bidi="ar"/>
              </w:rPr>
              <w:t>2.质保期结束后软件提供永久有偿升级、维护和技术支持服务且明确承诺按市场最低价收费的，可得2分，不能提供承诺的，得0分。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5" w:hRule="atLeast"/>
          <w:jc w:val="center"/>
        </w:trPr>
        <w:tc>
          <w:tcPr>
            <w:tcW w:w="1211"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bidi="ar"/>
              </w:rPr>
              <w:t>检测报告</w:t>
            </w:r>
          </w:p>
        </w:tc>
        <w:tc>
          <w:tcPr>
            <w:tcW w:w="1332"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rPr>
                <w:rFonts w:hint="eastAsia" w:ascii="宋体" w:hAnsi="宋体"/>
                <w:color w:val="auto"/>
                <w:kern w:val="0"/>
                <w:sz w:val="24"/>
                <w:highlight w:val="none"/>
                <w:lang w:bidi="ar"/>
              </w:rPr>
            </w:pPr>
            <w:r>
              <w:rPr>
                <w:rFonts w:hint="eastAsia" w:ascii="宋体" w:hAnsi="宋体" w:cs="宋体"/>
                <w:color w:val="auto"/>
                <w:sz w:val="24"/>
                <w:highlight w:val="none"/>
              </w:rPr>
              <w:t>4</w:t>
            </w:r>
          </w:p>
        </w:tc>
        <w:tc>
          <w:tcPr>
            <w:tcW w:w="6756"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left"/>
              <w:rPr>
                <w:rFonts w:hint="eastAsia" w:ascii="宋体" w:hAnsi="宋体" w:eastAsia="宋体" w:cs="宋体"/>
                <w:color w:val="auto"/>
                <w:sz w:val="24"/>
                <w:highlight w:val="none"/>
                <w:lang w:eastAsia="zh-CN"/>
              </w:rPr>
            </w:pPr>
            <w:r>
              <w:rPr>
                <w:rFonts w:hint="eastAsia" w:ascii="宋体" w:hAnsi="宋体" w:cs="宋体"/>
                <w:color w:val="auto"/>
                <w:sz w:val="24"/>
                <w:highlight w:val="none"/>
              </w:rPr>
              <w:t>提供符合产品技术参数前提下的第三方出具设备的技术性能检测报告得4分，未提供不得分</w:t>
            </w:r>
            <w:r>
              <w:rPr>
                <w:rFonts w:hint="eastAsia" w:ascii="宋体" w:hAnsi="宋体" w:cs="宋体"/>
                <w:color w:val="auto"/>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5" w:hRule="atLeast"/>
          <w:jc w:val="center"/>
        </w:trPr>
        <w:tc>
          <w:tcPr>
            <w:tcW w:w="1211"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rPr>
                <w:rFonts w:hint="eastAsia" w:ascii="宋体" w:hAnsi="宋体" w:cs="宋体"/>
                <w:color w:val="auto"/>
                <w:kern w:val="0"/>
                <w:sz w:val="24"/>
                <w:highlight w:val="none"/>
                <w:lang w:bidi="ar"/>
              </w:rPr>
            </w:pPr>
            <w:r>
              <w:rPr>
                <w:rFonts w:hint="eastAsia" w:ascii="宋体" w:hAnsi="宋体" w:cs="宋体"/>
                <w:color w:val="auto"/>
                <w:kern w:val="0"/>
                <w:sz w:val="24"/>
                <w:highlight w:val="none"/>
                <w:lang w:bidi="ar"/>
              </w:rPr>
              <w:t>设备说明</w:t>
            </w:r>
          </w:p>
        </w:tc>
        <w:tc>
          <w:tcPr>
            <w:tcW w:w="133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contextualSpacing/>
              <w:jc w:val="center"/>
              <w:textAlignment w:val="center"/>
              <w:rPr>
                <w:rFonts w:hint="eastAsia" w:ascii="宋体" w:hAnsi="宋体" w:cs="宋体"/>
                <w:color w:val="auto"/>
                <w:sz w:val="24"/>
                <w:highlight w:val="none"/>
              </w:rPr>
            </w:pPr>
            <w:r>
              <w:rPr>
                <w:rFonts w:hint="eastAsia" w:ascii="宋体" w:hAnsi="宋体" w:cs="宋体"/>
                <w:color w:val="auto"/>
                <w:kern w:val="0"/>
                <w:sz w:val="24"/>
                <w:highlight w:val="none"/>
                <w:lang w:val="en-US" w:eastAsia="zh-CN" w:bidi="ar"/>
              </w:rPr>
              <w:t>5</w:t>
            </w:r>
          </w:p>
        </w:tc>
        <w:tc>
          <w:tcPr>
            <w:tcW w:w="675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contextualSpacing/>
              <w:jc w:val="left"/>
              <w:textAlignment w:val="center"/>
              <w:rPr>
                <w:rFonts w:hint="eastAsia" w:ascii="宋体" w:hAnsi="宋体" w:cs="宋体"/>
                <w:color w:val="auto"/>
                <w:sz w:val="24"/>
                <w:highlight w:val="none"/>
              </w:rPr>
            </w:pPr>
            <w:r>
              <w:rPr>
                <w:rFonts w:hint="eastAsia" w:ascii="宋体" w:hAnsi="宋体" w:cs="宋体"/>
                <w:color w:val="auto"/>
                <w:kern w:val="0"/>
                <w:sz w:val="24"/>
                <w:highlight w:val="none"/>
                <w:lang w:bidi="ar"/>
              </w:rPr>
              <w:t>设备具体说明通俗易懂、操作简单、方便且提供的设备完全符合招标文件的技术参数，说明详细完善</w:t>
            </w:r>
            <w:r>
              <w:rPr>
                <w:rFonts w:hint="eastAsia" w:ascii="宋体" w:hAnsi="宋体" w:cs="宋体"/>
                <w:color w:val="auto"/>
                <w:kern w:val="0"/>
                <w:sz w:val="24"/>
                <w:highlight w:val="none"/>
                <w:lang w:val="en-US" w:eastAsia="zh-CN" w:bidi="ar"/>
              </w:rPr>
              <w:t>得5</w:t>
            </w:r>
            <w:r>
              <w:rPr>
                <w:rFonts w:hint="eastAsia" w:ascii="宋体" w:hAnsi="宋体" w:cs="宋体"/>
                <w:color w:val="auto"/>
                <w:kern w:val="0"/>
                <w:sz w:val="24"/>
                <w:highlight w:val="none"/>
                <w:lang w:bidi="ar"/>
              </w:rPr>
              <w:t>分，设备说明一般得</w:t>
            </w:r>
            <w:r>
              <w:rPr>
                <w:rFonts w:hint="eastAsia" w:ascii="宋体" w:hAnsi="宋体" w:cs="宋体"/>
                <w:color w:val="auto"/>
                <w:kern w:val="0"/>
                <w:sz w:val="24"/>
                <w:highlight w:val="none"/>
                <w:lang w:val="en-US" w:eastAsia="zh-CN" w:bidi="ar"/>
              </w:rPr>
              <w:t>3-</w:t>
            </w:r>
            <w:r>
              <w:rPr>
                <w:rFonts w:hint="eastAsia" w:ascii="宋体" w:hAnsi="宋体" w:cs="宋体"/>
                <w:color w:val="auto"/>
                <w:kern w:val="0"/>
                <w:sz w:val="24"/>
                <w:highlight w:val="none"/>
                <w:lang w:bidi="ar"/>
              </w:rPr>
              <w:t>4分，有缺漏项得1</w:t>
            </w:r>
            <w:r>
              <w:rPr>
                <w:rFonts w:hint="eastAsia" w:ascii="宋体" w:hAnsi="宋体" w:cs="宋体"/>
                <w:color w:val="auto"/>
                <w:kern w:val="0"/>
                <w:sz w:val="24"/>
                <w:highlight w:val="none"/>
                <w:lang w:val="en-US" w:eastAsia="zh-CN" w:bidi="ar"/>
              </w:rPr>
              <w:t>-2</w:t>
            </w:r>
            <w:r>
              <w:rPr>
                <w:rFonts w:hint="eastAsia" w:ascii="宋体" w:hAnsi="宋体" w:cs="宋体"/>
                <w:color w:val="auto"/>
                <w:kern w:val="0"/>
                <w:sz w:val="24"/>
                <w:highlight w:val="none"/>
                <w:lang w:bidi="ar"/>
              </w:rPr>
              <w:t>分，未提供不得分。（可提供对外发布的的彩页、第三方检测报告、技术白皮书等说明设备的具体性能以便专家能清楚的了解所投设备的具体情况）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8" w:hRule="atLeast"/>
          <w:jc w:val="center"/>
        </w:trPr>
        <w:tc>
          <w:tcPr>
            <w:tcW w:w="1211"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rPr>
                <w:rFonts w:hint="eastAsia" w:ascii="宋体" w:hAnsi="宋体" w:cs="宋体"/>
                <w:color w:val="auto"/>
                <w:kern w:val="0"/>
                <w:sz w:val="24"/>
                <w:highlight w:val="none"/>
                <w:lang w:bidi="ar"/>
              </w:rPr>
            </w:pPr>
            <w:r>
              <w:rPr>
                <w:rFonts w:hint="eastAsia" w:ascii="宋体" w:hAnsi="宋体" w:cs="宋体"/>
                <w:color w:val="auto"/>
                <w:kern w:val="0"/>
                <w:sz w:val="24"/>
                <w:szCs w:val="28"/>
                <w:highlight w:val="none"/>
                <w:lang w:bidi="ar"/>
              </w:rPr>
              <w:t>验收方案</w:t>
            </w:r>
          </w:p>
        </w:tc>
        <w:tc>
          <w:tcPr>
            <w:tcW w:w="133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color w:val="auto"/>
                <w:kern w:val="0"/>
                <w:sz w:val="24"/>
                <w:highlight w:val="none"/>
                <w:lang w:eastAsia="zh-CN" w:bidi="ar"/>
              </w:rPr>
            </w:pPr>
            <w:r>
              <w:rPr>
                <w:rFonts w:hint="eastAsia" w:ascii="宋体" w:hAnsi="宋体" w:cs="宋体"/>
                <w:color w:val="auto"/>
                <w:kern w:val="0"/>
                <w:sz w:val="24"/>
                <w:szCs w:val="28"/>
                <w:highlight w:val="none"/>
                <w:lang w:val="en-US" w:eastAsia="zh-CN" w:bidi="ar"/>
              </w:rPr>
              <w:t>5</w:t>
            </w:r>
          </w:p>
        </w:tc>
        <w:tc>
          <w:tcPr>
            <w:tcW w:w="675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contextualSpacing/>
              <w:jc w:val="left"/>
              <w:textAlignment w:val="center"/>
              <w:rPr>
                <w:rFonts w:hint="eastAsia" w:ascii="宋体" w:hAnsi="宋体" w:cs="宋体"/>
                <w:color w:val="auto"/>
                <w:kern w:val="0"/>
                <w:sz w:val="24"/>
                <w:highlight w:val="none"/>
                <w:lang w:bidi="ar"/>
              </w:rPr>
            </w:pPr>
            <w:r>
              <w:rPr>
                <w:rFonts w:hint="eastAsia" w:ascii="宋体" w:hAnsi="宋体" w:cs="宋体"/>
                <w:color w:val="auto"/>
                <w:kern w:val="0"/>
                <w:sz w:val="24"/>
                <w:highlight w:val="none"/>
                <w:lang w:bidi="ar"/>
              </w:rPr>
              <w:t>投标人提供验收计划供采购人参考，得0-</w:t>
            </w:r>
            <w:r>
              <w:rPr>
                <w:rFonts w:hint="eastAsia" w:ascii="宋体" w:hAnsi="宋体" w:cs="宋体"/>
                <w:color w:val="auto"/>
                <w:kern w:val="0"/>
                <w:sz w:val="24"/>
                <w:highlight w:val="none"/>
                <w:lang w:val="en-US" w:eastAsia="zh-CN" w:bidi="ar"/>
              </w:rPr>
              <w:t>5</w:t>
            </w:r>
            <w:r>
              <w:rPr>
                <w:rFonts w:hint="eastAsia" w:ascii="宋体" w:hAnsi="宋体" w:cs="宋体"/>
                <w:color w:val="auto"/>
                <w:kern w:val="0"/>
                <w:sz w:val="24"/>
                <w:highlight w:val="none"/>
                <w:lang w:bidi="ar"/>
              </w:rPr>
              <w:t>分。</w:t>
            </w:r>
          </w:p>
        </w:tc>
      </w:tr>
    </w:tbl>
    <w:p>
      <w:pPr>
        <w:rPr>
          <w:rFonts w:hint="eastAsia" w:hAnsi="宋体" w:cs="宋体;SimSun"/>
          <w:color w:val="auto"/>
          <w:sz w:val="24"/>
          <w:szCs w:val="24"/>
          <w:highlight w:val="none"/>
        </w:rPr>
      </w:pPr>
    </w:p>
    <w:p>
      <w:pPr>
        <w:pStyle w:val="59"/>
        <w:spacing w:after="0" w:line="440" w:lineRule="exact"/>
        <w:ind w:firstLine="602" w:firstLineChars="250"/>
        <w:rPr>
          <w:rFonts w:hAnsi="宋体" w:cs="宋体;SimSun"/>
          <w:b/>
          <w:bCs/>
          <w:color w:val="auto"/>
          <w:sz w:val="24"/>
          <w:szCs w:val="24"/>
          <w:highlight w:val="none"/>
        </w:rPr>
      </w:pPr>
      <w:r>
        <w:rPr>
          <w:rFonts w:hint="eastAsia" w:hAnsi="宋体" w:cs="宋体;SimSun"/>
          <w:b/>
          <w:bCs/>
          <w:color w:val="auto"/>
          <w:sz w:val="24"/>
          <w:szCs w:val="24"/>
          <w:highlight w:val="none"/>
        </w:rPr>
        <w:t>3 算数性修正</w:t>
      </w:r>
    </w:p>
    <w:p>
      <w:pPr>
        <w:shd w:val="clear" w:color="auto" w:fill="FFFFFF"/>
        <w:spacing w:line="440" w:lineRule="exact"/>
        <w:ind w:firstLine="480" w:firstLineChars="200"/>
        <w:rPr>
          <w:rFonts w:ascii="宋体" w:hAnsi="宋体" w:cs="宋体"/>
          <w:color w:val="auto"/>
          <w:kern w:val="0"/>
          <w:sz w:val="24"/>
          <w:highlight w:val="none"/>
        </w:rPr>
      </w:pPr>
      <w:r>
        <w:rPr>
          <w:rFonts w:hint="eastAsia" w:ascii="宋体" w:hAnsi="宋体" w:cs="宋体"/>
          <w:bCs/>
          <w:color w:val="auto"/>
          <w:kern w:val="0"/>
          <w:sz w:val="24"/>
          <w:highlight w:val="none"/>
        </w:rPr>
        <w:t>3.1</w:t>
      </w:r>
      <w:r>
        <w:rPr>
          <w:rFonts w:hint="eastAsia" w:ascii="宋体" w:hAnsi="宋体" w:cs="宋体"/>
          <w:color w:val="auto"/>
          <w:kern w:val="0"/>
          <w:sz w:val="24"/>
          <w:highlight w:val="none"/>
        </w:rPr>
        <w:t>为有助于对投标文件进行审查、评估和比较，供应商对评审中评标委员会在“政采云远程开标大厅”中提出的投标文件中含义不明确、同类问题表述不一致或者有明显文字和计算错误的内容，供应商须在30分钟内系统内回复的形式。供应商的澄清、说明或者补正不得超出投标文件的范围或者改变投标文件的实质性内容。</w:t>
      </w:r>
    </w:p>
    <w:p>
      <w:pPr>
        <w:shd w:val="clear" w:color="auto" w:fill="FFFFFF"/>
        <w:spacing w:line="440" w:lineRule="exact"/>
        <w:ind w:firstLine="480" w:firstLineChars="200"/>
        <w:rPr>
          <w:rFonts w:ascii="宋体" w:hAnsi="宋体" w:cs="宋体"/>
          <w:color w:val="auto"/>
          <w:kern w:val="0"/>
          <w:sz w:val="24"/>
          <w:highlight w:val="none"/>
        </w:rPr>
      </w:pPr>
      <w:r>
        <w:rPr>
          <w:rFonts w:hint="eastAsia" w:ascii="宋体" w:hAnsi="宋体" w:cs="宋体"/>
          <w:bCs/>
          <w:color w:val="auto"/>
          <w:kern w:val="0"/>
          <w:sz w:val="24"/>
          <w:highlight w:val="none"/>
        </w:rPr>
        <w:t>3.2</w:t>
      </w:r>
      <w:r>
        <w:rPr>
          <w:rFonts w:hint="eastAsia" w:ascii="宋体" w:hAnsi="宋体" w:cs="宋体"/>
          <w:color w:val="auto"/>
          <w:kern w:val="0"/>
          <w:sz w:val="24"/>
          <w:highlight w:val="none"/>
        </w:rPr>
        <w:t>供应商未按照要求对投标文件进行澄清、说明或者补正的，评标委员会可以否决其投标。</w:t>
      </w:r>
    </w:p>
    <w:p>
      <w:pPr>
        <w:shd w:val="clear" w:color="auto" w:fill="FFFFFF"/>
        <w:adjustRightInd w:val="0"/>
        <w:snapToGrid w:val="0"/>
        <w:spacing w:line="440" w:lineRule="exact"/>
        <w:ind w:firstLine="480" w:firstLineChars="200"/>
        <w:rPr>
          <w:rFonts w:ascii="宋体" w:hAnsi="宋体" w:cs="宋体"/>
          <w:color w:val="auto"/>
          <w:kern w:val="0"/>
          <w:sz w:val="24"/>
          <w:highlight w:val="none"/>
        </w:rPr>
      </w:pPr>
      <w:r>
        <w:rPr>
          <w:rFonts w:hint="eastAsia" w:ascii="宋体" w:hAnsi="宋体" w:cs="宋体"/>
          <w:bCs/>
          <w:color w:val="auto"/>
          <w:kern w:val="0"/>
          <w:sz w:val="24"/>
          <w:highlight w:val="none"/>
        </w:rPr>
        <w:t xml:space="preserve">3.3 </w:t>
      </w:r>
      <w:r>
        <w:rPr>
          <w:rFonts w:hint="eastAsia" w:ascii="宋体" w:hAnsi="宋体" w:cs="宋体"/>
          <w:color w:val="auto"/>
          <w:kern w:val="0"/>
          <w:sz w:val="24"/>
          <w:highlight w:val="none"/>
        </w:rPr>
        <w:t>投标文件报价出现前后不一致的，按照下列规定修正：</w:t>
      </w:r>
    </w:p>
    <w:p>
      <w:pPr>
        <w:shd w:val="clear" w:color="auto" w:fill="FFFFFF"/>
        <w:adjustRightInd w:val="0"/>
        <w:snapToGrid w:val="0"/>
        <w:spacing w:line="44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（一）投标文件中《开标一览表》内容与投标文件中相应内容不一致的，以《开标一览表》为准；</w:t>
      </w:r>
    </w:p>
    <w:p>
      <w:pPr>
        <w:shd w:val="clear" w:color="auto" w:fill="FFFFFF"/>
        <w:adjustRightInd w:val="0"/>
        <w:snapToGrid w:val="0"/>
        <w:spacing w:line="44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（二）大写金额和小写金额不一致的，以大写金额为准；</w:t>
      </w:r>
    </w:p>
    <w:p>
      <w:pPr>
        <w:shd w:val="clear" w:color="auto" w:fill="FFFFFF"/>
        <w:adjustRightInd w:val="0"/>
        <w:snapToGrid w:val="0"/>
        <w:spacing w:line="44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（三）单价金额小数点或者百分比有明显错位的，以《开标一览表》的总价为准，并修改单价；</w:t>
      </w:r>
    </w:p>
    <w:p>
      <w:pPr>
        <w:shd w:val="clear" w:color="auto" w:fill="FFFFFF"/>
        <w:adjustRightInd w:val="0"/>
        <w:snapToGrid w:val="0"/>
        <w:spacing w:line="44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（四）总价金额与按单价汇总金额不一致的，以单价金额计算结果为准。</w:t>
      </w:r>
    </w:p>
    <w:p>
      <w:pPr>
        <w:shd w:val="clear" w:color="auto" w:fill="FFFFFF"/>
        <w:adjustRightInd w:val="0"/>
        <w:snapToGrid w:val="0"/>
        <w:spacing w:line="44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同时出现两种以上不一致的，按照前款规定的顺序修正。</w:t>
      </w:r>
    </w:p>
    <w:p>
      <w:pPr>
        <w:shd w:val="clear" w:color="auto" w:fill="FFFFFF"/>
        <w:spacing w:line="44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修正后的报价遵照如下规定处理：“供应商的澄清、说明或者补正应当采用书面形式，并加盖公章，或者由法定代表人或其授权的代表签字。供应商的澄清、说明或者补正不得超出投标文件的范围或者改变投标文件的实质性内容”。修正后的报价经供应商确认后产生约束力，供应商不确认的，其投标无效。</w:t>
      </w:r>
    </w:p>
    <w:p>
      <w:pPr>
        <w:shd w:val="clear" w:color="auto" w:fill="FFFFFF"/>
        <w:spacing w:line="440" w:lineRule="exact"/>
        <w:ind w:firstLine="482" w:firstLineChars="200"/>
        <w:rPr>
          <w:rFonts w:ascii="宋体" w:hAnsi="宋体" w:cs="宋体"/>
          <w:b/>
          <w:bCs/>
          <w:color w:val="auto"/>
          <w:kern w:val="0"/>
          <w:sz w:val="24"/>
          <w:highlight w:val="none"/>
        </w:rPr>
      </w:pPr>
      <w:r>
        <w:rPr>
          <w:rFonts w:hint="eastAsia" w:ascii="宋体" w:hAnsi="宋体" w:cs="宋体"/>
          <w:b/>
          <w:bCs/>
          <w:color w:val="auto"/>
          <w:kern w:val="0"/>
          <w:sz w:val="24"/>
          <w:highlight w:val="none"/>
        </w:rPr>
        <w:t>4.评标委员会的权利</w:t>
      </w:r>
    </w:p>
    <w:p>
      <w:pPr>
        <w:shd w:val="clear" w:color="auto" w:fill="FFFFFF"/>
        <w:spacing w:line="44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4.1 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w:t>
      </w:r>
    </w:p>
    <w:p>
      <w:pPr>
        <w:shd w:val="clear" w:color="auto" w:fill="FFFFFF"/>
        <w:spacing w:line="44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pPr>
        <w:shd w:val="clear" w:color="auto" w:fill="FFFFFF"/>
        <w:spacing w:line="44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4.3评标报告由评标委员会全体成员签字。评标委员会成员对需要共同认定的事项存在争议的，应当按照少数服从多数的原则作出结论。持不同意见的评标委员会成员应当在评标报告上签署不同意见及理由，否则视为同意评标报告。</w:t>
      </w:r>
    </w:p>
    <w:p>
      <w:pPr>
        <w:shd w:val="clear" w:color="auto" w:fill="FFFFFF"/>
        <w:spacing w:line="44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4.3.1评标结果汇总完成后，除下列情形外，任何人不得修改评标结果：</w:t>
      </w:r>
    </w:p>
    <w:p>
      <w:pPr>
        <w:shd w:val="clear" w:color="auto" w:fill="FFFFFF"/>
        <w:spacing w:line="44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4.3.1.1分值汇总计算错误的；</w:t>
      </w:r>
    </w:p>
    <w:p>
      <w:pPr>
        <w:shd w:val="clear" w:color="auto" w:fill="FFFFFF"/>
        <w:spacing w:line="44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4.3.1.2分项评分超出评分标准范围的；</w:t>
      </w:r>
    </w:p>
    <w:p>
      <w:pPr>
        <w:shd w:val="clear" w:color="auto" w:fill="FFFFFF"/>
        <w:spacing w:line="44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4.3.1.3评标委员会成员对客观评审因素评分不一致的；</w:t>
      </w:r>
    </w:p>
    <w:p>
      <w:pPr>
        <w:shd w:val="clear" w:color="auto" w:fill="FFFFFF"/>
        <w:spacing w:line="44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4.3.1.4经评标委员会认定评分畸高、畸低的。</w:t>
      </w:r>
    </w:p>
    <w:p>
      <w:pPr>
        <w:shd w:val="clear" w:color="auto" w:fill="FFFFFF"/>
        <w:spacing w:line="44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shd w:val="clear" w:color="auto" w:fill="FFFFFF"/>
        <w:spacing w:line="44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4.4评标委员会依据投标须知前附表规定的评标方法，对供应商的投标文件进行评审和比较，供应商最终得分等于商务部分、技术部分、报价部分得分之和。评标委员会确定供应商最终得分和排名向采购人提出书面报告，并推荐合格的中标候选人。</w:t>
      </w:r>
    </w:p>
    <w:p>
      <w:pPr>
        <w:shd w:val="clear" w:color="auto" w:fill="FFFFFF"/>
        <w:spacing w:line="440" w:lineRule="exact"/>
        <w:ind w:firstLine="482" w:firstLineChars="200"/>
        <w:rPr>
          <w:rFonts w:ascii="宋体" w:hAnsi="宋体" w:cs="宋体"/>
          <w:b/>
          <w:bCs/>
          <w:color w:val="auto"/>
          <w:kern w:val="0"/>
          <w:sz w:val="24"/>
          <w:highlight w:val="none"/>
        </w:rPr>
      </w:pPr>
      <w:bookmarkStart w:id="172" w:name="_Toc31479"/>
      <w:bookmarkStart w:id="173" w:name="_Toc37090660"/>
      <w:bookmarkStart w:id="174" w:name="_Toc37090996"/>
      <w:bookmarkStart w:id="175" w:name="_Toc37090659"/>
      <w:bookmarkStart w:id="176" w:name="_Toc37090995"/>
      <w:r>
        <w:rPr>
          <w:rFonts w:hint="eastAsia" w:ascii="宋体" w:hAnsi="宋体" w:cs="宋体"/>
          <w:b/>
          <w:bCs/>
          <w:color w:val="auto"/>
          <w:kern w:val="0"/>
          <w:sz w:val="24"/>
          <w:highlight w:val="none"/>
        </w:rPr>
        <w:t>5. 评标过程的保密</w:t>
      </w:r>
      <w:bookmarkEnd w:id="172"/>
      <w:bookmarkEnd w:id="173"/>
      <w:bookmarkEnd w:id="174"/>
    </w:p>
    <w:p>
      <w:pPr>
        <w:shd w:val="clear" w:color="auto" w:fill="FFFFFF"/>
        <w:spacing w:line="440" w:lineRule="exact"/>
        <w:ind w:firstLine="484" w:firstLineChars="202"/>
        <w:rPr>
          <w:rFonts w:ascii="宋体" w:hAnsi="宋体" w:cs="宋体"/>
          <w:color w:val="auto"/>
          <w:kern w:val="0"/>
          <w:sz w:val="24"/>
          <w:highlight w:val="none"/>
        </w:rPr>
      </w:pPr>
      <w:r>
        <w:rPr>
          <w:rFonts w:hint="eastAsia" w:ascii="宋体" w:hAnsi="宋体" w:cs="宋体"/>
          <w:color w:val="auto"/>
          <w:kern w:val="0"/>
          <w:sz w:val="24"/>
          <w:highlight w:val="none"/>
        </w:rPr>
        <w:t>5.1凡属于对投标文件的审查、澄清、评价和比较有关的资料、中标候选人的推荐情况以及与评标有关的其他任何情况，评标委员会成员和与评标活动有关的工作人员不得对任何单位和个人透露。</w:t>
      </w:r>
    </w:p>
    <w:p>
      <w:pPr>
        <w:shd w:val="clear" w:color="auto" w:fill="FFFFFF"/>
        <w:spacing w:line="440" w:lineRule="exact"/>
        <w:ind w:firstLine="484" w:firstLineChars="202"/>
        <w:rPr>
          <w:rFonts w:ascii="宋体" w:hAnsi="宋体" w:cs="宋体"/>
          <w:color w:val="auto"/>
          <w:kern w:val="0"/>
          <w:sz w:val="24"/>
          <w:highlight w:val="none"/>
        </w:rPr>
      </w:pPr>
      <w:r>
        <w:rPr>
          <w:rFonts w:hint="eastAsia" w:ascii="宋体" w:hAnsi="宋体" w:cs="宋体"/>
          <w:color w:val="auto"/>
          <w:kern w:val="0"/>
          <w:sz w:val="24"/>
          <w:highlight w:val="none"/>
        </w:rPr>
        <w:t>5.2 在投标文件的评审和比较、中标候选人推荐以及授予合同的过程中，供应商向采购人或者评标委员会施加影响的任何行为，都将会导致其投标被拒绝。</w:t>
      </w:r>
    </w:p>
    <w:p>
      <w:pPr>
        <w:shd w:val="clear" w:color="auto" w:fill="FFFFFF"/>
        <w:spacing w:line="440" w:lineRule="exact"/>
        <w:ind w:firstLine="484" w:firstLineChars="202"/>
        <w:rPr>
          <w:rFonts w:ascii="宋体" w:hAnsi="宋体" w:cs="宋体"/>
          <w:color w:val="auto"/>
          <w:kern w:val="0"/>
          <w:sz w:val="24"/>
          <w:highlight w:val="none"/>
        </w:rPr>
      </w:pPr>
      <w:r>
        <w:rPr>
          <w:rFonts w:hint="eastAsia" w:ascii="宋体" w:hAnsi="宋体" w:cs="宋体"/>
          <w:color w:val="auto"/>
          <w:kern w:val="0"/>
          <w:sz w:val="24"/>
          <w:highlight w:val="none"/>
        </w:rPr>
        <w:t>5.3中标人确定后，采购人不对未中标人就评标过程以及未能中标原因做出任何解释。未中标人不得向评标委员会组成人员或者其他有关人员索问评标过程的情况和材料。</w:t>
      </w:r>
    </w:p>
    <w:p>
      <w:pPr>
        <w:shd w:val="clear" w:color="auto" w:fill="FFFFFF"/>
        <w:spacing w:line="440" w:lineRule="exact"/>
        <w:ind w:firstLine="482" w:firstLineChars="200"/>
        <w:rPr>
          <w:rFonts w:ascii="宋体" w:hAnsi="宋体" w:cs="宋体"/>
          <w:b/>
          <w:bCs/>
          <w:color w:val="auto"/>
          <w:kern w:val="0"/>
          <w:sz w:val="24"/>
          <w:highlight w:val="none"/>
        </w:rPr>
      </w:pPr>
      <w:bookmarkStart w:id="177" w:name="_Toc24415"/>
      <w:r>
        <w:rPr>
          <w:rFonts w:hint="eastAsia" w:ascii="宋体" w:hAnsi="宋体" w:cs="宋体"/>
          <w:b/>
          <w:bCs/>
          <w:color w:val="auto"/>
          <w:kern w:val="0"/>
          <w:sz w:val="24"/>
          <w:highlight w:val="none"/>
        </w:rPr>
        <w:t>6. 定标原则</w:t>
      </w:r>
      <w:bookmarkEnd w:id="175"/>
      <w:bookmarkEnd w:id="176"/>
      <w:bookmarkEnd w:id="177"/>
    </w:p>
    <w:p>
      <w:pPr>
        <w:shd w:val="clear" w:color="auto" w:fill="FFFFFF"/>
        <w:spacing w:line="440" w:lineRule="exact"/>
        <w:ind w:firstLine="484" w:firstLineChars="202"/>
        <w:rPr>
          <w:rFonts w:ascii="宋体" w:hAnsi="宋体" w:cs="宋体"/>
          <w:color w:val="auto"/>
          <w:kern w:val="0"/>
          <w:sz w:val="24"/>
          <w:highlight w:val="none"/>
        </w:rPr>
      </w:pPr>
      <w:r>
        <w:rPr>
          <w:rFonts w:hint="eastAsia" w:ascii="宋体" w:hAnsi="宋体" w:cs="宋体"/>
          <w:color w:val="auto"/>
          <w:kern w:val="0"/>
          <w:sz w:val="24"/>
          <w:highlight w:val="none"/>
        </w:rPr>
        <w:t>6.1 评标委员会依据投标须知前附表规定的评标方法和标准，按照得分由高到低的顺序进行排序，最终将前三名作为中标候选人推荐给采购人。</w:t>
      </w:r>
    </w:p>
    <w:p>
      <w:pPr>
        <w:shd w:val="clear" w:color="auto" w:fill="FFFFFF"/>
        <w:spacing w:line="440" w:lineRule="exact"/>
        <w:ind w:firstLine="484" w:firstLineChars="202"/>
        <w:rPr>
          <w:rFonts w:ascii="宋体" w:hAnsi="宋体" w:cs="宋体"/>
          <w:color w:val="auto"/>
          <w:kern w:val="0"/>
          <w:sz w:val="24"/>
          <w:highlight w:val="none"/>
        </w:rPr>
      </w:pPr>
      <w:r>
        <w:rPr>
          <w:rFonts w:hint="eastAsia" w:ascii="宋体" w:hAnsi="宋体" w:cs="宋体"/>
          <w:color w:val="auto"/>
          <w:kern w:val="0"/>
          <w:sz w:val="24"/>
          <w:highlight w:val="none"/>
        </w:rPr>
        <w:t>6.2 采购代理机构应当在评标结束后2个工作日内将评标报告送采购人。采购人应当自收到评标报告之日起５个工作日内，在评标报告确定的中标候选人名单中按顺序确定中标人。</w:t>
      </w:r>
    </w:p>
    <w:p>
      <w:pPr>
        <w:pStyle w:val="59"/>
        <w:snapToGrid w:val="0"/>
        <w:spacing w:after="0" w:line="440" w:lineRule="exact"/>
        <w:ind w:firstLine="241"/>
        <w:rPr>
          <w:rFonts w:hAnsi="宋体" w:cs="宋体"/>
          <w:color w:val="auto"/>
          <w:highlight w:val="none"/>
        </w:rPr>
      </w:pPr>
      <w:r>
        <w:rPr>
          <w:rFonts w:hint="eastAsia" w:hAnsi="宋体" w:cs="宋体"/>
          <w:b/>
          <w:bCs/>
          <w:color w:val="auto"/>
          <w:sz w:val="24"/>
          <w:szCs w:val="24"/>
          <w:highlight w:val="none"/>
        </w:rPr>
        <w:t>6.3中标供应商拒绝与采购人签订合同的，采购人可以按照评审报告推荐的中标供应商名单排序，确定下一候选人为中标供应商，也可以重新开展政府采购活动。</w:t>
      </w:r>
    </w:p>
    <w:p>
      <w:pPr>
        <w:pStyle w:val="59"/>
        <w:snapToGrid w:val="0"/>
        <w:spacing w:after="0" w:line="440" w:lineRule="exact"/>
        <w:ind w:firstLine="241"/>
        <w:rPr>
          <w:rFonts w:hAnsi="宋体" w:cs="宋体"/>
          <w:color w:val="auto"/>
          <w:highlight w:val="none"/>
        </w:rPr>
      </w:pPr>
      <w:r>
        <w:rPr>
          <w:rFonts w:hint="eastAsia" w:hAnsi="宋体" w:cs="宋体"/>
          <w:b/>
          <w:bCs/>
          <w:color w:val="auto"/>
          <w:sz w:val="24"/>
          <w:szCs w:val="24"/>
          <w:highlight w:val="none"/>
        </w:rPr>
        <w:t>6.4 出现下列情形之一的，本项目予以废标，重新开展采购活动。</w:t>
      </w:r>
    </w:p>
    <w:p>
      <w:pPr>
        <w:pStyle w:val="59"/>
        <w:snapToGrid w:val="0"/>
        <w:spacing w:after="0" w:line="440" w:lineRule="exact"/>
        <w:ind w:firstLine="241"/>
        <w:rPr>
          <w:rFonts w:hAnsi="宋体" w:cs="宋体"/>
          <w:color w:val="auto"/>
          <w:highlight w:val="none"/>
        </w:rPr>
      </w:pPr>
      <w:r>
        <w:rPr>
          <w:rFonts w:hint="eastAsia" w:hAnsi="宋体" w:cs="宋体"/>
          <w:b/>
          <w:bCs/>
          <w:color w:val="auto"/>
          <w:sz w:val="24"/>
          <w:szCs w:val="24"/>
          <w:highlight w:val="none"/>
        </w:rPr>
        <w:t>6.4.1 符合专业条件的供应商或者对招标文件作实质响应的供应商不足三家的；</w:t>
      </w:r>
    </w:p>
    <w:p>
      <w:pPr>
        <w:pStyle w:val="59"/>
        <w:snapToGrid w:val="0"/>
        <w:spacing w:after="0" w:line="440" w:lineRule="exact"/>
        <w:ind w:firstLine="241"/>
        <w:rPr>
          <w:rFonts w:hAnsi="宋体" w:cs="宋体"/>
          <w:color w:val="auto"/>
          <w:highlight w:val="none"/>
        </w:rPr>
      </w:pPr>
      <w:r>
        <w:rPr>
          <w:rFonts w:hint="eastAsia" w:hAnsi="宋体" w:cs="宋体"/>
          <w:b/>
          <w:bCs/>
          <w:color w:val="auto"/>
          <w:sz w:val="24"/>
          <w:szCs w:val="24"/>
          <w:highlight w:val="none"/>
        </w:rPr>
        <w:t>6.4.2出现影响采购公正的违法、违规行为的；</w:t>
      </w:r>
    </w:p>
    <w:p>
      <w:pPr>
        <w:shd w:val="clear" w:color="auto" w:fill="FFFFFF"/>
        <w:spacing w:line="440" w:lineRule="exact"/>
        <w:ind w:firstLine="482" w:firstLineChars="200"/>
        <w:rPr>
          <w:rFonts w:ascii="宋体" w:hAnsi="宋体" w:cs="宋体"/>
          <w:color w:val="auto"/>
          <w:kern w:val="0"/>
          <w:sz w:val="24"/>
          <w:highlight w:val="none"/>
        </w:rPr>
      </w:pPr>
      <w:r>
        <w:rPr>
          <w:rFonts w:hint="eastAsia" w:ascii="宋体" w:hAnsi="宋体" w:cs="宋体"/>
          <w:b/>
          <w:bCs/>
          <w:color w:val="auto"/>
          <w:sz w:val="24"/>
          <w:highlight w:val="none"/>
        </w:rPr>
        <w:t>6.4.3 因重大变故，采购任务取消的。</w:t>
      </w:r>
    </w:p>
    <w:p>
      <w:pPr>
        <w:pStyle w:val="57"/>
        <w:spacing w:before="0" w:after="0" w:line="480" w:lineRule="exact"/>
        <w:ind w:firstLine="643" w:firstLineChars="200"/>
        <w:rPr>
          <w:rFonts w:ascii="宋体" w:hAnsi="宋体" w:cs="宋体"/>
          <w:color w:val="auto"/>
          <w:kern w:val="0"/>
          <w:sz w:val="24"/>
          <w:highlight w:val="none"/>
        </w:rPr>
      </w:pPr>
      <w:r>
        <w:rPr>
          <w:color w:val="auto"/>
          <w:highlight w:val="none"/>
        </w:rPr>
        <w:br w:type="page"/>
      </w:r>
      <w:r>
        <w:rPr>
          <w:color w:val="auto"/>
          <w:highlight w:val="none"/>
        </w:rPr>
        <w:t>第</w:t>
      </w:r>
      <w:r>
        <w:rPr>
          <w:rFonts w:hint="eastAsia"/>
          <w:color w:val="auto"/>
          <w:highlight w:val="none"/>
        </w:rPr>
        <w:t>六</w:t>
      </w:r>
      <w:r>
        <w:rPr>
          <w:color w:val="auto"/>
          <w:highlight w:val="none"/>
        </w:rPr>
        <w:t>章  投标文件格式</w:t>
      </w:r>
      <w:bookmarkEnd w:id="164"/>
    </w:p>
    <w:p>
      <w:pPr>
        <w:ind w:firstLine="560"/>
        <w:rPr>
          <w:rFonts w:ascii="宋体" w:hAnsi="宋体"/>
          <w:color w:val="auto"/>
          <w:sz w:val="24"/>
          <w:highlight w:val="none"/>
        </w:rPr>
      </w:pPr>
    </w:p>
    <w:p>
      <w:pPr>
        <w:tabs>
          <w:tab w:val="left" w:pos="8280"/>
        </w:tabs>
        <w:spacing w:line="360" w:lineRule="auto"/>
        <w:rPr>
          <w:rFonts w:ascii="宋体" w:hAnsi="宋体" w:cs="宋体"/>
          <w:b/>
          <w:bCs/>
          <w:color w:val="auto"/>
          <w:sz w:val="28"/>
          <w:szCs w:val="28"/>
          <w:highlight w:val="none"/>
        </w:rPr>
      </w:pPr>
      <w:r>
        <w:rPr>
          <w:color w:val="auto"/>
          <w:sz w:val="24"/>
          <w:highlight w:val="none"/>
        </w:rPr>
        <w:br w:type="page"/>
      </w:r>
      <w:r>
        <w:rPr>
          <w:rFonts w:hint="eastAsia" w:ascii="宋体" w:hAnsi="宋体" w:cs="宋体"/>
          <w:b/>
          <w:bCs/>
          <w:color w:val="auto"/>
          <w:sz w:val="28"/>
          <w:szCs w:val="28"/>
          <w:highlight w:val="none"/>
        </w:rPr>
        <w:t>封    面：</w:t>
      </w:r>
    </w:p>
    <w:p>
      <w:pPr>
        <w:tabs>
          <w:tab w:val="left" w:pos="450"/>
          <w:tab w:val="left" w:pos="8280"/>
        </w:tabs>
        <w:spacing w:line="720" w:lineRule="exact"/>
        <w:rPr>
          <w:rFonts w:ascii="宋体" w:hAnsi="宋体" w:cs="宋体"/>
          <w:b/>
          <w:bCs/>
          <w:color w:val="auto"/>
          <w:sz w:val="36"/>
          <w:szCs w:val="36"/>
          <w:highlight w:val="none"/>
        </w:rPr>
      </w:pPr>
      <w:r>
        <w:rPr>
          <w:rFonts w:hint="eastAsia" w:ascii="宋体" w:hAnsi="宋体" w:cs="宋体"/>
          <w:b/>
          <w:bCs/>
          <w:color w:val="auto"/>
          <w:sz w:val="24"/>
          <w:highlight w:val="none"/>
        </w:rPr>
        <w:t xml:space="preserve">        </w:t>
      </w:r>
      <w:r>
        <w:rPr>
          <w:rFonts w:hint="eastAsia" w:ascii="宋体" w:hAnsi="宋体" w:cs="宋体"/>
          <w:b/>
          <w:bCs/>
          <w:color w:val="auto"/>
          <w:sz w:val="36"/>
          <w:szCs w:val="36"/>
          <w:highlight w:val="none"/>
        </w:rPr>
        <w:t xml:space="preserve"> </w:t>
      </w:r>
    </w:p>
    <w:p>
      <w:pPr>
        <w:pStyle w:val="27"/>
        <w:rPr>
          <w:rFonts w:hAnsi="宋体" w:cs="宋体"/>
          <w:b/>
          <w:bCs/>
          <w:color w:val="auto"/>
          <w:sz w:val="36"/>
          <w:szCs w:val="36"/>
          <w:highlight w:val="none"/>
        </w:rPr>
      </w:pPr>
    </w:p>
    <w:p>
      <w:pPr>
        <w:pStyle w:val="27"/>
        <w:rPr>
          <w:rFonts w:hAnsi="宋体" w:cs="宋体"/>
          <w:b/>
          <w:bCs/>
          <w:color w:val="auto"/>
          <w:sz w:val="36"/>
          <w:szCs w:val="36"/>
          <w:highlight w:val="none"/>
        </w:rPr>
      </w:pPr>
    </w:p>
    <w:p>
      <w:pPr>
        <w:tabs>
          <w:tab w:val="left" w:pos="450"/>
          <w:tab w:val="left" w:pos="8280"/>
        </w:tabs>
        <w:spacing w:line="720" w:lineRule="exact"/>
        <w:ind w:firstLine="723" w:firstLineChars="200"/>
        <w:rPr>
          <w:rFonts w:ascii="宋体" w:hAnsi="宋体" w:cs="宋体"/>
          <w:b/>
          <w:bCs/>
          <w:color w:val="auto"/>
          <w:sz w:val="36"/>
          <w:szCs w:val="36"/>
          <w:highlight w:val="none"/>
        </w:rPr>
      </w:pPr>
      <w:r>
        <w:rPr>
          <w:rFonts w:hint="eastAsia" w:ascii="宋体" w:hAnsi="宋体" w:cs="宋体"/>
          <w:b/>
          <w:bCs/>
          <w:color w:val="auto"/>
          <w:sz w:val="36"/>
          <w:szCs w:val="36"/>
          <w:highlight w:val="none"/>
        </w:rPr>
        <w:t xml:space="preserve">    </w:t>
      </w:r>
      <w:r>
        <w:rPr>
          <w:rFonts w:hint="eastAsia" w:ascii="宋体" w:hAnsi="宋体" w:cs="宋体"/>
          <w:b/>
          <w:bCs/>
          <w:color w:val="auto"/>
          <w:sz w:val="36"/>
          <w:szCs w:val="36"/>
          <w:highlight w:val="none"/>
          <w:u w:val="single"/>
        </w:rPr>
        <w:t xml:space="preserve">                               </w:t>
      </w:r>
      <w:r>
        <w:rPr>
          <w:rFonts w:hint="eastAsia" w:ascii="宋体" w:hAnsi="宋体" w:cs="宋体"/>
          <w:b/>
          <w:bCs/>
          <w:color w:val="auto"/>
          <w:sz w:val="36"/>
          <w:szCs w:val="36"/>
          <w:highlight w:val="none"/>
        </w:rPr>
        <w:t>项目</w:t>
      </w:r>
    </w:p>
    <w:p>
      <w:pPr>
        <w:tabs>
          <w:tab w:val="left" w:pos="8280"/>
        </w:tabs>
        <w:spacing w:line="720" w:lineRule="exact"/>
        <w:jc w:val="center"/>
        <w:rPr>
          <w:rFonts w:ascii="宋体" w:hAnsi="宋体" w:cs="宋体"/>
          <w:b/>
          <w:bCs/>
          <w:color w:val="auto"/>
          <w:sz w:val="36"/>
          <w:szCs w:val="36"/>
          <w:highlight w:val="none"/>
        </w:rPr>
      </w:pPr>
      <w:r>
        <w:rPr>
          <w:rFonts w:hint="eastAsia" w:ascii="宋体" w:hAnsi="宋体" w:cs="宋体"/>
          <w:b/>
          <w:bCs/>
          <w:color w:val="auto"/>
          <w:sz w:val="36"/>
          <w:szCs w:val="36"/>
          <w:highlight w:val="none"/>
        </w:rPr>
        <w:t>投标文件</w:t>
      </w:r>
    </w:p>
    <w:p>
      <w:pPr>
        <w:tabs>
          <w:tab w:val="left" w:pos="275"/>
          <w:tab w:val="left" w:pos="8280"/>
        </w:tabs>
        <w:spacing w:line="360" w:lineRule="auto"/>
        <w:rPr>
          <w:rFonts w:ascii="宋体" w:hAnsi="宋体" w:cs="宋体"/>
          <w:b/>
          <w:bCs/>
          <w:color w:val="auto"/>
          <w:sz w:val="24"/>
          <w:highlight w:val="none"/>
        </w:rPr>
      </w:pPr>
      <w:r>
        <w:rPr>
          <w:rFonts w:hint="eastAsia" w:ascii="宋体" w:hAnsi="宋体" w:cs="宋体"/>
          <w:b/>
          <w:bCs/>
          <w:color w:val="auto"/>
          <w:sz w:val="24"/>
          <w:highlight w:val="none"/>
        </w:rPr>
        <w:tab/>
      </w:r>
    </w:p>
    <w:p>
      <w:pPr>
        <w:tabs>
          <w:tab w:val="left" w:pos="275"/>
          <w:tab w:val="left" w:pos="8280"/>
        </w:tabs>
        <w:spacing w:line="360" w:lineRule="auto"/>
        <w:rPr>
          <w:rFonts w:ascii="宋体" w:hAnsi="宋体" w:cs="宋体"/>
          <w:b/>
          <w:bCs/>
          <w:color w:val="auto"/>
          <w:sz w:val="28"/>
          <w:szCs w:val="28"/>
          <w:highlight w:val="none"/>
        </w:rPr>
      </w:pPr>
    </w:p>
    <w:p>
      <w:pPr>
        <w:tabs>
          <w:tab w:val="left" w:pos="275"/>
          <w:tab w:val="left" w:pos="8280"/>
        </w:tabs>
        <w:spacing w:line="360" w:lineRule="auto"/>
        <w:rPr>
          <w:rFonts w:ascii="宋体" w:hAnsi="宋体" w:cs="宋体"/>
          <w:b/>
          <w:bCs/>
          <w:color w:val="auto"/>
          <w:sz w:val="28"/>
          <w:szCs w:val="28"/>
          <w:highlight w:val="none"/>
        </w:rPr>
      </w:pPr>
    </w:p>
    <w:p>
      <w:pPr>
        <w:tabs>
          <w:tab w:val="left" w:pos="275"/>
          <w:tab w:val="left" w:pos="8280"/>
        </w:tabs>
        <w:spacing w:line="360" w:lineRule="auto"/>
        <w:rPr>
          <w:rFonts w:ascii="宋体" w:hAnsi="宋体" w:cs="宋体"/>
          <w:b/>
          <w:bCs/>
          <w:color w:val="auto"/>
          <w:sz w:val="28"/>
          <w:szCs w:val="28"/>
          <w:highlight w:val="none"/>
        </w:rPr>
      </w:pPr>
    </w:p>
    <w:p>
      <w:pPr>
        <w:tabs>
          <w:tab w:val="left" w:pos="275"/>
          <w:tab w:val="left" w:pos="8280"/>
        </w:tabs>
        <w:spacing w:line="360" w:lineRule="auto"/>
        <w:rPr>
          <w:rFonts w:ascii="宋体" w:hAnsi="宋体" w:cs="宋体"/>
          <w:b/>
          <w:bCs/>
          <w:color w:val="auto"/>
          <w:sz w:val="28"/>
          <w:szCs w:val="28"/>
          <w:highlight w:val="none"/>
        </w:rPr>
      </w:pPr>
    </w:p>
    <w:p>
      <w:pPr>
        <w:tabs>
          <w:tab w:val="left" w:pos="275"/>
          <w:tab w:val="left" w:pos="8280"/>
        </w:tabs>
        <w:spacing w:line="360" w:lineRule="auto"/>
        <w:rPr>
          <w:rFonts w:ascii="宋体" w:hAnsi="宋体" w:cs="宋体"/>
          <w:b/>
          <w:bCs/>
          <w:color w:val="auto"/>
          <w:sz w:val="28"/>
          <w:szCs w:val="28"/>
          <w:highlight w:val="none"/>
        </w:rPr>
      </w:pPr>
      <w:r>
        <w:rPr>
          <w:rFonts w:hint="eastAsia" w:ascii="宋体" w:hAnsi="宋体" w:cs="宋体"/>
          <w:b/>
          <w:bCs/>
          <w:color w:val="auto"/>
          <w:sz w:val="28"/>
          <w:szCs w:val="28"/>
          <w:highlight w:val="none"/>
        </w:rPr>
        <w:t>项目编号：</w:t>
      </w:r>
      <w:r>
        <w:rPr>
          <w:rFonts w:hint="eastAsia" w:ascii="宋体" w:hAnsi="宋体" w:cs="宋体"/>
          <w:b/>
          <w:bCs/>
          <w:color w:val="auto"/>
          <w:sz w:val="28"/>
          <w:szCs w:val="28"/>
          <w:highlight w:val="none"/>
          <w:u w:val="single"/>
        </w:rPr>
        <w:t xml:space="preserve">                                          </w:t>
      </w:r>
    </w:p>
    <w:p>
      <w:pPr>
        <w:tabs>
          <w:tab w:val="left" w:pos="765"/>
          <w:tab w:val="left" w:pos="8280"/>
        </w:tabs>
        <w:spacing w:line="360" w:lineRule="auto"/>
        <w:rPr>
          <w:rFonts w:ascii="宋体" w:hAnsi="宋体" w:cs="宋体"/>
          <w:b/>
          <w:bCs/>
          <w:color w:val="auto"/>
          <w:sz w:val="28"/>
          <w:szCs w:val="28"/>
          <w:highlight w:val="none"/>
        </w:rPr>
      </w:pPr>
      <w:r>
        <w:rPr>
          <w:rFonts w:hint="eastAsia" w:ascii="宋体" w:hAnsi="宋体" w:cs="宋体"/>
          <w:b/>
          <w:bCs/>
          <w:color w:val="auto"/>
          <w:sz w:val="28"/>
          <w:szCs w:val="28"/>
          <w:highlight w:val="none"/>
          <w:lang w:eastAsia="zh-CN"/>
        </w:rPr>
        <w:t>标项</w:t>
      </w:r>
      <w:r>
        <w:rPr>
          <w:rFonts w:hint="eastAsia" w:ascii="宋体" w:hAnsi="宋体" w:cs="宋体"/>
          <w:b/>
          <w:bCs/>
          <w:color w:val="auto"/>
          <w:sz w:val="28"/>
          <w:szCs w:val="28"/>
          <w:highlight w:val="none"/>
        </w:rPr>
        <w:t>号：</w:t>
      </w:r>
      <w:r>
        <w:rPr>
          <w:rFonts w:hint="eastAsia" w:ascii="宋体" w:hAnsi="宋体" w:cs="宋体"/>
          <w:b/>
          <w:bCs/>
          <w:color w:val="auto"/>
          <w:sz w:val="28"/>
          <w:szCs w:val="28"/>
          <w:highlight w:val="none"/>
          <w:u w:val="single"/>
        </w:rPr>
        <w:t xml:space="preserve">            </w:t>
      </w:r>
      <w:r>
        <w:rPr>
          <w:rFonts w:hint="eastAsia" w:ascii="宋体" w:hAnsi="宋体" w:cs="宋体"/>
          <w:b/>
          <w:bCs/>
          <w:color w:val="auto"/>
          <w:sz w:val="28"/>
          <w:szCs w:val="28"/>
          <w:highlight w:val="none"/>
          <w:u w:val="single"/>
          <w:lang w:val="en-US" w:eastAsia="zh-CN"/>
        </w:rPr>
        <w:t xml:space="preserve">                  </w:t>
      </w:r>
      <w:r>
        <w:rPr>
          <w:rFonts w:hint="eastAsia" w:ascii="宋体" w:hAnsi="宋体" w:cs="宋体"/>
          <w:b/>
          <w:bCs/>
          <w:color w:val="auto"/>
          <w:sz w:val="28"/>
          <w:szCs w:val="28"/>
          <w:highlight w:val="none"/>
          <w:u w:val="single"/>
        </w:rPr>
        <w:t xml:space="preserve">         </w:t>
      </w:r>
    </w:p>
    <w:p>
      <w:pPr>
        <w:tabs>
          <w:tab w:val="left" w:pos="765"/>
          <w:tab w:val="left" w:pos="8280"/>
        </w:tabs>
        <w:spacing w:line="360" w:lineRule="auto"/>
        <w:rPr>
          <w:rFonts w:ascii="宋体" w:hAnsi="宋体" w:cs="宋体"/>
          <w:b/>
          <w:bCs/>
          <w:color w:val="auto"/>
          <w:sz w:val="28"/>
          <w:szCs w:val="28"/>
          <w:highlight w:val="none"/>
        </w:rPr>
      </w:pPr>
      <w:r>
        <w:rPr>
          <w:rFonts w:hint="eastAsia" w:ascii="宋体" w:hAnsi="宋体" w:cs="宋体"/>
          <w:b/>
          <w:bCs/>
          <w:color w:val="auto"/>
          <w:sz w:val="28"/>
          <w:szCs w:val="28"/>
          <w:highlight w:val="none"/>
        </w:rPr>
        <w:t xml:space="preserve">投标文件递交人（电子公章）： </w:t>
      </w:r>
      <w:r>
        <w:rPr>
          <w:rFonts w:hint="eastAsia" w:ascii="宋体" w:hAnsi="宋体" w:cs="宋体"/>
          <w:b/>
          <w:bCs/>
          <w:color w:val="auto"/>
          <w:sz w:val="28"/>
          <w:szCs w:val="28"/>
          <w:highlight w:val="none"/>
          <w:u w:val="single"/>
        </w:rPr>
        <w:t xml:space="preserve">                             </w:t>
      </w:r>
    </w:p>
    <w:p>
      <w:pPr>
        <w:tabs>
          <w:tab w:val="left" w:pos="8280"/>
        </w:tabs>
        <w:spacing w:line="360" w:lineRule="auto"/>
        <w:jc w:val="center"/>
        <w:rPr>
          <w:rFonts w:ascii="宋体" w:hAnsi="宋体" w:cs="宋体"/>
          <w:b/>
          <w:bCs/>
          <w:color w:val="auto"/>
          <w:sz w:val="28"/>
          <w:szCs w:val="28"/>
          <w:highlight w:val="none"/>
        </w:rPr>
      </w:pPr>
    </w:p>
    <w:p>
      <w:pPr>
        <w:tabs>
          <w:tab w:val="left" w:pos="350"/>
          <w:tab w:val="left" w:pos="8280"/>
        </w:tabs>
        <w:spacing w:line="360" w:lineRule="auto"/>
        <w:rPr>
          <w:rFonts w:ascii="宋体" w:hAnsi="宋体" w:cs="宋体"/>
          <w:b/>
          <w:bCs/>
          <w:color w:val="auto"/>
          <w:sz w:val="28"/>
          <w:szCs w:val="28"/>
          <w:highlight w:val="none"/>
        </w:rPr>
      </w:pPr>
      <w:r>
        <w:rPr>
          <w:rFonts w:hint="eastAsia" w:ascii="宋体" w:hAnsi="宋体" w:cs="宋体"/>
          <w:b/>
          <w:bCs/>
          <w:color w:val="auto"/>
          <w:sz w:val="28"/>
          <w:szCs w:val="28"/>
          <w:highlight w:val="none"/>
        </w:rPr>
        <w:t>供应商法定代表人或企业负责人</w:t>
      </w:r>
    </w:p>
    <w:p>
      <w:pPr>
        <w:tabs>
          <w:tab w:val="left" w:pos="840"/>
          <w:tab w:val="left" w:pos="8280"/>
        </w:tabs>
        <w:spacing w:line="360" w:lineRule="auto"/>
        <w:rPr>
          <w:rFonts w:ascii="宋体" w:hAnsi="宋体" w:cs="宋体"/>
          <w:b/>
          <w:bCs/>
          <w:color w:val="auto"/>
          <w:sz w:val="28"/>
          <w:szCs w:val="28"/>
          <w:highlight w:val="none"/>
        </w:rPr>
      </w:pPr>
      <w:r>
        <w:rPr>
          <w:rFonts w:hint="eastAsia" w:ascii="宋体" w:hAnsi="宋体" w:cs="宋体"/>
          <w:b/>
          <w:bCs/>
          <w:color w:val="auto"/>
          <w:sz w:val="28"/>
          <w:szCs w:val="28"/>
          <w:highlight w:val="none"/>
        </w:rPr>
        <w:t>或其委托人（签章）：</w:t>
      </w:r>
      <w:r>
        <w:rPr>
          <w:rFonts w:hint="eastAsia" w:ascii="宋体" w:hAnsi="宋体" w:cs="宋体"/>
          <w:b/>
          <w:bCs/>
          <w:color w:val="auto"/>
          <w:sz w:val="28"/>
          <w:szCs w:val="28"/>
          <w:highlight w:val="none"/>
          <w:u w:val="single"/>
        </w:rPr>
        <w:t xml:space="preserve">                                       </w:t>
      </w:r>
    </w:p>
    <w:p>
      <w:pPr>
        <w:rPr>
          <w:rFonts w:ascii="宋体" w:hAnsi="宋体" w:cs="宋体"/>
          <w:color w:val="auto"/>
          <w:highlight w:val="none"/>
        </w:rPr>
      </w:pPr>
    </w:p>
    <w:p>
      <w:pPr>
        <w:pStyle w:val="71"/>
        <w:tabs>
          <w:tab w:val="left" w:pos="-120"/>
        </w:tabs>
        <w:rPr>
          <w:rFonts w:ascii="宋体" w:hAnsi="宋体" w:eastAsia="宋体" w:cs="宋体"/>
          <w:color w:val="auto"/>
          <w:highlight w:val="none"/>
        </w:rPr>
      </w:pPr>
    </w:p>
    <w:p>
      <w:pPr>
        <w:pStyle w:val="71"/>
        <w:tabs>
          <w:tab w:val="left" w:pos="-120"/>
        </w:tabs>
        <w:rPr>
          <w:rFonts w:ascii="宋体" w:hAnsi="宋体" w:eastAsia="宋体" w:cs="宋体"/>
          <w:color w:val="auto"/>
          <w:highlight w:val="none"/>
        </w:rPr>
      </w:pPr>
    </w:p>
    <w:p>
      <w:pPr>
        <w:pStyle w:val="71"/>
        <w:tabs>
          <w:tab w:val="left" w:pos="-120"/>
        </w:tabs>
        <w:rPr>
          <w:rFonts w:ascii="宋体" w:hAnsi="宋体" w:eastAsia="宋体" w:cs="宋体"/>
          <w:color w:val="auto"/>
          <w:highlight w:val="none"/>
        </w:rPr>
      </w:pPr>
    </w:p>
    <w:p>
      <w:pPr>
        <w:pStyle w:val="71"/>
        <w:tabs>
          <w:tab w:val="left" w:pos="-120"/>
        </w:tabs>
        <w:jc w:val="center"/>
        <w:rPr>
          <w:rFonts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年     月     日</w:t>
      </w:r>
    </w:p>
    <w:p>
      <w:pPr>
        <w:pStyle w:val="71"/>
        <w:tabs>
          <w:tab w:val="left" w:pos="-120"/>
        </w:tabs>
        <w:jc w:val="center"/>
        <w:rPr>
          <w:rFonts w:ascii="宋体" w:hAnsi="宋体" w:eastAsia="宋体" w:cs="宋体"/>
          <w:color w:val="auto"/>
          <w:highlight w:val="none"/>
        </w:rPr>
      </w:pPr>
      <w:r>
        <w:rPr>
          <w:rFonts w:hint="eastAsia" w:ascii="宋体" w:hAnsi="宋体" w:eastAsia="宋体" w:cs="宋体"/>
          <w:b/>
          <w:bCs/>
          <w:color w:val="auto"/>
          <w:sz w:val="28"/>
          <w:szCs w:val="28"/>
          <w:highlight w:val="none"/>
        </w:rPr>
        <w:br w:type="page"/>
      </w:r>
    </w:p>
    <w:p>
      <w:pPr>
        <w:autoSpaceDE w:val="0"/>
        <w:autoSpaceDN w:val="0"/>
        <w:adjustRightInd w:val="0"/>
        <w:spacing w:line="427" w:lineRule="exact"/>
        <w:ind w:left="22" w:right="-40" w:hanging="22" w:hangingChars="7"/>
        <w:jc w:val="center"/>
        <w:rPr>
          <w:rFonts w:ascii="宋体" w:hAnsi="宋体" w:cs="宋体"/>
          <w:b/>
          <w:bCs/>
          <w:color w:val="auto"/>
          <w:sz w:val="32"/>
          <w:szCs w:val="32"/>
          <w:highlight w:val="none"/>
        </w:rPr>
      </w:pPr>
    </w:p>
    <w:p>
      <w:pPr>
        <w:autoSpaceDE w:val="0"/>
        <w:autoSpaceDN w:val="0"/>
        <w:adjustRightInd w:val="0"/>
        <w:spacing w:line="427" w:lineRule="exact"/>
        <w:ind w:left="22" w:right="-40" w:hanging="22" w:hangingChars="7"/>
        <w:jc w:val="center"/>
        <w:rPr>
          <w:rFonts w:ascii="宋体" w:hAnsi="宋体" w:cs="宋体"/>
          <w:b/>
          <w:bCs/>
          <w:color w:val="auto"/>
          <w:sz w:val="32"/>
          <w:szCs w:val="32"/>
          <w:highlight w:val="none"/>
        </w:rPr>
      </w:pPr>
      <w:r>
        <w:rPr>
          <w:rFonts w:hint="eastAsia" w:ascii="宋体" w:hAnsi="宋体" w:cs="宋体"/>
          <w:b/>
          <w:bCs/>
          <w:color w:val="auto"/>
          <w:sz w:val="32"/>
          <w:szCs w:val="32"/>
          <w:highlight w:val="none"/>
        </w:rPr>
        <w:t>目  录</w:t>
      </w:r>
    </w:p>
    <w:p>
      <w:pPr>
        <w:numPr>
          <w:ilvl w:val="0"/>
          <w:numId w:val="21"/>
        </w:numPr>
        <w:autoSpaceDE w:val="0"/>
        <w:autoSpaceDN w:val="0"/>
        <w:adjustRightInd w:val="0"/>
        <w:spacing w:line="440" w:lineRule="exact"/>
        <w:ind w:left="17" w:right="-40" w:hanging="17" w:hangingChars="7"/>
        <w:rPr>
          <w:rFonts w:ascii="宋体" w:hAnsi="宋体" w:cs="宋体"/>
          <w:b/>
          <w:color w:val="auto"/>
          <w:sz w:val="24"/>
          <w:highlight w:val="none"/>
        </w:rPr>
      </w:pPr>
      <w:r>
        <w:rPr>
          <w:rFonts w:hint="eastAsia" w:ascii="宋体" w:hAnsi="宋体" w:cs="宋体"/>
          <w:b/>
          <w:color w:val="auto"/>
          <w:sz w:val="24"/>
          <w:highlight w:val="none"/>
        </w:rPr>
        <w:t>投标函</w:t>
      </w:r>
    </w:p>
    <w:p>
      <w:pPr>
        <w:autoSpaceDE w:val="0"/>
        <w:autoSpaceDN w:val="0"/>
        <w:adjustRightInd w:val="0"/>
        <w:spacing w:line="440" w:lineRule="exact"/>
        <w:rPr>
          <w:rFonts w:ascii="宋体" w:hAnsi="宋体" w:cs="宋体"/>
          <w:color w:val="auto"/>
          <w:sz w:val="24"/>
          <w:highlight w:val="none"/>
        </w:rPr>
      </w:pPr>
      <w:r>
        <w:rPr>
          <w:rFonts w:hint="eastAsia" w:ascii="宋体" w:hAnsi="宋体" w:cs="宋体"/>
          <w:b/>
          <w:color w:val="auto"/>
          <w:sz w:val="24"/>
          <w:highlight w:val="none"/>
        </w:rPr>
        <w:t>二、资格证明文件</w:t>
      </w:r>
    </w:p>
    <w:p>
      <w:pPr>
        <w:autoSpaceDE w:val="0"/>
        <w:autoSpaceDN w:val="0"/>
        <w:adjustRightInd w:val="0"/>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(一) 符合</w:t>
      </w:r>
      <w:r>
        <w:rPr>
          <w:rFonts w:hint="eastAsia" w:ascii="宋体" w:hAnsi="宋体" w:cs="宋体"/>
          <w:color w:val="auto"/>
          <w:kern w:val="0"/>
          <w:sz w:val="24"/>
          <w:highlight w:val="none"/>
        </w:rPr>
        <w:t>《中华人民共和国政府采购法》第二十二条规定的证明文件</w:t>
      </w:r>
    </w:p>
    <w:p>
      <w:pPr>
        <w:autoSpaceDE w:val="0"/>
        <w:autoSpaceDN w:val="0"/>
        <w:adjustRightInd w:val="0"/>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(二) 法定代表人（或负责人）资格证明书及授权委托书</w:t>
      </w:r>
    </w:p>
    <w:p>
      <w:pPr>
        <w:autoSpaceDE w:val="0"/>
        <w:autoSpaceDN w:val="0"/>
        <w:adjustRightInd w:val="0"/>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(三) 不参与围标串标承诺书</w:t>
      </w:r>
    </w:p>
    <w:p>
      <w:pPr>
        <w:autoSpaceDE w:val="0"/>
        <w:autoSpaceDN w:val="0"/>
        <w:adjustRightInd w:val="0"/>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(四) 投标保证金</w:t>
      </w:r>
    </w:p>
    <w:p>
      <w:pPr>
        <w:autoSpaceDE w:val="0"/>
        <w:autoSpaceDN w:val="0"/>
        <w:adjustRightInd w:val="0"/>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(五) “信用中国”网站（www.creditchina.gov.cn）查询企业信用信息截图或打印的扫描件</w:t>
      </w:r>
    </w:p>
    <w:p>
      <w:pPr>
        <w:autoSpaceDE w:val="0"/>
        <w:autoSpaceDN w:val="0"/>
        <w:adjustRightInd w:val="0"/>
        <w:spacing w:line="440" w:lineRule="exact"/>
        <w:rPr>
          <w:rFonts w:ascii="宋体" w:hAnsi="宋体" w:cs="宋体"/>
          <w:b/>
          <w:color w:val="auto"/>
          <w:sz w:val="24"/>
          <w:highlight w:val="none"/>
        </w:rPr>
      </w:pPr>
      <w:r>
        <w:rPr>
          <w:rFonts w:hint="eastAsia" w:ascii="宋体" w:hAnsi="宋体" w:cs="宋体"/>
          <w:b/>
          <w:color w:val="auto"/>
          <w:sz w:val="24"/>
          <w:highlight w:val="none"/>
        </w:rPr>
        <w:t>三、商务文件</w:t>
      </w:r>
    </w:p>
    <w:p>
      <w:pPr>
        <w:autoSpaceDE w:val="0"/>
        <w:autoSpaceDN w:val="0"/>
        <w:adjustRightInd w:val="0"/>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(一)开标一览表</w:t>
      </w:r>
    </w:p>
    <w:p>
      <w:pPr>
        <w:autoSpaceDE w:val="0"/>
        <w:autoSpaceDN w:val="0"/>
        <w:adjustRightInd w:val="0"/>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(二)报价明细表</w:t>
      </w:r>
    </w:p>
    <w:p>
      <w:pPr>
        <w:autoSpaceDE w:val="0"/>
        <w:autoSpaceDN w:val="0"/>
        <w:adjustRightInd w:val="0"/>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(三)商务条款偏离表</w:t>
      </w:r>
    </w:p>
    <w:p>
      <w:pPr>
        <w:autoSpaceDE w:val="0"/>
        <w:autoSpaceDN w:val="0"/>
        <w:adjustRightInd w:val="0"/>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(四)同类项目业绩</w:t>
      </w:r>
    </w:p>
    <w:p>
      <w:pPr>
        <w:autoSpaceDE w:val="0"/>
        <w:autoSpaceDN w:val="0"/>
        <w:adjustRightInd w:val="0"/>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(五) 供应商服务能力证明文件（如有）</w:t>
      </w:r>
    </w:p>
    <w:p>
      <w:pPr>
        <w:autoSpaceDE w:val="0"/>
        <w:autoSpaceDN w:val="0"/>
        <w:adjustRightInd w:val="0"/>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(六) 中小微企业、残疾人福利性单位、监狱企业声明函（如有）</w:t>
      </w:r>
    </w:p>
    <w:p>
      <w:pPr>
        <w:autoSpaceDE w:val="0"/>
        <w:autoSpaceDN w:val="0"/>
        <w:adjustRightInd w:val="0"/>
        <w:spacing w:line="440" w:lineRule="exact"/>
        <w:ind w:firstLine="480" w:firstLineChars="200"/>
        <w:rPr>
          <w:rFonts w:hint="eastAsia" w:ascii="宋体" w:hAnsi="宋体" w:eastAsia="宋体" w:cs="宋体"/>
          <w:color w:val="auto"/>
          <w:sz w:val="24"/>
          <w:highlight w:val="none"/>
          <w:lang w:eastAsia="zh-CN"/>
        </w:rPr>
      </w:pPr>
      <w:r>
        <w:rPr>
          <w:rFonts w:hint="eastAsia" w:ascii="宋体" w:hAnsi="宋体" w:cs="宋体"/>
          <w:color w:val="auto"/>
          <w:sz w:val="24"/>
          <w:highlight w:val="none"/>
        </w:rPr>
        <w:t xml:space="preserve">(七) </w:t>
      </w:r>
      <w:r>
        <w:rPr>
          <w:rFonts w:hint="eastAsia" w:ascii="宋体" w:hAnsi="宋体" w:cs="宋体"/>
          <w:color w:val="auto"/>
          <w:sz w:val="24"/>
          <w:highlight w:val="none"/>
          <w:lang w:eastAsia="zh-CN"/>
        </w:rPr>
        <w:t>售后服务承诺</w:t>
      </w:r>
    </w:p>
    <w:p>
      <w:pPr>
        <w:autoSpaceDE w:val="0"/>
        <w:autoSpaceDN w:val="0"/>
        <w:adjustRightInd w:val="0"/>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(十) 供应商认为有必要提供的其他商务资料</w:t>
      </w:r>
    </w:p>
    <w:p>
      <w:pPr>
        <w:autoSpaceDE w:val="0"/>
        <w:autoSpaceDN w:val="0"/>
        <w:adjustRightInd w:val="0"/>
        <w:spacing w:line="440" w:lineRule="exact"/>
        <w:rPr>
          <w:rFonts w:ascii="宋体" w:hAnsi="宋体" w:cs="宋体"/>
          <w:b/>
          <w:color w:val="auto"/>
          <w:sz w:val="24"/>
          <w:highlight w:val="none"/>
        </w:rPr>
      </w:pPr>
      <w:r>
        <w:rPr>
          <w:rFonts w:hint="eastAsia" w:ascii="宋体" w:hAnsi="宋体" w:cs="宋体"/>
          <w:b/>
          <w:color w:val="auto"/>
          <w:sz w:val="24"/>
          <w:highlight w:val="none"/>
        </w:rPr>
        <w:t>四、技术文件</w:t>
      </w:r>
    </w:p>
    <w:p>
      <w:pPr>
        <w:autoSpaceDE w:val="0"/>
        <w:autoSpaceDN w:val="0"/>
        <w:adjustRightInd w:val="0"/>
        <w:spacing w:line="440" w:lineRule="exact"/>
        <w:ind w:firstLine="480" w:firstLineChars="200"/>
        <w:rPr>
          <w:rFonts w:hint="eastAsia" w:ascii="宋体" w:hAnsi="宋体" w:eastAsia="宋体" w:cs="宋体"/>
          <w:color w:val="auto"/>
          <w:sz w:val="24"/>
          <w:highlight w:val="none"/>
          <w:lang w:eastAsia="zh-CN"/>
        </w:rPr>
      </w:pPr>
      <w:r>
        <w:rPr>
          <w:rFonts w:hint="eastAsia" w:ascii="宋体" w:hAnsi="宋体" w:cs="宋体"/>
          <w:color w:val="auto"/>
          <w:sz w:val="24"/>
          <w:highlight w:val="none"/>
        </w:rPr>
        <w:t>(一)</w:t>
      </w:r>
      <w:r>
        <w:rPr>
          <w:rFonts w:hint="eastAsia" w:ascii="宋体" w:hAnsi="宋体" w:cs="宋体"/>
          <w:color w:val="auto"/>
          <w:sz w:val="24"/>
          <w:highlight w:val="none"/>
          <w:lang w:eastAsia="zh-CN"/>
        </w:rPr>
        <w:t>技术条款偏离表</w:t>
      </w:r>
    </w:p>
    <w:p>
      <w:pPr>
        <w:autoSpaceDE w:val="0"/>
        <w:autoSpaceDN w:val="0"/>
        <w:adjustRightInd w:val="0"/>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eastAsia="zh-CN"/>
        </w:rPr>
        <w:t>二</w:t>
      </w:r>
      <w:r>
        <w:rPr>
          <w:rFonts w:hint="eastAsia" w:ascii="宋体" w:hAnsi="宋体" w:cs="宋体"/>
          <w:color w:val="auto"/>
          <w:sz w:val="24"/>
          <w:highlight w:val="none"/>
        </w:rPr>
        <w:t>)服务方案</w:t>
      </w:r>
    </w:p>
    <w:p>
      <w:pPr>
        <w:autoSpaceDE w:val="0"/>
        <w:autoSpaceDN w:val="0"/>
        <w:adjustRightInd w:val="0"/>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eastAsia="zh-CN"/>
        </w:rPr>
        <w:t>三</w:t>
      </w:r>
      <w:r>
        <w:rPr>
          <w:rFonts w:hint="eastAsia" w:ascii="宋体" w:hAnsi="宋体" w:cs="宋体"/>
          <w:color w:val="auto"/>
          <w:sz w:val="24"/>
          <w:highlight w:val="none"/>
        </w:rPr>
        <w:t>)供应商认为有必要的其他技术资料</w:t>
      </w:r>
    </w:p>
    <w:p>
      <w:pPr>
        <w:pStyle w:val="693"/>
        <w:spacing w:line="440" w:lineRule="exact"/>
        <w:rPr>
          <w:rFonts w:ascii="宋体" w:hAnsi="宋体" w:cs="宋体"/>
          <w:b/>
          <w:color w:val="auto"/>
          <w:szCs w:val="24"/>
          <w:highlight w:val="none"/>
        </w:rPr>
      </w:pPr>
      <w:r>
        <w:rPr>
          <w:rFonts w:hint="eastAsia" w:ascii="宋体" w:hAnsi="宋体" w:cs="宋体"/>
          <w:b/>
          <w:color w:val="auto"/>
          <w:szCs w:val="24"/>
          <w:highlight w:val="none"/>
        </w:rPr>
        <w:t>五、其他资料</w:t>
      </w:r>
    </w:p>
    <w:p>
      <w:pPr>
        <w:spacing w:line="440" w:lineRule="exact"/>
        <w:ind w:firstLine="560"/>
        <w:rPr>
          <w:rFonts w:ascii="宋体" w:hAnsi="宋体" w:cs="宋体"/>
          <w:color w:val="auto"/>
          <w:sz w:val="24"/>
          <w:highlight w:val="none"/>
        </w:rPr>
      </w:pPr>
    </w:p>
    <w:p>
      <w:pPr>
        <w:spacing w:line="480" w:lineRule="exact"/>
        <w:jc w:val="center"/>
        <w:rPr>
          <w:rFonts w:ascii="宋体" w:hAnsi="宋体" w:cs="宋体"/>
          <w:color w:val="auto"/>
          <w:sz w:val="24"/>
          <w:highlight w:val="none"/>
        </w:rPr>
      </w:pPr>
    </w:p>
    <w:p>
      <w:pPr>
        <w:spacing w:line="480" w:lineRule="exact"/>
        <w:jc w:val="center"/>
        <w:rPr>
          <w:rFonts w:ascii="宋体" w:hAnsi="宋体" w:cs="宋体"/>
          <w:color w:val="auto"/>
          <w:sz w:val="24"/>
          <w:highlight w:val="none"/>
        </w:rPr>
      </w:pPr>
    </w:p>
    <w:p>
      <w:pPr>
        <w:spacing w:line="480" w:lineRule="exact"/>
        <w:jc w:val="center"/>
        <w:rPr>
          <w:rFonts w:ascii="宋体" w:hAnsi="宋体" w:cs="宋体"/>
          <w:color w:val="auto"/>
          <w:sz w:val="24"/>
          <w:highlight w:val="none"/>
        </w:rPr>
      </w:pPr>
    </w:p>
    <w:p>
      <w:pPr>
        <w:jc w:val="center"/>
        <w:outlineLvl w:val="1"/>
        <w:rPr>
          <w:rStyle w:val="131"/>
          <w:color w:val="auto"/>
          <w:highlight w:val="none"/>
        </w:rPr>
      </w:pPr>
      <w:r>
        <w:rPr>
          <w:rStyle w:val="131"/>
          <w:rFonts w:hint="eastAsia"/>
          <w:color w:val="auto"/>
          <w:highlight w:val="none"/>
        </w:rPr>
        <w:br w:type="page"/>
      </w:r>
      <w:bookmarkStart w:id="178" w:name="_Toc18153"/>
      <w:bookmarkStart w:id="179" w:name="_Toc26231"/>
      <w:r>
        <w:rPr>
          <w:rStyle w:val="131"/>
          <w:rFonts w:hint="eastAsia" w:ascii="宋体" w:hAnsi="宋体" w:eastAsia="宋体" w:cs="宋体"/>
          <w:color w:val="auto"/>
          <w:highlight w:val="none"/>
        </w:rPr>
        <w:t>一、投标函</w:t>
      </w:r>
      <w:bookmarkEnd w:id="178"/>
    </w:p>
    <w:bookmarkEnd w:id="179"/>
    <w:p>
      <w:pPr>
        <w:jc w:val="center"/>
        <w:rPr>
          <w:b/>
          <w:bCs/>
          <w:color w:val="auto"/>
          <w:sz w:val="28"/>
          <w:szCs w:val="28"/>
          <w:highlight w:val="none"/>
        </w:rPr>
      </w:pPr>
      <w:bookmarkStart w:id="180" w:name="_Toc53602922"/>
      <w:r>
        <w:rPr>
          <w:rFonts w:hint="eastAsia"/>
          <w:b/>
          <w:bCs/>
          <w:color w:val="auto"/>
          <w:sz w:val="28"/>
          <w:szCs w:val="28"/>
          <w:highlight w:val="none"/>
        </w:rPr>
        <w:t>投 标 函</w:t>
      </w:r>
    </w:p>
    <w:p>
      <w:pPr>
        <w:spacing w:line="440" w:lineRule="exact"/>
        <w:rPr>
          <w:rFonts w:ascii="宋体" w:hAnsi="宋体" w:cs="宋体"/>
          <w:color w:val="auto"/>
          <w:sz w:val="24"/>
          <w:highlight w:val="none"/>
        </w:rPr>
      </w:pP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（采购人）：</w:t>
      </w:r>
    </w:p>
    <w:p>
      <w:pPr>
        <w:spacing w:line="440" w:lineRule="exact"/>
        <w:ind w:firstLine="480"/>
        <w:rPr>
          <w:rFonts w:ascii="宋体" w:hAnsi="宋体" w:cs="宋体"/>
          <w:color w:val="auto"/>
          <w:sz w:val="24"/>
          <w:highlight w:val="none"/>
        </w:rPr>
      </w:pPr>
      <w:r>
        <w:rPr>
          <w:rFonts w:hint="eastAsia" w:ascii="宋体" w:hAnsi="宋体" w:cs="宋体"/>
          <w:color w:val="auto"/>
          <w:sz w:val="24"/>
          <w:highlight w:val="none"/>
        </w:rPr>
        <w:t>我们收到你们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号招标文件，经认真研究，我们决定参加投标。愿意按照招标文件规定的内容承担该项目的投标任务，严格执行我方所承诺的责任和义务。为此，我方郑重声明以下诸点，并负法律责任。</w:t>
      </w:r>
    </w:p>
    <w:p>
      <w:pPr>
        <w:spacing w:line="440" w:lineRule="exact"/>
        <w:ind w:firstLine="480"/>
        <w:rPr>
          <w:rFonts w:ascii="宋体" w:hAnsi="宋体" w:cs="宋体"/>
          <w:color w:val="auto"/>
          <w:sz w:val="24"/>
          <w:highlight w:val="none"/>
        </w:rPr>
      </w:pPr>
      <w:r>
        <w:rPr>
          <w:rFonts w:hint="eastAsia" w:ascii="宋体" w:hAnsi="宋体" w:cs="宋体"/>
          <w:color w:val="auto"/>
          <w:sz w:val="24"/>
          <w:highlight w:val="none"/>
        </w:rPr>
        <w:t>⒈按照招标文件中的一切要求，提供招标服务，投标总价</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元（人民币大写）￥：</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元（用阿拉伯数字书写）人民币，明细见明细报价表。</w:t>
      </w:r>
    </w:p>
    <w:p>
      <w:pPr>
        <w:spacing w:line="440" w:lineRule="exact"/>
        <w:ind w:firstLine="480"/>
        <w:rPr>
          <w:rFonts w:ascii="宋体" w:hAnsi="宋体" w:cs="宋体"/>
          <w:color w:val="auto"/>
          <w:sz w:val="24"/>
          <w:highlight w:val="none"/>
        </w:rPr>
      </w:pPr>
      <w:r>
        <w:rPr>
          <w:rFonts w:hint="eastAsia" w:ascii="宋体" w:hAnsi="宋体" w:cs="宋体"/>
          <w:color w:val="auto"/>
          <w:sz w:val="24"/>
          <w:highlight w:val="none"/>
        </w:rPr>
        <w:t>⒉如果我们的投标文件被接受，我们将履行招标文件中规定的每一项要求，按期、按质、按量完成本次招标项目。</w:t>
      </w:r>
    </w:p>
    <w:p>
      <w:pPr>
        <w:spacing w:line="44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3.我方承诺服务期限按照</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执行，本项目缺陷责任期为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440" w:lineRule="exact"/>
        <w:ind w:firstLine="480" w:firstLineChars="200"/>
        <w:rPr>
          <w:rFonts w:ascii="宋体" w:hAnsi="宋体" w:cs="宋体"/>
          <w:color w:val="auto"/>
          <w:highlight w:val="none"/>
        </w:rPr>
      </w:pPr>
      <w:r>
        <w:rPr>
          <w:rFonts w:hint="eastAsia" w:ascii="宋体" w:hAnsi="宋体" w:cs="宋体"/>
          <w:color w:val="auto"/>
          <w:sz w:val="24"/>
          <w:highlight w:val="none"/>
        </w:rPr>
        <w:t>4.我方承诺付款方式按照</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执行。</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5.如果我方中标，我方将在招标文件规定的时间内签订委托合同并按招标要求提供履约担保。如果我方违约，除投标保证金不予退还外，贵方有权终止我方中标并选择其它中标人。</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6.如果我方中标，我方将在招标文件规定的时间内签订服务合同。如果我方违约，借故拒签合同或拖延签订的，则采购人将废除授标，投标保证金不予退还，给采购人造成的损失超过投保证金保数额的，还应当对超过部分予以赔偿，同时依法承担相应法律责任，采购人可另行选择中标单位。</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7.我方同意在投标有效期内遵守本投标文件，在此期限期满前的任何时间，本投标文件一直对我们具有约束力，本项目投标有效期为开标后</w:t>
      </w:r>
      <w:r>
        <w:rPr>
          <w:rFonts w:hint="eastAsia" w:ascii="宋体" w:hAnsi="宋体" w:cs="宋体"/>
          <w:color w:val="auto"/>
          <w:sz w:val="24"/>
          <w:highlight w:val="none"/>
          <w:u w:val="single"/>
        </w:rPr>
        <w:t xml:space="preserve"> 90 </w:t>
      </w:r>
      <w:r>
        <w:rPr>
          <w:rFonts w:hint="eastAsia" w:ascii="宋体" w:hAnsi="宋体" w:cs="宋体"/>
          <w:color w:val="auto"/>
          <w:sz w:val="24"/>
          <w:highlight w:val="none"/>
        </w:rPr>
        <w:t>天。</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8.我们愿意提供采购人在招标文件中要求的所有资料。</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9.我们认为采购人有选择或拒绝任何参与投标者中标的权力。我们理解，最低报价不是中标的唯一条件。</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10.我们愿按合同法履行自己的全部责任。</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11.我方愿意按照招标文件中规定的收费标准，承付中标服务费。</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12.该投标函在开标后的全过程中保持有效，不作任何更改和变动。</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13.我们同意按招标文件规定，交纳</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元的投标保证金。并同意在确定最终中标供应商、发出《中标通知书》之后5个工作日内退还我公司的投标保证金。（如因特殊原因，在投标有效期之后确定中标供应商，本承诺依然有效。）</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14.综合说明：</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（1）服务的详细技术条件、技术标准、拟达到的质量标准和保险期限。</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（2）易损件、配件及供应方式。</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（3）服务实施计划、组织机构及人员安排。</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（5）技术服务。</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（6）运输方式。</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（7）要求项目单位提供的配合。</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（8）对招标文件内容有不同意见的偏离说明。</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（9）其它。</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15.所有有关本投标函的函电，请按下列地址联系：</w:t>
      </w:r>
    </w:p>
    <w:p>
      <w:pPr>
        <w:spacing w:line="440" w:lineRule="exact"/>
        <w:ind w:firstLine="480" w:firstLineChars="200"/>
        <w:rPr>
          <w:rFonts w:ascii="宋体" w:hAnsi="宋体" w:cs="宋体"/>
          <w:color w:val="auto"/>
          <w:sz w:val="24"/>
          <w:highlight w:val="none"/>
        </w:rPr>
      </w:pP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单       位：</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地       址：</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电       话：</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传       真：</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邮 政 编 码：</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联  系  人：</w:t>
      </w:r>
    </w:p>
    <w:p>
      <w:pPr>
        <w:spacing w:line="440" w:lineRule="exact"/>
        <w:ind w:firstLine="480" w:firstLineChars="200"/>
        <w:rPr>
          <w:rFonts w:ascii="宋体" w:hAnsi="宋体" w:cs="宋体"/>
          <w:color w:val="auto"/>
          <w:sz w:val="24"/>
          <w:highlight w:val="none"/>
        </w:rPr>
      </w:pP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供应商：（电子公章）</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授权代表签字</w:t>
      </w:r>
      <w:r>
        <w:rPr>
          <w:rFonts w:hint="eastAsia" w:ascii="宋体" w:hAnsi="宋体" w:cs="宋体"/>
          <w:color w:val="auto"/>
          <w:sz w:val="24"/>
          <w:highlight w:val="none"/>
          <w:lang w:eastAsia="zh-CN"/>
        </w:rPr>
        <w:t>或签章</w:t>
      </w:r>
      <w:r>
        <w:rPr>
          <w:rFonts w:hint="eastAsia" w:ascii="宋体" w:hAnsi="宋体" w:cs="宋体"/>
          <w:color w:val="auto"/>
          <w:sz w:val="24"/>
          <w:highlight w:val="none"/>
        </w:rPr>
        <w:t>：</w:t>
      </w:r>
    </w:p>
    <w:p>
      <w:pPr>
        <w:spacing w:line="440" w:lineRule="exact"/>
        <w:ind w:firstLine="480" w:firstLineChars="200"/>
        <w:rPr>
          <w:rFonts w:ascii="宋体" w:hAnsi="宋体" w:cs="宋体"/>
          <w:color w:val="auto"/>
          <w:sz w:val="24"/>
          <w:highlight w:val="none"/>
        </w:rPr>
      </w:pPr>
    </w:p>
    <w:p>
      <w:pPr>
        <w:spacing w:line="440" w:lineRule="exact"/>
        <w:ind w:firstLine="1200" w:firstLineChars="500"/>
        <w:jc w:val="left"/>
        <w:rPr>
          <w:rFonts w:ascii="宋体" w:hAnsi="宋体" w:cs="宋体"/>
          <w:color w:val="auto"/>
          <w:sz w:val="24"/>
          <w:highlight w:val="none"/>
        </w:rPr>
      </w:pPr>
      <w:r>
        <w:rPr>
          <w:rFonts w:hint="eastAsia" w:ascii="宋体" w:hAnsi="宋体" w:cs="宋体"/>
          <w:color w:val="auto"/>
          <w:sz w:val="24"/>
          <w:highlight w:val="none"/>
        </w:rPr>
        <w:t xml:space="preserve"> 年   月    日</w:t>
      </w:r>
    </w:p>
    <w:p>
      <w:pPr>
        <w:pStyle w:val="4"/>
        <w:spacing w:line="440" w:lineRule="exact"/>
        <w:ind w:left="359"/>
        <w:jc w:val="center"/>
        <w:rPr>
          <w:rFonts w:ascii="宋体" w:hAnsi="宋体" w:eastAsia="宋体" w:cs="宋体"/>
          <w:color w:val="auto"/>
          <w:sz w:val="28"/>
          <w:szCs w:val="28"/>
          <w:highlight w:val="none"/>
        </w:rPr>
      </w:pPr>
      <w:r>
        <w:rPr>
          <w:rFonts w:hint="eastAsia" w:ascii="宋体" w:hAnsi="宋体" w:eastAsia="宋体" w:cs="宋体"/>
          <w:color w:val="auto"/>
          <w:sz w:val="24"/>
          <w:highlight w:val="none"/>
        </w:rPr>
        <w:br w:type="page"/>
      </w:r>
      <w:bookmarkStart w:id="181" w:name="_Toc12814"/>
      <w:bookmarkStart w:id="182" w:name="_Toc22932"/>
      <w:bookmarkStart w:id="183" w:name="_Toc4538"/>
      <w:r>
        <w:rPr>
          <w:rFonts w:hint="eastAsia" w:ascii="宋体" w:hAnsi="宋体" w:eastAsia="宋体" w:cs="宋体"/>
          <w:color w:val="auto"/>
          <w:sz w:val="28"/>
          <w:szCs w:val="28"/>
          <w:highlight w:val="none"/>
        </w:rPr>
        <w:t>二、资格证明文件</w:t>
      </w:r>
      <w:bookmarkEnd w:id="180"/>
      <w:bookmarkEnd w:id="181"/>
      <w:bookmarkEnd w:id="182"/>
      <w:bookmarkEnd w:id="183"/>
    </w:p>
    <w:p>
      <w:pPr>
        <w:tabs>
          <w:tab w:val="left" w:pos="8280"/>
        </w:tabs>
        <w:spacing w:line="480" w:lineRule="exact"/>
        <w:ind w:left="1"/>
        <w:rPr>
          <w:color w:val="auto"/>
          <w:highlight w:val="none"/>
        </w:rPr>
      </w:pPr>
      <w:r>
        <w:rPr>
          <w:rFonts w:hint="eastAsia" w:ascii="宋体" w:hAnsi="宋体" w:cs="宋体"/>
          <w:color w:val="auto"/>
          <w:kern w:val="0"/>
          <w:sz w:val="24"/>
          <w:highlight w:val="none"/>
        </w:rPr>
        <w:t>（一）</w:t>
      </w:r>
      <w:r>
        <w:rPr>
          <w:rFonts w:hint="eastAsia" w:ascii="宋体" w:hAnsi="宋体" w:cs="宋体"/>
          <w:snapToGrid w:val="0"/>
          <w:color w:val="auto"/>
          <w:sz w:val="24"/>
          <w:highlight w:val="none"/>
        </w:rPr>
        <w:t>符合</w:t>
      </w:r>
      <w:r>
        <w:rPr>
          <w:rFonts w:hint="eastAsia" w:ascii="宋体" w:hAnsi="宋体" w:cs="宋体"/>
          <w:snapToGrid w:val="0"/>
          <w:color w:val="auto"/>
          <w:kern w:val="0"/>
          <w:sz w:val="24"/>
          <w:highlight w:val="none"/>
        </w:rPr>
        <w:t>《中华人民共和国政府采购法》第二十二条规定的证明文件</w:t>
      </w:r>
    </w:p>
    <w:p>
      <w:pPr>
        <w:tabs>
          <w:tab w:val="left" w:pos="8280"/>
        </w:tabs>
        <w:spacing w:line="480" w:lineRule="exact"/>
        <w:rPr>
          <w:rFonts w:ascii="宋体" w:hAnsi="宋体" w:cs="宋体"/>
          <w:color w:val="auto"/>
          <w:kern w:val="0"/>
          <w:sz w:val="24"/>
          <w:highlight w:val="none"/>
        </w:rPr>
      </w:pPr>
      <w:r>
        <w:rPr>
          <w:rFonts w:hint="eastAsia" w:ascii="宋体" w:hAnsi="宋体" w:cs="宋体"/>
          <w:color w:val="auto"/>
          <w:kern w:val="0"/>
          <w:sz w:val="24"/>
          <w:highlight w:val="none"/>
        </w:rPr>
        <w:t>1、具有独立承担民事责任的能力</w:t>
      </w:r>
      <w:r>
        <w:rPr>
          <w:rFonts w:hint="eastAsia" w:ascii="宋体" w:hAnsi="宋体" w:cs="宋体"/>
          <w:snapToGrid w:val="0"/>
          <w:color w:val="auto"/>
          <w:spacing w:val="-11"/>
          <w:kern w:val="0"/>
          <w:sz w:val="24"/>
          <w:highlight w:val="none"/>
        </w:rPr>
        <w:t>（须加盖电子公章）</w:t>
      </w:r>
    </w:p>
    <w:p>
      <w:pPr>
        <w:tabs>
          <w:tab w:val="left" w:pos="8280"/>
        </w:tabs>
        <w:spacing w:line="48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提供法人或者其他组织的营业执照等证明文件；自然人需提供身份证明；</w:t>
      </w:r>
    </w:p>
    <w:p>
      <w:pPr>
        <w:tabs>
          <w:tab w:val="left" w:pos="8280"/>
        </w:tabs>
        <w:spacing w:line="480" w:lineRule="exact"/>
        <w:ind w:firstLine="480" w:firstLineChars="200"/>
        <w:rPr>
          <w:rFonts w:ascii="宋体" w:hAnsi="宋体" w:cs="宋体"/>
          <w:color w:val="auto"/>
          <w:kern w:val="0"/>
          <w:sz w:val="24"/>
          <w:highlight w:val="none"/>
        </w:rPr>
      </w:pPr>
    </w:p>
    <w:p>
      <w:pPr>
        <w:tabs>
          <w:tab w:val="left" w:pos="8280"/>
        </w:tabs>
        <w:spacing w:line="480" w:lineRule="exact"/>
        <w:ind w:firstLine="482" w:firstLineChars="200"/>
        <w:rPr>
          <w:rFonts w:ascii="宋体" w:hAnsi="宋体" w:cs="宋体"/>
          <w:b/>
          <w:bCs/>
          <w:color w:val="auto"/>
          <w:kern w:val="0"/>
          <w:sz w:val="24"/>
          <w:highlight w:val="none"/>
        </w:rPr>
      </w:pPr>
      <w:r>
        <w:rPr>
          <w:rFonts w:hint="eastAsia" w:ascii="宋体" w:hAnsi="宋体" w:cs="宋体"/>
          <w:b/>
          <w:bCs/>
          <w:color w:val="auto"/>
          <w:kern w:val="0"/>
          <w:sz w:val="24"/>
          <w:highlight w:val="none"/>
        </w:rPr>
        <w:t>说明：</w:t>
      </w:r>
    </w:p>
    <w:p>
      <w:pPr>
        <w:tabs>
          <w:tab w:val="left" w:pos="8280"/>
        </w:tabs>
        <w:spacing w:line="48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供应商是企业（包括合伙企业）的，应提供其在工商部门注册的有效“企业法人营业执照”或“营业执照”的复印件；</w:t>
      </w:r>
    </w:p>
    <w:p>
      <w:pPr>
        <w:tabs>
          <w:tab w:val="left" w:pos="8280"/>
        </w:tabs>
        <w:spacing w:line="48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供应商是事业单位的，应提供其有效的“事业单位法人证书”复印件；</w:t>
      </w:r>
    </w:p>
    <w:p>
      <w:pPr>
        <w:tabs>
          <w:tab w:val="left" w:pos="8280"/>
        </w:tabs>
        <w:spacing w:line="48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供应商是非企业专业服务机构的，应提供其有效的“执业许可证”复印件；</w:t>
      </w:r>
    </w:p>
    <w:p>
      <w:pPr>
        <w:tabs>
          <w:tab w:val="left" w:pos="8280"/>
        </w:tabs>
        <w:spacing w:line="48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供应商是个体工商户的，应提供其有效的“个体工商户营业执照”复印件；</w:t>
      </w:r>
    </w:p>
    <w:p>
      <w:pPr>
        <w:tabs>
          <w:tab w:val="left" w:pos="8280"/>
        </w:tabs>
        <w:spacing w:line="48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供应商是自然人的，应提供其有效的自然人身份证明复印件。</w:t>
      </w:r>
    </w:p>
    <w:p>
      <w:pPr>
        <w:tabs>
          <w:tab w:val="left" w:pos="8280"/>
        </w:tabs>
        <w:spacing w:line="480" w:lineRule="exact"/>
        <w:ind w:firstLine="562" w:firstLineChars="200"/>
        <w:rPr>
          <w:rFonts w:ascii="宋体" w:hAnsi="宋体" w:cs="宋体"/>
          <w:b/>
          <w:bCs/>
          <w:color w:val="auto"/>
          <w:sz w:val="28"/>
          <w:szCs w:val="28"/>
          <w:highlight w:val="none"/>
        </w:rPr>
      </w:pPr>
    </w:p>
    <w:p>
      <w:pPr>
        <w:rPr>
          <w:rFonts w:ascii="宋体" w:hAnsi="宋体" w:cs="宋体"/>
          <w:b/>
          <w:bCs/>
          <w:color w:val="auto"/>
          <w:sz w:val="28"/>
          <w:szCs w:val="28"/>
          <w:highlight w:val="none"/>
        </w:rPr>
      </w:pPr>
      <w:r>
        <w:rPr>
          <w:rFonts w:hint="eastAsia" w:ascii="宋体" w:hAnsi="宋体" w:cs="宋体"/>
          <w:b/>
          <w:bCs/>
          <w:color w:val="auto"/>
          <w:sz w:val="28"/>
          <w:szCs w:val="28"/>
          <w:highlight w:val="none"/>
        </w:rPr>
        <w:br w:type="page"/>
      </w:r>
    </w:p>
    <w:p>
      <w:pPr>
        <w:tabs>
          <w:tab w:val="left" w:pos="8280"/>
        </w:tabs>
        <w:spacing w:line="480" w:lineRule="exact"/>
        <w:rPr>
          <w:rFonts w:ascii="宋体" w:hAnsi="宋体" w:cs="宋体"/>
          <w:color w:val="auto"/>
          <w:kern w:val="0"/>
          <w:sz w:val="24"/>
          <w:highlight w:val="none"/>
        </w:rPr>
      </w:pPr>
      <w:r>
        <w:rPr>
          <w:rFonts w:hint="eastAsia" w:ascii="宋体" w:hAnsi="宋体" w:cs="宋体"/>
          <w:color w:val="auto"/>
          <w:kern w:val="0"/>
          <w:sz w:val="24"/>
          <w:highlight w:val="none"/>
        </w:rPr>
        <w:t>2、具有良好的商业信誉和健全的财务会计制度</w:t>
      </w:r>
      <w:r>
        <w:rPr>
          <w:rFonts w:hint="eastAsia" w:ascii="宋体" w:hAnsi="宋体" w:cs="宋体"/>
          <w:snapToGrid w:val="0"/>
          <w:color w:val="auto"/>
          <w:spacing w:val="-11"/>
          <w:kern w:val="0"/>
          <w:sz w:val="24"/>
          <w:highlight w:val="none"/>
        </w:rPr>
        <w:t>（须加盖电子公章）</w:t>
      </w:r>
    </w:p>
    <w:p>
      <w:pPr>
        <w:tabs>
          <w:tab w:val="left" w:pos="8280"/>
        </w:tabs>
        <w:spacing w:line="48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须提供上年度财务审计报告或半年内任意一个月财务报表（财务报表应至少包括资产负债表、损益表、现金流量表或财务状况变动表），当月新成立公司无需提供。</w:t>
      </w:r>
    </w:p>
    <w:p>
      <w:pPr>
        <w:rPr>
          <w:rFonts w:ascii="宋体" w:hAnsi="宋体" w:cs="宋体"/>
          <w:b/>
          <w:bCs/>
          <w:color w:val="auto"/>
          <w:sz w:val="28"/>
          <w:szCs w:val="28"/>
          <w:highlight w:val="none"/>
        </w:rPr>
      </w:pPr>
      <w:r>
        <w:rPr>
          <w:rFonts w:hint="eastAsia" w:ascii="宋体" w:hAnsi="宋体" w:cs="宋体"/>
          <w:b/>
          <w:bCs/>
          <w:color w:val="auto"/>
          <w:sz w:val="28"/>
          <w:szCs w:val="28"/>
          <w:highlight w:val="none"/>
        </w:rPr>
        <w:br w:type="page"/>
      </w:r>
    </w:p>
    <w:p>
      <w:pPr>
        <w:tabs>
          <w:tab w:val="left" w:pos="8280"/>
        </w:tabs>
        <w:spacing w:line="480" w:lineRule="exact"/>
        <w:rPr>
          <w:rFonts w:ascii="宋体" w:hAnsi="宋体" w:cs="宋体"/>
          <w:color w:val="auto"/>
          <w:kern w:val="0"/>
          <w:sz w:val="24"/>
          <w:highlight w:val="none"/>
        </w:rPr>
      </w:pPr>
      <w:r>
        <w:rPr>
          <w:rFonts w:hint="eastAsia" w:ascii="宋体" w:hAnsi="宋体" w:cs="宋体"/>
          <w:color w:val="auto"/>
          <w:kern w:val="0"/>
          <w:sz w:val="24"/>
          <w:highlight w:val="none"/>
        </w:rPr>
        <w:t>3、具备履行合同所必需的设备和专业技术能力</w:t>
      </w:r>
    </w:p>
    <w:p>
      <w:pPr>
        <w:tabs>
          <w:tab w:val="left" w:pos="8280"/>
        </w:tabs>
        <w:spacing w:line="480" w:lineRule="exact"/>
        <w:jc w:val="center"/>
        <w:rPr>
          <w:rFonts w:ascii="宋体" w:hAnsi="宋体" w:cs="宋体"/>
          <w:b/>
          <w:bCs/>
          <w:color w:val="auto"/>
          <w:kern w:val="0"/>
          <w:sz w:val="24"/>
          <w:highlight w:val="none"/>
        </w:rPr>
      </w:pPr>
    </w:p>
    <w:p>
      <w:pPr>
        <w:tabs>
          <w:tab w:val="left" w:pos="8280"/>
        </w:tabs>
        <w:spacing w:line="480" w:lineRule="exact"/>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具备履行合同所必需的设备和专业技术能力声明函</w:t>
      </w:r>
    </w:p>
    <w:p>
      <w:pPr>
        <w:ind w:firstLine="480"/>
        <w:rPr>
          <w:rFonts w:ascii="宋体" w:hAnsi="宋体" w:cs="宋体"/>
          <w:color w:val="auto"/>
          <w:kern w:val="0"/>
          <w:sz w:val="24"/>
          <w:highlight w:val="none"/>
        </w:rPr>
      </w:pPr>
    </w:p>
    <w:p>
      <w:pPr>
        <w:spacing w:line="480" w:lineRule="exact"/>
        <w:rPr>
          <w:rFonts w:ascii="宋体" w:hAnsi="宋体" w:cs="宋体"/>
          <w:color w:val="auto"/>
          <w:kern w:val="0"/>
          <w:sz w:val="24"/>
          <w:highlight w:val="none"/>
          <w:u w:val="single"/>
        </w:rPr>
      </w:pPr>
      <w:r>
        <w:rPr>
          <w:rFonts w:hint="eastAsia" w:ascii="宋体" w:hAnsi="宋体" w:cs="宋体"/>
          <w:color w:val="auto"/>
          <w:kern w:val="0"/>
          <w:sz w:val="24"/>
          <w:highlight w:val="none"/>
          <w:u w:val="single"/>
        </w:rPr>
        <w:t xml:space="preserve">(采购人名称)      </w:t>
      </w:r>
      <w:r>
        <w:rPr>
          <w:rFonts w:hint="eastAsia" w:ascii="宋体" w:hAnsi="宋体" w:cs="宋体"/>
          <w:color w:val="auto"/>
          <w:kern w:val="0"/>
          <w:sz w:val="24"/>
          <w:highlight w:val="none"/>
        </w:rPr>
        <w:t>：</w:t>
      </w:r>
    </w:p>
    <w:p>
      <w:pPr>
        <w:spacing w:line="480" w:lineRule="exact"/>
        <w:ind w:firstLine="480"/>
        <w:rPr>
          <w:rFonts w:ascii="宋体" w:hAnsi="宋体" w:cs="宋体"/>
          <w:color w:val="auto"/>
          <w:kern w:val="0"/>
          <w:sz w:val="24"/>
          <w:highlight w:val="none"/>
        </w:rPr>
      </w:pPr>
    </w:p>
    <w:p>
      <w:pPr>
        <w:tabs>
          <w:tab w:val="left" w:pos="5580"/>
        </w:tabs>
        <w:spacing w:before="120" w:line="480" w:lineRule="exact"/>
        <w:ind w:firstLine="480" w:firstLineChars="200"/>
        <w:rPr>
          <w:rFonts w:ascii="宋体" w:hAnsi="宋体"/>
          <w:color w:val="auto"/>
          <w:sz w:val="24"/>
          <w:highlight w:val="none"/>
        </w:rPr>
      </w:pPr>
      <w:r>
        <w:rPr>
          <w:rFonts w:hint="eastAsia" w:ascii="宋体" w:hAnsi="宋体" w:cs="宋体"/>
          <w:color w:val="auto"/>
          <w:kern w:val="0"/>
          <w:sz w:val="24"/>
          <w:highlight w:val="none"/>
        </w:rPr>
        <w:t>对于贵单位的</w:t>
      </w:r>
      <w:r>
        <w:rPr>
          <w:rFonts w:hint="eastAsia" w:ascii="宋体" w:hAnsi="宋体" w:cs="宋体"/>
          <w:color w:val="auto"/>
          <w:kern w:val="0"/>
          <w:sz w:val="24"/>
          <w:highlight w:val="none"/>
          <w:u w:val="single"/>
        </w:rPr>
        <w:t xml:space="preserve">      （项目名称）      </w:t>
      </w:r>
      <w:r>
        <w:rPr>
          <w:rFonts w:hint="eastAsia" w:ascii="宋体" w:hAnsi="宋体" w:cs="宋体"/>
          <w:color w:val="auto"/>
          <w:kern w:val="0"/>
          <w:sz w:val="24"/>
          <w:highlight w:val="none"/>
        </w:rPr>
        <w:t>采购项目，我公司承诺</w:t>
      </w:r>
      <w:r>
        <w:rPr>
          <w:rFonts w:ascii="宋体" w:hAnsi="宋体"/>
          <w:color w:val="auto"/>
          <w:sz w:val="24"/>
          <w:highlight w:val="none"/>
        </w:rPr>
        <w:t>具</w:t>
      </w:r>
      <w:r>
        <w:rPr>
          <w:rFonts w:hint="eastAsia" w:ascii="宋体" w:hAnsi="宋体"/>
          <w:color w:val="auto"/>
          <w:sz w:val="24"/>
          <w:highlight w:val="none"/>
        </w:rPr>
        <w:t>备</w:t>
      </w:r>
      <w:r>
        <w:rPr>
          <w:rFonts w:ascii="宋体" w:hAnsi="宋体"/>
          <w:color w:val="auto"/>
          <w:sz w:val="24"/>
          <w:highlight w:val="none"/>
        </w:rPr>
        <w:t>履行合同所必需的设备和专业技术能力</w:t>
      </w:r>
      <w:r>
        <w:rPr>
          <w:rFonts w:hint="eastAsia" w:ascii="宋体" w:hAnsi="宋体" w:cs="宋体"/>
          <w:color w:val="auto"/>
          <w:kern w:val="0"/>
          <w:sz w:val="24"/>
          <w:highlight w:val="none"/>
        </w:rPr>
        <w:t>。如我单位成交，在项目实施工程中发现声明不实，我单位愿意放弃本次项目的成交资格，</w:t>
      </w:r>
      <w:r>
        <w:rPr>
          <w:rFonts w:hint="eastAsia" w:ascii="宋体" w:hAnsi="宋体"/>
          <w:color w:val="auto"/>
          <w:sz w:val="24"/>
          <w:highlight w:val="none"/>
        </w:rPr>
        <w:t>并按照《中华人民共和国政府采购法》有关提供虚假材料的规定，接受处罚。</w:t>
      </w:r>
    </w:p>
    <w:p>
      <w:pPr>
        <w:tabs>
          <w:tab w:val="left" w:pos="5580"/>
        </w:tabs>
        <w:spacing w:before="120" w:line="480" w:lineRule="exact"/>
        <w:ind w:firstLine="480" w:firstLineChars="200"/>
        <w:rPr>
          <w:rFonts w:ascii="宋体" w:hAnsi="宋体" w:eastAsia="宋体;SimSun"/>
          <w:color w:val="auto"/>
          <w:sz w:val="24"/>
          <w:highlight w:val="none"/>
        </w:rPr>
      </w:pPr>
      <w:r>
        <w:rPr>
          <w:rFonts w:hint="eastAsia" w:ascii="宋体" w:hAnsi="宋体"/>
          <w:color w:val="auto"/>
          <w:sz w:val="24"/>
          <w:highlight w:val="none"/>
        </w:rPr>
        <w:t>特此声明！</w:t>
      </w:r>
    </w:p>
    <w:p>
      <w:pPr>
        <w:ind w:firstLine="480"/>
        <w:rPr>
          <w:rFonts w:ascii="宋体" w:hAnsi="宋体"/>
          <w:b/>
          <w:color w:val="auto"/>
          <w:sz w:val="24"/>
          <w:highlight w:val="none"/>
        </w:rPr>
      </w:pPr>
    </w:p>
    <w:p>
      <w:pPr>
        <w:ind w:firstLine="480"/>
        <w:rPr>
          <w:rFonts w:ascii="宋体" w:hAnsi="宋体"/>
          <w:b/>
          <w:color w:val="auto"/>
          <w:sz w:val="24"/>
          <w:highlight w:val="none"/>
        </w:rPr>
      </w:pPr>
    </w:p>
    <w:p>
      <w:pPr>
        <w:spacing w:before="157" w:beforeLines="50" w:line="440" w:lineRule="exact"/>
        <w:ind w:left="-103" w:leftChars="-49" w:firstLine="520" w:firstLineChars="217"/>
        <w:rPr>
          <w:rFonts w:ascii="宋体" w:hAnsi="宋体"/>
          <w:color w:val="auto"/>
          <w:sz w:val="24"/>
          <w:highlight w:val="none"/>
        </w:rPr>
      </w:pPr>
      <w:r>
        <w:rPr>
          <w:rFonts w:hint="eastAsia" w:ascii="宋体" w:hAnsi="宋体"/>
          <w:color w:val="auto"/>
          <w:sz w:val="24"/>
          <w:highlight w:val="none"/>
        </w:rPr>
        <w:t>供应商：（电子公章）</w:t>
      </w:r>
    </w:p>
    <w:p>
      <w:pPr>
        <w:spacing w:before="157" w:beforeLines="50" w:line="440" w:lineRule="exact"/>
        <w:ind w:left="-103" w:leftChars="-49" w:firstLine="520" w:firstLineChars="217"/>
        <w:rPr>
          <w:rFonts w:ascii="宋体" w:hAnsi="宋体"/>
          <w:color w:val="auto"/>
          <w:sz w:val="24"/>
          <w:highlight w:val="none"/>
        </w:rPr>
      </w:pPr>
      <w:r>
        <w:rPr>
          <w:rFonts w:ascii="宋体" w:hAnsi="宋体"/>
          <w:color w:val="auto"/>
          <w:sz w:val="24"/>
          <w:highlight w:val="none"/>
        </w:rPr>
        <w:t>法定代表人</w:t>
      </w:r>
      <w:r>
        <w:rPr>
          <w:rFonts w:hint="eastAsia" w:ascii="宋体" w:hAnsi="宋体"/>
          <w:color w:val="auto"/>
          <w:sz w:val="24"/>
          <w:highlight w:val="none"/>
        </w:rPr>
        <w:t>或负责人</w:t>
      </w:r>
      <w:r>
        <w:rPr>
          <w:rFonts w:ascii="宋体" w:hAnsi="宋体"/>
          <w:color w:val="auto"/>
          <w:sz w:val="24"/>
          <w:highlight w:val="none"/>
        </w:rPr>
        <w:t>或其委托代理人：（</w:t>
      </w:r>
      <w:r>
        <w:rPr>
          <w:rFonts w:hint="eastAsia" w:ascii="宋体" w:hAnsi="宋体"/>
          <w:color w:val="auto"/>
          <w:sz w:val="24"/>
          <w:highlight w:val="none"/>
        </w:rPr>
        <w:t>签字或加盖人名章</w:t>
      </w:r>
      <w:r>
        <w:rPr>
          <w:rFonts w:ascii="宋体" w:hAnsi="宋体"/>
          <w:color w:val="auto"/>
          <w:sz w:val="24"/>
          <w:highlight w:val="none"/>
        </w:rPr>
        <w:t>）</w:t>
      </w:r>
    </w:p>
    <w:p>
      <w:pPr>
        <w:spacing w:before="157" w:beforeLines="50" w:line="440" w:lineRule="exact"/>
        <w:ind w:left="-103" w:leftChars="-49" w:firstLine="520" w:firstLineChars="217"/>
        <w:rPr>
          <w:rFonts w:ascii="宋体" w:hAnsi="宋体"/>
          <w:color w:val="auto"/>
          <w:sz w:val="24"/>
          <w:highlight w:val="none"/>
        </w:rPr>
      </w:pPr>
      <w:r>
        <w:rPr>
          <w:rFonts w:ascii="宋体" w:hAnsi="宋体"/>
          <w:color w:val="auto"/>
          <w:sz w:val="24"/>
          <w:highlight w:val="none"/>
        </w:rPr>
        <w:t>日</w:t>
      </w:r>
      <w:r>
        <w:rPr>
          <w:rFonts w:hint="eastAsia" w:ascii="宋体" w:hAnsi="宋体"/>
          <w:color w:val="auto"/>
          <w:sz w:val="24"/>
          <w:highlight w:val="none"/>
        </w:rPr>
        <w:t xml:space="preserve">  </w:t>
      </w:r>
      <w:r>
        <w:rPr>
          <w:rFonts w:ascii="宋体" w:hAnsi="宋体"/>
          <w:color w:val="auto"/>
          <w:sz w:val="24"/>
          <w:highlight w:val="none"/>
        </w:rPr>
        <w:t>期：</w:t>
      </w:r>
    </w:p>
    <w:p>
      <w:pPr>
        <w:rPr>
          <w:rFonts w:ascii="宋体" w:hAnsi="宋体"/>
          <w:color w:val="auto"/>
          <w:sz w:val="24"/>
          <w:highlight w:val="none"/>
        </w:rPr>
      </w:pPr>
      <w:r>
        <w:rPr>
          <w:rFonts w:ascii="宋体" w:hAnsi="宋体"/>
          <w:color w:val="auto"/>
          <w:sz w:val="24"/>
          <w:highlight w:val="none"/>
        </w:rPr>
        <w:br w:type="page"/>
      </w:r>
    </w:p>
    <w:p>
      <w:pPr>
        <w:tabs>
          <w:tab w:val="left" w:pos="8280"/>
        </w:tabs>
        <w:spacing w:line="480" w:lineRule="exact"/>
        <w:rPr>
          <w:rFonts w:ascii="宋体" w:hAnsi="宋体" w:cs="宋体"/>
          <w:color w:val="auto"/>
          <w:kern w:val="0"/>
          <w:sz w:val="24"/>
          <w:highlight w:val="none"/>
        </w:rPr>
      </w:pPr>
      <w:r>
        <w:rPr>
          <w:rFonts w:hint="eastAsia" w:ascii="宋体" w:hAnsi="宋体" w:cs="宋体"/>
          <w:color w:val="auto"/>
          <w:kern w:val="0"/>
          <w:sz w:val="24"/>
          <w:highlight w:val="none"/>
        </w:rPr>
        <w:t>4、具有依法缴纳税收和社会保障资金的良好记录</w:t>
      </w:r>
      <w:r>
        <w:rPr>
          <w:rFonts w:hint="eastAsia" w:ascii="宋体" w:hAnsi="宋体" w:cs="宋体"/>
          <w:snapToGrid w:val="0"/>
          <w:color w:val="auto"/>
          <w:spacing w:val="-11"/>
          <w:kern w:val="0"/>
          <w:sz w:val="24"/>
          <w:highlight w:val="none"/>
        </w:rPr>
        <w:t>（须加盖电子公章）</w:t>
      </w:r>
    </w:p>
    <w:p>
      <w:pPr>
        <w:tabs>
          <w:tab w:val="left" w:pos="993"/>
          <w:tab w:val="left" w:pos="1030"/>
          <w:tab w:val="left" w:pos="8364"/>
        </w:tabs>
        <w:snapToGrid w:val="0"/>
        <w:spacing w:line="480" w:lineRule="exact"/>
        <w:ind w:right="-57" w:rightChars="-27" w:firstLine="480" w:firstLineChars="200"/>
        <w:jc w:val="left"/>
        <w:rPr>
          <w:rFonts w:ascii="宋体" w:hAnsi="宋体"/>
          <w:color w:val="auto"/>
          <w:sz w:val="24"/>
          <w:highlight w:val="none"/>
        </w:rPr>
      </w:pPr>
      <w:r>
        <w:rPr>
          <w:rFonts w:hint="eastAsia" w:ascii="宋体" w:hAnsi="宋体" w:cs="宋体"/>
          <w:color w:val="auto"/>
          <w:sz w:val="24"/>
          <w:highlight w:val="none"/>
        </w:rPr>
        <w:t>（1）须提供的近三个月年内任意一月依法缴纳税收证明，当月新成立公司不需提供；无需纳税或免税的也需提供相应证明材料。</w:t>
      </w:r>
    </w:p>
    <w:p>
      <w:pPr>
        <w:tabs>
          <w:tab w:val="left" w:pos="993"/>
          <w:tab w:val="left" w:pos="1030"/>
          <w:tab w:val="left" w:pos="8364"/>
        </w:tabs>
        <w:snapToGrid w:val="0"/>
        <w:spacing w:line="480" w:lineRule="exact"/>
        <w:ind w:right="-57" w:rightChars="-27" w:firstLine="480" w:firstLineChars="200"/>
        <w:jc w:val="left"/>
        <w:rPr>
          <w:rFonts w:ascii="宋体" w:hAnsi="宋体" w:cs="宋体"/>
          <w:color w:val="auto"/>
          <w:sz w:val="24"/>
          <w:highlight w:val="none"/>
        </w:rPr>
      </w:pPr>
      <w:r>
        <w:rPr>
          <w:rFonts w:hint="eastAsia" w:ascii="宋体" w:hAnsi="宋体" w:cs="宋体"/>
          <w:color w:val="auto"/>
          <w:sz w:val="24"/>
          <w:highlight w:val="none"/>
        </w:rPr>
        <w:t>（2）须提供社保机构出具的社保缴纳证明（近3个月至响应文件递交截止日任意一月），当月新成立公司无需提供。</w:t>
      </w:r>
    </w:p>
    <w:p>
      <w:pPr>
        <w:tabs>
          <w:tab w:val="left" w:pos="993"/>
          <w:tab w:val="left" w:pos="1030"/>
          <w:tab w:val="left" w:pos="8364"/>
        </w:tabs>
        <w:snapToGrid w:val="0"/>
        <w:spacing w:after="157" w:afterLines="50"/>
        <w:ind w:left="420" w:right="-57" w:rightChars="-27" w:firstLine="480" w:firstLineChars="200"/>
        <w:jc w:val="left"/>
        <w:rPr>
          <w:rFonts w:ascii="宋体" w:hAnsi="宋体"/>
          <w:color w:val="auto"/>
          <w:sz w:val="24"/>
          <w:highlight w:val="none"/>
        </w:rPr>
      </w:pPr>
    </w:p>
    <w:p>
      <w:pPr>
        <w:rPr>
          <w:rFonts w:ascii="宋体" w:hAnsi="宋体"/>
          <w:color w:val="auto"/>
          <w:sz w:val="24"/>
          <w:highlight w:val="none"/>
        </w:rPr>
      </w:pPr>
      <w:r>
        <w:rPr>
          <w:rFonts w:ascii="宋体" w:hAnsi="宋体"/>
          <w:color w:val="auto"/>
          <w:sz w:val="24"/>
          <w:highlight w:val="none"/>
        </w:rPr>
        <w:br w:type="page"/>
      </w:r>
    </w:p>
    <w:p>
      <w:pPr>
        <w:tabs>
          <w:tab w:val="left" w:pos="8280"/>
        </w:tabs>
        <w:spacing w:line="480" w:lineRule="exact"/>
        <w:rPr>
          <w:rFonts w:ascii="宋体" w:hAnsi="宋体" w:cs="宋体"/>
          <w:color w:val="auto"/>
          <w:kern w:val="0"/>
          <w:sz w:val="24"/>
          <w:highlight w:val="none"/>
        </w:rPr>
      </w:pPr>
      <w:r>
        <w:rPr>
          <w:rFonts w:hint="eastAsia" w:ascii="宋体" w:hAnsi="宋体" w:cs="宋体"/>
          <w:color w:val="auto"/>
          <w:kern w:val="0"/>
          <w:sz w:val="24"/>
          <w:highlight w:val="none"/>
        </w:rPr>
        <w:t>5、参加政府采购活动近三年内在经营活动中没有重大违法记录</w:t>
      </w:r>
    </w:p>
    <w:p>
      <w:pPr>
        <w:shd w:val="clear" w:color="auto" w:fill="FFFFFF"/>
        <w:spacing w:line="480" w:lineRule="exact"/>
        <w:ind w:firstLine="420" w:firstLineChars="200"/>
        <w:jc w:val="left"/>
        <w:rPr>
          <w:rFonts w:ascii="宋体" w:hAnsi="宋体" w:cs="宋体"/>
          <w:color w:val="auto"/>
          <w:highlight w:val="none"/>
        </w:rPr>
      </w:pPr>
    </w:p>
    <w:p>
      <w:pPr>
        <w:jc w:val="center"/>
        <w:rPr>
          <w:rFonts w:ascii="宋体" w:hAnsi="宋体" w:cs="宋体"/>
          <w:b/>
          <w:bCs/>
          <w:color w:val="auto"/>
          <w:sz w:val="28"/>
          <w:szCs w:val="28"/>
          <w:highlight w:val="none"/>
        </w:rPr>
      </w:pPr>
      <w:bookmarkStart w:id="184" w:name="_Toc12673"/>
      <w:r>
        <w:rPr>
          <w:rFonts w:hint="eastAsia" w:ascii="宋体" w:hAnsi="宋体" w:cs="宋体"/>
          <w:b/>
          <w:bCs/>
          <w:color w:val="auto"/>
          <w:sz w:val="28"/>
          <w:szCs w:val="28"/>
          <w:highlight w:val="none"/>
        </w:rPr>
        <w:t>近三年内在经营活动中没有重大违法记录的书面声明</w:t>
      </w:r>
      <w:bookmarkEnd w:id="184"/>
    </w:p>
    <w:p>
      <w:pPr>
        <w:pStyle w:val="371"/>
        <w:spacing w:line="480" w:lineRule="exact"/>
        <w:jc w:val="center"/>
        <w:rPr>
          <w:rFonts w:ascii="宋体" w:hAnsi="宋体" w:cs="宋体"/>
          <w:color w:val="auto"/>
          <w:sz w:val="24"/>
          <w:szCs w:val="24"/>
          <w:highlight w:val="none"/>
        </w:rPr>
      </w:pPr>
    </w:p>
    <w:p>
      <w:pPr>
        <w:tabs>
          <w:tab w:val="left" w:pos="5580"/>
        </w:tabs>
        <w:spacing w:before="120" w:line="480" w:lineRule="exact"/>
        <w:rPr>
          <w:rFonts w:ascii="宋体" w:hAnsi="宋体" w:eastAsia="宋体;SimSun"/>
          <w:color w:val="auto"/>
          <w:sz w:val="24"/>
          <w:highlight w:val="none"/>
        </w:rPr>
      </w:pPr>
      <w:r>
        <w:rPr>
          <w:rFonts w:hint="eastAsia" w:ascii="宋体" w:hAnsi="宋体"/>
          <w:color w:val="auto"/>
          <w:sz w:val="24"/>
          <w:highlight w:val="none"/>
          <w:u w:val="single"/>
        </w:rPr>
        <w:t xml:space="preserve">   （采购人）  </w:t>
      </w:r>
      <w:r>
        <w:rPr>
          <w:rFonts w:hint="eastAsia" w:ascii="宋体" w:hAnsi="宋体"/>
          <w:color w:val="auto"/>
          <w:sz w:val="24"/>
          <w:highlight w:val="none"/>
        </w:rPr>
        <w:t>：</w:t>
      </w:r>
    </w:p>
    <w:p>
      <w:pPr>
        <w:tabs>
          <w:tab w:val="left" w:pos="5580"/>
        </w:tabs>
        <w:spacing w:line="480" w:lineRule="exact"/>
        <w:ind w:firstLine="480" w:firstLineChars="200"/>
        <w:rPr>
          <w:rFonts w:ascii="宋体" w:hAnsi="宋体" w:cs="宋体"/>
          <w:color w:val="auto"/>
          <w:sz w:val="24"/>
          <w:highlight w:val="none"/>
        </w:rPr>
      </w:pPr>
      <w:r>
        <w:rPr>
          <w:rFonts w:hint="eastAsia" w:ascii="宋体" w:hAnsi="宋体"/>
          <w:color w:val="auto"/>
          <w:sz w:val="24"/>
          <w:highlight w:val="none"/>
        </w:rPr>
        <w:t>在本项目响应文件递交截止时间前，我公司郑重承诺在参加本项目政府采购活动前三年内，在经营活动中无重大违法记录。公司未受到刑事处罚或责令停业、吊销许可证（或执照）</w:t>
      </w:r>
      <w:r>
        <w:rPr>
          <w:rFonts w:hint="eastAsia" w:hAnsi="宋体"/>
          <w:color w:val="auto"/>
          <w:sz w:val="24"/>
          <w:highlight w:val="none"/>
        </w:rPr>
        <w:t>、较大数额罚款</w:t>
      </w:r>
      <w:r>
        <w:rPr>
          <w:rFonts w:ascii="宋体" w:hAnsi="宋体" w:cs="宋体"/>
          <w:color w:val="auto"/>
          <w:sz w:val="24"/>
          <w:highlight w:val="none"/>
        </w:rPr>
        <w:t>（较大数额罚款”认定为200万元以上的罚款，法律、行政法规以及国务院有关部门明确规定相关领域“较大数额罚款”标准高于200万元的，从其规定。）等行政处罚；未处于财产被接管、冻结、破产状况。</w:t>
      </w:r>
    </w:p>
    <w:p>
      <w:pPr>
        <w:tabs>
          <w:tab w:val="left" w:pos="5580"/>
        </w:tabs>
        <w:spacing w:line="480" w:lineRule="exact"/>
        <w:ind w:firstLine="480" w:firstLineChars="200"/>
        <w:rPr>
          <w:rFonts w:ascii="宋体" w:hAnsi="宋体" w:cs="宋体"/>
          <w:color w:val="auto"/>
          <w:sz w:val="24"/>
          <w:highlight w:val="none"/>
        </w:rPr>
      </w:pPr>
      <w:r>
        <w:rPr>
          <w:rFonts w:hint="eastAsia" w:ascii="宋体" w:hAnsi="宋体"/>
          <w:color w:val="auto"/>
          <w:sz w:val="24"/>
          <w:highlight w:val="none"/>
        </w:rPr>
        <w:t>如发现我单位提供的声明函不实时，</w:t>
      </w:r>
      <w:r>
        <w:rPr>
          <w:rFonts w:hint="eastAsia" w:ascii="宋体" w:hAnsi="宋体" w:cs="宋体"/>
          <w:color w:val="auto"/>
          <w:sz w:val="24"/>
          <w:highlight w:val="none"/>
        </w:rPr>
        <w:t>我公司愿意承担一切法律责任并认可采购人或采购代理机构作出的取消成交资格、罚没保证金等决定。</w:t>
      </w:r>
    </w:p>
    <w:p>
      <w:pPr>
        <w:tabs>
          <w:tab w:val="left" w:pos="5580"/>
        </w:tabs>
        <w:spacing w:line="480" w:lineRule="exact"/>
        <w:ind w:firstLine="480" w:firstLineChars="200"/>
        <w:rPr>
          <w:rFonts w:ascii="宋体" w:hAnsi="宋体"/>
          <w:color w:val="auto"/>
          <w:sz w:val="24"/>
          <w:highlight w:val="none"/>
        </w:rPr>
      </w:pPr>
      <w:r>
        <w:rPr>
          <w:rFonts w:hint="eastAsia" w:ascii="宋体" w:hAnsi="宋体"/>
          <w:color w:val="auto"/>
          <w:sz w:val="24"/>
          <w:highlight w:val="none"/>
        </w:rPr>
        <w:t>特此声明！</w:t>
      </w:r>
    </w:p>
    <w:p>
      <w:pPr>
        <w:tabs>
          <w:tab w:val="left" w:pos="5580"/>
        </w:tabs>
        <w:spacing w:before="120" w:line="360" w:lineRule="auto"/>
        <w:ind w:firstLine="480" w:firstLineChars="200"/>
        <w:rPr>
          <w:rFonts w:ascii="宋体" w:hAnsi="宋体"/>
          <w:color w:val="auto"/>
          <w:sz w:val="24"/>
          <w:highlight w:val="none"/>
        </w:rPr>
      </w:pPr>
    </w:p>
    <w:p>
      <w:pPr>
        <w:spacing w:before="157" w:beforeLines="50" w:line="440" w:lineRule="exact"/>
        <w:ind w:left="-103" w:leftChars="-49" w:firstLine="520" w:firstLineChars="217"/>
        <w:rPr>
          <w:rFonts w:ascii="宋体" w:hAnsi="宋体"/>
          <w:color w:val="auto"/>
          <w:sz w:val="24"/>
          <w:highlight w:val="none"/>
        </w:rPr>
      </w:pPr>
      <w:r>
        <w:rPr>
          <w:rFonts w:hint="eastAsia" w:ascii="宋体" w:hAnsi="宋体"/>
          <w:color w:val="auto"/>
          <w:sz w:val="24"/>
          <w:highlight w:val="none"/>
        </w:rPr>
        <w:t>供应商：（电子公章）</w:t>
      </w:r>
    </w:p>
    <w:p>
      <w:pPr>
        <w:spacing w:before="157" w:beforeLines="50" w:line="440" w:lineRule="exact"/>
        <w:ind w:left="-103" w:leftChars="-49" w:firstLine="520" w:firstLineChars="217"/>
        <w:rPr>
          <w:rFonts w:ascii="宋体" w:hAnsi="宋体"/>
          <w:color w:val="auto"/>
          <w:sz w:val="24"/>
          <w:highlight w:val="none"/>
        </w:rPr>
      </w:pPr>
      <w:r>
        <w:rPr>
          <w:rFonts w:ascii="宋体" w:hAnsi="宋体"/>
          <w:color w:val="auto"/>
          <w:sz w:val="24"/>
          <w:highlight w:val="none"/>
        </w:rPr>
        <w:t>法定代表人</w:t>
      </w:r>
      <w:r>
        <w:rPr>
          <w:rFonts w:hint="eastAsia" w:ascii="宋体" w:hAnsi="宋体"/>
          <w:color w:val="auto"/>
          <w:sz w:val="24"/>
          <w:highlight w:val="none"/>
        </w:rPr>
        <w:t>或负责人</w:t>
      </w:r>
      <w:r>
        <w:rPr>
          <w:rFonts w:ascii="宋体" w:hAnsi="宋体"/>
          <w:color w:val="auto"/>
          <w:sz w:val="24"/>
          <w:highlight w:val="none"/>
        </w:rPr>
        <w:t>或其委托代理人：（</w:t>
      </w:r>
      <w:r>
        <w:rPr>
          <w:rFonts w:hint="eastAsia" w:ascii="宋体" w:hAnsi="宋体"/>
          <w:color w:val="auto"/>
          <w:sz w:val="24"/>
          <w:highlight w:val="none"/>
        </w:rPr>
        <w:t>签字或加盖人名章</w:t>
      </w:r>
      <w:r>
        <w:rPr>
          <w:rFonts w:ascii="宋体" w:hAnsi="宋体"/>
          <w:color w:val="auto"/>
          <w:sz w:val="24"/>
          <w:highlight w:val="none"/>
        </w:rPr>
        <w:t>）</w:t>
      </w:r>
    </w:p>
    <w:p>
      <w:pPr>
        <w:spacing w:before="157" w:beforeLines="50" w:line="440" w:lineRule="exact"/>
        <w:ind w:left="-103" w:leftChars="-49" w:firstLine="520" w:firstLineChars="217"/>
        <w:rPr>
          <w:rFonts w:ascii="宋体" w:hAnsi="宋体"/>
          <w:color w:val="auto"/>
          <w:sz w:val="24"/>
          <w:highlight w:val="none"/>
        </w:rPr>
      </w:pPr>
      <w:r>
        <w:rPr>
          <w:rFonts w:ascii="宋体" w:hAnsi="宋体"/>
          <w:color w:val="auto"/>
          <w:sz w:val="24"/>
          <w:highlight w:val="none"/>
        </w:rPr>
        <w:t>日</w:t>
      </w:r>
      <w:r>
        <w:rPr>
          <w:rFonts w:hint="eastAsia" w:ascii="宋体" w:hAnsi="宋体"/>
          <w:color w:val="auto"/>
          <w:sz w:val="24"/>
          <w:highlight w:val="none"/>
        </w:rPr>
        <w:t xml:space="preserve">  </w:t>
      </w:r>
      <w:r>
        <w:rPr>
          <w:rFonts w:ascii="宋体" w:hAnsi="宋体"/>
          <w:color w:val="auto"/>
          <w:sz w:val="24"/>
          <w:highlight w:val="none"/>
        </w:rPr>
        <w:t>期：</w:t>
      </w:r>
    </w:p>
    <w:p>
      <w:pPr>
        <w:tabs>
          <w:tab w:val="left" w:pos="8280"/>
        </w:tabs>
        <w:spacing w:line="480" w:lineRule="exact"/>
        <w:ind w:firstLine="562" w:firstLineChars="200"/>
        <w:rPr>
          <w:rFonts w:ascii="宋体" w:hAnsi="宋体" w:cs="宋体"/>
          <w:color w:val="auto"/>
          <w:kern w:val="0"/>
          <w:sz w:val="24"/>
          <w:highlight w:val="none"/>
        </w:rPr>
      </w:pPr>
      <w:r>
        <w:rPr>
          <w:rFonts w:hint="eastAsia" w:ascii="宋体" w:hAnsi="宋体" w:cs="宋体"/>
          <w:b/>
          <w:bCs/>
          <w:color w:val="auto"/>
          <w:sz w:val="28"/>
          <w:szCs w:val="28"/>
          <w:highlight w:val="none"/>
        </w:rPr>
        <w:br w:type="page"/>
      </w:r>
      <w:r>
        <w:rPr>
          <w:rFonts w:hint="eastAsia" w:ascii="宋体" w:hAnsi="宋体" w:cs="宋体"/>
          <w:color w:val="auto"/>
          <w:kern w:val="0"/>
          <w:sz w:val="24"/>
          <w:highlight w:val="none"/>
        </w:rPr>
        <w:t>（二）法定代表人（企业负责人）身份证明及授权委托书</w:t>
      </w:r>
    </w:p>
    <w:p>
      <w:pPr>
        <w:shd w:val="clear" w:color="auto" w:fill="FFFFFF"/>
        <w:spacing w:line="480" w:lineRule="exact"/>
        <w:jc w:val="left"/>
        <w:rPr>
          <w:rFonts w:ascii="宋体" w:hAnsi="宋体" w:cs="宋体"/>
          <w:bCs/>
          <w:color w:val="auto"/>
          <w:sz w:val="24"/>
          <w:highlight w:val="none"/>
        </w:rPr>
      </w:pPr>
    </w:p>
    <w:p>
      <w:pPr>
        <w:shd w:val="clear" w:color="auto" w:fill="FFFFFF"/>
        <w:spacing w:line="480" w:lineRule="exact"/>
        <w:jc w:val="center"/>
        <w:rPr>
          <w:rFonts w:ascii="宋体" w:hAnsi="宋体" w:cs="宋体"/>
          <w:color w:val="auto"/>
          <w:sz w:val="28"/>
          <w:szCs w:val="28"/>
          <w:highlight w:val="none"/>
        </w:rPr>
      </w:pPr>
      <w:r>
        <w:rPr>
          <w:rFonts w:hint="eastAsia" w:ascii="宋体" w:hAnsi="宋体" w:cs="宋体"/>
          <w:b/>
          <w:bCs/>
          <w:color w:val="auto"/>
          <w:sz w:val="28"/>
          <w:szCs w:val="28"/>
          <w:highlight w:val="none"/>
        </w:rPr>
        <w:t>法定代表人（企业负责人）资格证明书</w:t>
      </w:r>
    </w:p>
    <w:p>
      <w:pPr>
        <w:shd w:val="clear" w:color="auto" w:fill="FFFFFF"/>
        <w:spacing w:line="480" w:lineRule="exact"/>
        <w:rPr>
          <w:rFonts w:ascii="宋体" w:hAnsi="宋体" w:cs="宋体"/>
          <w:color w:val="auto"/>
          <w:sz w:val="24"/>
          <w:highlight w:val="none"/>
        </w:rPr>
      </w:pPr>
    </w:p>
    <w:p>
      <w:pPr>
        <w:shd w:val="clear" w:color="auto" w:fill="FFFFFF"/>
        <w:spacing w:line="440" w:lineRule="exact"/>
        <w:rPr>
          <w:rFonts w:ascii="宋体" w:hAnsi="宋体" w:cs="宋体"/>
          <w:color w:val="auto"/>
          <w:sz w:val="24"/>
          <w:highlight w:val="none"/>
          <w:u w:val="single"/>
        </w:rPr>
      </w:pPr>
      <w:r>
        <w:rPr>
          <w:rFonts w:hint="eastAsia" w:ascii="宋体" w:hAnsi="宋体" w:cs="宋体"/>
          <w:color w:val="auto"/>
          <w:sz w:val="24"/>
          <w:highlight w:val="none"/>
        </w:rPr>
        <w:t>单位名称：</w:t>
      </w:r>
    </w:p>
    <w:p>
      <w:pPr>
        <w:shd w:val="clear" w:color="auto" w:fill="FFFFFF"/>
        <w:spacing w:line="440" w:lineRule="exact"/>
        <w:rPr>
          <w:rFonts w:ascii="宋体" w:hAnsi="宋体" w:cs="宋体"/>
          <w:color w:val="auto"/>
          <w:sz w:val="24"/>
          <w:highlight w:val="none"/>
          <w:u w:val="single"/>
        </w:rPr>
      </w:pPr>
      <w:r>
        <w:rPr>
          <w:rFonts w:hint="eastAsia" w:ascii="宋体" w:hAnsi="宋体" w:cs="宋体"/>
          <w:color w:val="auto"/>
          <w:sz w:val="24"/>
          <w:highlight w:val="none"/>
        </w:rPr>
        <w:t>所属行业：</w:t>
      </w:r>
    </w:p>
    <w:p>
      <w:pPr>
        <w:shd w:val="clear" w:color="auto" w:fill="FFFFFF"/>
        <w:spacing w:line="440" w:lineRule="exact"/>
        <w:rPr>
          <w:rFonts w:ascii="宋体" w:hAnsi="宋体" w:cs="宋体"/>
          <w:color w:val="auto"/>
          <w:sz w:val="24"/>
          <w:highlight w:val="none"/>
        </w:rPr>
      </w:pPr>
      <w:r>
        <w:rPr>
          <w:rFonts w:hint="eastAsia" w:ascii="宋体" w:hAnsi="宋体" w:cs="宋体"/>
          <w:color w:val="auto"/>
          <w:sz w:val="24"/>
          <w:highlight w:val="none"/>
        </w:rPr>
        <w:t>地址：</w:t>
      </w:r>
    </w:p>
    <w:p>
      <w:pPr>
        <w:shd w:val="clear" w:color="auto" w:fill="FFFFFF"/>
        <w:spacing w:line="440" w:lineRule="exact"/>
        <w:rPr>
          <w:rFonts w:ascii="宋体" w:hAnsi="宋体" w:cs="宋体"/>
          <w:color w:val="auto"/>
          <w:sz w:val="24"/>
          <w:highlight w:val="none"/>
          <w:u w:val="single"/>
        </w:rPr>
      </w:pPr>
      <w:r>
        <w:rPr>
          <w:rFonts w:hint="eastAsia" w:ascii="宋体" w:hAnsi="宋体" w:cs="宋体"/>
          <w:color w:val="auto"/>
          <w:sz w:val="24"/>
          <w:highlight w:val="none"/>
        </w:rPr>
        <w:t>营业期限：</w:t>
      </w:r>
    </w:p>
    <w:p>
      <w:pPr>
        <w:shd w:val="clear" w:color="auto" w:fill="FFFFFF"/>
        <w:spacing w:line="440" w:lineRule="exact"/>
        <w:rPr>
          <w:rFonts w:ascii="宋体" w:hAnsi="宋体" w:cs="宋体"/>
          <w:color w:val="auto"/>
          <w:sz w:val="24"/>
          <w:highlight w:val="none"/>
          <w:u w:val="single"/>
        </w:rPr>
      </w:pPr>
      <w:r>
        <w:rPr>
          <w:rFonts w:hint="eastAsia" w:ascii="宋体" w:hAnsi="宋体" w:cs="宋体"/>
          <w:color w:val="auto"/>
          <w:sz w:val="24"/>
          <w:highlight w:val="none"/>
        </w:rPr>
        <w:t>成立时间：</w:t>
      </w:r>
    </w:p>
    <w:p>
      <w:pPr>
        <w:shd w:val="clear" w:color="auto" w:fill="FFFFFF"/>
        <w:spacing w:line="440" w:lineRule="exact"/>
        <w:rPr>
          <w:rFonts w:ascii="宋体" w:hAnsi="宋体" w:cs="宋体"/>
          <w:color w:val="auto"/>
          <w:sz w:val="24"/>
          <w:highlight w:val="none"/>
          <w:u w:val="single"/>
        </w:rPr>
      </w:pPr>
      <w:r>
        <w:rPr>
          <w:rFonts w:hint="eastAsia" w:ascii="宋体" w:hAnsi="宋体" w:cs="宋体"/>
          <w:color w:val="auto"/>
          <w:sz w:val="24"/>
          <w:highlight w:val="none"/>
        </w:rPr>
        <w:t>经营范围：</w:t>
      </w:r>
    </w:p>
    <w:p>
      <w:pPr>
        <w:shd w:val="clear" w:color="auto" w:fill="FFFFFF"/>
        <w:spacing w:line="440" w:lineRule="exact"/>
        <w:rPr>
          <w:rFonts w:ascii="宋体" w:hAnsi="宋体" w:cs="宋体"/>
          <w:color w:val="auto"/>
          <w:sz w:val="24"/>
          <w:highlight w:val="none"/>
        </w:rPr>
      </w:pPr>
    </w:p>
    <w:p>
      <w:pPr>
        <w:shd w:val="clear" w:color="auto" w:fill="FFFFFF"/>
        <w:spacing w:line="440" w:lineRule="exact"/>
        <w:rPr>
          <w:rFonts w:ascii="宋体" w:hAnsi="宋体" w:cs="宋体"/>
          <w:color w:val="auto"/>
          <w:sz w:val="24"/>
          <w:highlight w:val="none"/>
        </w:rPr>
      </w:pPr>
      <w:r>
        <w:rPr>
          <w:rFonts w:hint="eastAsia" w:ascii="宋体" w:hAnsi="宋体" w:cs="宋体"/>
          <w:color w:val="auto"/>
          <w:sz w:val="24"/>
          <w:highlight w:val="none"/>
        </w:rPr>
        <w:t>姓名：    性别：   年龄：     职务：</w:t>
      </w:r>
    </w:p>
    <w:p>
      <w:pPr>
        <w:shd w:val="clear" w:color="auto" w:fill="FFFFFF"/>
        <w:spacing w:line="440" w:lineRule="exact"/>
        <w:rPr>
          <w:rFonts w:ascii="宋体" w:hAnsi="宋体" w:cs="宋体"/>
          <w:color w:val="auto"/>
          <w:sz w:val="24"/>
          <w:highlight w:val="none"/>
        </w:rPr>
      </w:pPr>
      <w:r>
        <w:rPr>
          <w:rFonts w:hint="eastAsia" w:ascii="宋体" w:hAnsi="宋体" w:cs="宋体"/>
          <w:color w:val="auto"/>
          <w:sz w:val="24"/>
          <w:highlight w:val="none"/>
        </w:rPr>
        <w:t>系</w:t>
      </w:r>
      <w:r>
        <w:rPr>
          <w:rFonts w:hint="eastAsia" w:ascii="宋体" w:hAnsi="宋体" w:cs="宋体"/>
          <w:color w:val="auto"/>
          <w:sz w:val="24"/>
          <w:highlight w:val="none"/>
          <w:u w:val="single"/>
        </w:rPr>
        <w:t xml:space="preserve">        （供应商名称）       </w:t>
      </w:r>
      <w:r>
        <w:rPr>
          <w:rFonts w:hint="eastAsia" w:ascii="宋体" w:hAnsi="宋体" w:cs="宋体"/>
          <w:color w:val="auto"/>
          <w:sz w:val="24"/>
          <w:highlight w:val="none"/>
        </w:rPr>
        <w:t>的法定代表人或企业负责人。</w:t>
      </w:r>
    </w:p>
    <w:p>
      <w:pPr>
        <w:shd w:val="clear" w:color="auto" w:fill="FFFFFF"/>
        <w:spacing w:line="440" w:lineRule="exact"/>
        <w:rPr>
          <w:rFonts w:ascii="宋体" w:hAnsi="宋体" w:cs="宋体"/>
          <w:color w:val="auto"/>
          <w:szCs w:val="21"/>
          <w:highlight w:val="none"/>
        </w:rPr>
      </w:pPr>
    </w:p>
    <w:p>
      <w:pPr>
        <w:shd w:val="clear" w:color="auto" w:fill="FFFFFF"/>
        <w:spacing w:line="480" w:lineRule="exact"/>
        <w:rPr>
          <w:rFonts w:ascii="宋体" w:hAnsi="宋体" w:cs="宋体"/>
          <w:color w:val="auto"/>
          <w:szCs w:val="21"/>
          <w:highlight w:val="none"/>
        </w:rPr>
      </w:pPr>
      <w:r>
        <w:rPr>
          <w:rFonts w:hint="eastAsia" w:ascii="宋体" w:hAnsi="宋体" w:cs="宋体"/>
          <w:color w:val="auto"/>
          <w:highlight w:val="none"/>
        </w:rPr>
        <mc:AlternateContent>
          <mc:Choice Requires="wps">
            <w:drawing>
              <wp:anchor distT="0" distB="0" distL="114300" distR="114300" simplePos="0" relativeHeight="251661312" behindDoc="0" locked="0" layoutInCell="1" allowOverlap="1">
                <wp:simplePos x="0" y="0"/>
                <wp:positionH relativeFrom="column">
                  <wp:posOffset>-19050</wp:posOffset>
                </wp:positionH>
                <wp:positionV relativeFrom="paragraph">
                  <wp:posOffset>162560</wp:posOffset>
                </wp:positionV>
                <wp:extent cx="2971800" cy="1895475"/>
                <wp:effectExtent l="4445" t="4445" r="14605" b="5080"/>
                <wp:wrapNone/>
                <wp:docPr id="3" name="文本框 4"/>
                <wp:cNvGraphicFramePr/>
                <a:graphic xmlns:a="http://schemas.openxmlformats.org/drawingml/2006/main">
                  <a:graphicData uri="http://schemas.microsoft.com/office/word/2010/wordprocessingShape">
                    <wps:wsp>
                      <wps:cNvSpPr txBox="1"/>
                      <wps:spPr>
                        <a:xfrm>
                          <a:off x="0" y="0"/>
                          <a:ext cx="2971800" cy="1895475"/>
                        </a:xfrm>
                        <a:prstGeom prst="rect">
                          <a:avLst/>
                        </a:prstGeom>
                        <a:solidFill>
                          <a:srgbClr val="FFFFFF"/>
                        </a:solidFill>
                        <a:ln w="9525" cap="flat" cmpd="sng">
                          <a:solidFill>
                            <a:srgbClr val="000000"/>
                          </a:solidFill>
                          <a:prstDash val="solid"/>
                          <a:miter/>
                          <a:headEnd type="none" w="med" len="med"/>
                          <a:tailEnd type="none" w="med" len="med"/>
                        </a:ln>
                      </wps:spPr>
                      <wps:txbx>
                        <w:txbxContent>
                          <w:p/>
                          <w:p/>
                          <w:p>
                            <w:pPr>
                              <w:jc w:val="center"/>
                              <w:rPr>
                                <w:rFonts w:ascii="宋体" w:hAnsi="宋体"/>
                                <w:sz w:val="32"/>
                                <w:szCs w:val="32"/>
                              </w:rPr>
                            </w:pPr>
                            <w:r>
                              <w:rPr>
                                <w:rFonts w:hint="eastAsia" w:ascii="宋体" w:hAnsi="宋体"/>
                                <w:sz w:val="32"/>
                                <w:szCs w:val="32"/>
                              </w:rPr>
                              <w:t>法定代表人或企业负责人</w:t>
                            </w:r>
                          </w:p>
                          <w:p>
                            <w:pPr>
                              <w:jc w:val="center"/>
                              <w:rPr>
                                <w:rFonts w:ascii="宋体" w:hAnsi="宋体"/>
                                <w:sz w:val="32"/>
                                <w:szCs w:val="32"/>
                              </w:rPr>
                            </w:pPr>
                            <w:r>
                              <w:rPr>
                                <w:rFonts w:hint="eastAsia" w:ascii="宋体" w:hAnsi="宋体"/>
                                <w:sz w:val="32"/>
                                <w:szCs w:val="32"/>
                              </w:rPr>
                              <w:t>身份证复印件</w:t>
                            </w:r>
                          </w:p>
                          <w:p>
                            <w:pPr>
                              <w:jc w:val="center"/>
                              <w:rPr>
                                <w:rFonts w:ascii="宋体" w:hAnsi="宋体"/>
                                <w:sz w:val="32"/>
                                <w:szCs w:val="32"/>
                              </w:rPr>
                            </w:pPr>
                            <w:r>
                              <w:rPr>
                                <w:rFonts w:hint="eastAsia" w:ascii="宋体" w:hAnsi="宋体"/>
                                <w:sz w:val="32"/>
                                <w:szCs w:val="32"/>
                              </w:rPr>
                              <w:t>（正面）</w:t>
                            </w:r>
                          </w:p>
                          <w:p/>
                          <w:p/>
                          <w:p/>
                          <w:p/>
                          <w:p/>
                          <w:p/>
                          <w:p>
                            <w:pPr>
                              <w:rPr>
                                <w:sz w:val="32"/>
                                <w:szCs w:val="32"/>
                              </w:rPr>
                            </w:pPr>
                          </w:p>
                        </w:txbxContent>
                      </wps:txbx>
                      <wps:bodyPr wrap="square" upright="1"/>
                    </wps:wsp>
                  </a:graphicData>
                </a:graphic>
              </wp:anchor>
            </w:drawing>
          </mc:Choice>
          <mc:Fallback>
            <w:pict>
              <v:shape id="文本框 4" o:spid="_x0000_s1026" o:spt="202" type="#_x0000_t202" style="position:absolute;left:0pt;margin-left:-1.5pt;margin-top:12.8pt;height:149.25pt;width:234pt;z-index:251661312;mso-width-relative:page;mso-height-relative:page;" fillcolor="#FFFFFF" filled="t" stroked="t" coordsize="21600,21600" o:gfxdata="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F/0JIHZAAAACQEAAA8A&#10;AAAAAAAAAQAgAAAAIgAAAGRycy9kb3ducmV2LnhtbFBLAQIUABQAAAAIAIdO4kBbceV/FgIAAEUE&#10;AAAOAAAAAAAAAAEAIAAAACgBAABkcnMvZTJvRG9jLnhtbFBLBQYAAAAABgAGAFkBAACwBQAAAAA=&#10;">
                <v:fill on="t" focussize="0,0"/>
                <v:stroke color="#000000" joinstyle="miter"/>
                <v:imagedata o:title=""/>
                <o:lock v:ext="edit" aspectratio="f"/>
                <v:textbox>
                  <w:txbxContent>
                    <w:p/>
                    <w:p/>
                    <w:p>
                      <w:pPr>
                        <w:jc w:val="center"/>
                        <w:rPr>
                          <w:rFonts w:ascii="宋体" w:hAnsi="宋体"/>
                          <w:sz w:val="32"/>
                          <w:szCs w:val="32"/>
                        </w:rPr>
                      </w:pPr>
                      <w:r>
                        <w:rPr>
                          <w:rFonts w:hint="eastAsia" w:ascii="宋体" w:hAnsi="宋体"/>
                          <w:sz w:val="32"/>
                          <w:szCs w:val="32"/>
                        </w:rPr>
                        <w:t>法定代表人或企业负责人</w:t>
                      </w:r>
                    </w:p>
                    <w:p>
                      <w:pPr>
                        <w:jc w:val="center"/>
                        <w:rPr>
                          <w:rFonts w:ascii="宋体" w:hAnsi="宋体"/>
                          <w:sz w:val="32"/>
                          <w:szCs w:val="32"/>
                        </w:rPr>
                      </w:pPr>
                      <w:r>
                        <w:rPr>
                          <w:rFonts w:hint="eastAsia" w:ascii="宋体" w:hAnsi="宋体"/>
                          <w:sz w:val="32"/>
                          <w:szCs w:val="32"/>
                        </w:rPr>
                        <w:t>身份证复印件</w:t>
                      </w:r>
                    </w:p>
                    <w:p>
                      <w:pPr>
                        <w:jc w:val="center"/>
                        <w:rPr>
                          <w:rFonts w:ascii="宋体" w:hAnsi="宋体"/>
                          <w:sz w:val="32"/>
                          <w:szCs w:val="32"/>
                        </w:rPr>
                      </w:pPr>
                      <w:r>
                        <w:rPr>
                          <w:rFonts w:hint="eastAsia" w:ascii="宋体" w:hAnsi="宋体"/>
                          <w:sz w:val="32"/>
                          <w:szCs w:val="32"/>
                        </w:rPr>
                        <w:t>（正面）</w:t>
                      </w:r>
                    </w:p>
                    <w:p/>
                    <w:p/>
                    <w:p/>
                    <w:p/>
                    <w:p/>
                    <w:p/>
                    <w:p>
                      <w:pPr>
                        <w:rPr>
                          <w:sz w:val="32"/>
                          <w:szCs w:val="32"/>
                        </w:rPr>
                      </w:pPr>
                    </w:p>
                  </w:txbxContent>
                </v:textbox>
              </v:shape>
            </w:pict>
          </mc:Fallback>
        </mc:AlternateContent>
      </w:r>
      <w:r>
        <w:rPr>
          <w:rFonts w:hint="eastAsia" w:ascii="宋体" w:hAnsi="宋体" w:cs="宋体"/>
          <w:color w:val="auto"/>
          <w:highlight w:val="none"/>
        </w:rPr>
        <mc:AlternateContent>
          <mc:Choice Requires="wps">
            <w:drawing>
              <wp:anchor distT="0" distB="0" distL="114300" distR="114300" simplePos="0" relativeHeight="251662336" behindDoc="0" locked="0" layoutInCell="1" allowOverlap="1">
                <wp:simplePos x="0" y="0"/>
                <wp:positionH relativeFrom="column">
                  <wp:posOffset>3162300</wp:posOffset>
                </wp:positionH>
                <wp:positionV relativeFrom="paragraph">
                  <wp:posOffset>162560</wp:posOffset>
                </wp:positionV>
                <wp:extent cx="2971800" cy="1895475"/>
                <wp:effectExtent l="4445" t="4445" r="14605" b="5080"/>
                <wp:wrapNone/>
                <wp:docPr id="4" name="文本框 3"/>
                <wp:cNvGraphicFramePr/>
                <a:graphic xmlns:a="http://schemas.openxmlformats.org/drawingml/2006/main">
                  <a:graphicData uri="http://schemas.microsoft.com/office/word/2010/wordprocessingShape">
                    <wps:wsp>
                      <wps:cNvSpPr txBox="1"/>
                      <wps:spPr>
                        <a:xfrm>
                          <a:off x="0" y="0"/>
                          <a:ext cx="2971800" cy="1895475"/>
                        </a:xfrm>
                        <a:prstGeom prst="rect">
                          <a:avLst/>
                        </a:prstGeom>
                        <a:solidFill>
                          <a:srgbClr val="FFFFFF"/>
                        </a:solidFill>
                        <a:ln w="9525" cap="flat" cmpd="sng">
                          <a:solidFill>
                            <a:srgbClr val="000000"/>
                          </a:solidFill>
                          <a:prstDash val="solid"/>
                          <a:miter/>
                          <a:headEnd type="none" w="med" len="med"/>
                          <a:tailEnd type="none" w="med" len="med"/>
                        </a:ln>
                      </wps:spPr>
                      <wps:txbx>
                        <w:txbxContent>
                          <w:p/>
                          <w:p/>
                          <w:p>
                            <w:pPr>
                              <w:jc w:val="center"/>
                              <w:rPr>
                                <w:rFonts w:ascii="宋体" w:hAnsi="宋体"/>
                                <w:sz w:val="32"/>
                                <w:szCs w:val="32"/>
                              </w:rPr>
                            </w:pPr>
                            <w:r>
                              <w:rPr>
                                <w:rFonts w:hint="eastAsia" w:ascii="宋体" w:hAnsi="宋体"/>
                                <w:sz w:val="32"/>
                                <w:szCs w:val="32"/>
                              </w:rPr>
                              <w:t>法定代表人或企业负责人</w:t>
                            </w:r>
                          </w:p>
                          <w:p>
                            <w:pPr>
                              <w:jc w:val="center"/>
                              <w:rPr>
                                <w:rFonts w:ascii="宋体" w:hAnsi="宋体"/>
                                <w:sz w:val="32"/>
                                <w:szCs w:val="32"/>
                              </w:rPr>
                            </w:pPr>
                            <w:r>
                              <w:rPr>
                                <w:rFonts w:hint="eastAsia" w:ascii="宋体" w:hAnsi="宋体"/>
                                <w:sz w:val="32"/>
                                <w:szCs w:val="32"/>
                              </w:rPr>
                              <w:t>身份证复印件</w:t>
                            </w:r>
                          </w:p>
                          <w:p>
                            <w:pPr>
                              <w:jc w:val="center"/>
                              <w:rPr>
                                <w:rFonts w:ascii="宋体" w:hAnsi="宋体"/>
                                <w:sz w:val="32"/>
                                <w:szCs w:val="32"/>
                              </w:rPr>
                            </w:pPr>
                            <w:r>
                              <w:rPr>
                                <w:rFonts w:hint="eastAsia" w:ascii="宋体" w:hAnsi="宋体"/>
                                <w:sz w:val="32"/>
                                <w:szCs w:val="32"/>
                              </w:rPr>
                              <w:t>（反面）</w:t>
                            </w:r>
                          </w:p>
                          <w:p/>
                          <w:p/>
                          <w:p/>
                          <w:p/>
                          <w:p/>
                          <w:p/>
                          <w:p>
                            <w:pPr>
                              <w:rPr>
                                <w:sz w:val="32"/>
                                <w:szCs w:val="32"/>
                              </w:rPr>
                            </w:pPr>
                          </w:p>
                        </w:txbxContent>
                      </wps:txbx>
                      <wps:bodyPr wrap="square" upright="1"/>
                    </wps:wsp>
                  </a:graphicData>
                </a:graphic>
              </wp:anchor>
            </w:drawing>
          </mc:Choice>
          <mc:Fallback>
            <w:pict>
              <v:shape id="文本框 3" o:spid="_x0000_s1026" o:spt="202" type="#_x0000_t202" style="position:absolute;left:0pt;margin-left:249pt;margin-top:12.8pt;height:149.25pt;width:234pt;z-index:251662336;mso-width-relative:page;mso-height-relative:page;" fillcolor="#FFFFFF" filled="t" stroked="t" coordsize="21600,21600" o:gfxdata="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pk4832gAAAAoBAAAP&#10;AAAAAAAAAAEAIAAAACIAAABkcnMvZG93bnJldi54bWxQSwECFAAUAAAACACHTuJAC8+aKhYCAABF&#10;BAAADgAAAAAAAAABACAAAAApAQAAZHJzL2Uyb0RvYy54bWxQSwUGAAAAAAYABgBZAQAAsQUAAAAA&#10;">
                <v:fill on="t" focussize="0,0"/>
                <v:stroke color="#000000" joinstyle="miter"/>
                <v:imagedata o:title=""/>
                <o:lock v:ext="edit" aspectratio="f"/>
                <v:textbox>
                  <w:txbxContent>
                    <w:p/>
                    <w:p/>
                    <w:p>
                      <w:pPr>
                        <w:jc w:val="center"/>
                        <w:rPr>
                          <w:rFonts w:ascii="宋体" w:hAnsi="宋体"/>
                          <w:sz w:val="32"/>
                          <w:szCs w:val="32"/>
                        </w:rPr>
                      </w:pPr>
                      <w:r>
                        <w:rPr>
                          <w:rFonts w:hint="eastAsia" w:ascii="宋体" w:hAnsi="宋体"/>
                          <w:sz w:val="32"/>
                          <w:szCs w:val="32"/>
                        </w:rPr>
                        <w:t>法定代表人或企业负责人</w:t>
                      </w:r>
                    </w:p>
                    <w:p>
                      <w:pPr>
                        <w:jc w:val="center"/>
                        <w:rPr>
                          <w:rFonts w:ascii="宋体" w:hAnsi="宋体"/>
                          <w:sz w:val="32"/>
                          <w:szCs w:val="32"/>
                        </w:rPr>
                      </w:pPr>
                      <w:r>
                        <w:rPr>
                          <w:rFonts w:hint="eastAsia" w:ascii="宋体" w:hAnsi="宋体"/>
                          <w:sz w:val="32"/>
                          <w:szCs w:val="32"/>
                        </w:rPr>
                        <w:t>身份证复印件</w:t>
                      </w:r>
                    </w:p>
                    <w:p>
                      <w:pPr>
                        <w:jc w:val="center"/>
                        <w:rPr>
                          <w:rFonts w:ascii="宋体" w:hAnsi="宋体"/>
                          <w:sz w:val="32"/>
                          <w:szCs w:val="32"/>
                        </w:rPr>
                      </w:pPr>
                      <w:r>
                        <w:rPr>
                          <w:rFonts w:hint="eastAsia" w:ascii="宋体" w:hAnsi="宋体"/>
                          <w:sz w:val="32"/>
                          <w:szCs w:val="32"/>
                        </w:rPr>
                        <w:t>（反面）</w:t>
                      </w:r>
                    </w:p>
                    <w:p/>
                    <w:p/>
                    <w:p/>
                    <w:p/>
                    <w:p/>
                    <w:p/>
                    <w:p>
                      <w:pPr>
                        <w:rPr>
                          <w:sz w:val="32"/>
                          <w:szCs w:val="32"/>
                        </w:rPr>
                      </w:pPr>
                    </w:p>
                  </w:txbxContent>
                </v:textbox>
              </v:shape>
            </w:pict>
          </mc:Fallback>
        </mc:AlternateContent>
      </w:r>
    </w:p>
    <w:p>
      <w:pPr>
        <w:shd w:val="clear" w:color="auto" w:fill="FFFFFF"/>
        <w:spacing w:line="480" w:lineRule="exact"/>
        <w:rPr>
          <w:rFonts w:ascii="宋体" w:hAnsi="宋体" w:cs="宋体"/>
          <w:color w:val="auto"/>
          <w:szCs w:val="21"/>
          <w:highlight w:val="none"/>
        </w:rPr>
      </w:pPr>
    </w:p>
    <w:p>
      <w:pPr>
        <w:shd w:val="clear" w:color="auto" w:fill="FFFFFF"/>
        <w:spacing w:line="480" w:lineRule="exact"/>
        <w:rPr>
          <w:rFonts w:ascii="宋体" w:hAnsi="宋体" w:cs="宋体"/>
          <w:color w:val="auto"/>
          <w:szCs w:val="21"/>
          <w:highlight w:val="none"/>
        </w:rPr>
      </w:pPr>
    </w:p>
    <w:p>
      <w:pPr>
        <w:shd w:val="clear" w:color="auto" w:fill="FFFFFF"/>
        <w:spacing w:line="480" w:lineRule="exact"/>
        <w:rPr>
          <w:rFonts w:ascii="宋体" w:hAnsi="宋体" w:cs="宋体"/>
          <w:color w:val="auto"/>
          <w:szCs w:val="21"/>
          <w:highlight w:val="none"/>
        </w:rPr>
      </w:pPr>
    </w:p>
    <w:p>
      <w:pPr>
        <w:shd w:val="clear" w:color="auto" w:fill="FFFFFF"/>
        <w:spacing w:line="480" w:lineRule="exact"/>
        <w:rPr>
          <w:rFonts w:ascii="宋体" w:hAnsi="宋体" w:cs="宋体"/>
          <w:color w:val="auto"/>
          <w:szCs w:val="21"/>
          <w:highlight w:val="none"/>
        </w:rPr>
      </w:pPr>
    </w:p>
    <w:p>
      <w:pPr>
        <w:shd w:val="clear" w:color="auto" w:fill="FFFFFF"/>
        <w:spacing w:line="480" w:lineRule="exact"/>
        <w:rPr>
          <w:rFonts w:ascii="宋体" w:hAnsi="宋体" w:cs="宋体"/>
          <w:color w:val="auto"/>
          <w:szCs w:val="21"/>
          <w:highlight w:val="none"/>
        </w:rPr>
      </w:pPr>
    </w:p>
    <w:p>
      <w:pPr>
        <w:shd w:val="clear" w:color="auto" w:fill="FFFFFF"/>
        <w:spacing w:line="480" w:lineRule="exact"/>
        <w:rPr>
          <w:rFonts w:ascii="宋体" w:hAnsi="宋体" w:cs="宋体"/>
          <w:color w:val="auto"/>
          <w:szCs w:val="21"/>
          <w:highlight w:val="none"/>
        </w:rPr>
      </w:pPr>
    </w:p>
    <w:p>
      <w:pPr>
        <w:shd w:val="clear" w:color="auto" w:fill="FFFFFF"/>
        <w:spacing w:line="480" w:lineRule="exact"/>
        <w:rPr>
          <w:rFonts w:ascii="宋体" w:hAnsi="宋体" w:cs="宋体"/>
          <w:color w:val="auto"/>
          <w:szCs w:val="21"/>
          <w:highlight w:val="none"/>
        </w:rPr>
      </w:pPr>
    </w:p>
    <w:p>
      <w:pPr>
        <w:shd w:val="clear" w:color="auto" w:fill="FFFFFF"/>
        <w:spacing w:line="480" w:lineRule="exact"/>
        <w:rPr>
          <w:rFonts w:ascii="宋体" w:hAnsi="宋体" w:cs="宋体"/>
          <w:color w:val="auto"/>
          <w:sz w:val="24"/>
          <w:highlight w:val="none"/>
        </w:rPr>
      </w:pPr>
      <w:r>
        <w:rPr>
          <w:rFonts w:hint="eastAsia" w:ascii="宋体" w:hAnsi="宋体" w:cs="宋体"/>
          <w:color w:val="auto"/>
          <w:sz w:val="24"/>
          <w:highlight w:val="none"/>
        </w:rPr>
        <w:t>特此证明。</w:t>
      </w:r>
    </w:p>
    <w:p>
      <w:pPr>
        <w:shd w:val="clear" w:color="auto" w:fill="FFFFFF"/>
        <w:spacing w:line="480" w:lineRule="exact"/>
        <w:rPr>
          <w:rFonts w:ascii="宋体" w:hAnsi="宋体" w:cs="宋体"/>
          <w:color w:val="auto"/>
          <w:sz w:val="24"/>
          <w:highlight w:val="none"/>
        </w:rPr>
      </w:pPr>
    </w:p>
    <w:p>
      <w:pPr>
        <w:widowControl/>
        <w:spacing w:line="480" w:lineRule="exact"/>
        <w:ind w:left="424" w:leftChars="202"/>
        <w:jc w:val="left"/>
        <w:rPr>
          <w:rFonts w:ascii="宋体" w:hAnsi="宋体" w:cs="宋体"/>
          <w:color w:val="auto"/>
          <w:sz w:val="24"/>
          <w:highlight w:val="none"/>
        </w:rPr>
      </w:pPr>
      <w:r>
        <w:rPr>
          <w:rFonts w:hint="eastAsia" w:ascii="宋体" w:hAnsi="宋体" w:cs="宋体"/>
          <w:color w:val="auto"/>
          <w:sz w:val="24"/>
          <w:highlight w:val="none"/>
        </w:rPr>
        <w:t>供应商（电子公章）：</w:t>
      </w:r>
    </w:p>
    <w:p>
      <w:pPr>
        <w:shd w:val="clear" w:color="auto" w:fill="FFFFFF"/>
        <w:tabs>
          <w:tab w:val="left" w:pos="3780"/>
        </w:tabs>
        <w:spacing w:line="480" w:lineRule="exact"/>
        <w:ind w:left="424" w:leftChars="202"/>
        <w:rPr>
          <w:rFonts w:ascii="宋体" w:hAnsi="宋体" w:cs="宋体"/>
          <w:color w:val="auto"/>
          <w:sz w:val="24"/>
          <w:highlight w:val="none"/>
        </w:rPr>
      </w:pPr>
      <w:r>
        <w:rPr>
          <w:rFonts w:hint="eastAsia" w:ascii="宋体" w:hAnsi="宋体" w:cs="宋体"/>
          <w:color w:val="auto"/>
          <w:sz w:val="24"/>
          <w:highlight w:val="none"/>
        </w:rPr>
        <w:t>法定代表人或企业负责人（签名或签章）：</w:t>
      </w:r>
    </w:p>
    <w:p>
      <w:pPr>
        <w:widowControl/>
        <w:spacing w:line="480" w:lineRule="exact"/>
        <w:ind w:firstLine="480" w:firstLineChars="200"/>
        <w:jc w:val="left"/>
        <w:rPr>
          <w:rFonts w:ascii="宋体" w:hAnsi="宋体" w:cs="宋体"/>
          <w:color w:val="auto"/>
          <w:sz w:val="24"/>
          <w:highlight w:val="none"/>
        </w:rPr>
      </w:pPr>
    </w:p>
    <w:p>
      <w:pPr>
        <w:widowControl/>
        <w:spacing w:line="48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日期：    年    月    日</w:t>
      </w:r>
    </w:p>
    <w:p>
      <w:pPr>
        <w:shd w:val="clear" w:color="auto" w:fill="FFFFFF"/>
        <w:spacing w:line="480" w:lineRule="exact"/>
        <w:rPr>
          <w:rFonts w:ascii="宋体" w:hAnsi="宋体" w:cs="宋体"/>
          <w:b/>
          <w:bCs/>
          <w:color w:val="auto"/>
          <w:szCs w:val="21"/>
          <w:highlight w:val="none"/>
        </w:rPr>
      </w:pPr>
      <w:r>
        <w:rPr>
          <w:rFonts w:hint="eastAsia" w:ascii="宋体" w:hAnsi="宋体" w:cs="宋体"/>
          <w:b/>
          <w:bCs/>
          <w:color w:val="auto"/>
          <w:szCs w:val="21"/>
          <w:highlight w:val="none"/>
        </w:rPr>
        <w:t>注：企业法定代表人（企业负责人）参加投标只需提供法定代表人（企业负责人）身份证明。</w:t>
      </w:r>
    </w:p>
    <w:p>
      <w:pPr>
        <w:shd w:val="clear" w:color="auto" w:fill="FFFFFF"/>
        <w:spacing w:line="480" w:lineRule="exact"/>
        <w:rPr>
          <w:rFonts w:ascii="宋体" w:hAnsi="宋体" w:cs="宋体"/>
          <w:b/>
          <w:bCs/>
          <w:color w:val="auto"/>
          <w:szCs w:val="21"/>
          <w:highlight w:val="none"/>
        </w:rPr>
      </w:pPr>
    </w:p>
    <w:p>
      <w:pPr>
        <w:shd w:val="clear" w:color="auto" w:fill="FFFFFF"/>
        <w:spacing w:line="480" w:lineRule="exact"/>
        <w:rPr>
          <w:rFonts w:ascii="宋体" w:hAnsi="宋体" w:cs="宋体"/>
          <w:b/>
          <w:color w:val="auto"/>
          <w:sz w:val="32"/>
          <w:szCs w:val="32"/>
          <w:highlight w:val="none"/>
        </w:rPr>
      </w:pPr>
      <w:r>
        <w:rPr>
          <w:rFonts w:hint="eastAsia" w:ascii="宋体" w:hAnsi="宋体" w:cs="宋体"/>
          <w:b/>
          <w:bCs/>
          <w:color w:val="auto"/>
          <w:sz w:val="18"/>
          <w:szCs w:val="18"/>
          <w:highlight w:val="none"/>
        </w:rPr>
        <w:br w:type="page"/>
      </w:r>
    </w:p>
    <w:p>
      <w:pPr>
        <w:shd w:val="clear" w:color="auto" w:fill="FFFFFF"/>
        <w:spacing w:line="480" w:lineRule="exact"/>
        <w:jc w:val="center"/>
        <w:rPr>
          <w:rFonts w:ascii="宋体" w:hAnsi="宋体" w:cs="宋体"/>
          <w:b/>
          <w:color w:val="auto"/>
          <w:sz w:val="28"/>
          <w:szCs w:val="28"/>
          <w:highlight w:val="none"/>
        </w:rPr>
      </w:pPr>
      <w:r>
        <w:rPr>
          <w:rFonts w:hint="eastAsia" w:ascii="宋体" w:hAnsi="宋体" w:cs="宋体"/>
          <w:b/>
          <w:color w:val="auto"/>
          <w:sz w:val="28"/>
          <w:szCs w:val="28"/>
          <w:highlight w:val="none"/>
        </w:rPr>
        <w:t>法定代表人（企业负责人）授权委托书</w:t>
      </w:r>
    </w:p>
    <w:p>
      <w:pPr>
        <w:shd w:val="clear" w:color="auto" w:fill="FFFFFF"/>
        <w:spacing w:line="480" w:lineRule="exact"/>
        <w:jc w:val="center"/>
        <w:rPr>
          <w:rFonts w:ascii="宋体" w:hAnsi="宋体" w:cs="宋体"/>
          <w:b/>
          <w:bCs/>
          <w:color w:val="auto"/>
          <w:sz w:val="24"/>
          <w:highlight w:val="none"/>
        </w:rPr>
      </w:pPr>
    </w:p>
    <w:p>
      <w:pPr>
        <w:pStyle w:val="362"/>
        <w:shd w:val="clear" w:color="auto" w:fill="FFFFFF"/>
        <w:snapToGrid w:val="0"/>
        <w:spacing w:line="440" w:lineRule="exact"/>
        <w:ind w:firstLine="480" w:firstLineChars="200"/>
        <w:rPr>
          <w:rFonts w:ascii="宋体" w:hAnsi="宋体" w:cs="宋体"/>
          <w:color w:val="auto"/>
          <w:kern w:val="2"/>
          <w:sz w:val="24"/>
          <w:highlight w:val="none"/>
        </w:rPr>
      </w:pPr>
      <w:r>
        <w:rPr>
          <w:rFonts w:hint="eastAsia" w:ascii="宋体" w:hAnsi="宋体" w:cs="宋体"/>
          <w:color w:val="auto"/>
          <w:kern w:val="2"/>
          <w:sz w:val="24"/>
          <w:highlight w:val="none"/>
        </w:rPr>
        <w:t>本授权委托书声明：我系</w:t>
      </w:r>
      <w:r>
        <w:rPr>
          <w:rFonts w:hint="eastAsia" w:ascii="宋体" w:hAnsi="宋体" w:cs="宋体"/>
          <w:color w:val="auto"/>
          <w:kern w:val="2"/>
          <w:sz w:val="24"/>
          <w:highlight w:val="none"/>
          <w:u w:val="single"/>
        </w:rPr>
        <w:t xml:space="preserve"> （供应商名称） </w:t>
      </w:r>
      <w:r>
        <w:rPr>
          <w:rFonts w:hint="eastAsia" w:ascii="宋体" w:hAnsi="宋体" w:cs="宋体"/>
          <w:color w:val="auto"/>
          <w:kern w:val="2"/>
          <w:sz w:val="24"/>
          <w:highlight w:val="none"/>
        </w:rPr>
        <w:t>的法定代表人（企业负责人），现授权委托</w:t>
      </w:r>
      <w:r>
        <w:rPr>
          <w:rFonts w:hint="eastAsia" w:ascii="宋体" w:hAnsi="宋体" w:cs="宋体"/>
          <w:color w:val="auto"/>
          <w:kern w:val="2"/>
          <w:sz w:val="24"/>
          <w:highlight w:val="none"/>
          <w:u w:val="single"/>
        </w:rPr>
        <w:t>（供应商名称）</w:t>
      </w:r>
      <w:r>
        <w:rPr>
          <w:rFonts w:hint="eastAsia" w:ascii="宋体" w:hAnsi="宋体" w:cs="宋体"/>
          <w:color w:val="auto"/>
          <w:kern w:val="2"/>
          <w:sz w:val="24"/>
          <w:highlight w:val="none"/>
        </w:rPr>
        <w:t>的为我的代理人，以</w:t>
      </w:r>
      <w:r>
        <w:rPr>
          <w:rFonts w:hint="eastAsia" w:ascii="宋体" w:hAnsi="宋体" w:cs="宋体"/>
          <w:color w:val="auto"/>
          <w:kern w:val="2"/>
          <w:sz w:val="24"/>
          <w:highlight w:val="none"/>
          <w:u w:val="single"/>
        </w:rPr>
        <w:t>（供应商名称）</w:t>
      </w:r>
      <w:r>
        <w:rPr>
          <w:rFonts w:hint="eastAsia" w:ascii="宋体" w:hAnsi="宋体" w:cs="宋体"/>
          <w:color w:val="auto"/>
          <w:kern w:val="2"/>
          <w:sz w:val="24"/>
          <w:highlight w:val="none"/>
        </w:rPr>
        <w:t>的名义参加</w:t>
      </w:r>
      <w:r>
        <w:rPr>
          <w:rFonts w:hint="eastAsia" w:ascii="宋体" w:hAnsi="宋体" w:cs="宋体"/>
          <w:color w:val="auto"/>
          <w:kern w:val="2"/>
          <w:sz w:val="24"/>
          <w:highlight w:val="none"/>
          <w:u w:val="single"/>
        </w:rPr>
        <w:t>（项目名称和项目编号）</w:t>
      </w:r>
      <w:r>
        <w:rPr>
          <w:rFonts w:hint="eastAsia" w:ascii="宋体" w:hAnsi="宋体" w:cs="宋体"/>
          <w:color w:val="auto"/>
          <w:kern w:val="2"/>
          <w:sz w:val="24"/>
          <w:highlight w:val="none"/>
        </w:rPr>
        <w:t>招标项目的投标活动。代理人在参加整个招标投标活动所签署的一切文件和处理与之相关的一切事物，我均予承认。</w:t>
      </w:r>
    </w:p>
    <w:p>
      <w:pPr>
        <w:pStyle w:val="362"/>
        <w:shd w:val="clear" w:color="auto" w:fill="FFFFFF"/>
        <w:snapToGrid w:val="0"/>
        <w:spacing w:line="440" w:lineRule="exact"/>
        <w:ind w:firstLine="480" w:firstLineChars="200"/>
        <w:rPr>
          <w:rFonts w:ascii="宋体" w:hAnsi="宋体" w:cs="宋体"/>
          <w:color w:val="auto"/>
          <w:kern w:val="2"/>
          <w:sz w:val="24"/>
          <w:highlight w:val="none"/>
        </w:rPr>
      </w:pPr>
      <w:r>
        <w:rPr>
          <w:rFonts w:hint="eastAsia" w:ascii="宋体" w:hAnsi="宋体" w:cs="宋体"/>
          <w:color w:val="auto"/>
          <w:kern w:val="2"/>
          <w:sz w:val="24"/>
          <w:highlight w:val="none"/>
        </w:rPr>
        <w:t>代理人：   性别：  年龄：</w:t>
      </w:r>
    </w:p>
    <w:p>
      <w:pPr>
        <w:pStyle w:val="362"/>
        <w:shd w:val="clear" w:color="auto" w:fill="FFFFFF"/>
        <w:snapToGrid w:val="0"/>
        <w:spacing w:line="440" w:lineRule="exact"/>
        <w:ind w:firstLine="480" w:firstLineChars="200"/>
        <w:rPr>
          <w:rFonts w:ascii="宋体" w:hAnsi="宋体" w:cs="宋体"/>
          <w:color w:val="auto"/>
          <w:kern w:val="2"/>
          <w:sz w:val="24"/>
          <w:highlight w:val="none"/>
        </w:rPr>
      </w:pPr>
      <w:r>
        <w:rPr>
          <w:rFonts w:hint="eastAsia" w:ascii="宋体" w:hAnsi="宋体" w:cs="宋体"/>
          <w:color w:val="auto"/>
          <w:kern w:val="2"/>
          <w:sz w:val="24"/>
          <w:highlight w:val="none"/>
        </w:rPr>
        <w:t>部  门：   职务：</w:t>
      </w:r>
    </w:p>
    <w:p>
      <w:pPr>
        <w:shd w:val="clear" w:color="auto" w:fill="FFFFFF"/>
        <w:spacing w:line="480" w:lineRule="exact"/>
        <w:rPr>
          <w:rFonts w:ascii="宋体" w:hAnsi="宋体" w:cs="宋体"/>
          <w:bCs/>
          <w:color w:val="auto"/>
          <w:sz w:val="24"/>
          <w:highlight w:val="none"/>
        </w:rPr>
      </w:pPr>
      <w:r>
        <w:rPr>
          <w:rFonts w:hint="eastAsia" w:ascii="宋体" w:hAnsi="宋体" w:cs="宋体"/>
          <w:color w:val="auto"/>
          <w:sz w:val="24"/>
          <w:highlight w:val="none"/>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122555</wp:posOffset>
                </wp:positionV>
                <wp:extent cx="3022600" cy="1609725"/>
                <wp:effectExtent l="4445" t="4445" r="20955" b="5080"/>
                <wp:wrapNone/>
                <wp:docPr id="1" name="文本框 2"/>
                <wp:cNvGraphicFramePr/>
                <a:graphic xmlns:a="http://schemas.openxmlformats.org/drawingml/2006/main">
                  <a:graphicData uri="http://schemas.microsoft.com/office/word/2010/wordprocessingShape">
                    <wps:wsp>
                      <wps:cNvSpPr txBox="1"/>
                      <wps:spPr>
                        <a:xfrm>
                          <a:off x="0" y="0"/>
                          <a:ext cx="3022600" cy="1609725"/>
                        </a:xfrm>
                        <a:prstGeom prst="rect">
                          <a:avLst/>
                        </a:prstGeom>
                        <a:solidFill>
                          <a:srgbClr val="FFFFFF"/>
                        </a:solidFill>
                        <a:ln w="9525" cap="flat" cmpd="sng">
                          <a:solidFill>
                            <a:srgbClr val="000000"/>
                          </a:solidFill>
                          <a:prstDash val="solid"/>
                          <a:miter/>
                          <a:headEnd type="none" w="med" len="med"/>
                          <a:tailEnd type="none" w="med" len="med"/>
                        </a:ln>
                      </wps:spPr>
                      <wps:txbx>
                        <w:txbxContent>
                          <w:p/>
                          <w:p/>
                          <w:p>
                            <w:pPr>
                              <w:jc w:val="center"/>
                              <w:rPr>
                                <w:rFonts w:ascii="宋体" w:hAnsi="宋体"/>
                                <w:color w:val="000000"/>
                                <w:sz w:val="32"/>
                                <w:szCs w:val="32"/>
                              </w:rPr>
                            </w:pPr>
                            <w:r>
                              <w:rPr>
                                <w:rFonts w:hint="eastAsia" w:ascii="宋体" w:hAnsi="宋体"/>
                                <w:color w:val="000000"/>
                                <w:sz w:val="32"/>
                                <w:szCs w:val="32"/>
                              </w:rPr>
                              <w:t>代理人身份证复印件</w:t>
                            </w:r>
                          </w:p>
                          <w:p>
                            <w:pPr>
                              <w:jc w:val="center"/>
                              <w:rPr>
                                <w:rFonts w:ascii="宋体" w:hAnsi="宋体"/>
                                <w:color w:val="000000"/>
                                <w:sz w:val="32"/>
                                <w:szCs w:val="32"/>
                              </w:rPr>
                            </w:pPr>
                            <w:r>
                              <w:rPr>
                                <w:rFonts w:hint="eastAsia" w:ascii="宋体" w:hAnsi="宋体"/>
                                <w:color w:val="000000"/>
                                <w:sz w:val="32"/>
                                <w:szCs w:val="32"/>
                              </w:rPr>
                              <w:t>（正面）</w:t>
                            </w:r>
                          </w:p>
                          <w:p/>
                          <w:p/>
                          <w:p/>
                          <w:p/>
                          <w:p/>
                          <w:p/>
                          <w:p>
                            <w:pPr>
                              <w:rPr>
                                <w:sz w:val="32"/>
                                <w:szCs w:val="32"/>
                              </w:rPr>
                            </w:pPr>
                          </w:p>
                        </w:txbxContent>
                      </wps:txbx>
                      <wps:bodyPr wrap="square" upright="1"/>
                    </wps:wsp>
                  </a:graphicData>
                </a:graphic>
              </wp:anchor>
            </w:drawing>
          </mc:Choice>
          <mc:Fallback>
            <w:pict>
              <v:shape id="文本框 2" o:spid="_x0000_s1026" o:spt="202" type="#_x0000_t202" style="position:absolute;left:0pt;margin-left:-0.1pt;margin-top:9.65pt;height:126.75pt;width:238pt;z-index:251659264;mso-width-relative:page;mso-height-relative:page;" fillcolor="#FFFFFF" filled="t" stroked="t" coordsize="21600,21600" o:gfxdata="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6NBTJtgAAAAIAQAADwAAAAAA&#10;AAABACAAAAAiAAAAZHJzL2Rvd25yZXYueG1sUEsBAhQAFAAAAAgAh07iQGoRCI4TAgAARQQAAA4A&#10;AAAAAAAAAQAgAAAAJwEAAGRycy9lMm9Eb2MueG1sUEsFBgAAAAAGAAYAWQEAAKwFAAAAAA==&#10;">
                <v:fill on="t" focussize="0,0"/>
                <v:stroke color="#000000" joinstyle="miter"/>
                <v:imagedata o:title=""/>
                <o:lock v:ext="edit" aspectratio="f"/>
                <v:textbox>
                  <w:txbxContent>
                    <w:p/>
                    <w:p/>
                    <w:p>
                      <w:pPr>
                        <w:jc w:val="center"/>
                        <w:rPr>
                          <w:rFonts w:ascii="宋体" w:hAnsi="宋体"/>
                          <w:color w:val="000000"/>
                          <w:sz w:val="32"/>
                          <w:szCs w:val="32"/>
                        </w:rPr>
                      </w:pPr>
                      <w:r>
                        <w:rPr>
                          <w:rFonts w:hint="eastAsia" w:ascii="宋体" w:hAnsi="宋体"/>
                          <w:color w:val="000000"/>
                          <w:sz w:val="32"/>
                          <w:szCs w:val="32"/>
                        </w:rPr>
                        <w:t>代理人身份证复印件</w:t>
                      </w:r>
                    </w:p>
                    <w:p>
                      <w:pPr>
                        <w:jc w:val="center"/>
                        <w:rPr>
                          <w:rFonts w:ascii="宋体" w:hAnsi="宋体"/>
                          <w:color w:val="000000"/>
                          <w:sz w:val="32"/>
                          <w:szCs w:val="32"/>
                        </w:rPr>
                      </w:pPr>
                      <w:r>
                        <w:rPr>
                          <w:rFonts w:hint="eastAsia" w:ascii="宋体" w:hAnsi="宋体"/>
                          <w:color w:val="000000"/>
                          <w:sz w:val="32"/>
                          <w:szCs w:val="32"/>
                        </w:rPr>
                        <w:t>（正面）</w:t>
                      </w:r>
                    </w:p>
                    <w:p/>
                    <w:p/>
                    <w:p/>
                    <w:p/>
                    <w:p/>
                    <w:p/>
                    <w:p>
                      <w:pPr>
                        <w:rPr>
                          <w:sz w:val="32"/>
                          <w:szCs w:val="32"/>
                        </w:rPr>
                      </w:pPr>
                    </w:p>
                  </w:txbxContent>
                </v:textbox>
              </v:shape>
            </w:pict>
          </mc:Fallback>
        </mc:AlternateContent>
      </w:r>
      <w:r>
        <w:rPr>
          <w:rFonts w:hint="eastAsia" w:ascii="宋体" w:hAnsi="宋体" w:cs="宋体"/>
          <w:color w:val="auto"/>
          <w:sz w:val="24"/>
          <w:highlight w:val="none"/>
        </w:rPr>
        <mc:AlternateContent>
          <mc:Choice Requires="wps">
            <w:drawing>
              <wp:anchor distT="0" distB="0" distL="114300" distR="114300" simplePos="0" relativeHeight="251660288" behindDoc="0" locked="0" layoutInCell="1" allowOverlap="1">
                <wp:simplePos x="0" y="0"/>
                <wp:positionH relativeFrom="column">
                  <wp:posOffset>3161030</wp:posOffset>
                </wp:positionH>
                <wp:positionV relativeFrom="paragraph">
                  <wp:posOffset>122555</wp:posOffset>
                </wp:positionV>
                <wp:extent cx="2851150" cy="1609725"/>
                <wp:effectExtent l="4445" t="4445" r="20955" b="5080"/>
                <wp:wrapNone/>
                <wp:docPr id="2" name="文本框 1"/>
                <wp:cNvGraphicFramePr/>
                <a:graphic xmlns:a="http://schemas.openxmlformats.org/drawingml/2006/main">
                  <a:graphicData uri="http://schemas.microsoft.com/office/word/2010/wordprocessingShape">
                    <wps:wsp>
                      <wps:cNvSpPr txBox="1"/>
                      <wps:spPr>
                        <a:xfrm>
                          <a:off x="0" y="0"/>
                          <a:ext cx="2851150" cy="1609725"/>
                        </a:xfrm>
                        <a:prstGeom prst="rect">
                          <a:avLst/>
                        </a:prstGeom>
                        <a:solidFill>
                          <a:srgbClr val="FFFFFF"/>
                        </a:solidFill>
                        <a:ln w="9525" cap="flat" cmpd="sng">
                          <a:solidFill>
                            <a:srgbClr val="000000"/>
                          </a:solidFill>
                          <a:prstDash val="solid"/>
                          <a:miter/>
                          <a:headEnd type="none" w="med" len="med"/>
                          <a:tailEnd type="none" w="med" len="med"/>
                        </a:ln>
                      </wps:spPr>
                      <wps:txbx>
                        <w:txbxContent>
                          <w:p/>
                          <w:p/>
                          <w:p>
                            <w:pPr>
                              <w:jc w:val="center"/>
                              <w:rPr>
                                <w:rFonts w:ascii="宋体" w:hAnsi="宋体"/>
                                <w:color w:val="000000"/>
                                <w:sz w:val="32"/>
                                <w:szCs w:val="32"/>
                              </w:rPr>
                            </w:pPr>
                            <w:r>
                              <w:rPr>
                                <w:rFonts w:hint="eastAsia" w:ascii="宋体" w:hAnsi="宋体"/>
                                <w:color w:val="000000"/>
                                <w:sz w:val="32"/>
                                <w:szCs w:val="32"/>
                              </w:rPr>
                              <w:t>代理人身份证复印件</w:t>
                            </w:r>
                          </w:p>
                          <w:p>
                            <w:pPr>
                              <w:jc w:val="center"/>
                              <w:rPr>
                                <w:rFonts w:ascii="宋体" w:hAnsi="宋体"/>
                                <w:color w:val="000000"/>
                                <w:sz w:val="32"/>
                                <w:szCs w:val="32"/>
                              </w:rPr>
                            </w:pPr>
                            <w:r>
                              <w:rPr>
                                <w:rFonts w:hint="eastAsia" w:ascii="宋体" w:hAnsi="宋体"/>
                                <w:color w:val="000000"/>
                                <w:sz w:val="32"/>
                                <w:szCs w:val="32"/>
                              </w:rPr>
                              <w:t>（反面）</w:t>
                            </w:r>
                          </w:p>
                          <w:p/>
                          <w:p/>
                          <w:p/>
                          <w:p/>
                          <w:p/>
                          <w:p/>
                          <w:p>
                            <w:pPr>
                              <w:rPr>
                                <w:sz w:val="32"/>
                                <w:szCs w:val="32"/>
                              </w:rPr>
                            </w:pPr>
                          </w:p>
                        </w:txbxContent>
                      </wps:txbx>
                      <wps:bodyPr wrap="square" upright="1"/>
                    </wps:wsp>
                  </a:graphicData>
                </a:graphic>
              </wp:anchor>
            </w:drawing>
          </mc:Choice>
          <mc:Fallback>
            <w:pict>
              <v:shape id="文本框 1" o:spid="_x0000_s1026" o:spt="202" type="#_x0000_t202" style="position:absolute;left:0pt;margin-left:248.9pt;margin-top:9.65pt;height:126.75pt;width:224.5pt;z-index:251660288;mso-width-relative:page;mso-height-relative:page;" fillcolor="#FFFFFF" filled="t" stroked="t" coordsize="21600,21600" o:gfxdata="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f0Emo9kAAAAKAQAADwAA&#10;AAAAAAABACAAAAAiAAAAZHJzL2Rvd25yZXYueG1sUEsBAhQAFAAAAAgAh07iQMZH6NcVAgAARQQA&#10;AA4AAAAAAAAAAQAgAAAAKAEAAGRycy9lMm9Eb2MueG1sUEsFBgAAAAAGAAYAWQEAAK8FAAAAAA==&#10;">
                <v:fill on="t" focussize="0,0"/>
                <v:stroke color="#000000" joinstyle="miter"/>
                <v:imagedata o:title=""/>
                <o:lock v:ext="edit" aspectratio="f"/>
                <v:textbox>
                  <w:txbxContent>
                    <w:p/>
                    <w:p/>
                    <w:p>
                      <w:pPr>
                        <w:jc w:val="center"/>
                        <w:rPr>
                          <w:rFonts w:ascii="宋体" w:hAnsi="宋体"/>
                          <w:color w:val="000000"/>
                          <w:sz w:val="32"/>
                          <w:szCs w:val="32"/>
                        </w:rPr>
                      </w:pPr>
                      <w:r>
                        <w:rPr>
                          <w:rFonts w:hint="eastAsia" w:ascii="宋体" w:hAnsi="宋体"/>
                          <w:color w:val="000000"/>
                          <w:sz w:val="32"/>
                          <w:szCs w:val="32"/>
                        </w:rPr>
                        <w:t>代理人身份证复印件</w:t>
                      </w:r>
                    </w:p>
                    <w:p>
                      <w:pPr>
                        <w:jc w:val="center"/>
                        <w:rPr>
                          <w:rFonts w:ascii="宋体" w:hAnsi="宋体"/>
                          <w:color w:val="000000"/>
                          <w:sz w:val="32"/>
                          <w:szCs w:val="32"/>
                        </w:rPr>
                      </w:pPr>
                      <w:r>
                        <w:rPr>
                          <w:rFonts w:hint="eastAsia" w:ascii="宋体" w:hAnsi="宋体"/>
                          <w:color w:val="000000"/>
                          <w:sz w:val="32"/>
                          <w:szCs w:val="32"/>
                        </w:rPr>
                        <w:t>（反面）</w:t>
                      </w:r>
                    </w:p>
                    <w:p/>
                    <w:p/>
                    <w:p/>
                    <w:p/>
                    <w:p/>
                    <w:p/>
                    <w:p>
                      <w:pPr>
                        <w:rPr>
                          <w:sz w:val="32"/>
                          <w:szCs w:val="32"/>
                        </w:rPr>
                      </w:pPr>
                    </w:p>
                  </w:txbxContent>
                </v:textbox>
              </v:shape>
            </w:pict>
          </mc:Fallback>
        </mc:AlternateContent>
      </w:r>
    </w:p>
    <w:p>
      <w:pPr>
        <w:shd w:val="clear" w:color="auto" w:fill="FFFFFF"/>
        <w:spacing w:line="480" w:lineRule="exact"/>
        <w:rPr>
          <w:rFonts w:ascii="宋体" w:hAnsi="宋体" w:cs="宋体"/>
          <w:bCs/>
          <w:color w:val="auto"/>
          <w:sz w:val="24"/>
          <w:highlight w:val="none"/>
        </w:rPr>
      </w:pPr>
    </w:p>
    <w:p>
      <w:pPr>
        <w:shd w:val="clear" w:color="auto" w:fill="FFFFFF"/>
        <w:spacing w:line="480" w:lineRule="exact"/>
        <w:rPr>
          <w:rFonts w:ascii="宋体" w:hAnsi="宋体" w:cs="宋体"/>
          <w:bCs/>
          <w:color w:val="auto"/>
          <w:sz w:val="24"/>
          <w:highlight w:val="none"/>
        </w:rPr>
      </w:pPr>
    </w:p>
    <w:p>
      <w:pPr>
        <w:shd w:val="clear" w:color="auto" w:fill="FFFFFF"/>
        <w:spacing w:line="480" w:lineRule="exact"/>
        <w:rPr>
          <w:rFonts w:ascii="宋体" w:hAnsi="宋体" w:cs="宋体"/>
          <w:bCs/>
          <w:color w:val="auto"/>
          <w:sz w:val="24"/>
          <w:highlight w:val="none"/>
        </w:rPr>
      </w:pPr>
    </w:p>
    <w:p>
      <w:pPr>
        <w:shd w:val="clear" w:color="auto" w:fill="FFFFFF"/>
        <w:spacing w:line="480" w:lineRule="exact"/>
        <w:rPr>
          <w:rFonts w:ascii="宋体" w:hAnsi="宋体" w:cs="宋体"/>
          <w:bCs/>
          <w:color w:val="auto"/>
          <w:sz w:val="24"/>
          <w:highlight w:val="none"/>
        </w:rPr>
      </w:pPr>
    </w:p>
    <w:p>
      <w:pPr>
        <w:shd w:val="clear" w:color="auto" w:fill="FFFFFF"/>
        <w:spacing w:line="480" w:lineRule="exact"/>
        <w:rPr>
          <w:rFonts w:ascii="宋体" w:hAnsi="宋体" w:cs="宋体"/>
          <w:bCs/>
          <w:color w:val="auto"/>
          <w:sz w:val="24"/>
          <w:highlight w:val="none"/>
        </w:rPr>
      </w:pPr>
    </w:p>
    <w:p>
      <w:pPr>
        <w:shd w:val="clear" w:color="auto" w:fill="FFFFFF"/>
        <w:spacing w:line="480" w:lineRule="exact"/>
        <w:rPr>
          <w:rFonts w:ascii="宋体" w:hAnsi="宋体" w:cs="宋体"/>
          <w:bCs/>
          <w:color w:val="auto"/>
          <w:sz w:val="24"/>
          <w:highlight w:val="none"/>
        </w:rPr>
      </w:pPr>
    </w:p>
    <w:p>
      <w:pPr>
        <w:pStyle w:val="362"/>
        <w:shd w:val="clear" w:color="auto" w:fill="FFFFFF"/>
        <w:snapToGrid w:val="0"/>
        <w:spacing w:line="480" w:lineRule="exact"/>
        <w:ind w:firstLine="210"/>
        <w:rPr>
          <w:rFonts w:ascii="宋体" w:hAnsi="宋体" w:cs="宋体"/>
          <w:color w:val="auto"/>
          <w:sz w:val="24"/>
          <w:highlight w:val="none"/>
        </w:rPr>
      </w:pPr>
    </w:p>
    <w:p>
      <w:pPr>
        <w:pStyle w:val="362"/>
        <w:shd w:val="clear" w:color="auto" w:fill="FFFFFF"/>
        <w:snapToGrid w:val="0"/>
        <w:spacing w:line="480" w:lineRule="exact"/>
        <w:ind w:firstLine="210"/>
        <w:rPr>
          <w:rFonts w:ascii="宋体" w:hAnsi="宋体" w:cs="宋体"/>
          <w:color w:val="auto"/>
          <w:sz w:val="24"/>
          <w:highlight w:val="none"/>
        </w:rPr>
      </w:pPr>
    </w:p>
    <w:p>
      <w:pPr>
        <w:pStyle w:val="362"/>
        <w:shd w:val="clear" w:color="auto" w:fill="FFFFFF"/>
        <w:snapToGrid w:val="0"/>
        <w:spacing w:line="480" w:lineRule="exact"/>
        <w:ind w:firstLine="210"/>
        <w:rPr>
          <w:rFonts w:ascii="宋体" w:hAnsi="宋体" w:cs="宋体"/>
          <w:color w:val="auto"/>
          <w:kern w:val="2"/>
          <w:sz w:val="24"/>
          <w:highlight w:val="none"/>
        </w:rPr>
      </w:pPr>
    </w:p>
    <w:p>
      <w:pPr>
        <w:widowControl/>
        <w:spacing w:line="480" w:lineRule="exact"/>
        <w:ind w:left="424" w:leftChars="202"/>
        <w:jc w:val="left"/>
        <w:rPr>
          <w:rFonts w:ascii="宋体" w:hAnsi="宋体" w:cs="宋体"/>
          <w:color w:val="auto"/>
          <w:sz w:val="24"/>
          <w:highlight w:val="none"/>
        </w:rPr>
      </w:pPr>
      <w:r>
        <w:rPr>
          <w:rFonts w:hint="eastAsia" w:ascii="宋体" w:hAnsi="宋体" w:cs="宋体"/>
          <w:color w:val="auto"/>
          <w:sz w:val="24"/>
          <w:highlight w:val="none"/>
        </w:rPr>
        <w:t>供应商（电子公章）：</w:t>
      </w:r>
    </w:p>
    <w:p>
      <w:pPr>
        <w:shd w:val="clear" w:color="auto" w:fill="FFFFFF"/>
        <w:tabs>
          <w:tab w:val="left" w:pos="3780"/>
        </w:tabs>
        <w:spacing w:line="480" w:lineRule="exact"/>
        <w:ind w:left="424" w:leftChars="202"/>
        <w:rPr>
          <w:rFonts w:ascii="宋体" w:hAnsi="宋体" w:cs="宋体"/>
          <w:color w:val="auto"/>
          <w:sz w:val="24"/>
          <w:highlight w:val="none"/>
        </w:rPr>
      </w:pPr>
      <w:r>
        <w:rPr>
          <w:rFonts w:hint="eastAsia" w:ascii="宋体" w:hAnsi="宋体" w:cs="宋体"/>
          <w:color w:val="auto"/>
          <w:sz w:val="24"/>
          <w:highlight w:val="none"/>
        </w:rPr>
        <w:t>法定代表人或企业负责人（签名或签章）：</w:t>
      </w:r>
    </w:p>
    <w:p>
      <w:pPr>
        <w:shd w:val="clear" w:color="auto" w:fill="FFFFFF"/>
        <w:tabs>
          <w:tab w:val="left" w:pos="3780"/>
        </w:tabs>
        <w:spacing w:line="480" w:lineRule="exact"/>
        <w:ind w:left="424" w:leftChars="202"/>
        <w:rPr>
          <w:rFonts w:ascii="宋体" w:hAnsi="宋体" w:cs="宋体"/>
          <w:color w:val="auto"/>
          <w:sz w:val="24"/>
          <w:highlight w:val="none"/>
        </w:rPr>
      </w:pPr>
      <w:r>
        <w:rPr>
          <w:rFonts w:hint="eastAsia" w:ascii="宋体" w:hAnsi="宋体" w:cs="宋体"/>
          <w:color w:val="auto"/>
          <w:sz w:val="24"/>
          <w:highlight w:val="none"/>
        </w:rPr>
        <w:t>授权代理人（签字）：</w:t>
      </w:r>
    </w:p>
    <w:p>
      <w:pPr>
        <w:widowControl/>
        <w:spacing w:line="480" w:lineRule="exact"/>
        <w:ind w:left="424" w:leftChars="202"/>
        <w:jc w:val="left"/>
        <w:rPr>
          <w:rFonts w:ascii="宋体" w:hAnsi="宋体" w:cs="宋体"/>
          <w:color w:val="auto"/>
          <w:sz w:val="24"/>
          <w:highlight w:val="none"/>
        </w:rPr>
      </w:pPr>
      <w:r>
        <w:rPr>
          <w:rFonts w:hint="eastAsia" w:ascii="宋体" w:hAnsi="宋体" w:cs="宋体"/>
          <w:color w:val="auto"/>
          <w:sz w:val="24"/>
          <w:highlight w:val="none"/>
        </w:rPr>
        <w:t>日期： 年  月  日</w:t>
      </w:r>
    </w:p>
    <w:p>
      <w:pPr>
        <w:pStyle w:val="71"/>
        <w:tabs>
          <w:tab w:val="left" w:pos="-120"/>
        </w:tabs>
        <w:spacing w:line="480" w:lineRule="exact"/>
        <w:ind w:firstLine="0"/>
        <w:rPr>
          <w:rFonts w:ascii="宋体" w:hAnsi="宋体" w:eastAsia="宋体" w:cs="宋体"/>
          <w:color w:val="auto"/>
          <w:spacing w:val="0"/>
          <w:highlight w:val="none"/>
        </w:rPr>
      </w:pPr>
      <w:r>
        <w:rPr>
          <w:rFonts w:hint="eastAsia" w:ascii="宋体" w:hAnsi="宋体" w:cs="宋体"/>
          <w:color w:val="auto"/>
          <w:sz w:val="24"/>
          <w:highlight w:val="none"/>
        </w:rPr>
        <w:br w:type="page"/>
      </w:r>
      <w:r>
        <w:rPr>
          <w:rFonts w:hint="eastAsia" w:ascii="宋体" w:hAnsi="宋体" w:eastAsia="宋体" w:cs="宋体"/>
          <w:bCs/>
          <w:color w:val="auto"/>
          <w:spacing w:val="0"/>
          <w:sz w:val="24"/>
          <w:szCs w:val="24"/>
          <w:highlight w:val="none"/>
        </w:rPr>
        <w:t>（三）不参与围标串标承诺书</w:t>
      </w:r>
    </w:p>
    <w:p>
      <w:pPr>
        <w:pStyle w:val="71"/>
        <w:tabs>
          <w:tab w:val="left" w:pos="-120"/>
        </w:tabs>
        <w:spacing w:line="480" w:lineRule="exact"/>
        <w:jc w:val="center"/>
        <w:rPr>
          <w:rFonts w:ascii="宋体" w:hAnsi="宋体" w:eastAsia="宋体" w:cs="宋体"/>
          <w:b/>
          <w:color w:val="auto"/>
          <w:spacing w:val="0"/>
          <w:sz w:val="30"/>
          <w:szCs w:val="30"/>
          <w:highlight w:val="none"/>
        </w:rPr>
      </w:pPr>
    </w:p>
    <w:p>
      <w:pPr>
        <w:pStyle w:val="71"/>
        <w:tabs>
          <w:tab w:val="left" w:pos="-120"/>
        </w:tabs>
        <w:spacing w:line="480" w:lineRule="exact"/>
        <w:jc w:val="center"/>
        <w:rPr>
          <w:rFonts w:ascii="宋体" w:hAnsi="宋体" w:eastAsia="宋体" w:cs="宋体"/>
          <w:b/>
          <w:color w:val="auto"/>
          <w:spacing w:val="0"/>
          <w:sz w:val="28"/>
          <w:szCs w:val="28"/>
          <w:highlight w:val="none"/>
        </w:rPr>
      </w:pPr>
      <w:r>
        <w:rPr>
          <w:rFonts w:hint="eastAsia" w:ascii="宋体" w:hAnsi="宋体" w:eastAsia="宋体" w:cs="宋体"/>
          <w:b/>
          <w:color w:val="auto"/>
          <w:spacing w:val="0"/>
          <w:sz w:val="28"/>
          <w:szCs w:val="28"/>
          <w:highlight w:val="none"/>
        </w:rPr>
        <w:t>不参与围标串标承诺书</w:t>
      </w:r>
    </w:p>
    <w:p>
      <w:pPr>
        <w:pStyle w:val="71"/>
        <w:tabs>
          <w:tab w:val="left" w:pos="-120"/>
        </w:tabs>
        <w:spacing w:line="480" w:lineRule="exact"/>
        <w:jc w:val="center"/>
        <w:rPr>
          <w:rFonts w:ascii="宋体" w:hAnsi="宋体" w:eastAsia="宋体" w:cs="宋体"/>
          <w:b/>
          <w:color w:val="auto"/>
          <w:spacing w:val="0"/>
          <w:sz w:val="30"/>
          <w:szCs w:val="30"/>
          <w:highlight w:val="none"/>
        </w:rPr>
      </w:pPr>
    </w:p>
    <w:p>
      <w:pPr>
        <w:pStyle w:val="545"/>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本人作为</w:t>
      </w:r>
      <w:r>
        <w:rPr>
          <w:rFonts w:hint="eastAsia" w:ascii="宋体" w:hAnsi="宋体" w:cs="宋体"/>
          <w:color w:val="auto"/>
          <w:sz w:val="24"/>
          <w:szCs w:val="24"/>
          <w:highlight w:val="none"/>
          <w:u w:val="single"/>
        </w:rPr>
        <w:t xml:space="preserve">      （单位名称）          </w:t>
      </w:r>
      <w:r>
        <w:rPr>
          <w:rFonts w:hint="eastAsia" w:ascii="宋体" w:hAnsi="宋体" w:cs="宋体"/>
          <w:color w:val="auto"/>
          <w:sz w:val="24"/>
          <w:szCs w:val="24"/>
          <w:highlight w:val="none"/>
        </w:rPr>
        <w:t>的法人，清楚知晓我公司本项目招标活动，对以下事项作出承诺：</w:t>
      </w:r>
    </w:p>
    <w:p>
      <w:pPr>
        <w:pStyle w:val="545"/>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一、我单位遵循公开、公平、公正、诚实守信的原则，依法依规参与本项目竞标。</w:t>
      </w:r>
    </w:p>
    <w:p>
      <w:pPr>
        <w:pStyle w:val="545"/>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二、我单位在本项目招标投标活动中，未参与围标串标。</w:t>
      </w:r>
    </w:p>
    <w:p>
      <w:pPr>
        <w:pStyle w:val="545"/>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三、我单位如被查实在本项目招标投标活动中存在围标串标的，递交投标文件行为作为实施串通投标违法行为的关键环节，本人承担直接责任人员法律责任，接受相应行政处罚和失信惩戒。</w:t>
      </w:r>
    </w:p>
    <w:p>
      <w:pPr>
        <w:pStyle w:val="545"/>
        <w:spacing w:line="440" w:lineRule="exact"/>
        <w:jc w:val="left"/>
        <w:rPr>
          <w:rFonts w:ascii="宋体" w:hAnsi="宋体" w:cs="宋体"/>
          <w:color w:val="auto"/>
          <w:sz w:val="24"/>
          <w:szCs w:val="24"/>
          <w:highlight w:val="none"/>
        </w:rPr>
      </w:pPr>
      <w:r>
        <w:rPr>
          <w:rFonts w:hint="eastAsia" w:ascii="宋体" w:hAnsi="宋体" w:cs="宋体"/>
          <w:color w:val="auto"/>
          <w:sz w:val="24"/>
          <w:szCs w:val="24"/>
          <w:highlight w:val="none"/>
        </w:rPr>
        <w:t>项目名称：</w:t>
      </w:r>
    </w:p>
    <w:p>
      <w:pPr>
        <w:pStyle w:val="545"/>
        <w:spacing w:line="440" w:lineRule="exact"/>
        <w:jc w:val="left"/>
        <w:rPr>
          <w:rFonts w:ascii="宋体" w:hAnsi="宋体" w:cs="宋体"/>
          <w:color w:val="auto"/>
          <w:sz w:val="24"/>
          <w:szCs w:val="24"/>
          <w:highlight w:val="none"/>
        </w:rPr>
      </w:pPr>
      <w:r>
        <w:rPr>
          <w:rFonts w:hint="eastAsia" w:ascii="宋体" w:hAnsi="宋体" w:cs="宋体"/>
          <w:color w:val="auto"/>
          <w:sz w:val="24"/>
          <w:szCs w:val="24"/>
          <w:highlight w:val="none"/>
        </w:rPr>
        <w:t xml:space="preserve">项目编号：    </w:t>
      </w:r>
    </w:p>
    <w:p>
      <w:pPr>
        <w:pStyle w:val="545"/>
        <w:spacing w:line="440" w:lineRule="exact"/>
        <w:jc w:val="left"/>
        <w:rPr>
          <w:rFonts w:ascii="宋体" w:hAnsi="宋体" w:cs="宋体"/>
          <w:color w:val="auto"/>
          <w:sz w:val="24"/>
          <w:szCs w:val="24"/>
          <w:highlight w:val="none"/>
        </w:rPr>
      </w:pPr>
    </w:p>
    <w:p>
      <w:pPr>
        <w:pStyle w:val="545"/>
        <w:spacing w:line="440" w:lineRule="exact"/>
        <w:jc w:val="left"/>
        <w:rPr>
          <w:rFonts w:ascii="宋体" w:hAnsi="宋体" w:cs="宋体"/>
          <w:color w:val="auto"/>
          <w:sz w:val="24"/>
          <w:szCs w:val="24"/>
          <w:highlight w:val="none"/>
        </w:rPr>
      </w:pPr>
      <w:r>
        <w:rPr>
          <w:rFonts w:hint="eastAsia" w:ascii="宋体" w:hAnsi="宋体" w:cs="宋体"/>
          <w:color w:val="auto"/>
          <w:sz w:val="24"/>
          <w:szCs w:val="24"/>
          <w:highlight w:val="none"/>
        </w:rPr>
        <w:t>供应商单位名称（电子公章）：</w:t>
      </w:r>
    </w:p>
    <w:p>
      <w:pPr>
        <w:shd w:val="clear" w:color="auto" w:fill="FFFFFF"/>
        <w:tabs>
          <w:tab w:val="left" w:pos="3780"/>
        </w:tabs>
        <w:spacing w:line="440" w:lineRule="exact"/>
        <w:rPr>
          <w:rFonts w:ascii="宋体" w:hAnsi="宋体" w:cs="宋体"/>
          <w:color w:val="auto"/>
          <w:sz w:val="24"/>
          <w:highlight w:val="none"/>
        </w:rPr>
      </w:pPr>
    </w:p>
    <w:p>
      <w:pPr>
        <w:shd w:val="clear" w:color="auto" w:fill="FFFFFF"/>
        <w:tabs>
          <w:tab w:val="left" w:pos="3780"/>
        </w:tabs>
        <w:spacing w:line="440" w:lineRule="exact"/>
        <w:rPr>
          <w:rFonts w:ascii="宋体" w:hAnsi="宋体" w:cs="宋体"/>
          <w:color w:val="auto"/>
          <w:sz w:val="24"/>
          <w:highlight w:val="none"/>
        </w:rPr>
      </w:pPr>
      <w:r>
        <w:rPr>
          <w:rFonts w:hint="eastAsia" w:ascii="宋体" w:hAnsi="宋体" w:cs="宋体"/>
          <w:color w:val="auto"/>
          <w:sz w:val="24"/>
          <w:highlight w:val="none"/>
        </w:rPr>
        <w:t>供应商法定代表人或企业负责人（签名或签章）：</w:t>
      </w:r>
    </w:p>
    <w:p>
      <w:pPr>
        <w:pStyle w:val="545"/>
        <w:spacing w:line="440" w:lineRule="exact"/>
        <w:jc w:val="left"/>
        <w:rPr>
          <w:rFonts w:ascii="宋体" w:hAnsi="宋体" w:cs="宋体"/>
          <w:color w:val="auto"/>
          <w:sz w:val="24"/>
          <w:szCs w:val="24"/>
          <w:highlight w:val="none"/>
        </w:rPr>
      </w:pPr>
    </w:p>
    <w:p>
      <w:pPr>
        <w:pStyle w:val="545"/>
        <w:spacing w:line="440" w:lineRule="exact"/>
        <w:jc w:val="left"/>
        <w:rPr>
          <w:rFonts w:ascii="宋体" w:hAnsi="宋体" w:cs="宋体"/>
          <w:color w:val="auto"/>
          <w:sz w:val="24"/>
          <w:szCs w:val="24"/>
          <w:highlight w:val="none"/>
        </w:rPr>
      </w:pPr>
    </w:p>
    <w:p>
      <w:pPr>
        <w:pStyle w:val="545"/>
        <w:spacing w:line="440" w:lineRule="exact"/>
        <w:ind w:firstLine="4320" w:firstLineChars="1800"/>
        <w:jc w:val="left"/>
        <w:rPr>
          <w:rFonts w:ascii="宋体" w:hAnsi="宋体" w:cs="宋体"/>
          <w:color w:val="auto"/>
          <w:sz w:val="24"/>
          <w:szCs w:val="24"/>
          <w:highlight w:val="none"/>
        </w:rPr>
      </w:pPr>
      <w:r>
        <w:rPr>
          <w:rFonts w:hint="eastAsia" w:ascii="宋体" w:hAnsi="宋体" w:cs="宋体"/>
          <w:color w:val="auto"/>
          <w:sz w:val="24"/>
          <w:szCs w:val="24"/>
          <w:highlight w:val="none"/>
        </w:rPr>
        <w:t>年   月   日</w:t>
      </w:r>
    </w:p>
    <w:p>
      <w:pPr>
        <w:pStyle w:val="71"/>
        <w:tabs>
          <w:tab w:val="left" w:pos="-120"/>
        </w:tabs>
        <w:spacing w:line="440" w:lineRule="exact"/>
        <w:rPr>
          <w:rFonts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br w:type="page"/>
      </w:r>
    </w:p>
    <w:p>
      <w:pPr>
        <w:spacing w:line="480" w:lineRule="exact"/>
        <w:rPr>
          <w:rFonts w:ascii="宋体" w:hAnsi="宋体" w:cs="宋体"/>
          <w:color w:val="auto"/>
          <w:sz w:val="24"/>
          <w:highlight w:val="none"/>
        </w:rPr>
      </w:pPr>
      <w:r>
        <w:rPr>
          <w:rFonts w:hint="eastAsia" w:ascii="宋体" w:hAnsi="宋体" w:cs="宋体"/>
          <w:color w:val="auto"/>
          <w:sz w:val="24"/>
          <w:highlight w:val="none"/>
        </w:rPr>
        <w:t>（四）投标保证金</w:t>
      </w:r>
    </w:p>
    <w:p>
      <w:pPr>
        <w:spacing w:line="480" w:lineRule="exact"/>
        <w:ind w:firstLine="600" w:firstLineChars="250"/>
        <w:rPr>
          <w:rFonts w:ascii="宋体" w:hAnsi="宋体" w:cs="宋体"/>
          <w:color w:val="auto"/>
          <w:sz w:val="24"/>
          <w:highlight w:val="none"/>
        </w:rPr>
      </w:pPr>
      <w:r>
        <w:rPr>
          <w:rFonts w:hint="eastAsia" w:ascii="宋体" w:hAnsi="宋体" w:cs="宋体"/>
          <w:color w:val="auto"/>
          <w:sz w:val="24"/>
          <w:highlight w:val="none"/>
        </w:rPr>
        <w:t>此处附被采购代理机构认可的缴纳凭证</w:t>
      </w:r>
    </w:p>
    <w:p>
      <w:pPr>
        <w:spacing w:line="480" w:lineRule="exact"/>
        <w:ind w:left="141" w:leftChars="67" w:firstLine="480" w:firstLineChars="200"/>
        <w:rPr>
          <w:rFonts w:ascii="宋体" w:hAnsi="宋体" w:cs="宋体"/>
          <w:color w:val="auto"/>
          <w:sz w:val="24"/>
          <w:highlight w:val="none"/>
        </w:rPr>
      </w:pPr>
    </w:p>
    <w:p>
      <w:pPr>
        <w:spacing w:line="480" w:lineRule="exact"/>
        <w:ind w:left="141" w:leftChars="67" w:firstLine="480" w:firstLineChars="200"/>
        <w:rPr>
          <w:rFonts w:ascii="宋体" w:hAnsi="宋体" w:cs="宋体"/>
          <w:color w:val="auto"/>
          <w:sz w:val="24"/>
          <w:highlight w:val="none"/>
        </w:rPr>
      </w:pPr>
    </w:p>
    <w:p>
      <w:pPr>
        <w:spacing w:line="480" w:lineRule="exact"/>
        <w:rPr>
          <w:rFonts w:ascii="宋体" w:hAnsi="宋体" w:cs="宋体"/>
          <w:color w:val="auto"/>
          <w:sz w:val="24"/>
          <w:highlight w:val="none"/>
        </w:rPr>
      </w:pPr>
    </w:p>
    <w:p>
      <w:pPr>
        <w:spacing w:line="480" w:lineRule="exact"/>
        <w:rPr>
          <w:rFonts w:ascii="宋体" w:hAnsi="宋体" w:cs="宋体"/>
          <w:color w:val="auto"/>
          <w:sz w:val="24"/>
          <w:highlight w:val="none"/>
        </w:rPr>
      </w:pPr>
      <w:r>
        <w:rPr>
          <w:rFonts w:hint="eastAsia" w:ascii="宋体" w:hAnsi="宋体" w:cs="宋体"/>
          <w:b/>
          <w:color w:val="auto"/>
          <w:sz w:val="24"/>
          <w:highlight w:val="none"/>
        </w:rPr>
        <w:br w:type="page"/>
      </w:r>
      <w:r>
        <w:rPr>
          <w:rFonts w:hint="eastAsia" w:ascii="宋体" w:hAnsi="宋体" w:cs="宋体"/>
          <w:color w:val="auto"/>
          <w:sz w:val="24"/>
          <w:highlight w:val="none"/>
        </w:rPr>
        <w:t>（五）此处附“信用中国”网站（www.creditchina.gov.cn）、</w:t>
      </w:r>
      <w:r>
        <w:rPr>
          <w:rFonts w:hint="eastAsia" w:ascii="宋体" w:hAnsi="宋体" w:cs="宋体"/>
          <w:color w:val="auto"/>
          <w:sz w:val="24"/>
          <w:highlight w:val="none"/>
          <w:lang w:val="zh-CN"/>
        </w:rPr>
        <w:t>中国政府采购网</w:t>
      </w:r>
      <w:r>
        <w:rPr>
          <w:rFonts w:hint="eastAsia" w:ascii="宋体" w:hAnsi="宋体" w:cs="宋体"/>
          <w:color w:val="auto"/>
          <w:sz w:val="24"/>
          <w:highlight w:val="none"/>
        </w:rPr>
        <w:t>（www.ccgp.gov.cn）查询企业信用信息截图</w:t>
      </w:r>
    </w:p>
    <w:p>
      <w:pPr>
        <w:spacing w:line="480" w:lineRule="exact"/>
        <w:jc w:val="center"/>
        <w:rPr>
          <w:rFonts w:ascii="宋体" w:hAnsi="宋体" w:cs="宋体"/>
          <w:color w:val="auto"/>
          <w:sz w:val="24"/>
          <w:highlight w:val="none"/>
        </w:rPr>
      </w:pPr>
      <w:r>
        <w:rPr>
          <w:rFonts w:hint="eastAsia" w:ascii="宋体" w:hAnsi="宋体" w:cs="宋体"/>
          <w:color w:val="auto"/>
          <w:sz w:val="24"/>
          <w:highlight w:val="none"/>
        </w:rPr>
        <w:t>（查询时间：须自招标文件发布之日起至投标文件递交截止时间）</w:t>
      </w:r>
    </w:p>
    <w:p>
      <w:pPr>
        <w:pStyle w:val="71"/>
        <w:tabs>
          <w:tab w:val="left" w:pos="-120"/>
        </w:tabs>
        <w:spacing w:line="480" w:lineRule="exact"/>
        <w:rPr>
          <w:rFonts w:ascii="宋体" w:hAnsi="宋体" w:eastAsia="宋体" w:cs="宋体"/>
          <w:color w:val="auto"/>
          <w:spacing w:val="0"/>
          <w:sz w:val="24"/>
          <w:szCs w:val="24"/>
          <w:highlight w:val="none"/>
        </w:rPr>
      </w:pPr>
    </w:p>
    <w:p>
      <w:pPr>
        <w:spacing w:before="314" w:beforeLines="100" w:after="157" w:afterLines="50" w:line="480" w:lineRule="exact"/>
        <w:jc w:val="left"/>
        <w:rPr>
          <w:rFonts w:ascii="宋体" w:hAnsi="宋体" w:cs="宋体"/>
          <w:b/>
          <w:bCs/>
          <w:color w:val="auto"/>
          <w:kern w:val="0"/>
          <w:sz w:val="24"/>
          <w:highlight w:val="none"/>
        </w:rPr>
      </w:pPr>
      <w:r>
        <w:rPr>
          <w:rFonts w:hint="eastAsia" w:ascii="宋体" w:hAnsi="宋体" w:cs="宋体"/>
          <w:b/>
          <w:bCs/>
          <w:color w:val="auto"/>
          <w:kern w:val="0"/>
          <w:sz w:val="24"/>
          <w:highlight w:val="none"/>
        </w:rPr>
        <w:t xml:space="preserve">               </w:t>
      </w:r>
    </w:p>
    <w:p>
      <w:pPr>
        <w:pStyle w:val="4"/>
        <w:spacing w:line="480" w:lineRule="exact"/>
        <w:ind w:left="359"/>
        <w:jc w:val="center"/>
        <w:rPr>
          <w:rFonts w:ascii="宋体" w:hAnsi="宋体" w:eastAsia="宋体" w:cs="宋体"/>
          <w:color w:val="auto"/>
          <w:sz w:val="28"/>
          <w:szCs w:val="28"/>
          <w:highlight w:val="none"/>
        </w:rPr>
      </w:pPr>
      <w:r>
        <w:rPr>
          <w:rFonts w:hint="eastAsia" w:ascii="宋体" w:hAnsi="宋体" w:eastAsia="宋体" w:cs="宋体"/>
          <w:b w:val="0"/>
          <w:bCs/>
          <w:color w:val="auto"/>
          <w:sz w:val="24"/>
          <w:highlight w:val="none"/>
        </w:rPr>
        <w:br w:type="page"/>
      </w:r>
      <w:bookmarkStart w:id="185" w:name="_Toc23890"/>
      <w:bookmarkStart w:id="186" w:name="_Toc53602923"/>
      <w:bookmarkStart w:id="187" w:name="_Toc12969"/>
      <w:bookmarkStart w:id="188" w:name="_Toc23743"/>
      <w:r>
        <w:rPr>
          <w:rFonts w:hint="eastAsia" w:ascii="宋体" w:hAnsi="宋体" w:eastAsia="宋体" w:cs="宋体"/>
          <w:color w:val="auto"/>
          <w:sz w:val="28"/>
          <w:szCs w:val="28"/>
          <w:highlight w:val="none"/>
        </w:rPr>
        <w:t>三、商务文件</w:t>
      </w:r>
      <w:bookmarkEnd w:id="185"/>
      <w:bookmarkEnd w:id="186"/>
      <w:bookmarkEnd w:id="187"/>
      <w:bookmarkEnd w:id="188"/>
    </w:p>
    <w:p>
      <w:pPr>
        <w:spacing w:line="480" w:lineRule="exact"/>
        <w:rPr>
          <w:rFonts w:ascii="宋体" w:hAnsi="宋体" w:cs="宋体"/>
          <w:color w:val="auto"/>
          <w:sz w:val="24"/>
          <w:highlight w:val="none"/>
        </w:rPr>
      </w:pPr>
      <w:r>
        <w:rPr>
          <w:rFonts w:hint="eastAsia" w:ascii="宋体" w:hAnsi="宋体" w:cs="宋体"/>
          <w:color w:val="auto"/>
          <w:sz w:val="24"/>
          <w:highlight w:val="none"/>
        </w:rPr>
        <w:t>（一）开标一览表</w:t>
      </w:r>
    </w:p>
    <w:p>
      <w:pPr>
        <w:shd w:val="clear" w:color="auto" w:fill="FFFFFF"/>
        <w:spacing w:line="440" w:lineRule="exact"/>
        <w:jc w:val="center"/>
        <w:rPr>
          <w:rFonts w:ascii="宋体" w:hAnsi="宋体" w:cs="宋体"/>
          <w:b/>
          <w:color w:val="auto"/>
          <w:sz w:val="28"/>
          <w:szCs w:val="28"/>
          <w:highlight w:val="none"/>
        </w:rPr>
      </w:pPr>
      <w:r>
        <w:rPr>
          <w:rFonts w:hint="eastAsia" w:ascii="宋体" w:hAnsi="宋体" w:cs="宋体"/>
          <w:b/>
          <w:color w:val="auto"/>
          <w:sz w:val="28"/>
          <w:szCs w:val="28"/>
          <w:highlight w:val="none"/>
        </w:rPr>
        <w:t>开标一览表</w:t>
      </w:r>
    </w:p>
    <w:p>
      <w:pPr>
        <w:tabs>
          <w:tab w:val="center" w:pos="7115"/>
          <w:tab w:val="right" w:pos="14230"/>
        </w:tabs>
        <w:ind w:firstLine="723"/>
        <w:jc w:val="center"/>
        <w:rPr>
          <w:rFonts w:ascii="宋体" w:hAnsi="宋体" w:cs="宋体"/>
          <w:color w:val="auto"/>
          <w:sz w:val="24"/>
          <w:highlight w:val="none"/>
        </w:rPr>
      </w:pPr>
    </w:p>
    <w:p>
      <w:pPr>
        <w:tabs>
          <w:tab w:val="center" w:pos="7115"/>
          <w:tab w:val="right" w:pos="14230"/>
        </w:tabs>
        <w:spacing w:line="480" w:lineRule="exact"/>
        <w:rPr>
          <w:rFonts w:ascii="宋体" w:hAnsi="宋体" w:cs="宋体"/>
          <w:color w:val="auto"/>
          <w:sz w:val="24"/>
          <w:highlight w:val="none"/>
        </w:rPr>
      </w:pPr>
      <w:r>
        <w:rPr>
          <w:rFonts w:hint="eastAsia" w:ascii="宋体" w:hAnsi="宋体" w:cs="宋体"/>
          <w:color w:val="auto"/>
          <w:sz w:val="24"/>
          <w:highlight w:val="none"/>
        </w:rPr>
        <w:t xml:space="preserve">供应商名称：                                                      </w:t>
      </w:r>
    </w:p>
    <w:p>
      <w:pPr>
        <w:spacing w:line="480" w:lineRule="exact"/>
        <w:rPr>
          <w:rFonts w:ascii="宋体" w:hAnsi="宋体" w:cs="宋体"/>
          <w:color w:val="auto"/>
          <w:sz w:val="24"/>
          <w:highlight w:val="none"/>
        </w:rPr>
      </w:pPr>
      <w:r>
        <w:rPr>
          <w:rFonts w:hint="eastAsia" w:ascii="宋体" w:hAnsi="宋体" w:cs="宋体"/>
          <w:color w:val="auto"/>
          <w:sz w:val="24"/>
          <w:highlight w:val="none"/>
        </w:rPr>
        <w:t>项目名称：2023年中央耕地建设与利用资金（购置土壤监测设备）项目</w:t>
      </w:r>
    </w:p>
    <w:tbl>
      <w:tblPr>
        <w:tblStyle w:val="61"/>
        <w:tblpPr w:leftFromText="180" w:rightFromText="180" w:vertAnchor="page" w:horzAnchor="page" w:tblpX="1104" w:tblpY="4521"/>
        <w:tblOverlap w:val="never"/>
        <w:tblW w:w="9617" w:type="dxa"/>
        <w:tblInd w:w="0" w:type="dxa"/>
        <w:tblLayout w:type="fixed"/>
        <w:tblCellMar>
          <w:top w:w="0" w:type="dxa"/>
          <w:left w:w="0" w:type="dxa"/>
          <w:bottom w:w="0" w:type="dxa"/>
          <w:right w:w="0" w:type="dxa"/>
        </w:tblCellMar>
      </w:tblPr>
      <w:tblGrid>
        <w:gridCol w:w="1858"/>
        <w:gridCol w:w="3062"/>
        <w:gridCol w:w="3220"/>
        <w:gridCol w:w="1477"/>
      </w:tblGrid>
      <w:tr>
        <w:tblPrEx>
          <w:tblCellMar>
            <w:top w:w="0" w:type="dxa"/>
            <w:left w:w="0" w:type="dxa"/>
            <w:bottom w:w="0" w:type="dxa"/>
            <w:right w:w="0" w:type="dxa"/>
          </w:tblCellMar>
        </w:tblPrEx>
        <w:trPr>
          <w:trHeight w:val="763" w:hRule="atLeast"/>
        </w:trPr>
        <w:tc>
          <w:tcPr>
            <w:tcW w:w="1858" w:type="dxa"/>
            <w:tcBorders>
              <w:top w:val="single" w:color="auto" w:sz="4" w:space="0"/>
              <w:left w:val="single" w:color="auto" w:sz="4" w:space="0"/>
              <w:bottom w:val="single" w:color="auto" w:sz="8" w:space="0"/>
              <w:right w:val="single" w:color="auto" w:sz="4" w:space="0"/>
            </w:tcBorders>
            <w:vAlign w:val="center"/>
          </w:tcPr>
          <w:p>
            <w:pPr>
              <w:tabs>
                <w:tab w:val="left" w:pos="5580"/>
              </w:tabs>
              <w:spacing w:line="240" w:lineRule="atLeast"/>
              <w:ind w:right="-199"/>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标项名称</w:t>
            </w:r>
          </w:p>
        </w:tc>
        <w:tc>
          <w:tcPr>
            <w:tcW w:w="3062" w:type="dxa"/>
            <w:tcBorders>
              <w:top w:val="single" w:color="auto" w:sz="4" w:space="0"/>
              <w:left w:val="single" w:color="auto" w:sz="8" w:space="0"/>
              <w:bottom w:val="single" w:color="auto" w:sz="8" w:space="0"/>
              <w:right w:val="single" w:color="auto" w:sz="4" w:space="0"/>
            </w:tcBorders>
            <w:vAlign w:val="center"/>
          </w:tcPr>
          <w:p>
            <w:pPr>
              <w:tabs>
                <w:tab w:val="left" w:pos="5580"/>
              </w:tabs>
              <w:spacing w:line="240" w:lineRule="atLeas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投标总价</w:t>
            </w:r>
          </w:p>
        </w:tc>
        <w:tc>
          <w:tcPr>
            <w:tcW w:w="3220" w:type="dxa"/>
            <w:tcBorders>
              <w:top w:val="single" w:color="auto" w:sz="8" w:space="0"/>
              <w:left w:val="nil"/>
              <w:bottom w:val="single" w:color="auto" w:sz="8" w:space="0"/>
              <w:right w:val="single" w:color="auto" w:sz="4" w:space="0"/>
            </w:tcBorders>
            <w:vAlign w:val="center"/>
          </w:tcPr>
          <w:p>
            <w:pPr>
              <w:tabs>
                <w:tab w:val="left" w:pos="5580"/>
              </w:tabs>
              <w:spacing w:line="240" w:lineRule="atLeast"/>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交货期</w:t>
            </w:r>
          </w:p>
        </w:tc>
        <w:tc>
          <w:tcPr>
            <w:tcW w:w="1477" w:type="dxa"/>
            <w:tcBorders>
              <w:top w:val="single" w:color="auto" w:sz="8" w:space="0"/>
              <w:left w:val="single" w:color="auto" w:sz="4" w:space="0"/>
              <w:bottom w:val="single" w:color="auto" w:sz="8" w:space="0"/>
              <w:right w:val="single" w:color="auto" w:sz="8" w:space="0"/>
            </w:tcBorders>
            <w:vAlign w:val="center"/>
          </w:tcPr>
          <w:p>
            <w:pPr>
              <w:tabs>
                <w:tab w:val="left" w:pos="5580"/>
              </w:tabs>
              <w:spacing w:line="240" w:lineRule="atLeas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w:t>
            </w:r>
          </w:p>
        </w:tc>
      </w:tr>
      <w:tr>
        <w:tblPrEx>
          <w:tblCellMar>
            <w:top w:w="0" w:type="dxa"/>
            <w:left w:w="0" w:type="dxa"/>
            <w:bottom w:w="0" w:type="dxa"/>
            <w:right w:w="0" w:type="dxa"/>
          </w:tblCellMar>
        </w:tblPrEx>
        <w:trPr>
          <w:cantSplit/>
          <w:trHeight w:val="1870" w:hRule="atLeast"/>
        </w:trPr>
        <w:tc>
          <w:tcPr>
            <w:tcW w:w="1858" w:type="dxa"/>
            <w:tcBorders>
              <w:top w:val="single" w:color="auto" w:sz="8" w:space="0"/>
              <w:left w:val="single" w:color="auto" w:sz="4" w:space="0"/>
              <w:bottom w:val="single" w:color="auto" w:sz="4" w:space="0"/>
              <w:right w:val="single" w:color="auto" w:sz="4" w:space="0"/>
            </w:tcBorders>
            <w:vAlign w:val="center"/>
          </w:tcPr>
          <w:p>
            <w:pPr>
              <w:tabs>
                <w:tab w:val="left" w:pos="5580"/>
              </w:tabs>
              <w:spacing w:line="240" w:lineRule="atLeast"/>
              <w:ind w:left="1080" w:leftChars="257" w:hanging="540"/>
              <w:jc w:val="center"/>
              <w:rPr>
                <w:rFonts w:hint="eastAsia" w:ascii="宋体" w:hAnsi="宋体" w:eastAsia="宋体" w:cs="宋体"/>
                <w:color w:val="auto"/>
                <w:sz w:val="24"/>
                <w:szCs w:val="24"/>
                <w:highlight w:val="none"/>
              </w:rPr>
            </w:pPr>
          </w:p>
        </w:tc>
        <w:tc>
          <w:tcPr>
            <w:tcW w:w="3062" w:type="dxa"/>
            <w:tcBorders>
              <w:top w:val="single" w:color="auto" w:sz="8" w:space="0"/>
              <w:left w:val="single" w:color="auto" w:sz="8" w:space="0"/>
              <w:bottom w:val="single" w:color="auto" w:sz="4" w:space="0"/>
              <w:right w:val="single" w:color="auto" w:sz="4" w:space="0"/>
            </w:tcBorders>
            <w:vAlign w:val="center"/>
          </w:tcPr>
          <w:p>
            <w:pPr>
              <w:tabs>
                <w:tab w:val="left" w:pos="5580"/>
              </w:tabs>
              <w:spacing w:line="240" w:lineRule="atLeas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大写：</w:t>
            </w:r>
          </w:p>
          <w:p>
            <w:pPr>
              <w:tabs>
                <w:tab w:val="left" w:pos="5580"/>
              </w:tabs>
              <w:spacing w:line="240" w:lineRule="atLeas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小写：</w:t>
            </w:r>
          </w:p>
        </w:tc>
        <w:tc>
          <w:tcPr>
            <w:tcW w:w="3220" w:type="dxa"/>
            <w:tcBorders>
              <w:top w:val="single" w:color="auto" w:sz="8" w:space="0"/>
              <w:left w:val="nil"/>
              <w:bottom w:val="single" w:color="auto" w:sz="4" w:space="0"/>
              <w:right w:val="single" w:color="auto" w:sz="4" w:space="0"/>
            </w:tcBorders>
            <w:vAlign w:val="center"/>
          </w:tcPr>
          <w:p>
            <w:pPr>
              <w:tabs>
                <w:tab w:val="left" w:pos="5580"/>
              </w:tabs>
              <w:spacing w:line="240" w:lineRule="atLeast"/>
              <w:ind w:left="1080" w:leftChars="257" w:hanging="540"/>
              <w:jc w:val="center"/>
              <w:rPr>
                <w:rFonts w:hint="eastAsia" w:ascii="宋体" w:hAnsi="宋体" w:eastAsia="宋体" w:cs="宋体"/>
                <w:color w:val="auto"/>
                <w:sz w:val="24"/>
                <w:szCs w:val="24"/>
                <w:highlight w:val="none"/>
              </w:rPr>
            </w:pPr>
          </w:p>
        </w:tc>
        <w:tc>
          <w:tcPr>
            <w:tcW w:w="1477" w:type="dxa"/>
            <w:tcBorders>
              <w:top w:val="single" w:color="auto" w:sz="8" w:space="0"/>
              <w:left w:val="single" w:color="auto" w:sz="4" w:space="0"/>
              <w:bottom w:val="single" w:color="auto" w:sz="4" w:space="0"/>
              <w:right w:val="single" w:color="auto" w:sz="8" w:space="0"/>
            </w:tcBorders>
            <w:vAlign w:val="center"/>
          </w:tcPr>
          <w:p>
            <w:pPr>
              <w:tabs>
                <w:tab w:val="left" w:pos="5580"/>
              </w:tabs>
              <w:spacing w:line="240" w:lineRule="atLeast"/>
              <w:ind w:left="1080" w:leftChars="257" w:hanging="540"/>
              <w:jc w:val="center"/>
              <w:rPr>
                <w:rFonts w:hint="eastAsia" w:ascii="宋体" w:hAnsi="宋体" w:eastAsia="宋体" w:cs="宋体"/>
                <w:color w:val="auto"/>
                <w:sz w:val="24"/>
                <w:szCs w:val="24"/>
                <w:highlight w:val="none"/>
              </w:rPr>
            </w:pPr>
          </w:p>
        </w:tc>
      </w:tr>
    </w:tbl>
    <w:p>
      <w:pPr>
        <w:spacing w:line="480" w:lineRule="exact"/>
        <w:rPr>
          <w:rFonts w:ascii="宋体" w:hAnsi="宋体" w:cs="宋体"/>
          <w:color w:val="auto"/>
          <w:kern w:val="0"/>
          <w:sz w:val="24"/>
          <w:highlight w:val="none"/>
        </w:rPr>
      </w:pPr>
      <w:r>
        <w:rPr>
          <w:rFonts w:hint="eastAsia" w:ascii="宋体" w:hAnsi="宋体" w:cs="宋体"/>
          <w:color w:val="auto"/>
          <w:sz w:val="24"/>
          <w:highlight w:val="none"/>
        </w:rPr>
        <w:t>项目编号：XJDN-2023-0</w:t>
      </w:r>
      <w:r>
        <w:rPr>
          <w:rFonts w:hint="eastAsia" w:ascii="宋体" w:hAnsi="宋体" w:cs="宋体"/>
          <w:color w:val="auto"/>
          <w:sz w:val="24"/>
          <w:highlight w:val="none"/>
          <w:lang w:val="en-US" w:eastAsia="zh-CN"/>
        </w:rPr>
        <w:t>14</w:t>
      </w:r>
      <w:r>
        <w:rPr>
          <w:rFonts w:hint="eastAsia" w:ascii="宋体" w:hAnsi="宋体" w:cs="宋体"/>
          <w:color w:val="auto"/>
          <w:kern w:val="0"/>
          <w:sz w:val="24"/>
          <w:highlight w:val="none"/>
        </w:rPr>
        <w:t xml:space="preserve">                                           </w:t>
      </w:r>
      <w:r>
        <w:rPr>
          <w:rFonts w:hint="eastAsia" w:ascii="宋体" w:hAnsi="宋体" w:cs="宋体"/>
          <w:color w:val="auto"/>
          <w:sz w:val="24"/>
          <w:highlight w:val="none"/>
        </w:rPr>
        <w:t>单位：元</w:t>
      </w:r>
    </w:p>
    <w:p>
      <w:pPr>
        <w:spacing w:line="440" w:lineRule="exact"/>
        <w:ind w:left="826" w:hanging="826" w:hangingChars="343"/>
        <w:rPr>
          <w:rFonts w:ascii="宋体" w:hAnsi="宋体" w:eastAsia="宋体;SimSun"/>
          <w:b/>
          <w:color w:val="auto"/>
          <w:sz w:val="24"/>
          <w:highlight w:val="none"/>
        </w:rPr>
      </w:pPr>
      <w:r>
        <w:rPr>
          <w:rFonts w:hint="eastAsia" w:ascii="宋体" w:hAnsi="宋体"/>
          <w:b/>
          <w:color w:val="auto"/>
          <w:sz w:val="24"/>
          <w:highlight w:val="none"/>
        </w:rPr>
        <w:t>注：1、投标总报价为包括改造服务费、软硬件费、税费等与本项目相关的全部费用。</w:t>
      </w:r>
    </w:p>
    <w:p>
      <w:pPr>
        <w:spacing w:line="520" w:lineRule="exact"/>
        <w:ind w:firstLine="472" w:firstLineChars="196"/>
        <w:rPr>
          <w:rFonts w:ascii="宋体" w:hAnsi="宋体" w:cs="宋体;SimSun"/>
          <w:b/>
          <w:bCs/>
          <w:color w:val="auto"/>
          <w:sz w:val="24"/>
          <w:highlight w:val="none"/>
        </w:rPr>
      </w:pPr>
      <w:r>
        <w:rPr>
          <w:rFonts w:hint="eastAsia" w:ascii="宋体" w:hAnsi="宋体" w:cs="宋体;SimSun"/>
          <w:b/>
          <w:bCs/>
          <w:color w:val="auto"/>
          <w:sz w:val="24"/>
          <w:highlight w:val="none"/>
        </w:rPr>
        <w:t>2、在开标一览表中，不允许出现两种报价，否则其投标报价将被拒绝。</w:t>
      </w:r>
    </w:p>
    <w:p>
      <w:pPr>
        <w:spacing w:line="360" w:lineRule="auto"/>
        <w:jc w:val="left"/>
        <w:rPr>
          <w:rFonts w:ascii="宋体" w:hAnsi="宋体"/>
          <w:b/>
          <w:bCs/>
          <w:color w:val="auto"/>
          <w:sz w:val="24"/>
          <w:highlight w:val="none"/>
        </w:rPr>
      </w:pPr>
    </w:p>
    <w:p>
      <w:pPr>
        <w:shd w:val="clear" w:color="auto" w:fill="FFFFFF"/>
        <w:spacing w:line="500" w:lineRule="exact"/>
        <w:rPr>
          <w:rFonts w:hint="eastAsia" w:ascii="宋体" w:hAnsi="宋体" w:cs="宋体"/>
          <w:color w:val="auto"/>
          <w:sz w:val="24"/>
          <w:highlight w:val="none"/>
        </w:rPr>
      </w:pPr>
      <w:r>
        <w:rPr>
          <w:rFonts w:hint="eastAsia" w:ascii="宋体" w:hAnsi="宋体" w:cs="宋体"/>
          <w:color w:val="auto"/>
          <w:sz w:val="24"/>
          <w:highlight w:val="none"/>
        </w:rPr>
        <w:t xml:space="preserve">法定代表人（企业负责人）或授权代理人（签字或签章）：                          </w:t>
      </w:r>
    </w:p>
    <w:p>
      <w:pPr>
        <w:shd w:val="clear" w:color="auto" w:fill="FFFFFF"/>
        <w:spacing w:line="500" w:lineRule="exact"/>
        <w:rPr>
          <w:rFonts w:hint="eastAsia" w:ascii="宋体" w:hAnsi="宋体" w:cs="宋体"/>
          <w:color w:val="auto"/>
          <w:sz w:val="24"/>
          <w:highlight w:val="none"/>
        </w:rPr>
      </w:pPr>
    </w:p>
    <w:p>
      <w:pPr>
        <w:shd w:val="clear" w:color="auto" w:fill="FFFFFF"/>
        <w:spacing w:line="500" w:lineRule="exact"/>
        <w:rPr>
          <w:rFonts w:ascii="宋体" w:hAnsi="宋体" w:cs="宋体"/>
          <w:color w:val="auto"/>
          <w:sz w:val="24"/>
          <w:highlight w:val="none"/>
        </w:rPr>
      </w:pPr>
      <w:r>
        <w:rPr>
          <w:rFonts w:hint="eastAsia" w:ascii="宋体" w:hAnsi="宋体" w:cs="宋体"/>
          <w:color w:val="auto"/>
          <w:sz w:val="24"/>
          <w:highlight w:val="none"/>
        </w:rPr>
        <w:t>供应商（电子公章）：</w:t>
      </w:r>
    </w:p>
    <w:p>
      <w:pPr>
        <w:shd w:val="clear" w:color="auto" w:fill="FFFFFF"/>
        <w:spacing w:line="500" w:lineRule="exact"/>
        <w:rPr>
          <w:rFonts w:ascii="宋体" w:hAnsi="宋体" w:cs="宋体"/>
          <w:color w:val="auto"/>
          <w:sz w:val="24"/>
          <w:highlight w:val="none"/>
        </w:rPr>
      </w:pPr>
      <w:r>
        <w:rPr>
          <w:rFonts w:hint="eastAsia" w:ascii="宋体" w:hAnsi="宋体" w:cs="宋体"/>
          <w:color w:val="auto"/>
          <w:sz w:val="24"/>
          <w:highlight w:val="none"/>
        </w:rPr>
        <w:t xml:space="preserve">   </w:t>
      </w:r>
    </w:p>
    <w:p>
      <w:pPr>
        <w:spacing w:line="520" w:lineRule="exact"/>
        <w:rPr>
          <w:rFonts w:ascii="宋体" w:hAnsi="宋体" w:cs="宋体;SimSun"/>
          <w:color w:val="auto"/>
          <w:sz w:val="24"/>
          <w:highlight w:val="none"/>
        </w:rPr>
      </w:pPr>
      <w:r>
        <w:rPr>
          <w:rFonts w:hint="eastAsia" w:ascii="宋体" w:hAnsi="宋体" w:cs="宋体;SimSun"/>
          <w:color w:val="auto"/>
          <w:sz w:val="24"/>
          <w:highlight w:val="none"/>
        </w:rPr>
        <w:t xml:space="preserve"> </w:t>
      </w:r>
    </w:p>
    <w:p>
      <w:pPr>
        <w:pStyle w:val="36"/>
        <w:ind w:right="-553" w:firstLine="6220" w:firstLineChars="2592"/>
        <w:rPr>
          <w:rFonts w:hAnsi="宋体"/>
          <w:color w:val="auto"/>
          <w:sz w:val="24"/>
          <w:szCs w:val="24"/>
          <w:highlight w:val="none"/>
        </w:rPr>
      </w:pPr>
    </w:p>
    <w:p>
      <w:pPr>
        <w:pStyle w:val="36"/>
        <w:ind w:right="-553" w:firstLine="6220" w:firstLineChars="2592"/>
        <w:rPr>
          <w:rFonts w:hAnsi="宋体"/>
          <w:color w:val="auto"/>
          <w:sz w:val="24"/>
          <w:szCs w:val="24"/>
          <w:highlight w:val="none"/>
        </w:rPr>
      </w:pPr>
      <w:r>
        <w:rPr>
          <w:rFonts w:hint="eastAsia" w:hAnsi="宋体"/>
          <w:color w:val="auto"/>
          <w:sz w:val="24"/>
          <w:szCs w:val="24"/>
          <w:highlight w:val="none"/>
        </w:rPr>
        <w:t>年</w:t>
      </w:r>
      <w:r>
        <w:rPr>
          <w:rFonts w:hAnsi="宋体"/>
          <w:color w:val="auto"/>
          <w:sz w:val="24"/>
          <w:szCs w:val="24"/>
          <w:highlight w:val="none"/>
        </w:rPr>
        <w:t xml:space="preserve">   </w:t>
      </w:r>
      <w:r>
        <w:rPr>
          <w:rFonts w:hint="eastAsia" w:hAnsi="宋体"/>
          <w:color w:val="auto"/>
          <w:sz w:val="24"/>
          <w:szCs w:val="24"/>
          <w:highlight w:val="none"/>
        </w:rPr>
        <w:t>月</w:t>
      </w:r>
      <w:r>
        <w:rPr>
          <w:rFonts w:hAnsi="宋体"/>
          <w:color w:val="auto"/>
          <w:sz w:val="24"/>
          <w:szCs w:val="24"/>
          <w:highlight w:val="none"/>
        </w:rPr>
        <w:t xml:space="preserve">   </w:t>
      </w:r>
      <w:r>
        <w:rPr>
          <w:rFonts w:hint="eastAsia" w:hAnsi="宋体"/>
          <w:color w:val="auto"/>
          <w:sz w:val="24"/>
          <w:szCs w:val="24"/>
          <w:highlight w:val="none"/>
        </w:rPr>
        <w:t>日</w:t>
      </w:r>
    </w:p>
    <w:p>
      <w:pPr>
        <w:pStyle w:val="558"/>
        <w:ind w:firstLine="0" w:firstLineChars="0"/>
        <w:jc w:val="left"/>
        <w:rPr>
          <w:rFonts w:ascii="宋体" w:hAnsi="宋体" w:cs="宋体"/>
          <w:color w:val="auto"/>
          <w:szCs w:val="24"/>
          <w:highlight w:val="none"/>
        </w:rPr>
      </w:pPr>
      <w:r>
        <w:rPr>
          <w:rFonts w:hint="eastAsia" w:ascii="宋体" w:hAnsi="宋体" w:cs="宋体"/>
          <w:color w:val="auto"/>
          <w:szCs w:val="24"/>
          <w:highlight w:val="none"/>
        </w:rPr>
        <w:br w:type="page"/>
      </w:r>
      <w:r>
        <w:rPr>
          <w:rFonts w:hint="eastAsia" w:ascii="宋体" w:hAnsi="宋体" w:cs="宋体"/>
          <w:color w:val="auto"/>
          <w:szCs w:val="24"/>
          <w:highlight w:val="none"/>
        </w:rPr>
        <w:t>(二) 报价明细表</w:t>
      </w:r>
    </w:p>
    <w:p>
      <w:pPr>
        <w:pStyle w:val="558"/>
        <w:ind w:firstLine="0" w:firstLineChars="0"/>
        <w:jc w:val="center"/>
        <w:rPr>
          <w:rFonts w:ascii="宋体" w:hAnsi="宋体" w:cs="宋体"/>
          <w:b/>
          <w:color w:val="auto"/>
          <w:sz w:val="28"/>
          <w:szCs w:val="28"/>
          <w:highlight w:val="none"/>
        </w:rPr>
      </w:pPr>
      <w:r>
        <w:rPr>
          <w:rFonts w:hint="eastAsia" w:ascii="宋体" w:hAnsi="宋体" w:cs="宋体"/>
          <w:b/>
          <w:color w:val="auto"/>
          <w:sz w:val="28"/>
          <w:szCs w:val="28"/>
          <w:highlight w:val="none"/>
        </w:rPr>
        <w:t>报价明细表</w:t>
      </w:r>
    </w:p>
    <w:p>
      <w:pPr>
        <w:spacing w:line="480" w:lineRule="exact"/>
        <w:jc w:val="left"/>
        <w:rPr>
          <w:rFonts w:ascii="宋体" w:hAnsi="宋体" w:cs="宋体"/>
          <w:color w:val="auto"/>
          <w:sz w:val="24"/>
          <w:highlight w:val="none"/>
        </w:rPr>
      </w:pPr>
      <w:r>
        <w:rPr>
          <w:rFonts w:hint="eastAsia" w:ascii="宋体" w:hAnsi="宋体" w:cs="宋体"/>
          <w:color w:val="auto"/>
          <w:sz w:val="24"/>
          <w:highlight w:val="none"/>
        </w:rPr>
        <w:t>项目名称：2023年中央耕地建设与利用资金（购置土壤监测设备）项目</w:t>
      </w:r>
    </w:p>
    <w:p>
      <w:pPr>
        <w:pStyle w:val="558"/>
        <w:ind w:firstLine="0" w:firstLineChars="0"/>
        <w:jc w:val="left"/>
        <w:rPr>
          <w:rFonts w:hint="eastAsia" w:ascii="宋体" w:hAnsi="宋体" w:cs="宋体"/>
          <w:color w:val="auto"/>
          <w:kern w:val="0"/>
          <w:highlight w:val="none"/>
        </w:rPr>
      </w:pPr>
      <w:r>
        <w:rPr>
          <w:rFonts w:hint="eastAsia" w:ascii="宋体" w:hAnsi="宋体" w:cs="宋体"/>
          <w:color w:val="auto"/>
          <w:highlight w:val="none"/>
        </w:rPr>
        <w:t>项目编号：XJDN-2023-0</w:t>
      </w:r>
      <w:r>
        <w:rPr>
          <w:rFonts w:hint="eastAsia" w:ascii="宋体" w:hAnsi="宋体" w:cs="宋体"/>
          <w:color w:val="auto"/>
          <w:highlight w:val="none"/>
          <w:lang w:val="en-US" w:eastAsia="zh-CN"/>
        </w:rPr>
        <w:t>14</w:t>
      </w:r>
      <w:r>
        <w:rPr>
          <w:rFonts w:hint="eastAsia" w:ascii="宋体" w:hAnsi="宋体" w:cs="宋体"/>
          <w:color w:val="auto"/>
          <w:kern w:val="0"/>
          <w:highlight w:val="none"/>
        </w:rPr>
        <w:t xml:space="preserve"> </w:t>
      </w:r>
    </w:p>
    <w:p>
      <w:pPr>
        <w:pStyle w:val="558"/>
        <w:ind w:firstLine="0" w:firstLineChars="0"/>
        <w:jc w:val="left"/>
        <w:rPr>
          <w:rFonts w:hint="eastAsia" w:ascii="宋体" w:hAnsi="宋体" w:eastAsia="宋体" w:cs="宋体"/>
          <w:color w:val="auto"/>
          <w:kern w:val="0"/>
          <w:highlight w:val="none"/>
          <w:lang w:eastAsia="zh-CN"/>
        </w:rPr>
      </w:pPr>
      <w:r>
        <w:rPr>
          <w:rFonts w:hint="eastAsia" w:ascii="宋体" w:hAnsi="宋体" w:cs="宋体"/>
          <w:color w:val="auto"/>
          <w:kern w:val="0"/>
          <w:highlight w:val="none"/>
          <w:lang w:eastAsia="zh-CN"/>
        </w:rPr>
        <w:t>标项：</w:t>
      </w:r>
    </w:p>
    <w:tbl>
      <w:tblPr>
        <w:tblStyle w:val="742"/>
        <w:tblW w:w="9386"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0"/>
        <w:gridCol w:w="972"/>
        <w:gridCol w:w="1755"/>
        <w:gridCol w:w="886"/>
        <w:gridCol w:w="886"/>
        <w:gridCol w:w="928"/>
        <w:gridCol w:w="1051"/>
        <w:gridCol w:w="1069"/>
        <w:gridCol w:w="106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3" w:hRule="atLeast"/>
          <w:jc w:val="center"/>
        </w:trPr>
        <w:tc>
          <w:tcPr>
            <w:tcW w:w="770" w:type="dxa"/>
            <w:noWrap w:val="0"/>
            <w:vAlign w:val="center"/>
          </w:tcPr>
          <w:p>
            <w:pPr>
              <w:shd w:val="clear" w:color="auto" w:fill="FFFFFF"/>
              <w:spacing w:line="500" w:lineRule="exact"/>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序号</w:t>
            </w:r>
          </w:p>
        </w:tc>
        <w:tc>
          <w:tcPr>
            <w:tcW w:w="972" w:type="dxa"/>
            <w:noWrap w:val="0"/>
            <w:vAlign w:val="center"/>
          </w:tcPr>
          <w:p>
            <w:pPr>
              <w:shd w:val="clear" w:color="auto" w:fill="FFFFFF"/>
              <w:spacing w:line="500" w:lineRule="exact"/>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品类</w:t>
            </w:r>
          </w:p>
        </w:tc>
        <w:tc>
          <w:tcPr>
            <w:tcW w:w="1755" w:type="dxa"/>
            <w:noWrap w:val="0"/>
            <w:vAlign w:val="center"/>
          </w:tcPr>
          <w:p>
            <w:pPr>
              <w:shd w:val="clear" w:color="auto" w:fill="FFFFFF"/>
              <w:spacing w:line="500" w:lineRule="exact"/>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品牌、规格要求</w:t>
            </w:r>
          </w:p>
        </w:tc>
        <w:tc>
          <w:tcPr>
            <w:tcW w:w="886" w:type="dxa"/>
            <w:noWrap w:val="0"/>
            <w:vAlign w:val="center"/>
          </w:tcPr>
          <w:p>
            <w:pPr>
              <w:shd w:val="clear" w:color="auto" w:fill="FFFFFF"/>
              <w:spacing w:line="500" w:lineRule="exact"/>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数量</w:t>
            </w:r>
          </w:p>
        </w:tc>
        <w:tc>
          <w:tcPr>
            <w:tcW w:w="886" w:type="dxa"/>
            <w:noWrap w:val="0"/>
            <w:vAlign w:val="center"/>
          </w:tcPr>
          <w:p>
            <w:pPr>
              <w:shd w:val="clear" w:color="auto" w:fill="FFFFFF"/>
              <w:spacing w:line="500" w:lineRule="exact"/>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单位</w:t>
            </w:r>
          </w:p>
        </w:tc>
        <w:tc>
          <w:tcPr>
            <w:tcW w:w="928" w:type="dxa"/>
            <w:noWrap w:val="0"/>
            <w:vAlign w:val="center"/>
          </w:tcPr>
          <w:p>
            <w:pPr>
              <w:shd w:val="clear" w:color="auto" w:fill="FFFFFF"/>
              <w:spacing w:line="500" w:lineRule="exact"/>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单价（元）</w:t>
            </w:r>
          </w:p>
        </w:tc>
        <w:tc>
          <w:tcPr>
            <w:tcW w:w="1051" w:type="dxa"/>
            <w:noWrap w:val="0"/>
            <w:vAlign w:val="center"/>
          </w:tcPr>
          <w:p>
            <w:pPr>
              <w:shd w:val="clear" w:color="auto" w:fill="FFFFFF"/>
              <w:spacing w:line="500" w:lineRule="exact"/>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总价（元）</w:t>
            </w:r>
          </w:p>
        </w:tc>
        <w:tc>
          <w:tcPr>
            <w:tcW w:w="1069" w:type="dxa"/>
            <w:noWrap w:val="0"/>
            <w:vAlign w:val="center"/>
          </w:tcPr>
          <w:p>
            <w:pPr>
              <w:shd w:val="clear" w:color="auto" w:fill="FFFFFF"/>
              <w:spacing w:line="500" w:lineRule="exact"/>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生产厂家</w:t>
            </w:r>
          </w:p>
        </w:tc>
        <w:tc>
          <w:tcPr>
            <w:tcW w:w="1069" w:type="dxa"/>
            <w:noWrap w:val="0"/>
            <w:vAlign w:val="center"/>
          </w:tcPr>
          <w:p>
            <w:pPr>
              <w:shd w:val="clear" w:color="auto" w:fill="FFFFFF"/>
              <w:spacing w:line="500" w:lineRule="exact"/>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jc w:val="center"/>
        </w:trPr>
        <w:tc>
          <w:tcPr>
            <w:tcW w:w="770" w:type="dxa"/>
            <w:noWrap w:val="0"/>
            <w:vAlign w:val="top"/>
          </w:tcPr>
          <w:p>
            <w:pPr>
              <w:shd w:val="clear" w:color="auto" w:fill="FFFFFF"/>
              <w:spacing w:line="500" w:lineRule="exact"/>
              <w:rPr>
                <w:rFonts w:hint="eastAsia" w:ascii="宋体" w:hAnsi="宋体" w:cs="宋体"/>
                <w:color w:val="auto"/>
                <w:sz w:val="24"/>
                <w:highlight w:val="none"/>
                <w:lang w:val="en-US" w:eastAsia="zh-CN"/>
              </w:rPr>
            </w:pPr>
          </w:p>
        </w:tc>
        <w:tc>
          <w:tcPr>
            <w:tcW w:w="972" w:type="dxa"/>
            <w:noWrap w:val="0"/>
            <w:vAlign w:val="top"/>
          </w:tcPr>
          <w:p>
            <w:pPr>
              <w:shd w:val="clear" w:color="auto" w:fill="FFFFFF"/>
              <w:spacing w:line="500" w:lineRule="exact"/>
              <w:rPr>
                <w:rFonts w:hint="eastAsia" w:ascii="宋体" w:hAnsi="宋体" w:cs="宋体"/>
                <w:color w:val="auto"/>
                <w:sz w:val="24"/>
                <w:highlight w:val="none"/>
                <w:lang w:val="en-US" w:eastAsia="zh-CN"/>
              </w:rPr>
            </w:pPr>
          </w:p>
        </w:tc>
        <w:tc>
          <w:tcPr>
            <w:tcW w:w="1755" w:type="dxa"/>
            <w:noWrap w:val="0"/>
            <w:vAlign w:val="top"/>
          </w:tcPr>
          <w:p>
            <w:pPr>
              <w:shd w:val="clear" w:color="auto" w:fill="FFFFFF"/>
              <w:spacing w:line="500" w:lineRule="exact"/>
              <w:rPr>
                <w:rFonts w:hint="eastAsia" w:ascii="宋体" w:hAnsi="宋体" w:cs="宋体"/>
                <w:color w:val="auto"/>
                <w:sz w:val="24"/>
                <w:highlight w:val="none"/>
                <w:lang w:val="en-US" w:eastAsia="zh-CN"/>
              </w:rPr>
            </w:pPr>
          </w:p>
        </w:tc>
        <w:tc>
          <w:tcPr>
            <w:tcW w:w="886" w:type="dxa"/>
            <w:noWrap w:val="0"/>
            <w:vAlign w:val="top"/>
          </w:tcPr>
          <w:p>
            <w:pPr>
              <w:shd w:val="clear" w:color="auto" w:fill="FFFFFF"/>
              <w:spacing w:line="500" w:lineRule="exact"/>
              <w:rPr>
                <w:rFonts w:hint="eastAsia" w:ascii="宋体" w:hAnsi="宋体" w:cs="宋体"/>
                <w:color w:val="auto"/>
                <w:sz w:val="24"/>
                <w:highlight w:val="none"/>
                <w:lang w:val="en-US" w:eastAsia="zh-CN"/>
              </w:rPr>
            </w:pPr>
          </w:p>
        </w:tc>
        <w:tc>
          <w:tcPr>
            <w:tcW w:w="886" w:type="dxa"/>
            <w:noWrap w:val="0"/>
            <w:vAlign w:val="top"/>
          </w:tcPr>
          <w:p>
            <w:pPr>
              <w:shd w:val="clear" w:color="auto" w:fill="FFFFFF"/>
              <w:spacing w:line="500" w:lineRule="exact"/>
              <w:rPr>
                <w:rFonts w:hint="eastAsia" w:ascii="宋体" w:hAnsi="宋体" w:cs="宋体"/>
                <w:color w:val="auto"/>
                <w:sz w:val="24"/>
                <w:highlight w:val="none"/>
                <w:lang w:val="en-US" w:eastAsia="zh-CN"/>
              </w:rPr>
            </w:pPr>
          </w:p>
        </w:tc>
        <w:tc>
          <w:tcPr>
            <w:tcW w:w="928" w:type="dxa"/>
            <w:noWrap w:val="0"/>
            <w:vAlign w:val="top"/>
          </w:tcPr>
          <w:p>
            <w:pPr>
              <w:shd w:val="clear" w:color="auto" w:fill="FFFFFF"/>
              <w:spacing w:line="500" w:lineRule="exact"/>
              <w:rPr>
                <w:rFonts w:hint="eastAsia" w:ascii="宋体" w:hAnsi="宋体" w:cs="宋体"/>
                <w:color w:val="auto"/>
                <w:sz w:val="24"/>
                <w:highlight w:val="none"/>
                <w:lang w:val="en-US" w:eastAsia="zh-CN"/>
              </w:rPr>
            </w:pPr>
          </w:p>
        </w:tc>
        <w:tc>
          <w:tcPr>
            <w:tcW w:w="1051" w:type="dxa"/>
            <w:noWrap w:val="0"/>
            <w:vAlign w:val="top"/>
          </w:tcPr>
          <w:p>
            <w:pPr>
              <w:shd w:val="clear" w:color="auto" w:fill="FFFFFF"/>
              <w:spacing w:line="500" w:lineRule="exact"/>
              <w:rPr>
                <w:rFonts w:hint="eastAsia" w:ascii="宋体" w:hAnsi="宋体" w:cs="宋体"/>
                <w:color w:val="auto"/>
                <w:sz w:val="24"/>
                <w:highlight w:val="none"/>
                <w:lang w:val="en-US" w:eastAsia="zh-CN"/>
              </w:rPr>
            </w:pPr>
          </w:p>
        </w:tc>
        <w:tc>
          <w:tcPr>
            <w:tcW w:w="1069" w:type="dxa"/>
            <w:noWrap w:val="0"/>
            <w:vAlign w:val="top"/>
          </w:tcPr>
          <w:p>
            <w:pPr>
              <w:shd w:val="clear" w:color="auto" w:fill="FFFFFF"/>
              <w:spacing w:line="500" w:lineRule="exact"/>
              <w:rPr>
                <w:rFonts w:hint="eastAsia" w:ascii="宋体" w:hAnsi="宋体" w:cs="宋体"/>
                <w:color w:val="auto"/>
                <w:sz w:val="24"/>
                <w:highlight w:val="none"/>
                <w:lang w:val="en-US" w:eastAsia="zh-CN"/>
              </w:rPr>
            </w:pPr>
          </w:p>
        </w:tc>
        <w:tc>
          <w:tcPr>
            <w:tcW w:w="1069" w:type="dxa"/>
            <w:noWrap w:val="0"/>
            <w:vAlign w:val="top"/>
          </w:tcPr>
          <w:p>
            <w:pPr>
              <w:shd w:val="clear" w:color="auto" w:fill="FFFFFF"/>
              <w:spacing w:line="500" w:lineRule="exact"/>
              <w:rPr>
                <w:rFonts w:hint="eastAsia" w:ascii="宋体" w:hAnsi="宋体" w:cs="宋体"/>
                <w:color w:val="auto"/>
                <w:sz w:val="24"/>
                <w:highlight w:val="none"/>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jc w:val="center"/>
        </w:trPr>
        <w:tc>
          <w:tcPr>
            <w:tcW w:w="770" w:type="dxa"/>
            <w:noWrap w:val="0"/>
            <w:vAlign w:val="top"/>
          </w:tcPr>
          <w:p>
            <w:pPr>
              <w:shd w:val="clear" w:color="auto" w:fill="FFFFFF"/>
              <w:spacing w:line="500" w:lineRule="exact"/>
              <w:rPr>
                <w:rFonts w:hint="eastAsia" w:ascii="宋体" w:hAnsi="宋体" w:cs="宋体"/>
                <w:color w:val="auto"/>
                <w:sz w:val="24"/>
                <w:highlight w:val="none"/>
                <w:lang w:val="en-US" w:eastAsia="zh-CN"/>
              </w:rPr>
            </w:pPr>
          </w:p>
        </w:tc>
        <w:tc>
          <w:tcPr>
            <w:tcW w:w="972" w:type="dxa"/>
            <w:noWrap w:val="0"/>
            <w:vAlign w:val="top"/>
          </w:tcPr>
          <w:p>
            <w:pPr>
              <w:shd w:val="clear" w:color="auto" w:fill="FFFFFF"/>
              <w:spacing w:line="500" w:lineRule="exact"/>
              <w:rPr>
                <w:rFonts w:hint="eastAsia" w:ascii="宋体" w:hAnsi="宋体" w:cs="宋体"/>
                <w:color w:val="auto"/>
                <w:sz w:val="24"/>
                <w:highlight w:val="none"/>
                <w:lang w:val="en-US" w:eastAsia="zh-CN"/>
              </w:rPr>
            </w:pPr>
          </w:p>
        </w:tc>
        <w:tc>
          <w:tcPr>
            <w:tcW w:w="1755" w:type="dxa"/>
            <w:noWrap w:val="0"/>
            <w:vAlign w:val="top"/>
          </w:tcPr>
          <w:p>
            <w:pPr>
              <w:shd w:val="clear" w:color="auto" w:fill="FFFFFF"/>
              <w:spacing w:line="500" w:lineRule="exact"/>
              <w:rPr>
                <w:rFonts w:hint="eastAsia" w:ascii="宋体" w:hAnsi="宋体" w:cs="宋体"/>
                <w:color w:val="auto"/>
                <w:sz w:val="24"/>
                <w:highlight w:val="none"/>
                <w:lang w:val="en-US" w:eastAsia="zh-CN"/>
              </w:rPr>
            </w:pPr>
          </w:p>
        </w:tc>
        <w:tc>
          <w:tcPr>
            <w:tcW w:w="886" w:type="dxa"/>
            <w:noWrap w:val="0"/>
            <w:vAlign w:val="top"/>
          </w:tcPr>
          <w:p>
            <w:pPr>
              <w:shd w:val="clear" w:color="auto" w:fill="FFFFFF"/>
              <w:spacing w:line="500" w:lineRule="exact"/>
              <w:rPr>
                <w:rFonts w:hint="eastAsia" w:ascii="宋体" w:hAnsi="宋体" w:cs="宋体"/>
                <w:color w:val="auto"/>
                <w:sz w:val="24"/>
                <w:highlight w:val="none"/>
                <w:lang w:val="en-US" w:eastAsia="zh-CN"/>
              </w:rPr>
            </w:pPr>
          </w:p>
        </w:tc>
        <w:tc>
          <w:tcPr>
            <w:tcW w:w="886" w:type="dxa"/>
            <w:noWrap w:val="0"/>
            <w:vAlign w:val="top"/>
          </w:tcPr>
          <w:p>
            <w:pPr>
              <w:shd w:val="clear" w:color="auto" w:fill="FFFFFF"/>
              <w:spacing w:line="500" w:lineRule="exact"/>
              <w:rPr>
                <w:rFonts w:hint="eastAsia" w:ascii="宋体" w:hAnsi="宋体" w:cs="宋体"/>
                <w:color w:val="auto"/>
                <w:sz w:val="24"/>
                <w:highlight w:val="none"/>
                <w:lang w:val="en-US" w:eastAsia="zh-CN"/>
              </w:rPr>
            </w:pPr>
          </w:p>
        </w:tc>
        <w:tc>
          <w:tcPr>
            <w:tcW w:w="928" w:type="dxa"/>
            <w:noWrap w:val="0"/>
            <w:vAlign w:val="top"/>
          </w:tcPr>
          <w:p>
            <w:pPr>
              <w:shd w:val="clear" w:color="auto" w:fill="FFFFFF"/>
              <w:spacing w:line="500" w:lineRule="exact"/>
              <w:rPr>
                <w:rFonts w:hint="eastAsia" w:ascii="宋体" w:hAnsi="宋体" w:cs="宋体"/>
                <w:color w:val="auto"/>
                <w:sz w:val="24"/>
                <w:highlight w:val="none"/>
                <w:lang w:val="en-US" w:eastAsia="zh-CN"/>
              </w:rPr>
            </w:pPr>
          </w:p>
        </w:tc>
        <w:tc>
          <w:tcPr>
            <w:tcW w:w="1051" w:type="dxa"/>
            <w:noWrap w:val="0"/>
            <w:vAlign w:val="top"/>
          </w:tcPr>
          <w:p>
            <w:pPr>
              <w:shd w:val="clear" w:color="auto" w:fill="FFFFFF"/>
              <w:spacing w:line="500" w:lineRule="exact"/>
              <w:rPr>
                <w:rFonts w:hint="eastAsia" w:ascii="宋体" w:hAnsi="宋体" w:cs="宋体"/>
                <w:color w:val="auto"/>
                <w:sz w:val="24"/>
                <w:highlight w:val="none"/>
                <w:lang w:val="en-US" w:eastAsia="zh-CN"/>
              </w:rPr>
            </w:pPr>
          </w:p>
        </w:tc>
        <w:tc>
          <w:tcPr>
            <w:tcW w:w="1069" w:type="dxa"/>
            <w:noWrap w:val="0"/>
            <w:vAlign w:val="top"/>
          </w:tcPr>
          <w:p>
            <w:pPr>
              <w:shd w:val="clear" w:color="auto" w:fill="FFFFFF"/>
              <w:spacing w:line="500" w:lineRule="exact"/>
              <w:rPr>
                <w:rFonts w:hint="eastAsia" w:ascii="宋体" w:hAnsi="宋体" w:cs="宋体"/>
                <w:color w:val="auto"/>
                <w:sz w:val="24"/>
                <w:highlight w:val="none"/>
                <w:lang w:val="en-US" w:eastAsia="zh-CN"/>
              </w:rPr>
            </w:pPr>
          </w:p>
        </w:tc>
        <w:tc>
          <w:tcPr>
            <w:tcW w:w="1069" w:type="dxa"/>
            <w:noWrap w:val="0"/>
            <w:vAlign w:val="top"/>
          </w:tcPr>
          <w:p>
            <w:pPr>
              <w:shd w:val="clear" w:color="auto" w:fill="FFFFFF"/>
              <w:spacing w:line="500" w:lineRule="exact"/>
              <w:rPr>
                <w:rFonts w:hint="eastAsia" w:ascii="宋体" w:hAnsi="宋体" w:cs="宋体"/>
                <w:color w:val="auto"/>
                <w:sz w:val="24"/>
                <w:highlight w:val="none"/>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3" w:hRule="atLeast"/>
          <w:jc w:val="center"/>
        </w:trPr>
        <w:tc>
          <w:tcPr>
            <w:tcW w:w="770" w:type="dxa"/>
            <w:noWrap w:val="0"/>
            <w:vAlign w:val="top"/>
          </w:tcPr>
          <w:p>
            <w:pPr>
              <w:shd w:val="clear" w:color="auto" w:fill="FFFFFF"/>
              <w:spacing w:line="500" w:lineRule="exact"/>
              <w:rPr>
                <w:rFonts w:hint="eastAsia" w:ascii="宋体" w:hAnsi="宋体" w:cs="宋体"/>
                <w:color w:val="auto"/>
                <w:sz w:val="24"/>
                <w:highlight w:val="none"/>
                <w:lang w:val="en-US" w:eastAsia="zh-CN"/>
              </w:rPr>
            </w:pPr>
          </w:p>
        </w:tc>
        <w:tc>
          <w:tcPr>
            <w:tcW w:w="972" w:type="dxa"/>
            <w:noWrap w:val="0"/>
            <w:vAlign w:val="top"/>
          </w:tcPr>
          <w:p>
            <w:pPr>
              <w:shd w:val="clear" w:color="auto" w:fill="FFFFFF"/>
              <w:spacing w:line="500" w:lineRule="exact"/>
              <w:rPr>
                <w:rFonts w:hint="eastAsia" w:ascii="宋体" w:hAnsi="宋体" w:cs="宋体"/>
                <w:color w:val="auto"/>
                <w:sz w:val="24"/>
                <w:highlight w:val="none"/>
                <w:lang w:val="en-US" w:eastAsia="zh-CN"/>
              </w:rPr>
            </w:pPr>
          </w:p>
        </w:tc>
        <w:tc>
          <w:tcPr>
            <w:tcW w:w="1755" w:type="dxa"/>
            <w:noWrap w:val="0"/>
            <w:vAlign w:val="top"/>
          </w:tcPr>
          <w:p>
            <w:pPr>
              <w:shd w:val="clear" w:color="auto" w:fill="FFFFFF"/>
              <w:spacing w:line="500" w:lineRule="exact"/>
              <w:rPr>
                <w:rFonts w:hint="eastAsia" w:ascii="宋体" w:hAnsi="宋体" w:cs="宋体"/>
                <w:color w:val="auto"/>
                <w:sz w:val="24"/>
                <w:highlight w:val="none"/>
                <w:lang w:val="en-US" w:eastAsia="zh-CN"/>
              </w:rPr>
            </w:pPr>
          </w:p>
        </w:tc>
        <w:tc>
          <w:tcPr>
            <w:tcW w:w="886" w:type="dxa"/>
            <w:noWrap w:val="0"/>
            <w:vAlign w:val="top"/>
          </w:tcPr>
          <w:p>
            <w:pPr>
              <w:shd w:val="clear" w:color="auto" w:fill="FFFFFF"/>
              <w:spacing w:line="500" w:lineRule="exact"/>
              <w:rPr>
                <w:rFonts w:hint="eastAsia" w:ascii="宋体" w:hAnsi="宋体" w:cs="宋体"/>
                <w:color w:val="auto"/>
                <w:sz w:val="24"/>
                <w:highlight w:val="none"/>
                <w:lang w:val="en-US" w:eastAsia="zh-CN"/>
              </w:rPr>
            </w:pPr>
          </w:p>
        </w:tc>
        <w:tc>
          <w:tcPr>
            <w:tcW w:w="886" w:type="dxa"/>
            <w:noWrap w:val="0"/>
            <w:vAlign w:val="top"/>
          </w:tcPr>
          <w:p>
            <w:pPr>
              <w:shd w:val="clear" w:color="auto" w:fill="FFFFFF"/>
              <w:spacing w:line="500" w:lineRule="exact"/>
              <w:rPr>
                <w:rFonts w:hint="eastAsia" w:ascii="宋体" w:hAnsi="宋体" w:cs="宋体"/>
                <w:color w:val="auto"/>
                <w:sz w:val="24"/>
                <w:highlight w:val="none"/>
                <w:lang w:val="en-US" w:eastAsia="zh-CN"/>
              </w:rPr>
            </w:pPr>
          </w:p>
        </w:tc>
        <w:tc>
          <w:tcPr>
            <w:tcW w:w="928" w:type="dxa"/>
            <w:noWrap w:val="0"/>
            <w:vAlign w:val="top"/>
          </w:tcPr>
          <w:p>
            <w:pPr>
              <w:shd w:val="clear" w:color="auto" w:fill="FFFFFF"/>
              <w:spacing w:line="500" w:lineRule="exact"/>
              <w:rPr>
                <w:rFonts w:hint="eastAsia" w:ascii="宋体" w:hAnsi="宋体" w:cs="宋体"/>
                <w:color w:val="auto"/>
                <w:sz w:val="24"/>
                <w:highlight w:val="none"/>
                <w:lang w:val="en-US" w:eastAsia="zh-CN"/>
              </w:rPr>
            </w:pPr>
          </w:p>
        </w:tc>
        <w:tc>
          <w:tcPr>
            <w:tcW w:w="1051" w:type="dxa"/>
            <w:noWrap w:val="0"/>
            <w:vAlign w:val="top"/>
          </w:tcPr>
          <w:p>
            <w:pPr>
              <w:shd w:val="clear" w:color="auto" w:fill="FFFFFF"/>
              <w:spacing w:line="500" w:lineRule="exact"/>
              <w:rPr>
                <w:rFonts w:hint="eastAsia" w:ascii="宋体" w:hAnsi="宋体" w:cs="宋体"/>
                <w:color w:val="auto"/>
                <w:sz w:val="24"/>
                <w:highlight w:val="none"/>
                <w:lang w:val="en-US" w:eastAsia="zh-CN"/>
              </w:rPr>
            </w:pPr>
          </w:p>
        </w:tc>
        <w:tc>
          <w:tcPr>
            <w:tcW w:w="1069" w:type="dxa"/>
            <w:noWrap w:val="0"/>
            <w:vAlign w:val="top"/>
          </w:tcPr>
          <w:p>
            <w:pPr>
              <w:shd w:val="clear" w:color="auto" w:fill="FFFFFF"/>
              <w:spacing w:line="500" w:lineRule="exact"/>
              <w:rPr>
                <w:rFonts w:hint="eastAsia" w:ascii="宋体" w:hAnsi="宋体" w:cs="宋体"/>
                <w:color w:val="auto"/>
                <w:sz w:val="24"/>
                <w:highlight w:val="none"/>
                <w:lang w:val="en-US" w:eastAsia="zh-CN"/>
              </w:rPr>
            </w:pPr>
          </w:p>
        </w:tc>
        <w:tc>
          <w:tcPr>
            <w:tcW w:w="1069" w:type="dxa"/>
            <w:noWrap w:val="0"/>
            <w:vAlign w:val="top"/>
          </w:tcPr>
          <w:p>
            <w:pPr>
              <w:shd w:val="clear" w:color="auto" w:fill="FFFFFF"/>
              <w:spacing w:line="500" w:lineRule="exact"/>
              <w:rPr>
                <w:rFonts w:hint="eastAsia" w:ascii="宋体" w:hAnsi="宋体" w:cs="宋体"/>
                <w:color w:val="auto"/>
                <w:sz w:val="24"/>
                <w:highlight w:val="none"/>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jc w:val="center"/>
        </w:trPr>
        <w:tc>
          <w:tcPr>
            <w:tcW w:w="770" w:type="dxa"/>
            <w:noWrap w:val="0"/>
            <w:vAlign w:val="top"/>
          </w:tcPr>
          <w:p>
            <w:pPr>
              <w:shd w:val="clear" w:color="auto" w:fill="FFFFFF"/>
              <w:spacing w:line="500" w:lineRule="exact"/>
              <w:rPr>
                <w:rFonts w:hint="eastAsia" w:ascii="宋体" w:hAnsi="宋体" w:cs="宋体"/>
                <w:color w:val="auto"/>
                <w:sz w:val="24"/>
                <w:highlight w:val="none"/>
                <w:lang w:val="en-US" w:eastAsia="zh-CN"/>
              </w:rPr>
            </w:pPr>
          </w:p>
        </w:tc>
        <w:tc>
          <w:tcPr>
            <w:tcW w:w="972" w:type="dxa"/>
            <w:noWrap w:val="0"/>
            <w:vAlign w:val="top"/>
          </w:tcPr>
          <w:p>
            <w:pPr>
              <w:shd w:val="clear" w:color="auto" w:fill="FFFFFF"/>
              <w:spacing w:line="500" w:lineRule="exact"/>
              <w:rPr>
                <w:rFonts w:hint="eastAsia" w:ascii="宋体" w:hAnsi="宋体" w:cs="宋体"/>
                <w:color w:val="auto"/>
                <w:sz w:val="24"/>
                <w:highlight w:val="none"/>
                <w:lang w:val="en-US" w:eastAsia="zh-CN"/>
              </w:rPr>
            </w:pPr>
          </w:p>
        </w:tc>
        <w:tc>
          <w:tcPr>
            <w:tcW w:w="1755" w:type="dxa"/>
            <w:noWrap w:val="0"/>
            <w:vAlign w:val="top"/>
          </w:tcPr>
          <w:p>
            <w:pPr>
              <w:shd w:val="clear" w:color="auto" w:fill="FFFFFF"/>
              <w:spacing w:line="500" w:lineRule="exact"/>
              <w:rPr>
                <w:rFonts w:hint="eastAsia" w:ascii="宋体" w:hAnsi="宋体" w:cs="宋体"/>
                <w:color w:val="auto"/>
                <w:sz w:val="24"/>
                <w:highlight w:val="none"/>
                <w:lang w:val="en-US" w:eastAsia="zh-CN"/>
              </w:rPr>
            </w:pPr>
          </w:p>
        </w:tc>
        <w:tc>
          <w:tcPr>
            <w:tcW w:w="886" w:type="dxa"/>
            <w:noWrap w:val="0"/>
            <w:vAlign w:val="top"/>
          </w:tcPr>
          <w:p>
            <w:pPr>
              <w:shd w:val="clear" w:color="auto" w:fill="FFFFFF"/>
              <w:spacing w:line="500" w:lineRule="exact"/>
              <w:rPr>
                <w:rFonts w:hint="eastAsia" w:ascii="宋体" w:hAnsi="宋体" w:cs="宋体"/>
                <w:color w:val="auto"/>
                <w:sz w:val="24"/>
                <w:highlight w:val="none"/>
                <w:lang w:val="en-US" w:eastAsia="zh-CN"/>
              </w:rPr>
            </w:pPr>
          </w:p>
        </w:tc>
        <w:tc>
          <w:tcPr>
            <w:tcW w:w="886" w:type="dxa"/>
            <w:noWrap w:val="0"/>
            <w:vAlign w:val="top"/>
          </w:tcPr>
          <w:p>
            <w:pPr>
              <w:shd w:val="clear" w:color="auto" w:fill="FFFFFF"/>
              <w:spacing w:line="500" w:lineRule="exact"/>
              <w:rPr>
                <w:rFonts w:hint="eastAsia" w:ascii="宋体" w:hAnsi="宋体" w:cs="宋体"/>
                <w:color w:val="auto"/>
                <w:sz w:val="24"/>
                <w:highlight w:val="none"/>
                <w:lang w:val="en-US" w:eastAsia="zh-CN"/>
              </w:rPr>
            </w:pPr>
          </w:p>
        </w:tc>
        <w:tc>
          <w:tcPr>
            <w:tcW w:w="928" w:type="dxa"/>
            <w:noWrap w:val="0"/>
            <w:vAlign w:val="top"/>
          </w:tcPr>
          <w:p>
            <w:pPr>
              <w:shd w:val="clear" w:color="auto" w:fill="FFFFFF"/>
              <w:spacing w:line="500" w:lineRule="exact"/>
              <w:rPr>
                <w:rFonts w:hint="eastAsia" w:ascii="宋体" w:hAnsi="宋体" w:cs="宋体"/>
                <w:color w:val="auto"/>
                <w:sz w:val="24"/>
                <w:highlight w:val="none"/>
                <w:lang w:val="en-US" w:eastAsia="zh-CN"/>
              </w:rPr>
            </w:pPr>
          </w:p>
        </w:tc>
        <w:tc>
          <w:tcPr>
            <w:tcW w:w="1051" w:type="dxa"/>
            <w:noWrap w:val="0"/>
            <w:vAlign w:val="top"/>
          </w:tcPr>
          <w:p>
            <w:pPr>
              <w:shd w:val="clear" w:color="auto" w:fill="FFFFFF"/>
              <w:spacing w:line="500" w:lineRule="exact"/>
              <w:rPr>
                <w:rFonts w:hint="eastAsia" w:ascii="宋体" w:hAnsi="宋体" w:cs="宋体"/>
                <w:color w:val="auto"/>
                <w:sz w:val="24"/>
                <w:highlight w:val="none"/>
                <w:lang w:val="en-US" w:eastAsia="zh-CN"/>
              </w:rPr>
            </w:pPr>
          </w:p>
        </w:tc>
        <w:tc>
          <w:tcPr>
            <w:tcW w:w="1069" w:type="dxa"/>
            <w:noWrap w:val="0"/>
            <w:vAlign w:val="top"/>
          </w:tcPr>
          <w:p>
            <w:pPr>
              <w:shd w:val="clear" w:color="auto" w:fill="FFFFFF"/>
              <w:spacing w:line="500" w:lineRule="exact"/>
              <w:rPr>
                <w:rFonts w:hint="eastAsia" w:ascii="宋体" w:hAnsi="宋体" w:cs="宋体"/>
                <w:color w:val="auto"/>
                <w:sz w:val="24"/>
                <w:highlight w:val="none"/>
                <w:lang w:val="en-US" w:eastAsia="zh-CN"/>
              </w:rPr>
            </w:pPr>
          </w:p>
        </w:tc>
        <w:tc>
          <w:tcPr>
            <w:tcW w:w="1069" w:type="dxa"/>
            <w:noWrap w:val="0"/>
            <w:vAlign w:val="top"/>
          </w:tcPr>
          <w:p>
            <w:pPr>
              <w:shd w:val="clear" w:color="auto" w:fill="FFFFFF"/>
              <w:spacing w:line="500" w:lineRule="exact"/>
              <w:rPr>
                <w:rFonts w:hint="eastAsia" w:ascii="宋体" w:hAnsi="宋体" w:cs="宋体"/>
                <w:color w:val="auto"/>
                <w:sz w:val="24"/>
                <w:highlight w:val="none"/>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jc w:val="center"/>
        </w:trPr>
        <w:tc>
          <w:tcPr>
            <w:tcW w:w="770" w:type="dxa"/>
            <w:noWrap w:val="0"/>
            <w:vAlign w:val="top"/>
          </w:tcPr>
          <w:p>
            <w:pPr>
              <w:shd w:val="clear" w:color="auto" w:fill="FFFFFF"/>
              <w:spacing w:line="500" w:lineRule="exact"/>
              <w:rPr>
                <w:rFonts w:hint="eastAsia" w:ascii="宋体" w:hAnsi="宋体" w:cs="宋体"/>
                <w:color w:val="auto"/>
                <w:sz w:val="24"/>
                <w:highlight w:val="none"/>
                <w:lang w:val="en-US" w:eastAsia="zh-CN"/>
              </w:rPr>
            </w:pPr>
          </w:p>
        </w:tc>
        <w:tc>
          <w:tcPr>
            <w:tcW w:w="972" w:type="dxa"/>
            <w:noWrap w:val="0"/>
            <w:vAlign w:val="top"/>
          </w:tcPr>
          <w:p>
            <w:pPr>
              <w:shd w:val="clear" w:color="auto" w:fill="FFFFFF"/>
              <w:spacing w:line="500" w:lineRule="exact"/>
              <w:rPr>
                <w:rFonts w:hint="eastAsia" w:ascii="宋体" w:hAnsi="宋体" w:cs="宋体"/>
                <w:color w:val="auto"/>
                <w:sz w:val="24"/>
                <w:highlight w:val="none"/>
                <w:lang w:val="en-US" w:eastAsia="zh-CN"/>
              </w:rPr>
            </w:pPr>
          </w:p>
        </w:tc>
        <w:tc>
          <w:tcPr>
            <w:tcW w:w="1755" w:type="dxa"/>
            <w:noWrap w:val="0"/>
            <w:vAlign w:val="top"/>
          </w:tcPr>
          <w:p>
            <w:pPr>
              <w:shd w:val="clear" w:color="auto" w:fill="FFFFFF"/>
              <w:spacing w:line="500" w:lineRule="exact"/>
              <w:rPr>
                <w:rFonts w:hint="eastAsia" w:ascii="宋体" w:hAnsi="宋体" w:cs="宋体"/>
                <w:color w:val="auto"/>
                <w:sz w:val="24"/>
                <w:highlight w:val="none"/>
                <w:lang w:val="en-US" w:eastAsia="zh-CN"/>
              </w:rPr>
            </w:pPr>
          </w:p>
        </w:tc>
        <w:tc>
          <w:tcPr>
            <w:tcW w:w="886" w:type="dxa"/>
            <w:noWrap w:val="0"/>
            <w:vAlign w:val="top"/>
          </w:tcPr>
          <w:p>
            <w:pPr>
              <w:shd w:val="clear" w:color="auto" w:fill="FFFFFF"/>
              <w:spacing w:line="500" w:lineRule="exact"/>
              <w:rPr>
                <w:rFonts w:hint="eastAsia" w:ascii="宋体" w:hAnsi="宋体" w:cs="宋体"/>
                <w:color w:val="auto"/>
                <w:sz w:val="24"/>
                <w:highlight w:val="none"/>
                <w:lang w:val="en-US" w:eastAsia="zh-CN"/>
              </w:rPr>
            </w:pPr>
          </w:p>
        </w:tc>
        <w:tc>
          <w:tcPr>
            <w:tcW w:w="886" w:type="dxa"/>
            <w:noWrap w:val="0"/>
            <w:vAlign w:val="top"/>
          </w:tcPr>
          <w:p>
            <w:pPr>
              <w:shd w:val="clear" w:color="auto" w:fill="FFFFFF"/>
              <w:spacing w:line="500" w:lineRule="exact"/>
              <w:rPr>
                <w:rFonts w:hint="eastAsia" w:ascii="宋体" w:hAnsi="宋体" w:cs="宋体"/>
                <w:color w:val="auto"/>
                <w:sz w:val="24"/>
                <w:highlight w:val="none"/>
                <w:lang w:val="en-US" w:eastAsia="zh-CN"/>
              </w:rPr>
            </w:pPr>
          </w:p>
        </w:tc>
        <w:tc>
          <w:tcPr>
            <w:tcW w:w="928" w:type="dxa"/>
            <w:noWrap w:val="0"/>
            <w:vAlign w:val="top"/>
          </w:tcPr>
          <w:p>
            <w:pPr>
              <w:shd w:val="clear" w:color="auto" w:fill="FFFFFF"/>
              <w:spacing w:line="500" w:lineRule="exact"/>
              <w:rPr>
                <w:rFonts w:hint="eastAsia" w:ascii="宋体" w:hAnsi="宋体" w:cs="宋体"/>
                <w:color w:val="auto"/>
                <w:sz w:val="24"/>
                <w:highlight w:val="none"/>
                <w:lang w:val="en-US" w:eastAsia="zh-CN"/>
              </w:rPr>
            </w:pPr>
          </w:p>
        </w:tc>
        <w:tc>
          <w:tcPr>
            <w:tcW w:w="1051" w:type="dxa"/>
            <w:noWrap w:val="0"/>
            <w:vAlign w:val="top"/>
          </w:tcPr>
          <w:p>
            <w:pPr>
              <w:shd w:val="clear" w:color="auto" w:fill="FFFFFF"/>
              <w:spacing w:line="500" w:lineRule="exact"/>
              <w:rPr>
                <w:rFonts w:hint="eastAsia" w:ascii="宋体" w:hAnsi="宋体" w:cs="宋体"/>
                <w:color w:val="auto"/>
                <w:sz w:val="24"/>
                <w:highlight w:val="none"/>
                <w:lang w:val="en-US" w:eastAsia="zh-CN"/>
              </w:rPr>
            </w:pPr>
          </w:p>
        </w:tc>
        <w:tc>
          <w:tcPr>
            <w:tcW w:w="1069" w:type="dxa"/>
            <w:noWrap w:val="0"/>
            <w:vAlign w:val="top"/>
          </w:tcPr>
          <w:p>
            <w:pPr>
              <w:shd w:val="clear" w:color="auto" w:fill="FFFFFF"/>
              <w:spacing w:line="500" w:lineRule="exact"/>
              <w:rPr>
                <w:rFonts w:hint="eastAsia" w:ascii="宋体" w:hAnsi="宋体" w:cs="宋体"/>
                <w:color w:val="auto"/>
                <w:sz w:val="24"/>
                <w:highlight w:val="none"/>
                <w:lang w:val="en-US" w:eastAsia="zh-CN"/>
              </w:rPr>
            </w:pPr>
          </w:p>
        </w:tc>
        <w:tc>
          <w:tcPr>
            <w:tcW w:w="1069" w:type="dxa"/>
            <w:noWrap w:val="0"/>
            <w:vAlign w:val="top"/>
          </w:tcPr>
          <w:p>
            <w:pPr>
              <w:shd w:val="clear" w:color="auto" w:fill="FFFFFF"/>
              <w:spacing w:line="500" w:lineRule="exact"/>
              <w:rPr>
                <w:rFonts w:hint="eastAsia" w:ascii="宋体" w:hAnsi="宋体" w:cs="宋体"/>
                <w:color w:val="auto"/>
                <w:sz w:val="24"/>
                <w:highlight w:val="none"/>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4" w:hRule="atLeast"/>
          <w:jc w:val="center"/>
        </w:trPr>
        <w:tc>
          <w:tcPr>
            <w:tcW w:w="1742" w:type="dxa"/>
            <w:gridSpan w:val="2"/>
            <w:noWrap w:val="0"/>
            <w:vAlign w:val="top"/>
          </w:tcPr>
          <w:p>
            <w:pPr>
              <w:shd w:val="clear" w:color="auto" w:fill="FFFFFF"/>
              <w:spacing w:line="500" w:lineRule="exact"/>
              <w:rPr>
                <w:rFonts w:hint="eastAsia" w:ascii="宋体" w:hAnsi="宋体" w:cs="宋体"/>
                <w:color w:val="auto"/>
                <w:sz w:val="24"/>
                <w:highlight w:val="none"/>
                <w:lang w:val="en-US" w:eastAsia="zh-CN"/>
              </w:rPr>
            </w:pPr>
          </w:p>
          <w:p>
            <w:pPr>
              <w:shd w:val="clear" w:color="auto" w:fill="FFFFFF"/>
              <w:spacing w:line="500" w:lineRule="exact"/>
              <w:rPr>
                <w:rFonts w:hint="eastAsia" w:ascii="宋体" w:hAnsi="宋体" w:cs="宋体"/>
                <w:color w:val="auto"/>
                <w:sz w:val="24"/>
                <w:highlight w:val="none"/>
                <w:lang w:val="en-US" w:eastAsia="zh-CN"/>
              </w:rPr>
            </w:pPr>
          </w:p>
          <w:p>
            <w:pPr>
              <w:shd w:val="clear" w:color="auto" w:fill="FFFFFF"/>
              <w:spacing w:line="500" w:lineRule="exact"/>
              <w:rPr>
                <w:rFonts w:hint="eastAsia" w:ascii="宋体" w:hAnsi="宋体" w:cs="宋体"/>
                <w:color w:val="auto"/>
                <w:sz w:val="24"/>
                <w:highlight w:val="none"/>
                <w:lang w:val="en-US" w:eastAsia="zh-CN"/>
              </w:rPr>
            </w:pPr>
          </w:p>
          <w:p>
            <w:pPr>
              <w:shd w:val="clear" w:color="auto" w:fill="FFFFFF"/>
              <w:spacing w:line="500" w:lineRule="exact"/>
              <w:rPr>
                <w:rFonts w:hint="eastAsia" w:ascii="宋体" w:hAnsi="宋体" w:cs="宋体"/>
                <w:color w:val="auto"/>
                <w:sz w:val="24"/>
                <w:highlight w:val="none"/>
                <w:lang w:val="en-US" w:eastAsia="zh-CN"/>
              </w:rPr>
            </w:pPr>
          </w:p>
          <w:p>
            <w:pPr>
              <w:shd w:val="clear" w:color="auto" w:fill="FFFFFF"/>
              <w:spacing w:line="500" w:lineRule="exact"/>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投标总价</w:t>
            </w:r>
          </w:p>
        </w:tc>
        <w:tc>
          <w:tcPr>
            <w:tcW w:w="7644" w:type="dxa"/>
            <w:gridSpan w:val="7"/>
            <w:noWrap w:val="0"/>
            <w:vAlign w:val="top"/>
          </w:tcPr>
          <w:p>
            <w:pPr>
              <w:shd w:val="clear" w:color="auto" w:fill="FFFFFF"/>
              <w:spacing w:line="500" w:lineRule="exact"/>
              <w:rPr>
                <w:rFonts w:hint="eastAsia" w:ascii="宋体" w:hAnsi="宋体" w:cs="宋体"/>
                <w:color w:val="auto"/>
                <w:sz w:val="24"/>
                <w:highlight w:val="none"/>
                <w:lang w:val="en-US" w:eastAsia="zh-CN"/>
              </w:rPr>
            </w:pPr>
          </w:p>
          <w:p>
            <w:pPr>
              <w:shd w:val="clear" w:color="auto" w:fill="FFFFFF"/>
              <w:spacing w:line="500" w:lineRule="exact"/>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 xml:space="preserve">（大写）                       </w:t>
            </w:r>
          </w:p>
          <w:p>
            <w:pPr>
              <w:shd w:val="clear" w:color="auto" w:fill="FFFFFF"/>
              <w:spacing w:line="500" w:lineRule="exact"/>
              <w:rPr>
                <w:rFonts w:hint="eastAsia" w:ascii="宋体" w:hAnsi="宋体" w:cs="宋体"/>
                <w:color w:val="auto"/>
                <w:sz w:val="24"/>
                <w:highlight w:val="none"/>
                <w:lang w:val="en-US" w:eastAsia="zh-CN"/>
              </w:rPr>
            </w:pPr>
          </w:p>
          <w:p>
            <w:pPr>
              <w:shd w:val="clear" w:color="auto" w:fill="FFFFFF"/>
              <w:spacing w:line="500" w:lineRule="exact"/>
              <w:rPr>
                <w:rFonts w:hint="eastAsia" w:ascii="宋体" w:hAnsi="宋体" w:cs="宋体"/>
                <w:color w:val="auto"/>
                <w:sz w:val="24"/>
                <w:highlight w:val="none"/>
                <w:lang w:val="en-US" w:eastAsia="zh-CN"/>
              </w:rPr>
            </w:pPr>
          </w:p>
          <w:p>
            <w:pPr>
              <w:shd w:val="clear" w:color="auto" w:fill="FFFFFF"/>
              <w:spacing w:line="500" w:lineRule="exact"/>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（小写）                       元</w:t>
            </w:r>
          </w:p>
          <w:p>
            <w:pPr>
              <w:shd w:val="clear" w:color="auto" w:fill="FFFFFF"/>
              <w:spacing w:line="500" w:lineRule="exact"/>
              <w:rPr>
                <w:rFonts w:hint="eastAsia" w:ascii="宋体" w:hAnsi="宋体" w:cs="宋体"/>
                <w:color w:val="auto"/>
                <w:sz w:val="24"/>
                <w:highlight w:val="none"/>
                <w:lang w:val="en-US" w:eastAsia="zh-CN"/>
              </w:rPr>
            </w:pPr>
          </w:p>
          <w:p>
            <w:pPr>
              <w:shd w:val="clear" w:color="auto" w:fill="FFFFFF"/>
              <w:spacing w:line="500" w:lineRule="exact"/>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年     月     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2" w:hRule="atLeast"/>
          <w:jc w:val="center"/>
        </w:trPr>
        <w:tc>
          <w:tcPr>
            <w:tcW w:w="9386" w:type="dxa"/>
            <w:gridSpan w:val="9"/>
            <w:noWrap w:val="0"/>
            <w:vAlign w:val="top"/>
          </w:tcPr>
          <w:p>
            <w:pPr>
              <w:shd w:val="clear" w:color="auto" w:fill="FFFFFF"/>
              <w:spacing w:line="500" w:lineRule="exact"/>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备注：</w:t>
            </w:r>
          </w:p>
        </w:tc>
      </w:tr>
    </w:tbl>
    <w:p>
      <w:pPr>
        <w:shd w:val="clear" w:color="auto" w:fill="FFFFFF"/>
        <w:spacing w:line="500" w:lineRule="exact"/>
        <w:rPr>
          <w:rFonts w:ascii="宋体" w:hAnsi="宋体" w:cs="宋体"/>
          <w:color w:val="auto"/>
          <w:sz w:val="24"/>
          <w:highlight w:val="none"/>
        </w:rPr>
      </w:pPr>
      <w:r>
        <w:rPr>
          <w:rFonts w:hint="eastAsia" w:ascii="宋体" w:hAnsi="宋体" w:cs="宋体"/>
          <w:color w:val="auto"/>
          <w:sz w:val="24"/>
          <w:highlight w:val="none"/>
        </w:rPr>
        <w:t>法定代表人（企业负责人）                          供应商（电子公章）：</w:t>
      </w:r>
    </w:p>
    <w:p>
      <w:pPr>
        <w:shd w:val="clear" w:color="auto" w:fill="FFFFFF"/>
        <w:spacing w:line="500" w:lineRule="exact"/>
        <w:rPr>
          <w:rFonts w:ascii="宋体" w:hAnsi="宋体" w:cs="宋体"/>
          <w:color w:val="auto"/>
          <w:sz w:val="24"/>
          <w:highlight w:val="none"/>
        </w:rPr>
      </w:pPr>
      <w:r>
        <w:rPr>
          <w:rFonts w:hint="eastAsia" w:ascii="宋体" w:hAnsi="宋体" w:cs="宋体"/>
          <w:color w:val="auto"/>
          <w:sz w:val="24"/>
          <w:highlight w:val="none"/>
        </w:rPr>
        <w:t xml:space="preserve">或授权代理人（签字或签章）：   </w:t>
      </w:r>
    </w:p>
    <w:p>
      <w:pPr>
        <w:shd w:val="clear" w:color="auto" w:fill="FFFFFF"/>
        <w:spacing w:line="500" w:lineRule="exact"/>
        <w:ind w:left="424" w:leftChars="202"/>
        <w:rPr>
          <w:rFonts w:ascii="宋体" w:hAnsi="宋体" w:cs="宋体"/>
          <w:color w:val="auto"/>
          <w:sz w:val="24"/>
          <w:highlight w:val="none"/>
        </w:rPr>
      </w:pPr>
      <w:r>
        <w:rPr>
          <w:rFonts w:hint="eastAsia" w:ascii="宋体" w:hAnsi="宋体" w:cs="宋体"/>
          <w:color w:val="auto"/>
          <w:sz w:val="24"/>
          <w:highlight w:val="none"/>
        </w:rPr>
        <w:t xml:space="preserve">                          </w:t>
      </w:r>
    </w:p>
    <w:p>
      <w:pPr>
        <w:pStyle w:val="36"/>
        <w:ind w:right="-553" w:firstLine="460" w:firstLineChars="192"/>
        <w:rPr>
          <w:rFonts w:hAnsi="宋体" w:cs="宋体"/>
          <w:color w:val="auto"/>
          <w:sz w:val="24"/>
          <w:szCs w:val="24"/>
          <w:highlight w:val="none"/>
        </w:rPr>
      </w:pPr>
      <w:r>
        <w:rPr>
          <w:rFonts w:hint="eastAsia" w:hAnsi="宋体" w:cs="宋体"/>
          <w:color w:val="auto"/>
          <w:sz w:val="24"/>
          <w:szCs w:val="24"/>
          <w:highlight w:val="none"/>
        </w:rPr>
        <w:t xml:space="preserve"> </w:t>
      </w:r>
    </w:p>
    <w:p>
      <w:pPr>
        <w:spacing w:before="157" w:beforeLines="50" w:line="460" w:lineRule="exact"/>
        <w:ind w:firstLine="482" w:firstLineChars="200"/>
        <w:rPr>
          <w:rFonts w:ascii="宋体" w:hAnsi="宋体" w:cs="宋体"/>
          <w:color w:val="auto"/>
          <w:sz w:val="24"/>
          <w:highlight w:val="none"/>
        </w:rPr>
      </w:pPr>
      <w:r>
        <w:rPr>
          <w:rFonts w:hint="eastAsia" w:ascii="宋体" w:hAnsi="宋体" w:cs="宋体"/>
          <w:b/>
          <w:color w:val="auto"/>
          <w:sz w:val="24"/>
          <w:highlight w:val="none"/>
        </w:rPr>
        <w:t>注</w:t>
      </w:r>
      <w:r>
        <w:rPr>
          <w:rFonts w:hint="eastAsia" w:ascii="宋体" w:hAnsi="宋体" w:cs="宋体"/>
          <w:color w:val="auto"/>
          <w:sz w:val="24"/>
          <w:highlight w:val="none"/>
        </w:rPr>
        <w:t>：1、如果按单价计算的结果与总价不一致，以单价为准修正总价。</w:t>
      </w:r>
    </w:p>
    <w:p>
      <w:pPr>
        <w:pStyle w:val="36"/>
        <w:spacing w:line="460" w:lineRule="exact"/>
        <w:ind w:right="-15" w:firstLine="964" w:firstLineChars="400"/>
        <w:rPr>
          <w:rFonts w:hAnsi="宋体" w:cs="宋体"/>
          <w:b/>
          <w:color w:val="auto"/>
          <w:sz w:val="24"/>
          <w:szCs w:val="24"/>
          <w:highlight w:val="none"/>
        </w:rPr>
      </w:pPr>
      <w:r>
        <w:rPr>
          <w:rFonts w:hint="eastAsia" w:hAnsi="宋体" w:cs="宋体"/>
          <w:b/>
          <w:color w:val="auto"/>
          <w:sz w:val="24"/>
          <w:szCs w:val="24"/>
          <w:highlight w:val="none"/>
        </w:rPr>
        <w:t>2、供应商须按照第三章采购需求所列明的内容全部报价。如果不提供详细分项报价视为未实质性响应招标文件。</w:t>
      </w:r>
    </w:p>
    <w:p>
      <w:pPr>
        <w:pStyle w:val="71"/>
        <w:tabs>
          <w:tab w:val="left" w:pos="-120"/>
        </w:tabs>
        <w:rPr>
          <w:rFonts w:ascii="宋体" w:hAnsi="宋体" w:eastAsia="宋体" w:cs="宋体"/>
          <w:color w:val="auto"/>
          <w:spacing w:val="0"/>
          <w:highlight w:val="none"/>
        </w:rPr>
      </w:pPr>
    </w:p>
    <w:p>
      <w:pPr>
        <w:widowControl/>
        <w:ind w:left="141" w:leftChars="67"/>
        <w:jc w:val="left"/>
        <w:rPr>
          <w:rFonts w:ascii="宋体" w:hAnsi="宋体" w:cs="宋体"/>
          <w:bCs/>
          <w:color w:val="auto"/>
          <w:kern w:val="0"/>
          <w:sz w:val="24"/>
          <w:highlight w:val="none"/>
        </w:rPr>
      </w:pPr>
      <w:r>
        <w:rPr>
          <w:rFonts w:hint="eastAsia" w:ascii="宋体" w:hAnsi="宋体" w:cs="宋体"/>
          <w:b/>
          <w:bCs/>
          <w:color w:val="auto"/>
          <w:kern w:val="0"/>
          <w:sz w:val="24"/>
          <w:highlight w:val="none"/>
        </w:rPr>
        <w:br w:type="page"/>
      </w:r>
      <w:r>
        <w:rPr>
          <w:rFonts w:hint="eastAsia" w:ascii="宋体" w:hAnsi="宋体" w:cs="宋体"/>
          <w:bCs/>
          <w:color w:val="auto"/>
          <w:sz w:val="24"/>
          <w:highlight w:val="none"/>
        </w:rPr>
        <w:t>（三）商务条款偏离表</w:t>
      </w:r>
    </w:p>
    <w:p>
      <w:pPr>
        <w:shd w:val="clear" w:color="auto" w:fill="FFFFFF"/>
        <w:spacing w:line="440" w:lineRule="exact"/>
        <w:jc w:val="center"/>
        <w:rPr>
          <w:rFonts w:ascii="宋体" w:hAnsi="宋体" w:cs="宋体"/>
          <w:b/>
          <w:color w:val="auto"/>
          <w:sz w:val="28"/>
          <w:szCs w:val="28"/>
          <w:highlight w:val="none"/>
        </w:rPr>
      </w:pPr>
    </w:p>
    <w:p>
      <w:pPr>
        <w:shd w:val="clear" w:color="auto" w:fill="FFFFFF"/>
        <w:spacing w:line="440" w:lineRule="exact"/>
        <w:jc w:val="center"/>
        <w:rPr>
          <w:rFonts w:ascii="宋体" w:hAnsi="宋体" w:cs="宋体"/>
          <w:b/>
          <w:color w:val="auto"/>
          <w:sz w:val="28"/>
          <w:szCs w:val="28"/>
          <w:highlight w:val="none"/>
        </w:rPr>
      </w:pPr>
      <w:r>
        <w:rPr>
          <w:rFonts w:hint="eastAsia" w:ascii="宋体" w:hAnsi="宋体" w:cs="宋体"/>
          <w:b/>
          <w:color w:val="auto"/>
          <w:sz w:val="28"/>
          <w:szCs w:val="28"/>
          <w:highlight w:val="none"/>
        </w:rPr>
        <w:t>商务条款偏离表</w:t>
      </w:r>
    </w:p>
    <w:p>
      <w:pPr>
        <w:spacing w:line="480" w:lineRule="exact"/>
        <w:jc w:val="left"/>
        <w:rPr>
          <w:rFonts w:ascii="宋体" w:hAnsi="宋体" w:cs="宋体"/>
          <w:color w:val="auto"/>
          <w:sz w:val="24"/>
          <w:highlight w:val="none"/>
        </w:rPr>
      </w:pPr>
      <w:r>
        <w:rPr>
          <w:rFonts w:hint="eastAsia" w:ascii="宋体" w:hAnsi="宋体" w:cs="宋体"/>
          <w:color w:val="auto"/>
          <w:sz w:val="24"/>
          <w:highlight w:val="none"/>
        </w:rPr>
        <w:t>项目名称：2023年中央耕地建设与利用资金（购置土壤监测设备）项目</w:t>
      </w:r>
    </w:p>
    <w:p>
      <w:pPr>
        <w:shd w:val="clear" w:color="auto" w:fill="FFFFFF"/>
        <w:spacing w:line="440" w:lineRule="exact"/>
        <w:rPr>
          <w:rFonts w:hint="eastAsia" w:ascii="宋体" w:hAnsi="宋体" w:cs="宋体"/>
          <w:color w:val="auto"/>
          <w:sz w:val="24"/>
          <w:highlight w:val="none"/>
          <w:lang w:val="en-US" w:eastAsia="zh-CN"/>
        </w:rPr>
      </w:pPr>
      <w:r>
        <w:rPr>
          <w:rFonts w:hint="eastAsia" w:ascii="宋体" w:hAnsi="宋体" w:cs="宋体"/>
          <w:color w:val="auto"/>
          <w:sz w:val="24"/>
          <w:highlight w:val="none"/>
        </w:rPr>
        <w:t>项目编号：XJDN-2023-0</w:t>
      </w:r>
      <w:r>
        <w:rPr>
          <w:rFonts w:hint="eastAsia" w:ascii="宋体" w:hAnsi="宋体" w:cs="宋体"/>
          <w:color w:val="auto"/>
          <w:sz w:val="24"/>
          <w:highlight w:val="none"/>
          <w:lang w:val="en-US" w:eastAsia="zh-CN"/>
        </w:rPr>
        <w:t>14</w:t>
      </w:r>
    </w:p>
    <w:p>
      <w:pPr>
        <w:pStyle w:val="71"/>
        <w:ind w:left="0" w:leftChars="0" w:firstLine="0" w:firstLineChars="0"/>
        <w:rPr>
          <w:rFonts w:hint="default"/>
          <w:color w:val="auto"/>
          <w:highlight w:val="none"/>
          <w:lang w:val="en-US" w:eastAsia="zh-CN"/>
        </w:rPr>
      </w:pPr>
      <w:r>
        <w:rPr>
          <w:rFonts w:hint="eastAsia" w:ascii="宋体" w:hAnsi="宋体" w:cs="宋体"/>
          <w:color w:val="auto"/>
          <w:sz w:val="24"/>
          <w:highlight w:val="none"/>
          <w:lang w:val="en-US" w:eastAsia="zh-CN"/>
        </w:rPr>
        <w:t>标项：</w:t>
      </w:r>
    </w:p>
    <w:tbl>
      <w:tblPr>
        <w:tblStyle w:val="61"/>
        <w:tblW w:w="9317" w:type="dxa"/>
        <w:jc w:val="center"/>
        <w:tblLayout w:type="fixed"/>
        <w:tblCellMar>
          <w:top w:w="0" w:type="dxa"/>
          <w:left w:w="108" w:type="dxa"/>
          <w:bottom w:w="0" w:type="dxa"/>
          <w:right w:w="108" w:type="dxa"/>
        </w:tblCellMar>
      </w:tblPr>
      <w:tblGrid>
        <w:gridCol w:w="936"/>
        <w:gridCol w:w="1795"/>
        <w:gridCol w:w="2020"/>
        <w:gridCol w:w="2132"/>
        <w:gridCol w:w="2434"/>
      </w:tblGrid>
      <w:tr>
        <w:tblPrEx>
          <w:tblCellMar>
            <w:top w:w="0" w:type="dxa"/>
            <w:left w:w="108" w:type="dxa"/>
            <w:bottom w:w="0" w:type="dxa"/>
            <w:right w:w="108" w:type="dxa"/>
          </w:tblCellMar>
        </w:tblPrEx>
        <w:trPr>
          <w:cantSplit/>
          <w:trHeight w:val="622" w:hRule="exact"/>
          <w:jc w:val="center"/>
        </w:trPr>
        <w:tc>
          <w:tcPr>
            <w:tcW w:w="936" w:type="dxa"/>
            <w:tcBorders>
              <w:top w:val="single" w:color="auto" w:sz="6" w:space="0"/>
              <w:left w:val="single" w:color="auto" w:sz="6" w:space="0"/>
              <w:bottom w:val="single" w:color="auto" w:sz="6" w:space="0"/>
              <w:right w:val="single" w:color="auto" w:sz="6" w:space="0"/>
            </w:tcBorders>
            <w:vAlign w:val="center"/>
          </w:tcPr>
          <w:p>
            <w:pPr>
              <w:shd w:val="clear" w:color="auto" w:fill="FFFFFF"/>
              <w:spacing w:line="440" w:lineRule="exact"/>
              <w:jc w:val="center"/>
              <w:rPr>
                <w:rFonts w:ascii="宋体" w:hAnsi="宋体" w:cs="宋体"/>
                <w:color w:val="auto"/>
                <w:sz w:val="24"/>
                <w:highlight w:val="none"/>
              </w:rPr>
            </w:pPr>
            <w:r>
              <w:rPr>
                <w:rFonts w:hint="eastAsia" w:ascii="宋体" w:hAnsi="宋体" w:cs="宋体"/>
                <w:color w:val="auto"/>
                <w:sz w:val="24"/>
                <w:highlight w:val="none"/>
              </w:rPr>
              <w:t>序号</w:t>
            </w:r>
          </w:p>
        </w:tc>
        <w:tc>
          <w:tcPr>
            <w:tcW w:w="1795" w:type="dxa"/>
            <w:tcBorders>
              <w:top w:val="single" w:color="auto" w:sz="6" w:space="0"/>
              <w:left w:val="single" w:color="auto" w:sz="6" w:space="0"/>
              <w:bottom w:val="single" w:color="auto" w:sz="6" w:space="0"/>
              <w:right w:val="single" w:color="auto" w:sz="6" w:space="0"/>
            </w:tcBorders>
            <w:vAlign w:val="center"/>
          </w:tcPr>
          <w:p>
            <w:pPr>
              <w:shd w:val="clear" w:color="auto" w:fill="FFFFFF"/>
              <w:spacing w:line="440" w:lineRule="exact"/>
              <w:jc w:val="center"/>
              <w:rPr>
                <w:rFonts w:ascii="宋体" w:hAnsi="宋体" w:cs="宋体"/>
                <w:color w:val="auto"/>
                <w:sz w:val="24"/>
                <w:highlight w:val="none"/>
              </w:rPr>
            </w:pPr>
            <w:r>
              <w:rPr>
                <w:rFonts w:hint="eastAsia" w:ascii="宋体" w:hAnsi="宋体" w:cs="宋体"/>
                <w:color w:val="auto"/>
                <w:sz w:val="24"/>
                <w:highlight w:val="none"/>
              </w:rPr>
              <w:t>条款序号</w:t>
            </w:r>
          </w:p>
        </w:tc>
        <w:tc>
          <w:tcPr>
            <w:tcW w:w="2020" w:type="dxa"/>
            <w:tcBorders>
              <w:top w:val="single" w:color="auto" w:sz="6" w:space="0"/>
              <w:left w:val="single" w:color="auto" w:sz="6" w:space="0"/>
              <w:bottom w:val="single" w:color="auto" w:sz="6" w:space="0"/>
              <w:right w:val="single" w:color="auto" w:sz="6" w:space="0"/>
            </w:tcBorders>
            <w:vAlign w:val="center"/>
          </w:tcPr>
          <w:p>
            <w:pPr>
              <w:shd w:val="clear" w:color="auto" w:fill="FFFFFF"/>
              <w:spacing w:line="440" w:lineRule="exact"/>
              <w:jc w:val="center"/>
              <w:rPr>
                <w:rFonts w:ascii="宋体" w:hAnsi="宋体" w:cs="宋体"/>
                <w:color w:val="auto"/>
                <w:sz w:val="24"/>
                <w:highlight w:val="none"/>
              </w:rPr>
            </w:pPr>
            <w:r>
              <w:rPr>
                <w:rFonts w:hint="eastAsia" w:ascii="宋体" w:hAnsi="宋体" w:cs="宋体"/>
                <w:color w:val="auto"/>
                <w:sz w:val="24"/>
                <w:highlight w:val="none"/>
              </w:rPr>
              <w:t>招标条款</w:t>
            </w:r>
          </w:p>
        </w:tc>
        <w:tc>
          <w:tcPr>
            <w:tcW w:w="2132" w:type="dxa"/>
            <w:tcBorders>
              <w:top w:val="single" w:color="auto" w:sz="6" w:space="0"/>
              <w:left w:val="single" w:color="auto" w:sz="6" w:space="0"/>
              <w:bottom w:val="single" w:color="auto" w:sz="6" w:space="0"/>
              <w:right w:val="single" w:color="auto" w:sz="6" w:space="0"/>
            </w:tcBorders>
            <w:vAlign w:val="center"/>
          </w:tcPr>
          <w:p>
            <w:pPr>
              <w:shd w:val="clear" w:color="auto" w:fill="FFFFFF"/>
              <w:spacing w:line="440" w:lineRule="exact"/>
              <w:jc w:val="center"/>
              <w:rPr>
                <w:rFonts w:ascii="宋体" w:hAnsi="宋体" w:cs="宋体"/>
                <w:color w:val="auto"/>
                <w:sz w:val="24"/>
                <w:highlight w:val="none"/>
              </w:rPr>
            </w:pPr>
            <w:r>
              <w:rPr>
                <w:rFonts w:hint="eastAsia" w:ascii="宋体" w:hAnsi="宋体" w:cs="宋体"/>
                <w:color w:val="auto"/>
                <w:sz w:val="24"/>
                <w:highlight w:val="none"/>
              </w:rPr>
              <w:t>投标条款</w:t>
            </w:r>
          </w:p>
        </w:tc>
        <w:tc>
          <w:tcPr>
            <w:tcW w:w="2434" w:type="dxa"/>
            <w:tcBorders>
              <w:top w:val="single" w:color="auto" w:sz="6" w:space="0"/>
              <w:left w:val="single" w:color="auto" w:sz="6" w:space="0"/>
              <w:bottom w:val="single" w:color="auto" w:sz="6" w:space="0"/>
              <w:right w:val="single" w:color="auto" w:sz="6" w:space="0"/>
            </w:tcBorders>
            <w:vAlign w:val="center"/>
          </w:tcPr>
          <w:p>
            <w:pPr>
              <w:shd w:val="clear" w:color="auto" w:fill="FFFFFF"/>
              <w:spacing w:line="440" w:lineRule="exact"/>
              <w:jc w:val="center"/>
              <w:rPr>
                <w:rFonts w:ascii="宋体" w:hAnsi="宋体" w:cs="宋体"/>
                <w:color w:val="auto"/>
                <w:sz w:val="24"/>
                <w:highlight w:val="none"/>
              </w:rPr>
            </w:pPr>
            <w:r>
              <w:rPr>
                <w:rFonts w:hint="eastAsia" w:ascii="宋体" w:hAnsi="宋体" w:cs="宋体"/>
                <w:color w:val="auto"/>
                <w:sz w:val="24"/>
                <w:highlight w:val="none"/>
              </w:rPr>
              <w:t>响应/偏离</w:t>
            </w:r>
          </w:p>
        </w:tc>
      </w:tr>
      <w:tr>
        <w:tblPrEx>
          <w:tblCellMar>
            <w:top w:w="0" w:type="dxa"/>
            <w:left w:w="108" w:type="dxa"/>
            <w:bottom w:w="0" w:type="dxa"/>
            <w:right w:w="108" w:type="dxa"/>
          </w:tblCellMar>
        </w:tblPrEx>
        <w:trPr>
          <w:cantSplit/>
          <w:trHeight w:val="622" w:hRule="exact"/>
          <w:jc w:val="center"/>
        </w:trPr>
        <w:tc>
          <w:tcPr>
            <w:tcW w:w="936" w:type="dxa"/>
            <w:tcBorders>
              <w:top w:val="single" w:color="auto" w:sz="6" w:space="0"/>
              <w:left w:val="single" w:color="auto" w:sz="6" w:space="0"/>
              <w:bottom w:val="single" w:color="auto" w:sz="6" w:space="0"/>
              <w:right w:val="single" w:color="auto" w:sz="6" w:space="0"/>
            </w:tcBorders>
            <w:vAlign w:val="center"/>
          </w:tcPr>
          <w:p>
            <w:pPr>
              <w:shd w:val="clear" w:color="auto" w:fill="FFFFFF"/>
              <w:spacing w:line="440" w:lineRule="exact"/>
              <w:ind w:firstLine="99"/>
              <w:jc w:val="center"/>
              <w:rPr>
                <w:rFonts w:ascii="宋体" w:hAnsi="宋体" w:cs="宋体"/>
                <w:color w:val="auto"/>
                <w:sz w:val="24"/>
                <w:highlight w:val="none"/>
              </w:rPr>
            </w:pPr>
            <w:r>
              <w:rPr>
                <w:rFonts w:hint="eastAsia" w:ascii="宋体" w:hAnsi="宋体" w:cs="宋体"/>
                <w:color w:val="auto"/>
                <w:sz w:val="24"/>
                <w:highlight w:val="none"/>
              </w:rPr>
              <w:t>…</w:t>
            </w:r>
          </w:p>
        </w:tc>
        <w:tc>
          <w:tcPr>
            <w:tcW w:w="1795" w:type="dxa"/>
            <w:tcBorders>
              <w:top w:val="single" w:color="auto" w:sz="6" w:space="0"/>
              <w:left w:val="single" w:color="auto" w:sz="6" w:space="0"/>
              <w:bottom w:val="single" w:color="auto" w:sz="6" w:space="0"/>
              <w:right w:val="single" w:color="auto" w:sz="6" w:space="0"/>
            </w:tcBorders>
            <w:vAlign w:val="center"/>
          </w:tcPr>
          <w:p>
            <w:pPr>
              <w:shd w:val="clear" w:color="auto" w:fill="FFFFFF"/>
              <w:spacing w:line="440" w:lineRule="exact"/>
              <w:ind w:firstLine="99"/>
              <w:jc w:val="center"/>
              <w:rPr>
                <w:rFonts w:ascii="宋体" w:hAnsi="宋体" w:cs="宋体"/>
                <w:color w:val="auto"/>
                <w:sz w:val="24"/>
                <w:highlight w:val="none"/>
              </w:rPr>
            </w:pPr>
          </w:p>
        </w:tc>
        <w:tc>
          <w:tcPr>
            <w:tcW w:w="2020" w:type="dxa"/>
            <w:tcBorders>
              <w:top w:val="single" w:color="auto" w:sz="6" w:space="0"/>
              <w:left w:val="single" w:color="auto" w:sz="6" w:space="0"/>
              <w:bottom w:val="single" w:color="auto" w:sz="6" w:space="0"/>
              <w:right w:val="single" w:color="auto" w:sz="6" w:space="0"/>
            </w:tcBorders>
            <w:vAlign w:val="center"/>
          </w:tcPr>
          <w:p>
            <w:pPr>
              <w:shd w:val="clear" w:color="auto" w:fill="FFFFFF"/>
              <w:spacing w:line="440" w:lineRule="exact"/>
              <w:ind w:firstLine="99"/>
              <w:jc w:val="center"/>
              <w:rPr>
                <w:rFonts w:ascii="宋体" w:hAnsi="宋体" w:cs="宋体"/>
                <w:color w:val="auto"/>
                <w:sz w:val="24"/>
                <w:highlight w:val="none"/>
              </w:rPr>
            </w:pPr>
          </w:p>
        </w:tc>
        <w:tc>
          <w:tcPr>
            <w:tcW w:w="2132" w:type="dxa"/>
            <w:tcBorders>
              <w:top w:val="single" w:color="auto" w:sz="6" w:space="0"/>
              <w:left w:val="single" w:color="auto" w:sz="6" w:space="0"/>
              <w:bottom w:val="single" w:color="auto" w:sz="6" w:space="0"/>
              <w:right w:val="single" w:color="auto" w:sz="6" w:space="0"/>
            </w:tcBorders>
            <w:vAlign w:val="center"/>
          </w:tcPr>
          <w:p>
            <w:pPr>
              <w:shd w:val="clear" w:color="auto" w:fill="FFFFFF"/>
              <w:spacing w:line="440" w:lineRule="exact"/>
              <w:ind w:firstLine="99"/>
              <w:jc w:val="center"/>
              <w:rPr>
                <w:rFonts w:ascii="宋体" w:hAnsi="宋体" w:cs="宋体"/>
                <w:color w:val="auto"/>
                <w:sz w:val="24"/>
                <w:highlight w:val="none"/>
              </w:rPr>
            </w:pPr>
          </w:p>
        </w:tc>
        <w:tc>
          <w:tcPr>
            <w:tcW w:w="2434" w:type="dxa"/>
            <w:tcBorders>
              <w:top w:val="single" w:color="auto" w:sz="6" w:space="0"/>
              <w:left w:val="single" w:color="auto" w:sz="6" w:space="0"/>
              <w:bottom w:val="single" w:color="auto" w:sz="6" w:space="0"/>
              <w:right w:val="single" w:color="auto" w:sz="6" w:space="0"/>
            </w:tcBorders>
            <w:vAlign w:val="center"/>
          </w:tcPr>
          <w:p>
            <w:pPr>
              <w:shd w:val="clear" w:color="auto" w:fill="FFFFFF"/>
              <w:spacing w:line="440" w:lineRule="exact"/>
              <w:ind w:firstLine="99"/>
              <w:jc w:val="center"/>
              <w:rPr>
                <w:rFonts w:ascii="宋体" w:hAnsi="宋体" w:cs="宋体"/>
                <w:color w:val="auto"/>
                <w:sz w:val="24"/>
                <w:highlight w:val="none"/>
              </w:rPr>
            </w:pPr>
          </w:p>
        </w:tc>
      </w:tr>
      <w:tr>
        <w:tblPrEx>
          <w:tblCellMar>
            <w:top w:w="0" w:type="dxa"/>
            <w:left w:w="108" w:type="dxa"/>
            <w:bottom w:w="0" w:type="dxa"/>
            <w:right w:w="108" w:type="dxa"/>
          </w:tblCellMar>
        </w:tblPrEx>
        <w:trPr>
          <w:cantSplit/>
          <w:trHeight w:val="622" w:hRule="exact"/>
          <w:jc w:val="center"/>
        </w:trPr>
        <w:tc>
          <w:tcPr>
            <w:tcW w:w="936" w:type="dxa"/>
            <w:tcBorders>
              <w:top w:val="single" w:color="auto" w:sz="6" w:space="0"/>
              <w:left w:val="single" w:color="auto" w:sz="6" w:space="0"/>
              <w:bottom w:val="single" w:color="auto" w:sz="6" w:space="0"/>
              <w:right w:val="single" w:color="auto" w:sz="6" w:space="0"/>
            </w:tcBorders>
            <w:vAlign w:val="center"/>
          </w:tcPr>
          <w:p>
            <w:pPr>
              <w:shd w:val="clear" w:color="auto" w:fill="FFFFFF"/>
              <w:spacing w:line="440" w:lineRule="exact"/>
              <w:ind w:firstLine="99"/>
              <w:jc w:val="center"/>
              <w:rPr>
                <w:rFonts w:ascii="宋体" w:hAnsi="宋体" w:cs="宋体"/>
                <w:color w:val="auto"/>
                <w:sz w:val="24"/>
                <w:highlight w:val="none"/>
              </w:rPr>
            </w:pPr>
          </w:p>
        </w:tc>
        <w:tc>
          <w:tcPr>
            <w:tcW w:w="1795" w:type="dxa"/>
            <w:tcBorders>
              <w:top w:val="single" w:color="auto" w:sz="6" w:space="0"/>
              <w:left w:val="single" w:color="auto" w:sz="6" w:space="0"/>
              <w:bottom w:val="single" w:color="auto" w:sz="6" w:space="0"/>
              <w:right w:val="single" w:color="auto" w:sz="6" w:space="0"/>
            </w:tcBorders>
            <w:vAlign w:val="center"/>
          </w:tcPr>
          <w:p>
            <w:pPr>
              <w:shd w:val="clear" w:color="auto" w:fill="FFFFFF"/>
              <w:spacing w:line="440" w:lineRule="exact"/>
              <w:ind w:firstLine="99"/>
              <w:jc w:val="center"/>
              <w:rPr>
                <w:rFonts w:ascii="宋体" w:hAnsi="宋体" w:cs="宋体"/>
                <w:color w:val="auto"/>
                <w:sz w:val="24"/>
                <w:highlight w:val="none"/>
              </w:rPr>
            </w:pPr>
          </w:p>
        </w:tc>
        <w:tc>
          <w:tcPr>
            <w:tcW w:w="2020" w:type="dxa"/>
            <w:tcBorders>
              <w:top w:val="single" w:color="auto" w:sz="6" w:space="0"/>
              <w:left w:val="single" w:color="auto" w:sz="6" w:space="0"/>
              <w:bottom w:val="single" w:color="auto" w:sz="6" w:space="0"/>
              <w:right w:val="single" w:color="auto" w:sz="6" w:space="0"/>
            </w:tcBorders>
            <w:vAlign w:val="center"/>
          </w:tcPr>
          <w:p>
            <w:pPr>
              <w:shd w:val="clear" w:color="auto" w:fill="FFFFFF"/>
              <w:spacing w:line="440" w:lineRule="exact"/>
              <w:ind w:firstLine="99"/>
              <w:jc w:val="center"/>
              <w:rPr>
                <w:rFonts w:ascii="宋体" w:hAnsi="宋体" w:cs="宋体"/>
                <w:color w:val="auto"/>
                <w:sz w:val="24"/>
                <w:highlight w:val="none"/>
              </w:rPr>
            </w:pPr>
          </w:p>
        </w:tc>
        <w:tc>
          <w:tcPr>
            <w:tcW w:w="2132" w:type="dxa"/>
            <w:tcBorders>
              <w:top w:val="single" w:color="auto" w:sz="6" w:space="0"/>
              <w:left w:val="single" w:color="auto" w:sz="6" w:space="0"/>
              <w:bottom w:val="single" w:color="auto" w:sz="6" w:space="0"/>
              <w:right w:val="single" w:color="auto" w:sz="6" w:space="0"/>
            </w:tcBorders>
            <w:vAlign w:val="center"/>
          </w:tcPr>
          <w:p>
            <w:pPr>
              <w:shd w:val="clear" w:color="auto" w:fill="FFFFFF"/>
              <w:spacing w:line="440" w:lineRule="exact"/>
              <w:ind w:firstLine="99"/>
              <w:jc w:val="center"/>
              <w:rPr>
                <w:rFonts w:ascii="宋体" w:hAnsi="宋体" w:cs="宋体"/>
                <w:color w:val="auto"/>
                <w:sz w:val="24"/>
                <w:highlight w:val="none"/>
              </w:rPr>
            </w:pPr>
          </w:p>
        </w:tc>
        <w:tc>
          <w:tcPr>
            <w:tcW w:w="2434" w:type="dxa"/>
            <w:tcBorders>
              <w:top w:val="single" w:color="auto" w:sz="6" w:space="0"/>
              <w:left w:val="single" w:color="auto" w:sz="6" w:space="0"/>
              <w:bottom w:val="single" w:color="auto" w:sz="6" w:space="0"/>
              <w:right w:val="single" w:color="auto" w:sz="6" w:space="0"/>
            </w:tcBorders>
            <w:vAlign w:val="center"/>
          </w:tcPr>
          <w:p>
            <w:pPr>
              <w:shd w:val="clear" w:color="auto" w:fill="FFFFFF"/>
              <w:spacing w:line="440" w:lineRule="exact"/>
              <w:ind w:firstLine="99"/>
              <w:jc w:val="center"/>
              <w:rPr>
                <w:rFonts w:ascii="宋体" w:hAnsi="宋体" w:cs="宋体"/>
                <w:color w:val="auto"/>
                <w:sz w:val="24"/>
                <w:highlight w:val="none"/>
              </w:rPr>
            </w:pPr>
          </w:p>
        </w:tc>
      </w:tr>
      <w:tr>
        <w:tblPrEx>
          <w:tblCellMar>
            <w:top w:w="0" w:type="dxa"/>
            <w:left w:w="108" w:type="dxa"/>
            <w:bottom w:w="0" w:type="dxa"/>
            <w:right w:w="108" w:type="dxa"/>
          </w:tblCellMar>
        </w:tblPrEx>
        <w:trPr>
          <w:cantSplit/>
          <w:trHeight w:val="622" w:hRule="exact"/>
          <w:jc w:val="center"/>
        </w:trPr>
        <w:tc>
          <w:tcPr>
            <w:tcW w:w="936" w:type="dxa"/>
            <w:tcBorders>
              <w:top w:val="single" w:color="auto" w:sz="6" w:space="0"/>
              <w:left w:val="single" w:color="auto" w:sz="6" w:space="0"/>
              <w:bottom w:val="single" w:color="auto" w:sz="6" w:space="0"/>
              <w:right w:val="single" w:color="auto" w:sz="6" w:space="0"/>
            </w:tcBorders>
            <w:vAlign w:val="center"/>
          </w:tcPr>
          <w:p>
            <w:pPr>
              <w:shd w:val="clear" w:color="auto" w:fill="FFFFFF"/>
              <w:spacing w:line="440" w:lineRule="exact"/>
              <w:ind w:firstLine="99"/>
              <w:jc w:val="center"/>
              <w:rPr>
                <w:rFonts w:ascii="宋体" w:hAnsi="宋体" w:cs="宋体"/>
                <w:color w:val="auto"/>
                <w:sz w:val="24"/>
                <w:highlight w:val="none"/>
              </w:rPr>
            </w:pPr>
          </w:p>
        </w:tc>
        <w:tc>
          <w:tcPr>
            <w:tcW w:w="1795" w:type="dxa"/>
            <w:tcBorders>
              <w:top w:val="single" w:color="auto" w:sz="6" w:space="0"/>
              <w:left w:val="single" w:color="auto" w:sz="6" w:space="0"/>
              <w:bottom w:val="single" w:color="auto" w:sz="6" w:space="0"/>
              <w:right w:val="single" w:color="auto" w:sz="6" w:space="0"/>
            </w:tcBorders>
            <w:vAlign w:val="center"/>
          </w:tcPr>
          <w:p>
            <w:pPr>
              <w:shd w:val="clear" w:color="auto" w:fill="FFFFFF"/>
              <w:spacing w:line="440" w:lineRule="exact"/>
              <w:ind w:firstLine="99"/>
              <w:jc w:val="center"/>
              <w:rPr>
                <w:rFonts w:ascii="宋体" w:hAnsi="宋体" w:cs="宋体"/>
                <w:color w:val="auto"/>
                <w:sz w:val="24"/>
                <w:highlight w:val="none"/>
              </w:rPr>
            </w:pPr>
          </w:p>
        </w:tc>
        <w:tc>
          <w:tcPr>
            <w:tcW w:w="2020" w:type="dxa"/>
            <w:tcBorders>
              <w:top w:val="single" w:color="auto" w:sz="6" w:space="0"/>
              <w:left w:val="single" w:color="auto" w:sz="6" w:space="0"/>
              <w:bottom w:val="single" w:color="auto" w:sz="6" w:space="0"/>
              <w:right w:val="single" w:color="auto" w:sz="6" w:space="0"/>
            </w:tcBorders>
            <w:vAlign w:val="center"/>
          </w:tcPr>
          <w:p>
            <w:pPr>
              <w:shd w:val="clear" w:color="auto" w:fill="FFFFFF"/>
              <w:spacing w:line="440" w:lineRule="exact"/>
              <w:ind w:firstLine="99"/>
              <w:jc w:val="center"/>
              <w:rPr>
                <w:rFonts w:ascii="宋体" w:hAnsi="宋体" w:cs="宋体"/>
                <w:color w:val="auto"/>
                <w:sz w:val="24"/>
                <w:highlight w:val="none"/>
              </w:rPr>
            </w:pPr>
          </w:p>
        </w:tc>
        <w:tc>
          <w:tcPr>
            <w:tcW w:w="2132" w:type="dxa"/>
            <w:tcBorders>
              <w:top w:val="single" w:color="auto" w:sz="6" w:space="0"/>
              <w:left w:val="single" w:color="auto" w:sz="6" w:space="0"/>
              <w:bottom w:val="single" w:color="auto" w:sz="6" w:space="0"/>
              <w:right w:val="single" w:color="auto" w:sz="6" w:space="0"/>
            </w:tcBorders>
            <w:vAlign w:val="center"/>
          </w:tcPr>
          <w:p>
            <w:pPr>
              <w:shd w:val="clear" w:color="auto" w:fill="FFFFFF"/>
              <w:spacing w:line="440" w:lineRule="exact"/>
              <w:ind w:firstLine="99"/>
              <w:jc w:val="center"/>
              <w:rPr>
                <w:rFonts w:ascii="宋体" w:hAnsi="宋体" w:cs="宋体"/>
                <w:color w:val="auto"/>
                <w:sz w:val="24"/>
                <w:highlight w:val="none"/>
              </w:rPr>
            </w:pPr>
          </w:p>
        </w:tc>
        <w:tc>
          <w:tcPr>
            <w:tcW w:w="2434" w:type="dxa"/>
            <w:tcBorders>
              <w:top w:val="single" w:color="auto" w:sz="6" w:space="0"/>
              <w:left w:val="single" w:color="auto" w:sz="6" w:space="0"/>
              <w:bottom w:val="single" w:color="auto" w:sz="6" w:space="0"/>
              <w:right w:val="single" w:color="auto" w:sz="6" w:space="0"/>
            </w:tcBorders>
            <w:vAlign w:val="center"/>
          </w:tcPr>
          <w:p>
            <w:pPr>
              <w:shd w:val="clear" w:color="auto" w:fill="FFFFFF"/>
              <w:spacing w:line="440" w:lineRule="exact"/>
              <w:ind w:firstLine="99"/>
              <w:jc w:val="center"/>
              <w:rPr>
                <w:rFonts w:ascii="宋体" w:hAnsi="宋体" w:cs="宋体"/>
                <w:color w:val="auto"/>
                <w:sz w:val="24"/>
                <w:highlight w:val="none"/>
              </w:rPr>
            </w:pPr>
          </w:p>
        </w:tc>
      </w:tr>
      <w:tr>
        <w:tblPrEx>
          <w:tblCellMar>
            <w:top w:w="0" w:type="dxa"/>
            <w:left w:w="108" w:type="dxa"/>
            <w:bottom w:w="0" w:type="dxa"/>
            <w:right w:w="108" w:type="dxa"/>
          </w:tblCellMar>
        </w:tblPrEx>
        <w:trPr>
          <w:cantSplit/>
          <w:trHeight w:val="622" w:hRule="exact"/>
          <w:jc w:val="center"/>
        </w:trPr>
        <w:tc>
          <w:tcPr>
            <w:tcW w:w="936" w:type="dxa"/>
            <w:tcBorders>
              <w:top w:val="single" w:color="auto" w:sz="6" w:space="0"/>
              <w:left w:val="single" w:color="auto" w:sz="6" w:space="0"/>
              <w:bottom w:val="single" w:color="auto" w:sz="6" w:space="0"/>
              <w:right w:val="single" w:color="auto" w:sz="6" w:space="0"/>
            </w:tcBorders>
            <w:vAlign w:val="center"/>
          </w:tcPr>
          <w:p>
            <w:pPr>
              <w:shd w:val="clear" w:color="auto" w:fill="FFFFFF"/>
              <w:spacing w:line="440" w:lineRule="exact"/>
              <w:ind w:firstLine="99"/>
              <w:jc w:val="center"/>
              <w:rPr>
                <w:rFonts w:ascii="宋体" w:hAnsi="宋体" w:cs="宋体"/>
                <w:color w:val="auto"/>
                <w:sz w:val="24"/>
                <w:highlight w:val="none"/>
              </w:rPr>
            </w:pPr>
          </w:p>
        </w:tc>
        <w:tc>
          <w:tcPr>
            <w:tcW w:w="1795" w:type="dxa"/>
            <w:tcBorders>
              <w:top w:val="single" w:color="auto" w:sz="6" w:space="0"/>
              <w:left w:val="single" w:color="auto" w:sz="6" w:space="0"/>
              <w:bottom w:val="single" w:color="auto" w:sz="6" w:space="0"/>
              <w:right w:val="single" w:color="auto" w:sz="6" w:space="0"/>
            </w:tcBorders>
            <w:vAlign w:val="center"/>
          </w:tcPr>
          <w:p>
            <w:pPr>
              <w:shd w:val="clear" w:color="auto" w:fill="FFFFFF"/>
              <w:spacing w:line="440" w:lineRule="exact"/>
              <w:ind w:firstLine="99"/>
              <w:jc w:val="center"/>
              <w:rPr>
                <w:rFonts w:ascii="宋体" w:hAnsi="宋体" w:cs="宋体"/>
                <w:color w:val="auto"/>
                <w:sz w:val="24"/>
                <w:highlight w:val="none"/>
              </w:rPr>
            </w:pPr>
          </w:p>
        </w:tc>
        <w:tc>
          <w:tcPr>
            <w:tcW w:w="2020" w:type="dxa"/>
            <w:tcBorders>
              <w:top w:val="single" w:color="auto" w:sz="6" w:space="0"/>
              <w:left w:val="single" w:color="auto" w:sz="6" w:space="0"/>
              <w:bottom w:val="single" w:color="auto" w:sz="6" w:space="0"/>
              <w:right w:val="single" w:color="auto" w:sz="6" w:space="0"/>
            </w:tcBorders>
            <w:vAlign w:val="center"/>
          </w:tcPr>
          <w:p>
            <w:pPr>
              <w:shd w:val="clear" w:color="auto" w:fill="FFFFFF"/>
              <w:spacing w:line="440" w:lineRule="exact"/>
              <w:ind w:firstLine="99"/>
              <w:jc w:val="center"/>
              <w:rPr>
                <w:rFonts w:ascii="宋体" w:hAnsi="宋体" w:cs="宋体"/>
                <w:color w:val="auto"/>
                <w:sz w:val="24"/>
                <w:highlight w:val="none"/>
              </w:rPr>
            </w:pPr>
          </w:p>
        </w:tc>
        <w:tc>
          <w:tcPr>
            <w:tcW w:w="2132" w:type="dxa"/>
            <w:tcBorders>
              <w:top w:val="single" w:color="auto" w:sz="6" w:space="0"/>
              <w:left w:val="single" w:color="auto" w:sz="6" w:space="0"/>
              <w:bottom w:val="single" w:color="auto" w:sz="6" w:space="0"/>
              <w:right w:val="single" w:color="auto" w:sz="6" w:space="0"/>
            </w:tcBorders>
            <w:vAlign w:val="center"/>
          </w:tcPr>
          <w:p>
            <w:pPr>
              <w:shd w:val="clear" w:color="auto" w:fill="FFFFFF"/>
              <w:spacing w:line="440" w:lineRule="exact"/>
              <w:ind w:firstLine="99"/>
              <w:jc w:val="center"/>
              <w:rPr>
                <w:rFonts w:ascii="宋体" w:hAnsi="宋体" w:cs="宋体"/>
                <w:color w:val="auto"/>
                <w:sz w:val="24"/>
                <w:highlight w:val="none"/>
              </w:rPr>
            </w:pPr>
          </w:p>
        </w:tc>
        <w:tc>
          <w:tcPr>
            <w:tcW w:w="2434" w:type="dxa"/>
            <w:tcBorders>
              <w:top w:val="single" w:color="auto" w:sz="6" w:space="0"/>
              <w:left w:val="single" w:color="auto" w:sz="6" w:space="0"/>
              <w:bottom w:val="single" w:color="auto" w:sz="6" w:space="0"/>
              <w:right w:val="single" w:color="auto" w:sz="6" w:space="0"/>
            </w:tcBorders>
            <w:vAlign w:val="center"/>
          </w:tcPr>
          <w:p>
            <w:pPr>
              <w:shd w:val="clear" w:color="auto" w:fill="FFFFFF"/>
              <w:spacing w:line="440" w:lineRule="exact"/>
              <w:ind w:firstLine="99"/>
              <w:jc w:val="center"/>
              <w:rPr>
                <w:rFonts w:ascii="宋体" w:hAnsi="宋体" w:cs="宋体"/>
                <w:color w:val="auto"/>
                <w:sz w:val="24"/>
                <w:highlight w:val="none"/>
              </w:rPr>
            </w:pPr>
          </w:p>
        </w:tc>
      </w:tr>
      <w:tr>
        <w:tblPrEx>
          <w:tblCellMar>
            <w:top w:w="0" w:type="dxa"/>
            <w:left w:w="108" w:type="dxa"/>
            <w:bottom w:w="0" w:type="dxa"/>
            <w:right w:w="108" w:type="dxa"/>
          </w:tblCellMar>
        </w:tblPrEx>
        <w:trPr>
          <w:cantSplit/>
          <w:trHeight w:val="622" w:hRule="exact"/>
          <w:jc w:val="center"/>
        </w:trPr>
        <w:tc>
          <w:tcPr>
            <w:tcW w:w="936" w:type="dxa"/>
            <w:tcBorders>
              <w:top w:val="single" w:color="auto" w:sz="6" w:space="0"/>
              <w:left w:val="single" w:color="auto" w:sz="6" w:space="0"/>
              <w:bottom w:val="single" w:color="auto" w:sz="6" w:space="0"/>
              <w:right w:val="single" w:color="auto" w:sz="6" w:space="0"/>
            </w:tcBorders>
            <w:vAlign w:val="center"/>
          </w:tcPr>
          <w:p>
            <w:pPr>
              <w:shd w:val="clear" w:color="auto" w:fill="FFFFFF"/>
              <w:spacing w:line="440" w:lineRule="exact"/>
              <w:ind w:firstLine="99"/>
              <w:jc w:val="center"/>
              <w:rPr>
                <w:rFonts w:ascii="宋体" w:hAnsi="宋体" w:cs="宋体"/>
                <w:color w:val="auto"/>
                <w:sz w:val="24"/>
                <w:highlight w:val="none"/>
              </w:rPr>
            </w:pPr>
          </w:p>
        </w:tc>
        <w:tc>
          <w:tcPr>
            <w:tcW w:w="1795" w:type="dxa"/>
            <w:tcBorders>
              <w:top w:val="single" w:color="auto" w:sz="6" w:space="0"/>
              <w:left w:val="single" w:color="auto" w:sz="6" w:space="0"/>
              <w:bottom w:val="single" w:color="auto" w:sz="6" w:space="0"/>
              <w:right w:val="single" w:color="auto" w:sz="6" w:space="0"/>
            </w:tcBorders>
            <w:vAlign w:val="center"/>
          </w:tcPr>
          <w:p>
            <w:pPr>
              <w:shd w:val="clear" w:color="auto" w:fill="FFFFFF"/>
              <w:spacing w:line="440" w:lineRule="exact"/>
              <w:ind w:firstLine="99"/>
              <w:jc w:val="center"/>
              <w:rPr>
                <w:rFonts w:ascii="宋体" w:hAnsi="宋体" w:cs="宋体"/>
                <w:color w:val="auto"/>
                <w:sz w:val="24"/>
                <w:highlight w:val="none"/>
              </w:rPr>
            </w:pPr>
          </w:p>
        </w:tc>
        <w:tc>
          <w:tcPr>
            <w:tcW w:w="2020" w:type="dxa"/>
            <w:tcBorders>
              <w:top w:val="single" w:color="auto" w:sz="6" w:space="0"/>
              <w:left w:val="single" w:color="auto" w:sz="6" w:space="0"/>
              <w:bottom w:val="single" w:color="auto" w:sz="6" w:space="0"/>
              <w:right w:val="single" w:color="auto" w:sz="6" w:space="0"/>
            </w:tcBorders>
            <w:vAlign w:val="center"/>
          </w:tcPr>
          <w:p>
            <w:pPr>
              <w:shd w:val="clear" w:color="auto" w:fill="FFFFFF"/>
              <w:spacing w:line="440" w:lineRule="exact"/>
              <w:ind w:firstLine="99"/>
              <w:jc w:val="center"/>
              <w:rPr>
                <w:rFonts w:ascii="宋体" w:hAnsi="宋体" w:cs="宋体"/>
                <w:color w:val="auto"/>
                <w:sz w:val="24"/>
                <w:highlight w:val="none"/>
              </w:rPr>
            </w:pPr>
          </w:p>
        </w:tc>
        <w:tc>
          <w:tcPr>
            <w:tcW w:w="2132" w:type="dxa"/>
            <w:tcBorders>
              <w:top w:val="single" w:color="auto" w:sz="6" w:space="0"/>
              <w:left w:val="single" w:color="auto" w:sz="6" w:space="0"/>
              <w:bottom w:val="single" w:color="auto" w:sz="6" w:space="0"/>
              <w:right w:val="single" w:color="auto" w:sz="6" w:space="0"/>
            </w:tcBorders>
            <w:vAlign w:val="center"/>
          </w:tcPr>
          <w:p>
            <w:pPr>
              <w:shd w:val="clear" w:color="auto" w:fill="FFFFFF"/>
              <w:spacing w:line="440" w:lineRule="exact"/>
              <w:ind w:firstLine="99"/>
              <w:jc w:val="center"/>
              <w:rPr>
                <w:rFonts w:ascii="宋体" w:hAnsi="宋体" w:cs="宋体"/>
                <w:color w:val="auto"/>
                <w:sz w:val="24"/>
                <w:highlight w:val="none"/>
              </w:rPr>
            </w:pPr>
          </w:p>
        </w:tc>
        <w:tc>
          <w:tcPr>
            <w:tcW w:w="2434" w:type="dxa"/>
            <w:tcBorders>
              <w:top w:val="single" w:color="auto" w:sz="6" w:space="0"/>
              <w:left w:val="single" w:color="auto" w:sz="6" w:space="0"/>
              <w:bottom w:val="single" w:color="auto" w:sz="6" w:space="0"/>
              <w:right w:val="single" w:color="auto" w:sz="6" w:space="0"/>
            </w:tcBorders>
            <w:vAlign w:val="center"/>
          </w:tcPr>
          <w:p>
            <w:pPr>
              <w:shd w:val="clear" w:color="auto" w:fill="FFFFFF"/>
              <w:spacing w:line="440" w:lineRule="exact"/>
              <w:ind w:firstLine="99"/>
              <w:jc w:val="center"/>
              <w:rPr>
                <w:rFonts w:ascii="宋体" w:hAnsi="宋体" w:cs="宋体"/>
                <w:color w:val="auto"/>
                <w:sz w:val="24"/>
                <w:highlight w:val="none"/>
              </w:rPr>
            </w:pPr>
          </w:p>
        </w:tc>
      </w:tr>
      <w:tr>
        <w:tblPrEx>
          <w:tblCellMar>
            <w:top w:w="0" w:type="dxa"/>
            <w:left w:w="108" w:type="dxa"/>
            <w:bottom w:w="0" w:type="dxa"/>
            <w:right w:w="108" w:type="dxa"/>
          </w:tblCellMar>
        </w:tblPrEx>
        <w:trPr>
          <w:cantSplit/>
          <w:trHeight w:val="622" w:hRule="exact"/>
          <w:jc w:val="center"/>
        </w:trPr>
        <w:tc>
          <w:tcPr>
            <w:tcW w:w="936" w:type="dxa"/>
            <w:tcBorders>
              <w:top w:val="single" w:color="auto" w:sz="6" w:space="0"/>
              <w:left w:val="single" w:color="auto" w:sz="6" w:space="0"/>
              <w:bottom w:val="single" w:color="auto" w:sz="6" w:space="0"/>
              <w:right w:val="single" w:color="auto" w:sz="6" w:space="0"/>
            </w:tcBorders>
            <w:vAlign w:val="center"/>
          </w:tcPr>
          <w:p>
            <w:pPr>
              <w:shd w:val="clear" w:color="auto" w:fill="FFFFFF"/>
              <w:spacing w:line="440" w:lineRule="exact"/>
              <w:ind w:firstLine="99"/>
              <w:jc w:val="center"/>
              <w:rPr>
                <w:rFonts w:ascii="宋体" w:hAnsi="宋体" w:cs="宋体"/>
                <w:color w:val="auto"/>
                <w:sz w:val="24"/>
                <w:highlight w:val="none"/>
              </w:rPr>
            </w:pPr>
          </w:p>
        </w:tc>
        <w:tc>
          <w:tcPr>
            <w:tcW w:w="1795" w:type="dxa"/>
            <w:tcBorders>
              <w:top w:val="single" w:color="auto" w:sz="6" w:space="0"/>
              <w:left w:val="single" w:color="auto" w:sz="6" w:space="0"/>
              <w:bottom w:val="single" w:color="auto" w:sz="6" w:space="0"/>
              <w:right w:val="single" w:color="auto" w:sz="6" w:space="0"/>
            </w:tcBorders>
            <w:vAlign w:val="center"/>
          </w:tcPr>
          <w:p>
            <w:pPr>
              <w:shd w:val="clear" w:color="auto" w:fill="FFFFFF"/>
              <w:spacing w:line="440" w:lineRule="exact"/>
              <w:ind w:firstLine="99"/>
              <w:jc w:val="center"/>
              <w:rPr>
                <w:rFonts w:ascii="宋体" w:hAnsi="宋体" w:cs="宋体"/>
                <w:color w:val="auto"/>
                <w:sz w:val="24"/>
                <w:highlight w:val="none"/>
              </w:rPr>
            </w:pPr>
          </w:p>
        </w:tc>
        <w:tc>
          <w:tcPr>
            <w:tcW w:w="2020" w:type="dxa"/>
            <w:tcBorders>
              <w:top w:val="single" w:color="auto" w:sz="6" w:space="0"/>
              <w:left w:val="single" w:color="auto" w:sz="6" w:space="0"/>
              <w:bottom w:val="single" w:color="auto" w:sz="6" w:space="0"/>
              <w:right w:val="single" w:color="auto" w:sz="6" w:space="0"/>
            </w:tcBorders>
            <w:vAlign w:val="center"/>
          </w:tcPr>
          <w:p>
            <w:pPr>
              <w:shd w:val="clear" w:color="auto" w:fill="FFFFFF"/>
              <w:spacing w:line="440" w:lineRule="exact"/>
              <w:ind w:firstLine="99"/>
              <w:jc w:val="center"/>
              <w:rPr>
                <w:rFonts w:ascii="宋体" w:hAnsi="宋体" w:cs="宋体"/>
                <w:color w:val="auto"/>
                <w:sz w:val="24"/>
                <w:highlight w:val="none"/>
              </w:rPr>
            </w:pPr>
          </w:p>
        </w:tc>
        <w:tc>
          <w:tcPr>
            <w:tcW w:w="2132" w:type="dxa"/>
            <w:tcBorders>
              <w:top w:val="single" w:color="auto" w:sz="6" w:space="0"/>
              <w:left w:val="single" w:color="auto" w:sz="6" w:space="0"/>
              <w:bottom w:val="single" w:color="auto" w:sz="6" w:space="0"/>
              <w:right w:val="single" w:color="auto" w:sz="6" w:space="0"/>
            </w:tcBorders>
            <w:vAlign w:val="center"/>
          </w:tcPr>
          <w:p>
            <w:pPr>
              <w:shd w:val="clear" w:color="auto" w:fill="FFFFFF"/>
              <w:spacing w:line="440" w:lineRule="exact"/>
              <w:ind w:firstLine="99"/>
              <w:jc w:val="center"/>
              <w:rPr>
                <w:rFonts w:ascii="宋体" w:hAnsi="宋体" w:cs="宋体"/>
                <w:color w:val="auto"/>
                <w:sz w:val="24"/>
                <w:highlight w:val="none"/>
              </w:rPr>
            </w:pPr>
          </w:p>
        </w:tc>
        <w:tc>
          <w:tcPr>
            <w:tcW w:w="2434" w:type="dxa"/>
            <w:tcBorders>
              <w:top w:val="single" w:color="auto" w:sz="6" w:space="0"/>
              <w:left w:val="single" w:color="auto" w:sz="6" w:space="0"/>
              <w:bottom w:val="single" w:color="auto" w:sz="6" w:space="0"/>
              <w:right w:val="single" w:color="auto" w:sz="6" w:space="0"/>
            </w:tcBorders>
            <w:vAlign w:val="center"/>
          </w:tcPr>
          <w:p>
            <w:pPr>
              <w:shd w:val="clear" w:color="auto" w:fill="FFFFFF"/>
              <w:spacing w:line="440" w:lineRule="exact"/>
              <w:ind w:firstLine="99"/>
              <w:jc w:val="center"/>
              <w:rPr>
                <w:rFonts w:ascii="宋体" w:hAnsi="宋体" w:cs="宋体"/>
                <w:color w:val="auto"/>
                <w:sz w:val="24"/>
                <w:highlight w:val="none"/>
              </w:rPr>
            </w:pPr>
          </w:p>
        </w:tc>
      </w:tr>
      <w:tr>
        <w:tblPrEx>
          <w:tblCellMar>
            <w:top w:w="0" w:type="dxa"/>
            <w:left w:w="108" w:type="dxa"/>
            <w:bottom w:w="0" w:type="dxa"/>
            <w:right w:w="108" w:type="dxa"/>
          </w:tblCellMar>
        </w:tblPrEx>
        <w:trPr>
          <w:cantSplit/>
          <w:trHeight w:val="622" w:hRule="exact"/>
          <w:jc w:val="center"/>
        </w:trPr>
        <w:tc>
          <w:tcPr>
            <w:tcW w:w="936" w:type="dxa"/>
            <w:tcBorders>
              <w:top w:val="single" w:color="auto" w:sz="6" w:space="0"/>
              <w:left w:val="single" w:color="auto" w:sz="6" w:space="0"/>
              <w:bottom w:val="single" w:color="auto" w:sz="6" w:space="0"/>
              <w:right w:val="single" w:color="auto" w:sz="6" w:space="0"/>
            </w:tcBorders>
            <w:vAlign w:val="center"/>
          </w:tcPr>
          <w:p>
            <w:pPr>
              <w:shd w:val="clear" w:color="auto" w:fill="FFFFFF"/>
              <w:spacing w:line="440" w:lineRule="exact"/>
              <w:ind w:firstLine="99"/>
              <w:jc w:val="center"/>
              <w:rPr>
                <w:rFonts w:ascii="宋体" w:hAnsi="宋体" w:cs="宋体"/>
                <w:color w:val="auto"/>
                <w:sz w:val="24"/>
                <w:highlight w:val="none"/>
              </w:rPr>
            </w:pPr>
          </w:p>
        </w:tc>
        <w:tc>
          <w:tcPr>
            <w:tcW w:w="1795" w:type="dxa"/>
            <w:tcBorders>
              <w:top w:val="single" w:color="auto" w:sz="6" w:space="0"/>
              <w:left w:val="single" w:color="auto" w:sz="6" w:space="0"/>
              <w:bottom w:val="single" w:color="auto" w:sz="6" w:space="0"/>
              <w:right w:val="single" w:color="auto" w:sz="6" w:space="0"/>
            </w:tcBorders>
            <w:vAlign w:val="center"/>
          </w:tcPr>
          <w:p>
            <w:pPr>
              <w:shd w:val="clear" w:color="auto" w:fill="FFFFFF"/>
              <w:spacing w:line="440" w:lineRule="exact"/>
              <w:ind w:firstLine="99"/>
              <w:jc w:val="center"/>
              <w:rPr>
                <w:rFonts w:ascii="宋体" w:hAnsi="宋体" w:cs="宋体"/>
                <w:color w:val="auto"/>
                <w:sz w:val="24"/>
                <w:highlight w:val="none"/>
              </w:rPr>
            </w:pPr>
          </w:p>
        </w:tc>
        <w:tc>
          <w:tcPr>
            <w:tcW w:w="2020" w:type="dxa"/>
            <w:tcBorders>
              <w:top w:val="single" w:color="auto" w:sz="6" w:space="0"/>
              <w:left w:val="single" w:color="auto" w:sz="6" w:space="0"/>
              <w:bottom w:val="single" w:color="auto" w:sz="6" w:space="0"/>
              <w:right w:val="single" w:color="auto" w:sz="6" w:space="0"/>
            </w:tcBorders>
            <w:vAlign w:val="center"/>
          </w:tcPr>
          <w:p>
            <w:pPr>
              <w:shd w:val="clear" w:color="auto" w:fill="FFFFFF"/>
              <w:spacing w:line="440" w:lineRule="exact"/>
              <w:ind w:firstLine="99"/>
              <w:jc w:val="center"/>
              <w:rPr>
                <w:rFonts w:ascii="宋体" w:hAnsi="宋体" w:cs="宋体"/>
                <w:color w:val="auto"/>
                <w:sz w:val="24"/>
                <w:highlight w:val="none"/>
              </w:rPr>
            </w:pPr>
          </w:p>
        </w:tc>
        <w:tc>
          <w:tcPr>
            <w:tcW w:w="2132" w:type="dxa"/>
            <w:tcBorders>
              <w:top w:val="single" w:color="auto" w:sz="6" w:space="0"/>
              <w:left w:val="single" w:color="auto" w:sz="6" w:space="0"/>
              <w:bottom w:val="single" w:color="auto" w:sz="6" w:space="0"/>
              <w:right w:val="single" w:color="auto" w:sz="6" w:space="0"/>
            </w:tcBorders>
            <w:vAlign w:val="center"/>
          </w:tcPr>
          <w:p>
            <w:pPr>
              <w:shd w:val="clear" w:color="auto" w:fill="FFFFFF"/>
              <w:spacing w:line="440" w:lineRule="exact"/>
              <w:ind w:firstLine="99"/>
              <w:jc w:val="center"/>
              <w:rPr>
                <w:rFonts w:ascii="宋体" w:hAnsi="宋体" w:cs="宋体"/>
                <w:color w:val="auto"/>
                <w:sz w:val="24"/>
                <w:highlight w:val="none"/>
              </w:rPr>
            </w:pPr>
          </w:p>
        </w:tc>
        <w:tc>
          <w:tcPr>
            <w:tcW w:w="2434" w:type="dxa"/>
            <w:tcBorders>
              <w:top w:val="single" w:color="auto" w:sz="6" w:space="0"/>
              <w:left w:val="single" w:color="auto" w:sz="6" w:space="0"/>
              <w:bottom w:val="single" w:color="auto" w:sz="6" w:space="0"/>
              <w:right w:val="single" w:color="auto" w:sz="6" w:space="0"/>
            </w:tcBorders>
            <w:vAlign w:val="center"/>
          </w:tcPr>
          <w:p>
            <w:pPr>
              <w:shd w:val="clear" w:color="auto" w:fill="FFFFFF"/>
              <w:spacing w:line="440" w:lineRule="exact"/>
              <w:ind w:firstLine="99"/>
              <w:jc w:val="center"/>
              <w:rPr>
                <w:rFonts w:ascii="宋体" w:hAnsi="宋体" w:cs="宋体"/>
                <w:color w:val="auto"/>
                <w:sz w:val="24"/>
                <w:highlight w:val="none"/>
              </w:rPr>
            </w:pPr>
          </w:p>
        </w:tc>
      </w:tr>
      <w:tr>
        <w:tblPrEx>
          <w:tblCellMar>
            <w:top w:w="0" w:type="dxa"/>
            <w:left w:w="108" w:type="dxa"/>
            <w:bottom w:w="0" w:type="dxa"/>
            <w:right w:w="108" w:type="dxa"/>
          </w:tblCellMar>
        </w:tblPrEx>
        <w:trPr>
          <w:cantSplit/>
          <w:trHeight w:val="644" w:hRule="exact"/>
          <w:jc w:val="center"/>
        </w:trPr>
        <w:tc>
          <w:tcPr>
            <w:tcW w:w="936" w:type="dxa"/>
            <w:tcBorders>
              <w:top w:val="single" w:color="auto" w:sz="6" w:space="0"/>
              <w:left w:val="single" w:color="auto" w:sz="6" w:space="0"/>
              <w:bottom w:val="single" w:color="auto" w:sz="6" w:space="0"/>
              <w:right w:val="single" w:color="auto" w:sz="6" w:space="0"/>
            </w:tcBorders>
            <w:vAlign w:val="center"/>
          </w:tcPr>
          <w:p>
            <w:pPr>
              <w:shd w:val="clear" w:color="auto" w:fill="FFFFFF"/>
              <w:spacing w:line="440" w:lineRule="exact"/>
              <w:ind w:firstLine="99"/>
              <w:jc w:val="center"/>
              <w:rPr>
                <w:rFonts w:ascii="宋体" w:hAnsi="宋体" w:cs="宋体"/>
                <w:color w:val="auto"/>
                <w:sz w:val="24"/>
                <w:highlight w:val="none"/>
              </w:rPr>
            </w:pPr>
          </w:p>
        </w:tc>
        <w:tc>
          <w:tcPr>
            <w:tcW w:w="1795" w:type="dxa"/>
            <w:tcBorders>
              <w:top w:val="single" w:color="auto" w:sz="6" w:space="0"/>
              <w:left w:val="single" w:color="auto" w:sz="6" w:space="0"/>
              <w:bottom w:val="single" w:color="auto" w:sz="6" w:space="0"/>
              <w:right w:val="single" w:color="auto" w:sz="6" w:space="0"/>
            </w:tcBorders>
            <w:vAlign w:val="center"/>
          </w:tcPr>
          <w:p>
            <w:pPr>
              <w:shd w:val="clear" w:color="auto" w:fill="FFFFFF"/>
              <w:spacing w:line="440" w:lineRule="exact"/>
              <w:ind w:firstLine="99"/>
              <w:jc w:val="center"/>
              <w:rPr>
                <w:rFonts w:ascii="宋体" w:hAnsi="宋体" w:cs="宋体"/>
                <w:color w:val="auto"/>
                <w:sz w:val="24"/>
                <w:highlight w:val="none"/>
              </w:rPr>
            </w:pPr>
          </w:p>
        </w:tc>
        <w:tc>
          <w:tcPr>
            <w:tcW w:w="2020" w:type="dxa"/>
            <w:tcBorders>
              <w:top w:val="single" w:color="auto" w:sz="6" w:space="0"/>
              <w:left w:val="single" w:color="auto" w:sz="6" w:space="0"/>
              <w:bottom w:val="single" w:color="auto" w:sz="6" w:space="0"/>
              <w:right w:val="single" w:color="auto" w:sz="6" w:space="0"/>
            </w:tcBorders>
            <w:vAlign w:val="center"/>
          </w:tcPr>
          <w:p>
            <w:pPr>
              <w:shd w:val="clear" w:color="auto" w:fill="FFFFFF"/>
              <w:spacing w:line="440" w:lineRule="exact"/>
              <w:ind w:firstLine="99"/>
              <w:jc w:val="center"/>
              <w:rPr>
                <w:rFonts w:ascii="宋体" w:hAnsi="宋体" w:cs="宋体"/>
                <w:color w:val="auto"/>
                <w:sz w:val="24"/>
                <w:highlight w:val="none"/>
              </w:rPr>
            </w:pPr>
          </w:p>
        </w:tc>
        <w:tc>
          <w:tcPr>
            <w:tcW w:w="2132" w:type="dxa"/>
            <w:tcBorders>
              <w:top w:val="single" w:color="auto" w:sz="6" w:space="0"/>
              <w:left w:val="single" w:color="auto" w:sz="6" w:space="0"/>
              <w:bottom w:val="single" w:color="auto" w:sz="6" w:space="0"/>
              <w:right w:val="single" w:color="auto" w:sz="6" w:space="0"/>
            </w:tcBorders>
            <w:vAlign w:val="center"/>
          </w:tcPr>
          <w:p>
            <w:pPr>
              <w:shd w:val="clear" w:color="auto" w:fill="FFFFFF"/>
              <w:spacing w:line="440" w:lineRule="exact"/>
              <w:ind w:firstLine="99"/>
              <w:jc w:val="center"/>
              <w:rPr>
                <w:rFonts w:ascii="宋体" w:hAnsi="宋体" w:cs="宋体"/>
                <w:color w:val="auto"/>
                <w:sz w:val="24"/>
                <w:highlight w:val="none"/>
              </w:rPr>
            </w:pPr>
          </w:p>
        </w:tc>
        <w:tc>
          <w:tcPr>
            <w:tcW w:w="2434" w:type="dxa"/>
            <w:tcBorders>
              <w:top w:val="single" w:color="auto" w:sz="6" w:space="0"/>
              <w:left w:val="single" w:color="auto" w:sz="6" w:space="0"/>
              <w:bottom w:val="single" w:color="auto" w:sz="6" w:space="0"/>
              <w:right w:val="single" w:color="auto" w:sz="6" w:space="0"/>
            </w:tcBorders>
            <w:vAlign w:val="center"/>
          </w:tcPr>
          <w:p>
            <w:pPr>
              <w:shd w:val="clear" w:color="auto" w:fill="FFFFFF"/>
              <w:spacing w:line="440" w:lineRule="exact"/>
              <w:ind w:firstLine="99"/>
              <w:jc w:val="center"/>
              <w:rPr>
                <w:rFonts w:ascii="宋体" w:hAnsi="宋体" w:cs="宋体"/>
                <w:color w:val="auto"/>
                <w:sz w:val="24"/>
                <w:highlight w:val="none"/>
              </w:rPr>
            </w:pPr>
          </w:p>
        </w:tc>
      </w:tr>
    </w:tbl>
    <w:p>
      <w:pPr>
        <w:shd w:val="clear" w:color="auto" w:fill="FFFFFF"/>
        <w:spacing w:line="440" w:lineRule="exact"/>
        <w:ind w:firstLine="99"/>
        <w:rPr>
          <w:rFonts w:ascii="宋体" w:hAnsi="宋体" w:cs="宋体"/>
          <w:color w:val="auto"/>
          <w:szCs w:val="21"/>
          <w:highlight w:val="none"/>
        </w:rPr>
      </w:pPr>
      <w:r>
        <w:rPr>
          <w:rFonts w:hint="eastAsia" w:ascii="宋体" w:hAnsi="宋体" w:eastAsia="宋体" w:cs="宋体"/>
          <w:color w:val="auto"/>
          <w:sz w:val="24"/>
          <w:szCs w:val="28"/>
          <w:highlight w:val="none"/>
        </w:rPr>
        <w:t>本项目商务条款至少包括：</w:t>
      </w:r>
      <w:r>
        <w:rPr>
          <w:rFonts w:hint="eastAsia" w:ascii="宋体" w:hAnsi="宋体" w:eastAsia="宋体" w:cs="宋体"/>
          <w:color w:val="auto"/>
          <w:sz w:val="24"/>
          <w:szCs w:val="28"/>
          <w:highlight w:val="none"/>
          <w:lang w:val="en-US" w:eastAsia="zh-CN"/>
        </w:rPr>
        <w:t>交货</w:t>
      </w:r>
      <w:r>
        <w:rPr>
          <w:rFonts w:hint="eastAsia" w:ascii="宋体" w:hAnsi="宋体" w:eastAsia="宋体" w:cs="宋体"/>
          <w:color w:val="auto"/>
          <w:sz w:val="24"/>
          <w:szCs w:val="28"/>
          <w:highlight w:val="none"/>
        </w:rPr>
        <w:t>期、采购内容、投标保证金响应、投标文件有效期等，投标人必须按</w:t>
      </w:r>
      <w:r>
        <w:rPr>
          <w:rFonts w:hint="eastAsia" w:ascii="宋体" w:hAnsi="宋体" w:eastAsia="宋体" w:cs="宋体"/>
          <w:color w:val="auto"/>
          <w:sz w:val="24"/>
          <w:szCs w:val="28"/>
          <w:highlight w:val="none"/>
          <w:lang w:eastAsia="zh-CN"/>
        </w:rPr>
        <w:t>招标文件</w:t>
      </w:r>
      <w:r>
        <w:rPr>
          <w:rFonts w:hint="eastAsia" w:ascii="宋体" w:hAnsi="宋体" w:eastAsia="宋体" w:cs="宋体"/>
          <w:color w:val="auto"/>
          <w:sz w:val="24"/>
          <w:szCs w:val="28"/>
          <w:highlight w:val="none"/>
        </w:rPr>
        <w:t>给定的条款填写，否则视为不响应招标。</w:t>
      </w:r>
    </w:p>
    <w:p>
      <w:pPr>
        <w:shd w:val="clear" w:color="auto" w:fill="FFFFFF"/>
        <w:spacing w:line="500" w:lineRule="exact"/>
        <w:ind w:left="424" w:leftChars="202"/>
        <w:rPr>
          <w:rFonts w:ascii="宋体" w:hAnsi="宋体" w:cs="宋体"/>
          <w:color w:val="auto"/>
          <w:sz w:val="24"/>
          <w:highlight w:val="none"/>
        </w:rPr>
      </w:pPr>
      <w:r>
        <w:rPr>
          <w:rFonts w:hint="eastAsia" w:ascii="宋体" w:hAnsi="宋体" w:cs="宋体"/>
          <w:color w:val="auto"/>
          <w:sz w:val="24"/>
          <w:highlight w:val="none"/>
        </w:rPr>
        <w:t>供应商（电子公章）：</w:t>
      </w:r>
    </w:p>
    <w:p>
      <w:pPr>
        <w:shd w:val="clear" w:color="auto" w:fill="FFFFFF"/>
        <w:tabs>
          <w:tab w:val="left" w:pos="3780"/>
        </w:tabs>
        <w:spacing w:line="440" w:lineRule="exact"/>
        <w:ind w:left="424" w:leftChars="202"/>
        <w:rPr>
          <w:rFonts w:ascii="宋体" w:hAnsi="宋体" w:cs="宋体"/>
          <w:color w:val="auto"/>
          <w:sz w:val="24"/>
          <w:highlight w:val="none"/>
        </w:rPr>
      </w:pPr>
      <w:r>
        <w:rPr>
          <w:rFonts w:hint="eastAsia" w:ascii="宋体" w:hAnsi="宋体" w:cs="宋体"/>
          <w:color w:val="auto"/>
          <w:sz w:val="24"/>
          <w:highlight w:val="none"/>
        </w:rPr>
        <w:t>法定代表人或企业负责人或授权代理人（签字或签章）：</w:t>
      </w:r>
    </w:p>
    <w:p>
      <w:pPr>
        <w:widowControl/>
        <w:spacing w:line="440" w:lineRule="exact"/>
        <w:ind w:left="424" w:leftChars="202"/>
        <w:jc w:val="left"/>
        <w:rPr>
          <w:rFonts w:ascii="宋体" w:hAnsi="宋体" w:cs="宋体"/>
          <w:color w:val="auto"/>
          <w:kern w:val="0"/>
          <w:sz w:val="24"/>
          <w:highlight w:val="none"/>
        </w:rPr>
      </w:pPr>
      <w:r>
        <w:rPr>
          <w:rFonts w:hint="eastAsia" w:ascii="宋体" w:hAnsi="宋体" w:cs="宋体"/>
          <w:color w:val="auto"/>
          <w:sz w:val="24"/>
          <w:highlight w:val="none"/>
        </w:rPr>
        <w:t>日期：   年   月   日</w:t>
      </w:r>
    </w:p>
    <w:p>
      <w:pPr>
        <w:widowControl/>
        <w:jc w:val="left"/>
        <w:rPr>
          <w:rFonts w:ascii="宋体" w:hAnsi="宋体" w:cs="宋体"/>
          <w:b/>
          <w:bCs/>
          <w:color w:val="auto"/>
          <w:kern w:val="0"/>
          <w:sz w:val="24"/>
          <w:highlight w:val="none"/>
        </w:rPr>
      </w:pPr>
      <w:r>
        <w:rPr>
          <w:rFonts w:hint="eastAsia" w:ascii="宋体" w:hAnsi="宋体" w:cs="宋体"/>
          <w:b/>
          <w:bCs/>
          <w:color w:val="auto"/>
          <w:kern w:val="0"/>
          <w:sz w:val="24"/>
          <w:highlight w:val="none"/>
        </w:rPr>
        <w:br w:type="page"/>
      </w:r>
    </w:p>
    <w:p>
      <w:pPr>
        <w:widowControl/>
        <w:jc w:val="left"/>
        <w:rPr>
          <w:rFonts w:ascii="宋体" w:hAnsi="宋体" w:cs="宋体"/>
          <w:color w:val="auto"/>
          <w:szCs w:val="21"/>
          <w:highlight w:val="none"/>
        </w:rPr>
      </w:pPr>
      <w:r>
        <w:rPr>
          <w:rFonts w:hint="eastAsia" w:ascii="宋体" w:hAnsi="宋体" w:cs="宋体"/>
          <w:bCs/>
          <w:color w:val="auto"/>
          <w:kern w:val="0"/>
          <w:sz w:val="24"/>
          <w:highlight w:val="none"/>
        </w:rPr>
        <w:t>（四）同类项目业绩</w:t>
      </w:r>
    </w:p>
    <w:p>
      <w:pPr>
        <w:widowControl/>
        <w:jc w:val="center"/>
        <w:rPr>
          <w:rFonts w:ascii="宋体" w:hAnsi="宋体" w:cs="宋体"/>
          <w:b/>
          <w:color w:val="auto"/>
          <w:sz w:val="28"/>
          <w:szCs w:val="28"/>
          <w:highlight w:val="none"/>
        </w:rPr>
      </w:pPr>
    </w:p>
    <w:p>
      <w:pPr>
        <w:widowControl/>
        <w:jc w:val="center"/>
        <w:rPr>
          <w:rFonts w:ascii="宋体" w:hAnsi="宋体" w:cs="宋体"/>
          <w:bCs/>
          <w:color w:val="auto"/>
          <w:sz w:val="24"/>
          <w:highlight w:val="none"/>
        </w:rPr>
      </w:pPr>
      <w:r>
        <w:rPr>
          <w:rFonts w:hint="eastAsia" w:ascii="宋体" w:hAnsi="宋体" w:cs="宋体"/>
          <w:b/>
          <w:color w:val="auto"/>
          <w:sz w:val="28"/>
          <w:szCs w:val="28"/>
          <w:highlight w:val="none"/>
        </w:rPr>
        <w:t>近三年类似项目业绩表</w:t>
      </w:r>
    </w:p>
    <w:tbl>
      <w:tblPr>
        <w:tblStyle w:val="61"/>
        <w:tblW w:w="0" w:type="auto"/>
        <w:jc w:val="center"/>
        <w:tblLayout w:type="fixed"/>
        <w:tblCellMar>
          <w:top w:w="0" w:type="dxa"/>
          <w:left w:w="108" w:type="dxa"/>
          <w:bottom w:w="0" w:type="dxa"/>
          <w:right w:w="108" w:type="dxa"/>
        </w:tblCellMar>
      </w:tblPr>
      <w:tblGrid>
        <w:gridCol w:w="2487"/>
        <w:gridCol w:w="3075"/>
        <w:gridCol w:w="1312"/>
        <w:gridCol w:w="2396"/>
      </w:tblGrid>
      <w:tr>
        <w:tblPrEx>
          <w:tblCellMar>
            <w:top w:w="0" w:type="dxa"/>
            <w:left w:w="108" w:type="dxa"/>
            <w:bottom w:w="0" w:type="dxa"/>
            <w:right w:w="108" w:type="dxa"/>
          </w:tblCellMar>
        </w:tblPrEx>
        <w:trPr>
          <w:trHeight w:val="606" w:hRule="atLeast"/>
          <w:jc w:val="center"/>
        </w:trPr>
        <w:tc>
          <w:tcPr>
            <w:tcW w:w="2487" w:type="dxa"/>
            <w:tcBorders>
              <w:top w:val="single" w:color="000000" w:sz="6" w:space="0"/>
              <w:left w:val="single" w:color="000000" w:sz="6" w:space="0"/>
              <w:bottom w:val="single" w:color="000000" w:sz="6" w:space="0"/>
            </w:tcBorders>
            <w:noWrap/>
            <w:vAlign w:val="center"/>
          </w:tcPr>
          <w:p>
            <w:pPr>
              <w:jc w:val="center"/>
              <w:rPr>
                <w:rFonts w:ascii="宋体" w:hAnsi="宋体"/>
                <w:color w:val="auto"/>
                <w:highlight w:val="none"/>
              </w:rPr>
            </w:pPr>
            <w:r>
              <w:rPr>
                <w:rFonts w:hint="eastAsia" w:ascii="宋体" w:hAnsi="宋体" w:cs="宋体;SimSun"/>
                <w:color w:val="auto"/>
                <w:sz w:val="24"/>
                <w:highlight w:val="none"/>
              </w:rPr>
              <w:t>用户名称</w:t>
            </w:r>
          </w:p>
        </w:tc>
        <w:tc>
          <w:tcPr>
            <w:tcW w:w="3075" w:type="dxa"/>
            <w:tcBorders>
              <w:top w:val="single" w:color="000000" w:sz="6" w:space="0"/>
              <w:left w:val="single" w:color="000000" w:sz="6" w:space="0"/>
              <w:bottom w:val="single" w:color="000000" w:sz="6" w:space="0"/>
            </w:tcBorders>
            <w:noWrap/>
            <w:vAlign w:val="center"/>
          </w:tcPr>
          <w:p>
            <w:pPr>
              <w:jc w:val="center"/>
              <w:rPr>
                <w:rFonts w:ascii="宋体" w:hAnsi="宋体"/>
                <w:color w:val="auto"/>
                <w:highlight w:val="none"/>
              </w:rPr>
            </w:pPr>
            <w:r>
              <w:rPr>
                <w:rFonts w:hint="eastAsia" w:ascii="宋体" w:hAnsi="宋体" w:cs="宋体;SimSun"/>
                <w:color w:val="auto"/>
                <w:sz w:val="24"/>
                <w:highlight w:val="none"/>
              </w:rPr>
              <w:t>联系电话</w:t>
            </w:r>
          </w:p>
        </w:tc>
        <w:tc>
          <w:tcPr>
            <w:tcW w:w="1312" w:type="dxa"/>
            <w:tcBorders>
              <w:top w:val="single" w:color="000000" w:sz="6" w:space="0"/>
              <w:left w:val="single" w:color="000000" w:sz="6" w:space="0"/>
              <w:bottom w:val="single" w:color="000000" w:sz="6" w:space="0"/>
            </w:tcBorders>
            <w:noWrap/>
            <w:vAlign w:val="center"/>
          </w:tcPr>
          <w:p>
            <w:pPr>
              <w:jc w:val="center"/>
              <w:rPr>
                <w:rFonts w:ascii="宋体" w:hAnsi="宋体"/>
                <w:color w:val="auto"/>
                <w:highlight w:val="none"/>
              </w:rPr>
            </w:pPr>
            <w:r>
              <w:rPr>
                <w:rFonts w:hint="eastAsia" w:ascii="宋体" w:hAnsi="宋体" w:cs="宋体;SimSun"/>
                <w:color w:val="auto"/>
                <w:sz w:val="24"/>
                <w:highlight w:val="none"/>
              </w:rPr>
              <w:t>服务期限</w:t>
            </w:r>
          </w:p>
        </w:tc>
        <w:tc>
          <w:tcPr>
            <w:tcW w:w="2396"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olor w:val="auto"/>
                <w:highlight w:val="none"/>
              </w:rPr>
            </w:pPr>
            <w:r>
              <w:rPr>
                <w:rFonts w:hint="eastAsia" w:ascii="宋体" w:hAnsi="宋体" w:cs="宋体;SimSun"/>
                <w:color w:val="auto"/>
                <w:sz w:val="24"/>
                <w:highlight w:val="none"/>
              </w:rPr>
              <w:t>备注</w:t>
            </w:r>
          </w:p>
        </w:tc>
      </w:tr>
      <w:tr>
        <w:tblPrEx>
          <w:tblCellMar>
            <w:top w:w="0" w:type="dxa"/>
            <w:left w:w="108" w:type="dxa"/>
            <w:bottom w:w="0" w:type="dxa"/>
            <w:right w:w="108" w:type="dxa"/>
          </w:tblCellMar>
        </w:tblPrEx>
        <w:trPr>
          <w:trHeight w:val="532" w:hRule="atLeast"/>
          <w:jc w:val="center"/>
        </w:trPr>
        <w:tc>
          <w:tcPr>
            <w:tcW w:w="2487" w:type="dxa"/>
            <w:tcBorders>
              <w:top w:val="single" w:color="000000" w:sz="6" w:space="0"/>
              <w:left w:val="single" w:color="000000" w:sz="6" w:space="0"/>
              <w:bottom w:val="single" w:color="000000" w:sz="6" w:space="0"/>
            </w:tcBorders>
            <w:noWrap/>
            <w:vAlign w:val="center"/>
          </w:tcPr>
          <w:p>
            <w:pPr>
              <w:snapToGrid w:val="0"/>
              <w:jc w:val="center"/>
              <w:rPr>
                <w:rFonts w:ascii="宋体" w:hAnsi="宋体"/>
                <w:color w:val="auto"/>
                <w:highlight w:val="none"/>
              </w:rPr>
            </w:pPr>
          </w:p>
        </w:tc>
        <w:tc>
          <w:tcPr>
            <w:tcW w:w="3075" w:type="dxa"/>
            <w:tcBorders>
              <w:top w:val="single" w:color="000000" w:sz="6" w:space="0"/>
              <w:left w:val="single" w:color="000000" w:sz="6" w:space="0"/>
              <w:bottom w:val="single" w:color="000000" w:sz="6" w:space="0"/>
            </w:tcBorders>
            <w:noWrap/>
            <w:vAlign w:val="center"/>
          </w:tcPr>
          <w:p>
            <w:pPr>
              <w:snapToGrid w:val="0"/>
              <w:jc w:val="center"/>
              <w:rPr>
                <w:rFonts w:ascii="宋体" w:hAnsi="宋体"/>
                <w:color w:val="auto"/>
                <w:highlight w:val="none"/>
              </w:rPr>
            </w:pPr>
          </w:p>
        </w:tc>
        <w:tc>
          <w:tcPr>
            <w:tcW w:w="1312" w:type="dxa"/>
            <w:tcBorders>
              <w:top w:val="single" w:color="000000" w:sz="6" w:space="0"/>
              <w:left w:val="single" w:color="000000" w:sz="6" w:space="0"/>
              <w:bottom w:val="single" w:color="000000" w:sz="6" w:space="0"/>
            </w:tcBorders>
            <w:noWrap/>
            <w:vAlign w:val="center"/>
          </w:tcPr>
          <w:p>
            <w:pPr>
              <w:snapToGrid w:val="0"/>
              <w:jc w:val="center"/>
              <w:rPr>
                <w:rFonts w:ascii="宋体" w:hAnsi="宋体"/>
                <w:color w:val="auto"/>
                <w:highlight w:val="none"/>
              </w:rPr>
            </w:pPr>
          </w:p>
        </w:tc>
        <w:tc>
          <w:tcPr>
            <w:tcW w:w="2396" w:type="dxa"/>
            <w:tcBorders>
              <w:top w:val="single" w:color="000000" w:sz="6" w:space="0"/>
              <w:left w:val="single" w:color="000000" w:sz="6" w:space="0"/>
              <w:bottom w:val="single" w:color="000000" w:sz="6" w:space="0"/>
              <w:right w:val="single" w:color="000000" w:sz="6" w:space="0"/>
            </w:tcBorders>
            <w:noWrap/>
            <w:vAlign w:val="center"/>
          </w:tcPr>
          <w:p>
            <w:pPr>
              <w:snapToGrid w:val="0"/>
              <w:jc w:val="center"/>
              <w:rPr>
                <w:rFonts w:ascii="宋体" w:hAnsi="宋体"/>
                <w:color w:val="auto"/>
                <w:highlight w:val="none"/>
              </w:rPr>
            </w:pPr>
          </w:p>
        </w:tc>
      </w:tr>
      <w:tr>
        <w:tblPrEx>
          <w:tblCellMar>
            <w:top w:w="0" w:type="dxa"/>
            <w:left w:w="108" w:type="dxa"/>
            <w:bottom w:w="0" w:type="dxa"/>
            <w:right w:w="108" w:type="dxa"/>
          </w:tblCellMar>
        </w:tblPrEx>
        <w:trPr>
          <w:trHeight w:val="532" w:hRule="atLeast"/>
          <w:jc w:val="center"/>
        </w:trPr>
        <w:tc>
          <w:tcPr>
            <w:tcW w:w="2487" w:type="dxa"/>
            <w:tcBorders>
              <w:top w:val="single" w:color="000000" w:sz="6" w:space="0"/>
              <w:left w:val="single" w:color="000000" w:sz="6" w:space="0"/>
              <w:bottom w:val="single" w:color="000000" w:sz="6" w:space="0"/>
            </w:tcBorders>
            <w:noWrap/>
            <w:vAlign w:val="center"/>
          </w:tcPr>
          <w:p>
            <w:pPr>
              <w:snapToGrid w:val="0"/>
              <w:jc w:val="center"/>
              <w:rPr>
                <w:rFonts w:ascii="宋体" w:hAnsi="宋体"/>
                <w:color w:val="auto"/>
                <w:highlight w:val="none"/>
              </w:rPr>
            </w:pPr>
          </w:p>
        </w:tc>
        <w:tc>
          <w:tcPr>
            <w:tcW w:w="3075" w:type="dxa"/>
            <w:tcBorders>
              <w:top w:val="single" w:color="000000" w:sz="6" w:space="0"/>
              <w:left w:val="single" w:color="000000" w:sz="6" w:space="0"/>
              <w:bottom w:val="single" w:color="000000" w:sz="6" w:space="0"/>
            </w:tcBorders>
            <w:noWrap/>
            <w:vAlign w:val="center"/>
          </w:tcPr>
          <w:p>
            <w:pPr>
              <w:snapToGrid w:val="0"/>
              <w:jc w:val="center"/>
              <w:rPr>
                <w:rFonts w:ascii="宋体" w:hAnsi="宋体"/>
                <w:color w:val="auto"/>
                <w:highlight w:val="none"/>
              </w:rPr>
            </w:pPr>
          </w:p>
        </w:tc>
        <w:tc>
          <w:tcPr>
            <w:tcW w:w="1312" w:type="dxa"/>
            <w:tcBorders>
              <w:top w:val="single" w:color="000000" w:sz="6" w:space="0"/>
              <w:left w:val="single" w:color="000000" w:sz="6" w:space="0"/>
              <w:bottom w:val="single" w:color="000000" w:sz="6" w:space="0"/>
            </w:tcBorders>
            <w:noWrap/>
            <w:vAlign w:val="center"/>
          </w:tcPr>
          <w:p>
            <w:pPr>
              <w:snapToGrid w:val="0"/>
              <w:jc w:val="center"/>
              <w:rPr>
                <w:rFonts w:ascii="宋体" w:hAnsi="宋体"/>
                <w:color w:val="auto"/>
                <w:highlight w:val="none"/>
              </w:rPr>
            </w:pPr>
          </w:p>
        </w:tc>
        <w:tc>
          <w:tcPr>
            <w:tcW w:w="2396" w:type="dxa"/>
            <w:tcBorders>
              <w:top w:val="single" w:color="000000" w:sz="6" w:space="0"/>
              <w:left w:val="single" w:color="000000" w:sz="6" w:space="0"/>
              <w:bottom w:val="single" w:color="000000" w:sz="6" w:space="0"/>
              <w:right w:val="single" w:color="000000" w:sz="6" w:space="0"/>
            </w:tcBorders>
            <w:noWrap/>
            <w:vAlign w:val="center"/>
          </w:tcPr>
          <w:p>
            <w:pPr>
              <w:snapToGrid w:val="0"/>
              <w:jc w:val="center"/>
              <w:rPr>
                <w:rFonts w:ascii="宋体" w:hAnsi="宋体"/>
                <w:color w:val="auto"/>
                <w:highlight w:val="none"/>
              </w:rPr>
            </w:pPr>
          </w:p>
        </w:tc>
      </w:tr>
      <w:tr>
        <w:tblPrEx>
          <w:tblCellMar>
            <w:top w:w="0" w:type="dxa"/>
            <w:left w:w="108" w:type="dxa"/>
            <w:bottom w:w="0" w:type="dxa"/>
            <w:right w:w="108" w:type="dxa"/>
          </w:tblCellMar>
        </w:tblPrEx>
        <w:trPr>
          <w:trHeight w:val="532" w:hRule="atLeast"/>
          <w:jc w:val="center"/>
        </w:trPr>
        <w:tc>
          <w:tcPr>
            <w:tcW w:w="2487" w:type="dxa"/>
            <w:tcBorders>
              <w:top w:val="single" w:color="000000" w:sz="6" w:space="0"/>
              <w:left w:val="single" w:color="000000" w:sz="6" w:space="0"/>
              <w:bottom w:val="single" w:color="000000" w:sz="6" w:space="0"/>
            </w:tcBorders>
            <w:noWrap/>
            <w:vAlign w:val="center"/>
          </w:tcPr>
          <w:p>
            <w:pPr>
              <w:snapToGrid w:val="0"/>
              <w:jc w:val="center"/>
              <w:rPr>
                <w:rFonts w:ascii="宋体" w:hAnsi="宋体"/>
                <w:color w:val="auto"/>
                <w:highlight w:val="none"/>
              </w:rPr>
            </w:pPr>
          </w:p>
        </w:tc>
        <w:tc>
          <w:tcPr>
            <w:tcW w:w="3075" w:type="dxa"/>
            <w:tcBorders>
              <w:top w:val="single" w:color="000000" w:sz="6" w:space="0"/>
              <w:left w:val="single" w:color="000000" w:sz="6" w:space="0"/>
              <w:bottom w:val="single" w:color="000000" w:sz="6" w:space="0"/>
            </w:tcBorders>
            <w:noWrap/>
            <w:vAlign w:val="center"/>
          </w:tcPr>
          <w:p>
            <w:pPr>
              <w:snapToGrid w:val="0"/>
              <w:jc w:val="center"/>
              <w:rPr>
                <w:rFonts w:ascii="宋体" w:hAnsi="宋体"/>
                <w:color w:val="auto"/>
                <w:highlight w:val="none"/>
              </w:rPr>
            </w:pPr>
          </w:p>
        </w:tc>
        <w:tc>
          <w:tcPr>
            <w:tcW w:w="1312" w:type="dxa"/>
            <w:tcBorders>
              <w:top w:val="single" w:color="000000" w:sz="6" w:space="0"/>
              <w:left w:val="single" w:color="000000" w:sz="6" w:space="0"/>
              <w:bottom w:val="single" w:color="000000" w:sz="6" w:space="0"/>
            </w:tcBorders>
            <w:noWrap/>
            <w:vAlign w:val="center"/>
          </w:tcPr>
          <w:p>
            <w:pPr>
              <w:snapToGrid w:val="0"/>
              <w:jc w:val="center"/>
              <w:rPr>
                <w:rFonts w:ascii="宋体" w:hAnsi="宋体"/>
                <w:color w:val="auto"/>
                <w:highlight w:val="none"/>
              </w:rPr>
            </w:pPr>
          </w:p>
        </w:tc>
        <w:tc>
          <w:tcPr>
            <w:tcW w:w="2396" w:type="dxa"/>
            <w:tcBorders>
              <w:top w:val="single" w:color="000000" w:sz="6" w:space="0"/>
              <w:left w:val="single" w:color="000000" w:sz="6" w:space="0"/>
              <w:bottom w:val="single" w:color="000000" w:sz="6" w:space="0"/>
              <w:right w:val="single" w:color="000000" w:sz="6" w:space="0"/>
            </w:tcBorders>
            <w:noWrap/>
            <w:vAlign w:val="center"/>
          </w:tcPr>
          <w:p>
            <w:pPr>
              <w:snapToGrid w:val="0"/>
              <w:jc w:val="center"/>
              <w:rPr>
                <w:rFonts w:ascii="宋体" w:hAnsi="宋体"/>
                <w:color w:val="auto"/>
                <w:highlight w:val="none"/>
              </w:rPr>
            </w:pPr>
          </w:p>
        </w:tc>
      </w:tr>
      <w:tr>
        <w:tblPrEx>
          <w:tblCellMar>
            <w:top w:w="0" w:type="dxa"/>
            <w:left w:w="108" w:type="dxa"/>
            <w:bottom w:w="0" w:type="dxa"/>
            <w:right w:w="108" w:type="dxa"/>
          </w:tblCellMar>
        </w:tblPrEx>
        <w:trPr>
          <w:trHeight w:val="532" w:hRule="atLeast"/>
          <w:jc w:val="center"/>
        </w:trPr>
        <w:tc>
          <w:tcPr>
            <w:tcW w:w="2487" w:type="dxa"/>
            <w:tcBorders>
              <w:top w:val="single" w:color="000000" w:sz="6" w:space="0"/>
              <w:left w:val="single" w:color="000000" w:sz="6" w:space="0"/>
              <w:bottom w:val="single" w:color="000000" w:sz="6" w:space="0"/>
            </w:tcBorders>
            <w:noWrap/>
            <w:vAlign w:val="center"/>
          </w:tcPr>
          <w:p>
            <w:pPr>
              <w:snapToGrid w:val="0"/>
              <w:jc w:val="center"/>
              <w:rPr>
                <w:rFonts w:ascii="宋体" w:hAnsi="宋体"/>
                <w:color w:val="auto"/>
                <w:highlight w:val="none"/>
              </w:rPr>
            </w:pPr>
          </w:p>
        </w:tc>
        <w:tc>
          <w:tcPr>
            <w:tcW w:w="3075" w:type="dxa"/>
            <w:tcBorders>
              <w:top w:val="single" w:color="000000" w:sz="6" w:space="0"/>
              <w:left w:val="single" w:color="000000" w:sz="6" w:space="0"/>
              <w:bottom w:val="single" w:color="000000" w:sz="6" w:space="0"/>
            </w:tcBorders>
            <w:noWrap/>
            <w:vAlign w:val="center"/>
          </w:tcPr>
          <w:p>
            <w:pPr>
              <w:snapToGrid w:val="0"/>
              <w:jc w:val="center"/>
              <w:rPr>
                <w:rFonts w:ascii="宋体" w:hAnsi="宋体"/>
                <w:color w:val="auto"/>
                <w:highlight w:val="none"/>
              </w:rPr>
            </w:pPr>
          </w:p>
        </w:tc>
        <w:tc>
          <w:tcPr>
            <w:tcW w:w="1312" w:type="dxa"/>
            <w:tcBorders>
              <w:top w:val="single" w:color="000000" w:sz="6" w:space="0"/>
              <w:left w:val="single" w:color="000000" w:sz="6" w:space="0"/>
              <w:bottom w:val="single" w:color="000000" w:sz="6" w:space="0"/>
            </w:tcBorders>
            <w:noWrap/>
            <w:vAlign w:val="center"/>
          </w:tcPr>
          <w:p>
            <w:pPr>
              <w:snapToGrid w:val="0"/>
              <w:jc w:val="center"/>
              <w:rPr>
                <w:rFonts w:ascii="宋体" w:hAnsi="宋体"/>
                <w:color w:val="auto"/>
                <w:highlight w:val="none"/>
              </w:rPr>
            </w:pPr>
          </w:p>
        </w:tc>
        <w:tc>
          <w:tcPr>
            <w:tcW w:w="2396" w:type="dxa"/>
            <w:tcBorders>
              <w:top w:val="single" w:color="000000" w:sz="6" w:space="0"/>
              <w:left w:val="single" w:color="000000" w:sz="6" w:space="0"/>
              <w:bottom w:val="single" w:color="000000" w:sz="6" w:space="0"/>
              <w:right w:val="single" w:color="000000" w:sz="6" w:space="0"/>
            </w:tcBorders>
            <w:noWrap/>
            <w:vAlign w:val="center"/>
          </w:tcPr>
          <w:p>
            <w:pPr>
              <w:snapToGrid w:val="0"/>
              <w:jc w:val="center"/>
              <w:rPr>
                <w:rFonts w:ascii="宋体" w:hAnsi="宋体"/>
                <w:color w:val="auto"/>
                <w:highlight w:val="none"/>
              </w:rPr>
            </w:pPr>
          </w:p>
        </w:tc>
      </w:tr>
      <w:tr>
        <w:tblPrEx>
          <w:tblCellMar>
            <w:top w:w="0" w:type="dxa"/>
            <w:left w:w="108" w:type="dxa"/>
            <w:bottom w:w="0" w:type="dxa"/>
            <w:right w:w="108" w:type="dxa"/>
          </w:tblCellMar>
        </w:tblPrEx>
        <w:trPr>
          <w:trHeight w:val="532" w:hRule="atLeast"/>
          <w:jc w:val="center"/>
        </w:trPr>
        <w:tc>
          <w:tcPr>
            <w:tcW w:w="2487" w:type="dxa"/>
            <w:tcBorders>
              <w:top w:val="single" w:color="000000" w:sz="6" w:space="0"/>
              <w:left w:val="single" w:color="000000" w:sz="6" w:space="0"/>
              <w:bottom w:val="single" w:color="000000" w:sz="6" w:space="0"/>
            </w:tcBorders>
            <w:noWrap/>
            <w:vAlign w:val="center"/>
          </w:tcPr>
          <w:p>
            <w:pPr>
              <w:snapToGrid w:val="0"/>
              <w:jc w:val="center"/>
              <w:rPr>
                <w:rFonts w:ascii="宋体" w:hAnsi="宋体"/>
                <w:color w:val="auto"/>
                <w:highlight w:val="none"/>
              </w:rPr>
            </w:pPr>
          </w:p>
        </w:tc>
        <w:tc>
          <w:tcPr>
            <w:tcW w:w="3075" w:type="dxa"/>
            <w:tcBorders>
              <w:top w:val="single" w:color="000000" w:sz="6" w:space="0"/>
              <w:left w:val="single" w:color="000000" w:sz="6" w:space="0"/>
              <w:bottom w:val="single" w:color="000000" w:sz="6" w:space="0"/>
            </w:tcBorders>
            <w:noWrap/>
            <w:vAlign w:val="center"/>
          </w:tcPr>
          <w:p>
            <w:pPr>
              <w:snapToGrid w:val="0"/>
              <w:jc w:val="center"/>
              <w:rPr>
                <w:rFonts w:ascii="宋体" w:hAnsi="宋体"/>
                <w:color w:val="auto"/>
                <w:highlight w:val="none"/>
              </w:rPr>
            </w:pPr>
          </w:p>
        </w:tc>
        <w:tc>
          <w:tcPr>
            <w:tcW w:w="1312" w:type="dxa"/>
            <w:tcBorders>
              <w:top w:val="single" w:color="000000" w:sz="6" w:space="0"/>
              <w:left w:val="single" w:color="000000" w:sz="6" w:space="0"/>
              <w:bottom w:val="single" w:color="000000" w:sz="6" w:space="0"/>
            </w:tcBorders>
            <w:noWrap/>
            <w:vAlign w:val="center"/>
          </w:tcPr>
          <w:p>
            <w:pPr>
              <w:snapToGrid w:val="0"/>
              <w:jc w:val="center"/>
              <w:rPr>
                <w:rFonts w:ascii="宋体" w:hAnsi="宋体"/>
                <w:color w:val="auto"/>
                <w:highlight w:val="none"/>
              </w:rPr>
            </w:pPr>
          </w:p>
        </w:tc>
        <w:tc>
          <w:tcPr>
            <w:tcW w:w="2396" w:type="dxa"/>
            <w:tcBorders>
              <w:top w:val="single" w:color="000000" w:sz="6" w:space="0"/>
              <w:left w:val="single" w:color="000000" w:sz="6" w:space="0"/>
              <w:bottom w:val="single" w:color="000000" w:sz="6" w:space="0"/>
              <w:right w:val="single" w:color="000000" w:sz="6" w:space="0"/>
            </w:tcBorders>
            <w:noWrap/>
            <w:vAlign w:val="center"/>
          </w:tcPr>
          <w:p>
            <w:pPr>
              <w:snapToGrid w:val="0"/>
              <w:jc w:val="center"/>
              <w:rPr>
                <w:rFonts w:ascii="宋体" w:hAnsi="宋体"/>
                <w:color w:val="auto"/>
                <w:highlight w:val="none"/>
              </w:rPr>
            </w:pPr>
          </w:p>
        </w:tc>
      </w:tr>
      <w:tr>
        <w:tblPrEx>
          <w:tblCellMar>
            <w:top w:w="0" w:type="dxa"/>
            <w:left w:w="108" w:type="dxa"/>
            <w:bottom w:w="0" w:type="dxa"/>
            <w:right w:w="108" w:type="dxa"/>
          </w:tblCellMar>
        </w:tblPrEx>
        <w:trPr>
          <w:trHeight w:val="532" w:hRule="atLeast"/>
          <w:jc w:val="center"/>
        </w:trPr>
        <w:tc>
          <w:tcPr>
            <w:tcW w:w="2487" w:type="dxa"/>
            <w:tcBorders>
              <w:top w:val="single" w:color="000000" w:sz="6" w:space="0"/>
              <w:left w:val="single" w:color="000000" w:sz="6" w:space="0"/>
              <w:bottom w:val="single" w:color="000000" w:sz="6" w:space="0"/>
            </w:tcBorders>
            <w:noWrap/>
            <w:vAlign w:val="center"/>
          </w:tcPr>
          <w:p>
            <w:pPr>
              <w:snapToGrid w:val="0"/>
              <w:jc w:val="center"/>
              <w:rPr>
                <w:rFonts w:ascii="宋体" w:hAnsi="宋体"/>
                <w:color w:val="auto"/>
                <w:highlight w:val="none"/>
              </w:rPr>
            </w:pPr>
          </w:p>
        </w:tc>
        <w:tc>
          <w:tcPr>
            <w:tcW w:w="3075" w:type="dxa"/>
            <w:tcBorders>
              <w:top w:val="single" w:color="000000" w:sz="6" w:space="0"/>
              <w:left w:val="single" w:color="000000" w:sz="6" w:space="0"/>
              <w:bottom w:val="single" w:color="000000" w:sz="6" w:space="0"/>
            </w:tcBorders>
            <w:noWrap/>
            <w:vAlign w:val="center"/>
          </w:tcPr>
          <w:p>
            <w:pPr>
              <w:snapToGrid w:val="0"/>
              <w:jc w:val="center"/>
              <w:rPr>
                <w:rFonts w:ascii="宋体" w:hAnsi="宋体"/>
                <w:color w:val="auto"/>
                <w:highlight w:val="none"/>
              </w:rPr>
            </w:pPr>
          </w:p>
        </w:tc>
        <w:tc>
          <w:tcPr>
            <w:tcW w:w="1312" w:type="dxa"/>
            <w:tcBorders>
              <w:top w:val="single" w:color="000000" w:sz="6" w:space="0"/>
              <w:left w:val="single" w:color="000000" w:sz="6" w:space="0"/>
              <w:bottom w:val="single" w:color="000000" w:sz="6" w:space="0"/>
            </w:tcBorders>
            <w:noWrap/>
            <w:vAlign w:val="center"/>
          </w:tcPr>
          <w:p>
            <w:pPr>
              <w:snapToGrid w:val="0"/>
              <w:jc w:val="center"/>
              <w:rPr>
                <w:rFonts w:ascii="宋体" w:hAnsi="宋体"/>
                <w:color w:val="auto"/>
                <w:highlight w:val="none"/>
              </w:rPr>
            </w:pPr>
          </w:p>
        </w:tc>
        <w:tc>
          <w:tcPr>
            <w:tcW w:w="2396" w:type="dxa"/>
            <w:tcBorders>
              <w:top w:val="single" w:color="000000" w:sz="6" w:space="0"/>
              <w:left w:val="single" w:color="000000" w:sz="6" w:space="0"/>
              <w:bottom w:val="single" w:color="000000" w:sz="6" w:space="0"/>
              <w:right w:val="single" w:color="000000" w:sz="6" w:space="0"/>
            </w:tcBorders>
            <w:noWrap/>
            <w:vAlign w:val="center"/>
          </w:tcPr>
          <w:p>
            <w:pPr>
              <w:snapToGrid w:val="0"/>
              <w:jc w:val="center"/>
              <w:rPr>
                <w:rFonts w:ascii="宋体" w:hAnsi="宋体"/>
                <w:color w:val="auto"/>
                <w:highlight w:val="none"/>
              </w:rPr>
            </w:pPr>
          </w:p>
        </w:tc>
      </w:tr>
      <w:tr>
        <w:tblPrEx>
          <w:tblCellMar>
            <w:top w:w="0" w:type="dxa"/>
            <w:left w:w="108" w:type="dxa"/>
            <w:bottom w:w="0" w:type="dxa"/>
            <w:right w:w="108" w:type="dxa"/>
          </w:tblCellMar>
        </w:tblPrEx>
        <w:trPr>
          <w:trHeight w:val="532" w:hRule="atLeast"/>
          <w:jc w:val="center"/>
        </w:trPr>
        <w:tc>
          <w:tcPr>
            <w:tcW w:w="2487" w:type="dxa"/>
            <w:tcBorders>
              <w:top w:val="single" w:color="000000" w:sz="6" w:space="0"/>
              <w:left w:val="single" w:color="000000" w:sz="6" w:space="0"/>
              <w:bottom w:val="single" w:color="000000" w:sz="6" w:space="0"/>
            </w:tcBorders>
            <w:noWrap/>
            <w:vAlign w:val="center"/>
          </w:tcPr>
          <w:p>
            <w:pPr>
              <w:snapToGrid w:val="0"/>
              <w:jc w:val="center"/>
              <w:rPr>
                <w:rFonts w:ascii="宋体" w:hAnsi="宋体"/>
                <w:color w:val="auto"/>
                <w:highlight w:val="none"/>
              </w:rPr>
            </w:pPr>
          </w:p>
        </w:tc>
        <w:tc>
          <w:tcPr>
            <w:tcW w:w="3075" w:type="dxa"/>
            <w:tcBorders>
              <w:top w:val="single" w:color="000000" w:sz="6" w:space="0"/>
              <w:left w:val="single" w:color="000000" w:sz="6" w:space="0"/>
              <w:bottom w:val="single" w:color="000000" w:sz="6" w:space="0"/>
            </w:tcBorders>
            <w:noWrap/>
            <w:vAlign w:val="center"/>
          </w:tcPr>
          <w:p>
            <w:pPr>
              <w:snapToGrid w:val="0"/>
              <w:jc w:val="center"/>
              <w:rPr>
                <w:rFonts w:ascii="宋体" w:hAnsi="宋体"/>
                <w:color w:val="auto"/>
                <w:highlight w:val="none"/>
              </w:rPr>
            </w:pPr>
          </w:p>
        </w:tc>
        <w:tc>
          <w:tcPr>
            <w:tcW w:w="1312" w:type="dxa"/>
            <w:tcBorders>
              <w:top w:val="single" w:color="000000" w:sz="6" w:space="0"/>
              <w:left w:val="single" w:color="000000" w:sz="6" w:space="0"/>
              <w:bottom w:val="single" w:color="000000" w:sz="6" w:space="0"/>
            </w:tcBorders>
            <w:noWrap/>
            <w:vAlign w:val="center"/>
          </w:tcPr>
          <w:p>
            <w:pPr>
              <w:snapToGrid w:val="0"/>
              <w:jc w:val="center"/>
              <w:rPr>
                <w:rFonts w:ascii="宋体" w:hAnsi="宋体"/>
                <w:color w:val="auto"/>
                <w:highlight w:val="none"/>
              </w:rPr>
            </w:pPr>
          </w:p>
        </w:tc>
        <w:tc>
          <w:tcPr>
            <w:tcW w:w="2396" w:type="dxa"/>
            <w:tcBorders>
              <w:top w:val="single" w:color="000000" w:sz="6" w:space="0"/>
              <w:left w:val="single" w:color="000000" w:sz="6" w:space="0"/>
              <w:bottom w:val="single" w:color="000000" w:sz="6" w:space="0"/>
              <w:right w:val="single" w:color="000000" w:sz="6" w:space="0"/>
            </w:tcBorders>
            <w:noWrap/>
            <w:vAlign w:val="center"/>
          </w:tcPr>
          <w:p>
            <w:pPr>
              <w:snapToGrid w:val="0"/>
              <w:jc w:val="center"/>
              <w:rPr>
                <w:rFonts w:ascii="宋体" w:hAnsi="宋体"/>
                <w:color w:val="auto"/>
                <w:highlight w:val="none"/>
              </w:rPr>
            </w:pPr>
          </w:p>
        </w:tc>
      </w:tr>
      <w:tr>
        <w:tblPrEx>
          <w:tblCellMar>
            <w:top w:w="0" w:type="dxa"/>
            <w:left w:w="108" w:type="dxa"/>
            <w:bottom w:w="0" w:type="dxa"/>
            <w:right w:w="108" w:type="dxa"/>
          </w:tblCellMar>
        </w:tblPrEx>
        <w:trPr>
          <w:trHeight w:val="532" w:hRule="atLeast"/>
          <w:jc w:val="center"/>
        </w:trPr>
        <w:tc>
          <w:tcPr>
            <w:tcW w:w="2487" w:type="dxa"/>
            <w:tcBorders>
              <w:top w:val="single" w:color="000000" w:sz="6" w:space="0"/>
              <w:left w:val="single" w:color="000000" w:sz="6" w:space="0"/>
              <w:bottom w:val="single" w:color="000000" w:sz="6" w:space="0"/>
            </w:tcBorders>
            <w:noWrap/>
            <w:vAlign w:val="center"/>
          </w:tcPr>
          <w:p>
            <w:pPr>
              <w:snapToGrid w:val="0"/>
              <w:jc w:val="center"/>
              <w:rPr>
                <w:rFonts w:ascii="宋体" w:hAnsi="宋体"/>
                <w:color w:val="auto"/>
                <w:highlight w:val="none"/>
              </w:rPr>
            </w:pPr>
          </w:p>
        </w:tc>
        <w:tc>
          <w:tcPr>
            <w:tcW w:w="3075" w:type="dxa"/>
            <w:tcBorders>
              <w:top w:val="single" w:color="000000" w:sz="6" w:space="0"/>
              <w:left w:val="single" w:color="000000" w:sz="6" w:space="0"/>
              <w:bottom w:val="single" w:color="000000" w:sz="6" w:space="0"/>
            </w:tcBorders>
            <w:noWrap/>
            <w:vAlign w:val="center"/>
          </w:tcPr>
          <w:p>
            <w:pPr>
              <w:snapToGrid w:val="0"/>
              <w:jc w:val="center"/>
              <w:rPr>
                <w:rFonts w:ascii="宋体" w:hAnsi="宋体"/>
                <w:color w:val="auto"/>
                <w:highlight w:val="none"/>
              </w:rPr>
            </w:pPr>
          </w:p>
        </w:tc>
        <w:tc>
          <w:tcPr>
            <w:tcW w:w="1312" w:type="dxa"/>
            <w:tcBorders>
              <w:top w:val="single" w:color="000000" w:sz="6" w:space="0"/>
              <w:left w:val="single" w:color="000000" w:sz="6" w:space="0"/>
              <w:bottom w:val="single" w:color="000000" w:sz="6" w:space="0"/>
            </w:tcBorders>
            <w:noWrap/>
            <w:vAlign w:val="center"/>
          </w:tcPr>
          <w:p>
            <w:pPr>
              <w:snapToGrid w:val="0"/>
              <w:jc w:val="center"/>
              <w:rPr>
                <w:rFonts w:ascii="宋体" w:hAnsi="宋体"/>
                <w:color w:val="auto"/>
                <w:highlight w:val="none"/>
              </w:rPr>
            </w:pPr>
          </w:p>
        </w:tc>
        <w:tc>
          <w:tcPr>
            <w:tcW w:w="2396" w:type="dxa"/>
            <w:tcBorders>
              <w:top w:val="single" w:color="000000" w:sz="6" w:space="0"/>
              <w:left w:val="single" w:color="000000" w:sz="6" w:space="0"/>
              <w:bottom w:val="single" w:color="000000" w:sz="6" w:space="0"/>
              <w:right w:val="single" w:color="000000" w:sz="6" w:space="0"/>
            </w:tcBorders>
            <w:noWrap/>
            <w:vAlign w:val="center"/>
          </w:tcPr>
          <w:p>
            <w:pPr>
              <w:snapToGrid w:val="0"/>
              <w:jc w:val="center"/>
              <w:rPr>
                <w:rFonts w:ascii="宋体" w:hAnsi="宋体"/>
                <w:color w:val="auto"/>
                <w:highlight w:val="none"/>
              </w:rPr>
            </w:pPr>
          </w:p>
        </w:tc>
      </w:tr>
      <w:tr>
        <w:tblPrEx>
          <w:tblCellMar>
            <w:top w:w="0" w:type="dxa"/>
            <w:left w:w="108" w:type="dxa"/>
            <w:bottom w:w="0" w:type="dxa"/>
            <w:right w:w="108" w:type="dxa"/>
          </w:tblCellMar>
        </w:tblPrEx>
        <w:trPr>
          <w:trHeight w:val="546" w:hRule="atLeast"/>
          <w:jc w:val="center"/>
        </w:trPr>
        <w:tc>
          <w:tcPr>
            <w:tcW w:w="2487" w:type="dxa"/>
            <w:tcBorders>
              <w:top w:val="single" w:color="000000" w:sz="6" w:space="0"/>
              <w:left w:val="single" w:color="000000" w:sz="6" w:space="0"/>
              <w:bottom w:val="single" w:color="000000" w:sz="6" w:space="0"/>
            </w:tcBorders>
            <w:noWrap/>
            <w:vAlign w:val="center"/>
          </w:tcPr>
          <w:p>
            <w:pPr>
              <w:snapToGrid w:val="0"/>
              <w:jc w:val="center"/>
              <w:rPr>
                <w:rFonts w:ascii="宋体" w:hAnsi="宋体"/>
                <w:color w:val="auto"/>
                <w:highlight w:val="none"/>
              </w:rPr>
            </w:pPr>
          </w:p>
        </w:tc>
        <w:tc>
          <w:tcPr>
            <w:tcW w:w="3075" w:type="dxa"/>
            <w:tcBorders>
              <w:top w:val="single" w:color="000000" w:sz="6" w:space="0"/>
              <w:left w:val="single" w:color="000000" w:sz="6" w:space="0"/>
              <w:bottom w:val="single" w:color="000000" w:sz="6" w:space="0"/>
            </w:tcBorders>
            <w:noWrap/>
            <w:vAlign w:val="center"/>
          </w:tcPr>
          <w:p>
            <w:pPr>
              <w:snapToGrid w:val="0"/>
              <w:jc w:val="center"/>
              <w:rPr>
                <w:rFonts w:ascii="宋体" w:hAnsi="宋体"/>
                <w:color w:val="auto"/>
                <w:highlight w:val="none"/>
              </w:rPr>
            </w:pPr>
          </w:p>
        </w:tc>
        <w:tc>
          <w:tcPr>
            <w:tcW w:w="1312" w:type="dxa"/>
            <w:tcBorders>
              <w:top w:val="single" w:color="000000" w:sz="6" w:space="0"/>
              <w:left w:val="single" w:color="000000" w:sz="6" w:space="0"/>
              <w:bottom w:val="single" w:color="000000" w:sz="6" w:space="0"/>
            </w:tcBorders>
            <w:noWrap/>
            <w:vAlign w:val="center"/>
          </w:tcPr>
          <w:p>
            <w:pPr>
              <w:snapToGrid w:val="0"/>
              <w:jc w:val="center"/>
              <w:rPr>
                <w:rFonts w:ascii="宋体" w:hAnsi="宋体"/>
                <w:color w:val="auto"/>
                <w:highlight w:val="none"/>
              </w:rPr>
            </w:pPr>
          </w:p>
        </w:tc>
        <w:tc>
          <w:tcPr>
            <w:tcW w:w="2396" w:type="dxa"/>
            <w:tcBorders>
              <w:top w:val="single" w:color="000000" w:sz="6" w:space="0"/>
              <w:left w:val="single" w:color="000000" w:sz="6" w:space="0"/>
              <w:bottom w:val="single" w:color="000000" w:sz="6" w:space="0"/>
              <w:right w:val="single" w:color="000000" w:sz="6" w:space="0"/>
            </w:tcBorders>
            <w:noWrap/>
            <w:vAlign w:val="center"/>
          </w:tcPr>
          <w:p>
            <w:pPr>
              <w:snapToGrid w:val="0"/>
              <w:jc w:val="center"/>
              <w:rPr>
                <w:rFonts w:ascii="宋体" w:hAnsi="宋体"/>
                <w:color w:val="auto"/>
                <w:highlight w:val="none"/>
              </w:rPr>
            </w:pPr>
          </w:p>
        </w:tc>
      </w:tr>
    </w:tbl>
    <w:p>
      <w:pPr>
        <w:shd w:val="clear" w:color="auto" w:fill="FFFFFF"/>
        <w:spacing w:line="440" w:lineRule="exact"/>
        <w:ind w:firstLine="482" w:firstLineChars="200"/>
        <w:rPr>
          <w:rFonts w:ascii="宋体" w:hAnsi="宋体" w:cs="宋体"/>
          <w:color w:val="auto"/>
          <w:sz w:val="24"/>
          <w:highlight w:val="none"/>
        </w:rPr>
      </w:pPr>
      <w:r>
        <w:rPr>
          <w:rFonts w:hint="eastAsia" w:ascii="宋体" w:hAnsi="宋体" w:cs="宋体"/>
          <w:b/>
          <w:color w:val="auto"/>
          <w:sz w:val="24"/>
          <w:highlight w:val="none"/>
        </w:rPr>
        <w:t>备注：每项业绩须附证明资料如成交通知书或合同复印件加盖电子公章，</w:t>
      </w:r>
      <w:r>
        <w:rPr>
          <w:rFonts w:hint="eastAsia" w:ascii="宋体" w:hAnsi="宋体" w:cs="宋体"/>
          <w:b/>
          <w:bCs/>
          <w:color w:val="auto"/>
          <w:spacing w:val="-3"/>
          <w:sz w:val="24"/>
          <w:highlight w:val="none"/>
        </w:rPr>
        <w:t>如提供证明材料为合同，须提供业绩合同主要页（含：首页、服务内容信息页、合同金额页、签字盖章页），时间以合同签订日期为准，合同签订方必须是投标人自身，存在控股、管理关系投标人之间签订的合同无效），</w:t>
      </w:r>
      <w:r>
        <w:rPr>
          <w:rFonts w:hint="eastAsia" w:ascii="宋体" w:hAnsi="宋体" w:cs="宋体"/>
          <w:b/>
          <w:bCs/>
          <w:color w:val="auto"/>
          <w:sz w:val="24"/>
          <w:highlight w:val="none"/>
        </w:rPr>
        <w:t>未提供证明材料的评审时不予计分。</w:t>
      </w:r>
    </w:p>
    <w:p>
      <w:pPr>
        <w:widowControl/>
        <w:spacing w:line="440" w:lineRule="exact"/>
        <w:jc w:val="left"/>
        <w:rPr>
          <w:rFonts w:ascii="宋体" w:hAnsi="宋体" w:cs="宋体"/>
          <w:color w:val="auto"/>
          <w:sz w:val="24"/>
          <w:highlight w:val="none"/>
        </w:rPr>
      </w:pPr>
    </w:p>
    <w:p>
      <w:pPr>
        <w:shd w:val="clear" w:color="auto" w:fill="FFFFFF"/>
        <w:spacing w:line="500" w:lineRule="exact"/>
        <w:ind w:left="424" w:leftChars="202"/>
        <w:rPr>
          <w:rFonts w:ascii="宋体" w:hAnsi="宋体" w:cs="宋体"/>
          <w:color w:val="auto"/>
          <w:sz w:val="24"/>
          <w:highlight w:val="none"/>
        </w:rPr>
      </w:pPr>
      <w:r>
        <w:rPr>
          <w:rFonts w:hint="eastAsia" w:ascii="宋体" w:hAnsi="宋体" w:cs="宋体"/>
          <w:color w:val="auto"/>
          <w:sz w:val="24"/>
          <w:highlight w:val="none"/>
        </w:rPr>
        <w:t>供应商（电子公章）：</w:t>
      </w:r>
    </w:p>
    <w:p>
      <w:pPr>
        <w:shd w:val="clear" w:color="auto" w:fill="FFFFFF"/>
        <w:tabs>
          <w:tab w:val="left" w:pos="3780"/>
        </w:tabs>
        <w:spacing w:line="440" w:lineRule="exact"/>
        <w:ind w:left="424" w:leftChars="202"/>
        <w:rPr>
          <w:rFonts w:ascii="宋体" w:hAnsi="宋体" w:cs="宋体"/>
          <w:color w:val="auto"/>
          <w:sz w:val="24"/>
          <w:highlight w:val="none"/>
        </w:rPr>
      </w:pPr>
      <w:r>
        <w:rPr>
          <w:rFonts w:hint="eastAsia" w:ascii="宋体" w:hAnsi="宋体" w:cs="宋体"/>
          <w:color w:val="auto"/>
          <w:sz w:val="24"/>
          <w:highlight w:val="none"/>
        </w:rPr>
        <w:t>法定代表人或企业负责人或授权代理人（签字或签章）：</w:t>
      </w:r>
    </w:p>
    <w:p>
      <w:pPr>
        <w:shd w:val="clear" w:color="auto" w:fill="FFFFFF"/>
        <w:spacing w:line="500" w:lineRule="exact"/>
        <w:ind w:left="424" w:leftChars="202"/>
        <w:rPr>
          <w:rFonts w:ascii="宋体" w:hAnsi="宋体" w:cs="宋体"/>
          <w:color w:val="auto"/>
          <w:sz w:val="24"/>
          <w:highlight w:val="none"/>
        </w:rPr>
      </w:pPr>
      <w:r>
        <w:rPr>
          <w:rFonts w:hint="eastAsia" w:ascii="宋体" w:hAnsi="宋体" w:cs="宋体"/>
          <w:color w:val="auto"/>
          <w:sz w:val="24"/>
          <w:highlight w:val="none"/>
        </w:rPr>
        <w:t>日期：   年  月   日</w:t>
      </w:r>
    </w:p>
    <w:p>
      <w:pPr>
        <w:widowControl/>
        <w:jc w:val="left"/>
        <w:rPr>
          <w:rFonts w:ascii="宋体" w:hAnsi="宋体" w:cs="宋体"/>
          <w:color w:val="auto"/>
          <w:szCs w:val="21"/>
          <w:highlight w:val="none"/>
        </w:rPr>
      </w:pPr>
    </w:p>
    <w:p>
      <w:pPr>
        <w:widowControl/>
        <w:jc w:val="left"/>
        <w:rPr>
          <w:rFonts w:ascii="宋体" w:hAnsi="宋体" w:cs="宋体"/>
          <w:color w:val="auto"/>
          <w:szCs w:val="21"/>
          <w:highlight w:val="none"/>
        </w:rPr>
      </w:pPr>
    </w:p>
    <w:p>
      <w:pPr>
        <w:numPr>
          <w:ilvl w:val="0"/>
          <w:numId w:val="22"/>
        </w:numPr>
        <w:autoSpaceDE w:val="0"/>
        <w:autoSpaceDN w:val="0"/>
        <w:adjustRightInd w:val="0"/>
        <w:spacing w:line="440" w:lineRule="exact"/>
        <w:ind w:firstLine="482" w:firstLineChars="200"/>
        <w:rPr>
          <w:rFonts w:ascii="宋体" w:hAnsi="宋体" w:cs="宋体"/>
          <w:bCs/>
          <w:color w:val="auto"/>
          <w:kern w:val="0"/>
          <w:sz w:val="24"/>
          <w:highlight w:val="none"/>
        </w:rPr>
      </w:pPr>
      <w:r>
        <w:rPr>
          <w:rFonts w:hint="eastAsia" w:ascii="宋体" w:hAnsi="宋体" w:cs="宋体"/>
          <w:b/>
          <w:bCs/>
          <w:color w:val="auto"/>
          <w:kern w:val="0"/>
          <w:sz w:val="24"/>
          <w:highlight w:val="none"/>
        </w:rPr>
        <w:br w:type="page"/>
      </w:r>
      <w:r>
        <w:rPr>
          <w:rFonts w:hint="eastAsia" w:ascii="宋体" w:hAnsi="宋体" w:cs="宋体"/>
          <w:bCs/>
          <w:color w:val="auto"/>
          <w:kern w:val="0"/>
          <w:sz w:val="24"/>
          <w:highlight w:val="none"/>
        </w:rPr>
        <w:t>供应商服务能力证明文件（如有）</w:t>
      </w:r>
    </w:p>
    <w:p>
      <w:pPr>
        <w:widowControl/>
        <w:ind w:firstLine="960" w:firstLineChars="400"/>
        <w:jc w:val="left"/>
        <w:rPr>
          <w:rFonts w:ascii="宋体" w:hAnsi="宋体" w:cs="宋体"/>
          <w:color w:val="auto"/>
          <w:kern w:val="0"/>
          <w:sz w:val="24"/>
          <w:highlight w:val="none"/>
        </w:rPr>
      </w:pPr>
    </w:p>
    <w:p>
      <w:pPr>
        <w:widowControl/>
        <w:ind w:firstLine="960" w:firstLineChars="400"/>
        <w:jc w:val="left"/>
        <w:rPr>
          <w:rFonts w:ascii="宋体" w:hAnsi="宋体" w:cs="宋体"/>
          <w:color w:val="auto"/>
          <w:kern w:val="0"/>
          <w:sz w:val="24"/>
          <w:highlight w:val="none"/>
        </w:rPr>
      </w:pPr>
      <w:r>
        <w:rPr>
          <w:rFonts w:hint="eastAsia" w:ascii="宋体" w:hAnsi="宋体" w:cs="宋体"/>
          <w:color w:val="auto"/>
          <w:kern w:val="0"/>
          <w:sz w:val="24"/>
          <w:highlight w:val="none"/>
        </w:rPr>
        <w:t>此处附投标人技术能力、获奖情况及</w:t>
      </w:r>
      <w:r>
        <w:rPr>
          <w:rFonts w:hint="eastAsia" w:ascii="宋体" w:hAnsi="宋体" w:cs="宋体"/>
          <w:color w:val="auto"/>
          <w:sz w:val="24"/>
          <w:highlight w:val="none"/>
        </w:rPr>
        <w:t>相关证书复印件，并加盖投标人公章或电子公章。</w:t>
      </w:r>
    </w:p>
    <w:p>
      <w:pPr>
        <w:widowControl/>
        <w:tabs>
          <w:tab w:val="left" w:pos="142"/>
        </w:tabs>
        <w:jc w:val="left"/>
        <w:rPr>
          <w:rFonts w:ascii="宋体" w:hAnsi="宋体" w:cs="宋体"/>
          <w:bCs/>
          <w:color w:val="auto"/>
          <w:kern w:val="0"/>
          <w:sz w:val="24"/>
          <w:highlight w:val="none"/>
        </w:rPr>
      </w:pPr>
      <w:r>
        <w:rPr>
          <w:rFonts w:hint="eastAsia" w:ascii="宋体" w:hAnsi="宋体" w:cs="宋体"/>
          <w:bCs/>
          <w:color w:val="auto"/>
          <w:kern w:val="0"/>
          <w:sz w:val="24"/>
          <w:highlight w:val="none"/>
        </w:rPr>
        <w:br w:type="page"/>
      </w:r>
      <w:r>
        <w:rPr>
          <w:rFonts w:hint="eastAsia" w:ascii="宋体" w:hAnsi="宋体" w:cs="宋体"/>
          <w:bCs/>
          <w:color w:val="auto"/>
          <w:kern w:val="0"/>
          <w:sz w:val="24"/>
          <w:highlight w:val="none"/>
        </w:rPr>
        <w:t>（六）</w:t>
      </w:r>
      <w:r>
        <w:rPr>
          <w:rFonts w:hint="eastAsia" w:ascii="宋体" w:hAnsi="宋体" w:cs="宋体"/>
          <w:color w:val="auto"/>
          <w:sz w:val="24"/>
          <w:highlight w:val="none"/>
        </w:rPr>
        <w:t>中小微企业声明函及其他资料</w:t>
      </w:r>
    </w:p>
    <w:p>
      <w:pPr>
        <w:spacing w:line="360" w:lineRule="auto"/>
        <w:rPr>
          <w:rFonts w:ascii="宋体" w:hAnsi="宋体"/>
          <w:b/>
          <w:color w:val="auto"/>
          <w:szCs w:val="21"/>
          <w:highlight w:val="none"/>
        </w:rPr>
      </w:pPr>
      <w:r>
        <w:rPr>
          <w:rFonts w:hint="eastAsia" w:ascii="宋体" w:hAnsi="宋体"/>
          <w:b/>
          <w:color w:val="auto"/>
          <w:szCs w:val="21"/>
          <w:highlight w:val="none"/>
        </w:rPr>
        <w:t>1、以下《中小微企业声明函》、《监狱企业的证明文件》及《残疾人福利性单位声明函》投标人根据自身的实际情况选用。</w:t>
      </w:r>
    </w:p>
    <w:p>
      <w:pPr>
        <w:spacing w:line="360" w:lineRule="auto"/>
        <w:rPr>
          <w:rFonts w:ascii="宋体" w:hAnsi="宋体"/>
          <w:b/>
          <w:color w:val="auto"/>
          <w:szCs w:val="21"/>
          <w:highlight w:val="none"/>
        </w:rPr>
      </w:pPr>
      <w:r>
        <w:rPr>
          <w:rFonts w:hint="eastAsia" w:ascii="宋体" w:hAnsi="宋体"/>
          <w:b/>
          <w:color w:val="auto"/>
          <w:szCs w:val="21"/>
          <w:highlight w:val="none"/>
        </w:rPr>
        <w:t>2、投标人同时为小型（或微型）企业、监狱企业、残疾人福利性单位任两种或以上情况的，评审中只享受一次价格扣除，不重复进行价格扣除。</w:t>
      </w:r>
    </w:p>
    <w:p>
      <w:pPr>
        <w:spacing w:before="240" w:beforeLines="100" w:after="240" w:afterLines="100" w:line="360" w:lineRule="auto"/>
        <w:jc w:val="center"/>
        <w:rPr>
          <w:rFonts w:hint="eastAsia" w:ascii="宋体" w:hAnsi="宋体" w:eastAsia="宋体" w:cs="宋体"/>
          <w:b/>
          <w:color w:val="auto"/>
          <w:sz w:val="36"/>
          <w:szCs w:val="36"/>
          <w:highlight w:val="none"/>
        </w:rPr>
      </w:pPr>
      <w:r>
        <w:rPr>
          <w:rFonts w:hint="eastAsia" w:ascii="宋体" w:hAnsi="宋体" w:eastAsia="宋体" w:cs="宋体"/>
          <w:b/>
          <w:bCs/>
          <w:color w:val="auto"/>
          <w:sz w:val="36"/>
          <w:szCs w:val="36"/>
          <w:highlight w:val="none"/>
        </w:rPr>
        <w:t>中小企业声明函（货物）格式</w:t>
      </w:r>
    </w:p>
    <w:p>
      <w:pPr>
        <w:pStyle w:val="545"/>
        <w:spacing w:line="4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本公司（联合体）郑重声明，根据《政府采购促进中小企业发展管理办法》（财库﹝2020﹞46 号）的规定，本公司（联合体）参加（单位名称）的（项目名称）采购活动，提供的货物全部由符合政策要求的中小企业制造。相关企业（含联合体中的中小企业、签订分包意向协议的中小企业）的具体情况如下：</w:t>
      </w:r>
    </w:p>
    <w:p>
      <w:pPr>
        <w:pStyle w:val="545"/>
        <w:spacing w:line="4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1.（标的名称），属于（采购文件中明确的所属行业）行业；制造商为（企业名称），从业人员______人，营业收入为______万元，资产总额为______万元1，属于（中型企业、小型企业、微型企业）；</w:t>
      </w:r>
    </w:p>
    <w:p>
      <w:pPr>
        <w:pStyle w:val="545"/>
        <w:spacing w:line="4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2.（标的名称），属于（采购文件中明确的所属行业）行业；制造商为（企业名称），从业人员______人，营业收入为______万元，资产总额为______万元，属于（中型企业、小型企业、微型企业）；</w:t>
      </w:r>
    </w:p>
    <w:p>
      <w:pPr>
        <w:pStyle w:val="545"/>
        <w:spacing w:line="4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p>
      <w:pPr>
        <w:pStyle w:val="545"/>
        <w:spacing w:line="4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以上企业，不属于大企业的分支机构，不存在控股股东为大企业的情形，也不存在与大企业的负责人为同一人的情形。</w:t>
      </w:r>
    </w:p>
    <w:p>
      <w:pPr>
        <w:pStyle w:val="545"/>
        <w:spacing w:line="4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本企业对上述声明内容的真实性负责。如有虚假，将依法承担相应责任。</w:t>
      </w:r>
    </w:p>
    <w:p>
      <w:pPr>
        <w:spacing w:line="360" w:lineRule="auto"/>
        <w:ind w:firstLine="504"/>
        <w:rPr>
          <w:rFonts w:hint="eastAsia" w:ascii="宋体" w:hAnsi="宋体" w:eastAsia="宋体" w:cs="宋体"/>
          <w:color w:val="auto"/>
          <w:spacing w:val="6"/>
          <w:sz w:val="24"/>
          <w:highlight w:val="none"/>
        </w:rPr>
      </w:pPr>
    </w:p>
    <w:p>
      <w:pPr>
        <w:spacing w:line="360" w:lineRule="auto"/>
        <w:ind w:right="360" w:firstLine="480"/>
        <w:jc w:val="right"/>
        <w:rPr>
          <w:rFonts w:hint="eastAsia" w:ascii="宋体" w:hAnsi="宋体" w:eastAsia="宋体" w:cs="宋体"/>
          <w:color w:val="auto"/>
          <w:sz w:val="24"/>
          <w:highlight w:val="none"/>
        </w:rPr>
      </w:pPr>
      <w:r>
        <w:rPr>
          <w:rFonts w:hint="eastAsia" w:ascii="宋体" w:hAnsi="宋体" w:eastAsia="宋体" w:cs="宋体"/>
          <w:color w:val="auto"/>
          <w:sz w:val="24"/>
          <w:highlight w:val="none"/>
        </w:rPr>
        <w:t>企业名称（盖章）：________</w:t>
      </w:r>
    </w:p>
    <w:p>
      <w:pPr>
        <w:spacing w:line="360" w:lineRule="auto"/>
        <w:ind w:right="360" w:firstLine="480"/>
        <w:jc w:val="right"/>
        <w:rPr>
          <w:rFonts w:hint="eastAsia" w:ascii="宋体" w:hAnsi="宋体" w:eastAsia="宋体" w:cs="宋体"/>
          <w:color w:val="auto"/>
          <w:sz w:val="24"/>
          <w:highlight w:val="none"/>
        </w:rPr>
      </w:pPr>
      <w:r>
        <w:rPr>
          <w:rFonts w:hint="eastAsia" w:ascii="宋体" w:hAnsi="宋体" w:eastAsia="宋体" w:cs="宋体"/>
          <w:color w:val="auto"/>
          <w:sz w:val="24"/>
          <w:highlight w:val="none"/>
        </w:rPr>
        <w:t>日 期：________</w:t>
      </w:r>
    </w:p>
    <w:p>
      <w:pPr>
        <w:spacing w:line="360" w:lineRule="auto"/>
        <w:ind w:right="360" w:firstLine="480"/>
        <w:jc w:val="right"/>
        <w:rPr>
          <w:rFonts w:hint="eastAsia" w:ascii="宋体" w:hAnsi="宋体" w:eastAsia="宋体" w:cs="宋体"/>
          <w:color w:val="auto"/>
          <w:sz w:val="24"/>
          <w:highlight w:val="none"/>
        </w:rPr>
      </w:pPr>
    </w:p>
    <w:p>
      <w:pPr>
        <w:spacing w:line="360" w:lineRule="auto"/>
        <w:ind w:right="360" w:firstLine="480"/>
        <w:jc w:val="right"/>
        <w:rPr>
          <w:rFonts w:hint="eastAsia" w:ascii="宋体" w:hAnsi="宋体" w:eastAsia="宋体" w:cs="宋体"/>
          <w:color w:val="auto"/>
          <w:sz w:val="24"/>
          <w:highlight w:val="none"/>
        </w:rPr>
      </w:pPr>
    </w:p>
    <w:tbl>
      <w:tblPr>
        <w:tblStyle w:val="61"/>
        <w:tblW w:w="0" w:type="auto"/>
        <w:tblInd w:w="0"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946"/>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946" w:type="dxa"/>
            <w:noWrap w:val="0"/>
            <w:vAlign w:val="top"/>
          </w:tcPr>
          <w:p>
            <w:pPr>
              <w:adjustRightInd w:val="0"/>
              <w:snapToGrid w:val="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vertAlign w:val="superscript"/>
              </w:rPr>
              <w:t>1</w:t>
            </w:r>
            <w:r>
              <w:rPr>
                <w:rFonts w:hint="eastAsia" w:ascii="宋体" w:hAnsi="宋体" w:eastAsia="宋体" w:cs="宋体"/>
                <w:color w:val="auto"/>
                <w:szCs w:val="21"/>
                <w:highlight w:val="none"/>
              </w:rPr>
              <w:t>从业人员、营业收入、资产总额填报上一年度数据，无上一年度数据的新成立企业可不填报。</w:t>
            </w:r>
          </w:p>
        </w:tc>
      </w:tr>
    </w:tbl>
    <w:p>
      <w:pPr>
        <w:autoSpaceDE w:val="0"/>
        <w:autoSpaceDN w:val="0"/>
        <w:adjustRightInd w:val="0"/>
        <w:ind w:firstLine="420"/>
        <w:jc w:val="left"/>
        <w:rPr>
          <w:rFonts w:hint="eastAsia" w:ascii="宋体" w:hAnsi="宋体" w:eastAsia="宋体" w:cs="宋体"/>
          <w:color w:val="auto"/>
          <w:sz w:val="24"/>
          <w:highlight w:val="none"/>
        </w:rPr>
      </w:pPr>
    </w:p>
    <w:p>
      <w:pPr>
        <w:pStyle w:val="13"/>
        <w:rPr>
          <w:rFonts w:hint="eastAsia" w:ascii="宋体" w:hAnsi="宋体" w:eastAsia="宋体" w:cs="宋体"/>
          <w:color w:val="auto"/>
          <w:highlight w:val="none"/>
        </w:rPr>
      </w:pPr>
    </w:p>
    <w:p>
      <w:pPr>
        <w:rPr>
          <w:rStyle w:val="75"/>
          <w:rFonts w:hint="eastAsia" w:ascii="宋体" w:hAnsi="宋体" w:eastAsia="宋体" w:cs="宋体"/>
          <w:bCs w:val="0"/>
          <w:color w:val="auto"/>
          <w:kern w:val="2"/>
          <w:sz w:val="28"/>
          <w:szCs w:val="28"/>
          <w:highlight w:val="none"/>
          <w:lang w:val="en-US" w:eastAsia="zh-CN" w:bidi="ar-SA"/>
        </w:rPr>
      </w:pPr>
      <w:r>
        <w:rPr>
          <w:rStyle w:val="75"/>
          <w:rFonts w:hint="eastAsia" w:ascii="宋体" w:hAnsi="宋体" w:eastAsia="宋体" w:cs="宋体"/>
          <w:bCs w:val="0"/>
          <w:color w:val="auto"/>
          <w:kern w:val="2"/>
          <w:sz w:val="28"/>
          <w:szCs w:val="28"/>
          <w:highlight w:val="none"/>
          <w:lang w:val="en-US" w:eastAsia="zh-CN" w:bidi="ar-SA"/>
        </w:rPr>
        <w:br w:type="page"/>
      </w:r>
    </w:p>
    <w:p>
      <w:pPr>
        <w:snapToGrid w:val="0"/>
        <w:spacing w:line="360" w:lineRule="auto"/>
        <w:ind w:left="0" w:leftChars="0" w:firstLine="0" w:firstLineChars="0"/>
        <w:jc w:val="center"/>
        <w:rPr>
          <w:rStyle w:val="75"/>
          <w:rFonts w:hint="eastAsia" w:ascii="宋体" w:hAnsi="宋体" w:eastAsia="宋体" w:cs="宋体"/>
          <w:bCs w:val="0"/>
          <w:color w:val="auto"/>
          <w:kern w:val="2"/>
          <w:sz w:val="28"/>
          <w:szCs w:val="28"/>
          <w:highlight w:val="none"/>
          <w:lang w:val="en-US" w:eastAsia="zh-CN" w:bidi="ar-SA"/>
        </w:rPr>
      </w:pPr>
      <w:r>
        <w:rPr>
          <w:rStyle w:val="75"/>
          <w:rFonts w:hint="eastAsia" w:ascii="宋体" w:hAnsi="宋体" w:eastAsia="宋体" w:cs="宋体"/>
          <w:bCs w:val="0"/>
          <w:color w:val="auto"/>
          <w:kern w:val="2"/>
          <w:sz w:val="28"/>
          <w:szCs w:val="28"/>
          <w:highlight w:val="none"/>
          <w:lang w:val="en-US" w:eastAsia="zh-CN" w:bidi="ar-SA"/>
        </w:rPr>
        <w:t>监狱企业声明函</w:t>
      </w:r>
    </w:p>
    <w:p>
      <w:pPr>
        <w:spacing w:line="480" w:lineRule="auto"/>
        <w:ind w:firstLine="420" w:firstLineChars="200"/>
        <w:outlineLvl w:val="1"/>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【不属于监狱企业的无需填写、递交】</w:t>
      </w:r>
    </w:p>
    <w:p>
      <w:pPr>
        <w:widowControl/>
        <w:shd w:val="clear" w:color="auto" w:fill="auto"/>
        <w:adjustRightInd w:val="0"/>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本单位郑重声明，本单位在参加</w:t>
      </w:r>
      <w:r>
        <w:rPr>
          <w:rFonts w:hint="eastAsia" w:ascii="宋体" w:hAnsi="宋体" w:eastAsia="宋体" w:cs="宋体"/>
          <w:color w:val="auto"/>
          <w:kern w:val="0"/>
          <w:sz w:val="24"/>
          <w:highlight w:val="none"/>
          <w:u w:val="single"/>
        </w:rPr>
        <w:t>（采购人名称）</w:t>
      </w:r>
      <w:r>
        <w:rPr>
          <w:rFonts w:hint="eastAsia" w:ascii="宋体" w:hAnsi="宋体" w:eastAsia="宋体" w:cs="宋体"/>
          <w:color w:val="auto"/>
          <w:kern w:val="0"/>
          <w:sz w:val="24"/>
          <w:highlight w:val="none"/>
        </w:rPr>
        <w:t>的</w:t>
      </w:r>
      <w:r>
        <w:rPr>
          <w:rFonts w:hint="eastAsia" w:ascii="宋体" w:hAnsi="宋体" w:eastAsia="宋体" w:cs="宋体"/>
          <w:color w:val="auto"/>
          <w:kern w:val="0"/>
          <w:sz w:val="24"/>
          <w:highlight w:val="none"/>
          <w:u w:val="single"/>
        </w:rPr>
        <w:t>（招标项目名称）</w:t>
      </w:r>
      <w:r>
        <w:rPr>
          <w:rFonts w:hint="eastAsia" w:ascii="宋体" w:hAnsi="宋体" w:eastAsia="宋体" w:cs="宋体"/>
          <w:color w:val="auto"/>
          <w:kern w:val="0"/>
          <w:sz w:val="24"/>
          <w:highlight w:val="none"/>
        </w:rPr>
        <w:t>项目采购活动提供以下监狱企业制造的货物（或监狱企业承担的工程、或监狱企业承接的服务），具体情况如下：（按照实际情况勾选或填空）</w:t>
      </w:r>
    </w:p>
    <w:p>
      <w:pPr>
        <w:widowControl/>
        <w:shd w:val="clear" w:color="auto" w:fill="auto"/>
        <w:adjustRightInd w:val="0"/>
        <w:snapToGrid w:val="0"/>
        <w:spacing w:line="360" w:lineRule="auto"/>
        <w:ind w:firstLine="360" w:firstLineChars="15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w:t>
      </w:r>
      <w:r>
        <w:rPr>
          <w:rFonts w:hint="eastAsia" w:ascii="宋体" w:hAnsi="宋体" w:eastAsia="宋体" w:cs="宋体"/>
          <w:color w:val="auto"/>
          <w:kern w:val="0"/>
          <w:sz w:val="24"/>
          <w:highlight w:val="none"/>
          <w:u w:val="single"/>
        </w:rPr>
        <w:t>（制造商名称）</w:t>
      </w:r>
      <w:r>
        <w:rPr>
          <w:rFonts w:hint="eastAsia" w:ascii="宋体" w:hAnsi="宋体" w:eastAsia="宋体" w:cs="宋体"/>
          <w:color w:val="auto"/>
          <w:kern w:val="0"/>
          <w:sz w:val="24"/>
          <w:highlight w:val="none"/>
        </w:rPr>
        <w:t>属于监狱企业，后附省级以上监狱管理局、戒毒管理局（含新疆生产建设兵团）出具的属于监狱企业的证明文件。</w:t>
      </w:r>
    </w:p>
    <w:p>
      <w:pPr>
        <w:widowControl/>
        <w:shd w:val="clear" w:color="auto" w:fill="auto"/>
        <w:adjustRightInd w:val="0"/>
        <w:snapToGrid w:val="0"/>
        <w:spacing w:line="360" w:lineRule="auto"/>
        <w:ind w:firstLine="42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w:t>
      </w:r>
      <w:r>
        <w:rPr>
          <w:rFonts w:hint="eastAsia" w:ascii="宋体" w:hAnsi="宋体" w:eastAsia="宋体" w:cs="宋体"/>
          <w:color w:val="auto"/>
          <w:kern w:val="0"/>
          <w:sz w:val="24"/>
          <w:highlight w:val="none"/>
          <w:u w:val="single"/>
        </w:rPr>
        <w:t>（制造商名称）</w:t>
      </w:r>
      <w:r>
        <w:rPr>
          <w:rFonts w:hint="eastAsia" w:ascii="宋体" w:hAnsi="宋体" w:eastAsia="宋体" w:cs="宋体"/>
          <w:color w:val="auto"/>
          <w:kern w:val="0"/>
          <w:sz w:val="24"/>
          <w:highlight w:val="none"/>
        </w:rPr>
        <w:t>属于监狱企业并作为联合体一方，其提供协议合同金额占到共同投标协议合同总金额的比例为</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。后附省级以上监狱管理局、戒毒管理局（含新疆生产建设兵团）出具的属于监狱企业的证明文件。</w:t>
      </w:r>
    </w:p>
    <w:p>
      <w:pPr>
        <w:widowControl/>
        <w:shd w:val="clear" w:color="auto" w:fill="auto"/>
        <w:adjustRightInd w:val="0"/>
        <w:snapToGrid w:val="0"/>
        <w:spacing w:line="360" w:lineRule="auto"/>
        <w:ind w:firstLine="42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w:t>
      </w:r>
      <w:r>
        <w:rPr>
          <w:rFonts w:hint="eastAsia" w:ascii="宋体" w:hAnsi="宋体" w:eastAsia="宋体" w:cs="宋体"/>
          <w:color w:val="auto"/>
          <w:kern w:val="0"/>
          <w:sz w:val="24"/>
          <w:highlight w:val="none"/>
          <w:u w:val="single"/>
        </w:rPr>
        <w:t>（制造商名称）</w:t>
      </w:r>
      <w:r>
        <w:rPr>
          <w:rFonts w:hint="eastAsia" w:ascii="宋体" w:hAnsi="宋体" w:eastAsia="宋体" w:cs="宋体"/>
          <w:color w:val="auto"/>
          <w:kern w:val="0"/>
          <w:sz w:val="24"/>
          <w:highlight w:val="none"/>
        </w:rPr>
        <w:t>属于监狱企业并作为分包方，其提供协议合同金额占到分包意向协议合同总金额的比例为</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。后附省级以上监狱管理局、戒毒管理局（含新疆生产建设兵团）出具的属于监狱企业的证明文件。</w:t>
      </w:r>
    </w:p>
    <w:p>
      <w:pPr>
        <w:widowControl/>
        <w:shd w:val="clear" w:color="auto" w:fill="auto"/>
        <w:adjustRightInd w:val="0"/>
        <w:snapToGrid w:val="0"/>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本单位对上述声明的真实性负责。如有虚假，将依法承担相应责任。</w:t>
      </w:r>
    </w:p>
    <w:p>
      <w:pPr>
        <w:widowControl/>
        <w:shd w:val="clear" w:color="auto" w:fill="auto"/>
        <w:adjustRightInd w:val="0"/>
        <w:snapToGrid w:val="0"/>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w:t>
      </w:r>
    </w:p>
    <w:p>
      <w:pPr>
        <w:widowControl/>
        <w:shd w:val="clear" w:color="auto" w:fill="auto"/>
        <w:adjustRightInd w:val="0"/>
        <w:snapToGrid w:val="0"/>
        <w:spacing w:line="360" w:lineRule="auto"/>
        <w:jc w:val="left"/>
        <w:rPr>
          <w:rFonts w:hint="eastAsia" w:ascii="宋体" w:hAnsi="宋体" w:eastAsia="宋体" w:cs="宋体"/>
          <w:color w:val="auto"/>
          <w:kern w:val="0"/>
          <w:sz w:val="24"/>
          <w:highlight w:val="none"/>
        </w:rPr>
      </w:pPr>
    </w:p>
    <w:p>
      <w:pPr>
        <w:widowControl/>
        <w:shd w:val="clear" w:color="auto" w:fill="auto"/>
        <w:adjustRightInd w:val="0"/>
        <w:snapToGrid w:val="0"/>
        <w:spacing w:line="360" w:lineRule="auto"/>
        <w:jc w:val="left"/>
        <w:rPr>
          <w:rFonts w:hint="eastAsia" w:ascii="宋体" w:hAnsi="宋体" w:eastAsia="宋体" w:cs="宋体"/>
          <w:color w:val="auto"/>
          <w:kern w:val="0"/>
          <w:sz w:val="24"/>
          <w:highlight w:val="none"/>
        </w:rPr>
      </w:pPr>
    </w:p>
    <w:p>
      <w:pPr>
        <w:shd w:val="clear" w:color="auto" w:fill="auto"/>
        <w:adjustRightInd w:val="0"/>
        <w:snapToGrid w:val="0"/>
        <w:spacing w:line="360" w:lineRule="auto"/>
        <w:ind w:hanging="540"/>
        <w:jc w:val="center"/>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　</w:t>
      </w:r>
    </w:p>
    <w:p>
      <w:pPr>
        <w:shd w:val="clear" w:color="auto" w:fill="auto"/>
        <w:adjustRightInd w:val="0"/>
        <w:snapToGrid w:val="0"/>
        <w:spacing w:line="360" w:lineRule="auto"/>
        <w:ind w:firstLine="5280" w:firstLineChars="2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单位名称（盖章）：</w:t>
      </w:r>
    </w:p>
    <w:p>
      <w:pPr>
        <w:widowControl/>
        <w:shd w:val="clear" w:color="auto" w:fill="auto"/>
        <w:adjustRightInd w:val="0"/>
        <w:snapToGrid w:val="0"/>
        <w:spacing w:line="360" w:lineRule="auto"/>
        <w:ind w:firstLine="5280" w:firstLineChars="2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日  期：</w:t>
      </w:r>
    </w:p>
    <w:p>
      <w:pPr>
        <w:snapToGrid w:val="0"/>
        <w:spacing w:line="360" w:lineRule="auto"/>
        <w:ind w:firstLine="480" w:firstLineChars="200"/>
        <w:rPr>
          <w:rFonts w:hint="eastAsia" w:ascii="宋体" w:hAnsi="宋体" w:eastAsia="宋体" w:cs="宋体"/>
          <w:color w:val="auto"/>
          <w:kern w:val="0"/>
          <w:sz w:val="24"/>
          <w:szCs w:val="20"/>
          <w:highlight w:val="none"/>
          <w:lang w:val="en-US" w:eastAsia="zh-CN" w:bidi="ar-SA"/>
        </w:rPr>
      </w:pPr>
    </w:p>
    <w:p>
      <w:pPr>
        <w:snapToGrid w:val="0"/>
        <w:spacing w:line="360" w:lineRule="auto"/>
        <w:ind w:firstLine="480" w:firstLineChars="200"/>
        <w:rPr>
          <w:rFonts w:hint="eastAsia" w:ascii="宋体" w:hAnsi="宋体" w:eastAsia="宋体" w:cs="宋体"/>
          <w:color w:val="auto"/>
          <w:kern w:val="0"/>
          <w:sz w:val="24"/>
          <w:szCs w:val="20"/>
          <w:highlight w:val="none"/>
          <w:lang w:val="en-US" w:eastAsia="zh-CN" w:bidi="ar-SA"/>
        </w:rPr>
      </w:pPr>
    </w:p>
    <w:p>
      <w:pPr>
        <w:snapToGrid w:val="0"/>
        <w:spacing w:line="360" w:lineRule="auto"/>
        <w:ind w:firstLine="480" w:firstLineChars="200"/>
        <w:rPr>
          <w:rFonts w:hint="eastAsia" w:ascii="宋体" w:hAnsi="宋体" w:eastAsia="宋体" w:cs="宋体"/>
          <w:color w:val="auto"/>
          <w:kern w:val="0"/>
          <w:sz w:val="24"/>
          <w:szCs w:val="20"/>
          <w:highlight w:val="none"/>
          <w:lang w:val="en-US" w:eastAsia="zh-CN" w:bidi="ar-SA"/>
        </w:rPr>
      </w:pPr>
    </w:p>
    <w:p>
      <w:pPr>
        <w:snapToGrid w:val="0"/>
        <w:spacing w:line="360" w:lineRule="auto"/>
        <w:ind w:firstLine="480" w:firstLineChars="200"/>
        <w:rPr>
          <w:rFonts w:hint="eastAsia" w:ascii="宋体" w:hAnsi="宋体" w:eastAsia="宋体" w:cs="宋体"/>
          <w:color w:val="auto"/>
          <w:kern w:val="0"/>
          <w:sz w:val="24"/>
          <w:szCs w:val="20"/>
          <w:highlight w:val="none"/>
          <w:lang w:val="en-US" w:eastAsia="zh-CN" w:bidi="ar-SA"/>
        </w:rPr>
      </w:pPr>
    </w:p>
    <w:p>
      <w:pPr>
        <w:pStyle w:val="60"/>
        <w:rPr>
          <w:rFonts w:hint="eastAsia" w:ascii="宋体" w:hAnsi="宋体" w:eastAsia="宋体" w:cs="宋体"/>
          <w:color w:val="auto"/>
          <w:kern w:val="0"/>
          <w:sz w:val="24"/>
          <w:szCs w:val="20"/>
          <w:highlight w:val="none"/>
          <w:lang w:val="en-US" w:eastAsia="zh-CN" w:bidi="ar-SA"/>
        </w:rPr>
      </w:pPr>
    </w:p>
    <w:p>
      <w:pPr>
        <w:rPr>
          <w:rFonts w:hint="eastAsia" w:ascii="宋体" w:hAnsi="宋体" w:eastAsia="宋体" w:cs="宋体"/>
          <w:color w:val="auto"/>
          <w:kern w:val="0"/>
          <w:sz w:val="24"/>
          <w:szCs w:val="20"/>
          <w:highlight w:val="none"/>
          <w:lang w:val="en-US" w:eastAsia="zh-CN" w:bidi="ar-SA"/>
        </w:rPr>
      </w:pPr>
    </w:p>
    <w:p>
      <w:pPr>
        <w:pStyle w:val="60"/>
        <w:rPr>
          <w:rFonts w:hint="eastAsia" w:ascii="宋体" w:hAnsi="宋体" w:eastAsia="宋体" w:cs="宋体"/>
          <w:color w:val="auto"/>
          <w:kern w:val="0"/>
          <w:sz w:val="24"/>
          <w:szCs w:val="20"/>
          <w:highlight w:val="none"/>
          <w:lang w:val="en-US" w:eastAsia="zh-CN" w:bidi="ar-SA"/>
        </w:rPr>
      </w:pPr>
    </w:p>
    <w:p>
      <w:pPr>
        <w:rPr>
          <w:rFonts w:hint="eastAsia" w:ascii="宋体" w:hAnsi="宋体" w:eastAsia="宋体" w:cs="宋体"/>
          <w:color w:val="auto"/>
          <w:kern w:val="0"/>
          <w:sz w:val="24"/>
          <w:szCs w:val="20"/>
          <w:highlight w:val="none"/>
          <w:lang w:val="en-US" w:eastAsia="zh-CN" w:bidi="ar-SA"/>
        </w:rPr>
      </w:pPr>
    </w:p>
    <w:p>
      <w:pPr>
        <w:pStyle w:val="60"/>
        <w:rPr>
          <w:rFonts w:hint="eastAsia" w:ascii="宋体" w:hAnsi="宋体" w:eastAsia="宋体" w:cs="宋体"/>
          <w:color w:val="auto"/>
          <w:kern w:val="0"/>
          <w:sz w:val="24"/>
          <w:szCs w:val="20"/>
          <w:highlight w:val="none"/>
          <w:lang w:val="en-US" w:eastAsia="zh-CN" w:bidi="ar-SA"/>
        </w:rPr>
      </w:pPr>
    </w:p>
    <w:p>
      <w:pPr>
        <w:snapToGrid w:val="0"/>
        <w:spacing w:line="360" w:lineRule="auto"/>
        <w:ind w:left="0" w:leftChars="0" w:firstLine="0" w:firstLineChars="0"/>
        <w:jc w:val="both"/>
        <w:rPr>
          <w:rFonts w:hint="eastAsia" w:ascii="宋体" w:hAnsi="宋体" w:eastAsia="宋体" w:cs="宋体"/>
          <w:b/>
          <w:color w:val="auto"/>
          <w:spacing w:val="6"/>
          <w:highlight w:val="none"/>
        </w:rPr>
      </w:pPr>
    </w:p>
    <w:p>
      <w:pPr>
        <w:rPr>
          <w:rStyle w:val="75"/>
          <w:rFonts w:hint="eastAsia" w:ascii="宋体" w:hAnsi="宋体" w:eastAsia="宋体" w:cs="宋体"/>
          <w:bCs w:val="0"/>
          <w:color w:val="auto"/>
          <w:kern w:val="2"/>
          <w:sz w:val="28"/>
          <w:szCs w:val="28"/>
          <w:highlight w:val="none"/>
          <w:lang w:val="en-US" w:eastAsia="zh-CN" w:bidi="ar-SA"/>
        </w:rPr>
      </w:pPr>
      <w:r>
        <w:rPr>
          <w:rStyle w:val="75"/>
          <w:rFonts w:hint="eastAsia" w:ascii="宋体" w:hAnsi="宋体" w:eastAsia="宋体" w:cs="宋体"/>
          <w:bCs w:val="0"/>
          <w:color w:val="auto"/>
          <w:kern w:val="2"/>
          <w:sz w:val="28"/>
          <w:szCs w:val="28"/>
          <w:highlight w:val="none"/>
          <w:lang w:val="en-US" w:eastAsia="zh-CN" w:bidi="ar-SA"/>
        </w:rPr>
        <w:br w:type="page"/>
      </w:r>
    </w:p>
    <w:p>
      <w:pPr>
        <w:snapToGrid w:val="0"/>
        <w:spacing w:line="360" w:lineRule="auto"/>
        <w:jc w:val="center"/>
        <w:rPr>
          <w:rStyle w:val="75"/>
          <w:rFonts w:hint="eastAsia" w:ascii="宋体" w:hAnsi="宋体" w:eastAsia="宋体" w:cs="宋体"/>
          <w:bCs w:val="0"/>
          <w:color w:val="auto"/>
          <w:kern w:val="2"/>
          <w:sz w:val="28"/>
          <w:szCs w:val="28"/>
          <w:highlight w:val="none"/>
          <w:lang w:val="en-US" w:eastAsia="zh-CN" w:bidi="ar-SA"/>
        </w:rPr>
      </w:pPr>
      <w:r>
        <w:rPr>
          <w:rStyle w:val="75"/>
          <w:rFonts w:hint="eastAsia" w:ascii="宋体" w:hAnsi="宋体" w:eastAsia="宋体" w:cs="宋体"/>
          <w:bCs w:val="0"/>
          <w:color w:val="auto"/>
          <w:kern w:val="2"/>
          <w:sz w:val="28"/>
          <w:szCs w:val="28"/>
          <w:highlight w:val="none"/>
          <w:lang w:val="en-US" w:eastAsia="zh-CN" w:bidi="ar-SA"/>
        </w:rPr>
        <w:t>残疾人福利性单位声明函</w:t>
      </w:r>
    </w:p>
    <w:p>
      <w:pPr>
        <w:pStyle w:val="545"/>
        <w:spacing w:line="440" w:lineRule="exact"/>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pStyle w:val="545"/>
        <w:spacing w:line="440" w:lineRule="exact"/>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本单位对上述声明的真实性负责。如有虚假，将依法承担相应责任。</w:t>
      </w:r>
    </w:p>
    <w:p>
      <w:pPr>
        <w:pStyle w:val="545"/>
        <w:spacing w:line="440" w:lineRule="exact"/>
        <w:ind w:firstLine="480" w:firstLineChars="200"/>
        <w:rPr>
          <w:rFonts w:hint="eastAsia" w:ascii="宋体" w:hAnsi="宋体" w:eastAsia="宋体" w:cs="宋体"/>
          <w:color w:val="auto"/>
          <w:sz w:val="24"/>
          <w:szCs w:val="24"/>
          <w:highlight w:val="none"/>
          <w:lang w:val="en-US" w:eastAsia="zh-CN"/>
        </w:rPr>
      </w:pPr>
    </w:p>
    <w:p>
      <w:pPr>
        <w:pStyle w:val="545"/>
        <w:spacing w:line="440" w:lineRule="exact"/>
        <w:ind w:firstLine="480" w:firstLineChars="200"/>
        <w:rPr>
          <w:rFonts w:hint="eastAsia" w:ascii="宋体" w:hAnsi="宋体" w:eastAsia="宋体" w:cs="宋体"/>
          <w:color w:val="auto"/>
          <w:sz w:val="24"/>
          <w:szCs w:val="24"/>
          <w:highlight w:val="none"/>
          <w:lang w:val="en-US" w:eastAsia="zh-CN"/>
        </w:rPr>
      </w:pPr>
    </w:p>
    <w:p>
      <w:pPr>
        <w:pStyle w:val="545"/>
        <w:spacing w:line="440" w:lineRule="exact"/>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       单位名称（盖章）：</w:t>
      </w:r>
    </w:p>
    <w:p>
      <w:pPr>
        <w:pStyle w:val="545"/>
        <w:spacing w:line="440" w:lineRule="exact"/>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       日  期：</w:t>
      </w:r>
    </w:p>
    <w:p>
      <w:pPr>
        <w:pStyle w:val="545"/>
        <w:spacing w:line="440" w:lineRule="exact"/>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扶持政策说明：</w:t>
      </w:r>
    </w:p>
    <w:p>
      <w:pPr>
        <w:pStyle w:val="545"/>
        <w:spacing w:line="440" w:lineRule="exact"/>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根据财政部、工业和信息化部制定的《政府采购促进中小企业发展暂行办法》和转发财政部工业和信息化部关于印发《政府采购促进中小企业发展暂行办法》的通知，对小型或微型企业的投标报价给予10%的扣除，并用扣除后的价格计算价格评分。</w:t>
      </w:r>
    </w:p>
    <w:p>
      <w:pPr>
        <w:pStyle w:val="545"/>
        <w:spacing w:line="440" w:lineRule="exact"/>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2、监狱企业视同小微企业，参加本项目投标的，享受小微企业同等的价格扣除。【注：提供《监狱企业声明函》及其相关的充分的证明材料】。</w:t>
      </w:r>
    </w:p>
    <w:p>
      <w:pPr>
        <w:pStyle w:val="545"/>
        <w:spacing w:line="440" w:lineRule="exact"/>
        <w:ind w:firstLine="480" w:firstLineChars="200"/>
        <w:rPr>
          <w:rFonts w:hint="eastAsia" w:ascii="宋体" w:hAnsi="宋体" w:eastAsia="宋体" w:cs="宋体"/>
          <w:color w:val="auto"/>
          <w:sz w:val="21"/>
          <w:szCs w:val="21"/>
          <w:highlight w:val="none"/>
          <w:lang w:val="en-US" w:eastAsia="zh-CN"/>
        </w:rPr>
        <w:sectPr>
          <w:pgSz w:w="11905" w:h="16838"/>
          <w:pgMar w:top="1304" w:right="964" w:bottom="1020" w:left="1191" w:header="567" w:footer="454" w:gutter="0"/>
          <w:pgNumType w:fmt="decimal"/>
          <w:cols w:space="720" w:num="1"/>
          <w:rtlGutter w:val="0"/>
          <w:docGrid w:type="lines" w:linePitch="317" w:charSpace="0"/>
        </w:sectPr>
      </w:pPr>
      <w:r>
        <w:rPr>
          <w:rFonts w:hint="eastAsia" w:ascii="宋体" w:hAnsi="宋体" w:eastAsia="宋体" w:cs="宋体"/>
          <w:color w:val="auto"/>
          <w:sz w:val="24"/>
          <w:szCs w:val="24"/>
          <w:highlight w:val="none"/>
          <w:lang w:val="en-US" w:eastAsia="zh-CN"/>
        </w:rPr>
        <w:t>3、残疾人福利性单位参加投标【提供《残疾人福利性单位声明函》】，视为小型、微型企业，享受小微企业政策扶持</w:t>
      </w:r>
    </w:p>
    <w:p>
      <w:pPr>
        <w:numPr>
          <w:ilvl w:val="0"/>
          <w:numId w:val="0"/>
        </w:numPr>
        <w:spacing w:line="588" w:lineRule="exact"/>
        <w:jc w:val="both"/>
        <w:rPr>
          <w:rFonts w:hint="eastAsia" w:ascii="宋体" w:hAnsi="宋体" w:eastAsia="宋体" w:cs="宋体"/>
          <w:b/>
          <w:color w:val="auto"/>
          <w:spacing w:val="6"/>
          <w:kern w:val="2"/>
          <w:sz w:val="28"/>
          <w:szCs w:val="28"/>
          <w:highlight w:val="none"/>
          <w:lang w:val="en-US" w:eastAsia="zh-CN" w:bidi="ar-SA"/>
        </w:rPr>
      </w:pPr>
    </w:p>
    <w:p>
      <w:pPr>
        <w:numPr>
          <w:ilvl w:val="0"/>
          <w:numId w:val="0"/>
        </w:numPr>
        <w:spacing w:line="588" w:lineRule="exact"/>
        <w:jc w:val="center"/>
        <w:rPr>
          <w:rFonts w:hint="eastAsia" w:ascii="宋体" w:hAnsi="宋体" w:eastAsia="宋体" w:cs="宋体"/>
          <w:b/>
          <w:color w:val="auto"/>
          <w:spacing w:val="6"/>
          <w:kern w:val="2"/>
          <w:sz w:val="28"/>
          <w:szCs w:val="28"/>
          <w:highlight w:val="none"/>
          <w:lang w:val="en-US" w:eastAsia="zh-CN" w:bidi="ar-SA"/>
        </w:rPr>
      </w:pPr>
    </w:p>
    <w:p>
      <w:pPr>
        <w:numPr>
          <w:ilvl w:val="0"/>
          <w:numId w:val="0"/>
        </w:numPr>
        <w:spacing w:line="588" w:lineRule="exact"/>
        <w:jc w:val="center"/>
        <w:rPr>
          <w:rFonts w:hint="eastAsia" w:ascii="宋体" w:hAnsi="宋体" w:eastAsia="宋体" w:cs="宋体"/>
          <w:color w:val="auto"/>
          <w:highlight w:val="none"/>
          <w:lang w:val="en-US" w:eastAsia="zh-CN"/>
        </w:rPr>
      </w:pPr>
      <w:r>
        <w:rPr>
          <w:rFonts w:hint="eastAsia" w:ascii="宋体" w:hAnsi="宋体" w:eastAsia="宋体" w:cs="宋体"/>
          <w:b/>
          <w:color w:val="auto"/>
          <w:spacing w:val="6"/>
          <w:kern w:val="2"/>
          <w:sz w:val="28"/>
          <w:szCs w:val="28"/>
          <w:highlight w:val="none"/>
          <w:lang w:val="en-US" w:eastAsia="zh-CN" w:bidi="ar-SA"/>
        </w:rPr>
        <w:t>节能、环保产品证明（如有）</w:t>
      </w:r>
    </w:p>
    <w:p>
      <w:pPr>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致：</w:t>
      </w:r>
      <w:r>
        <w:rPr>
          <w:rFonts w:hint="eastAsia" w:ascii="宋体" w:hAnsi="宋体" w:eastAsia="宋体" w:cs="宋体"/>
          <w:color w:val="auto"/>
          <w:sz w:val="24"/>
          <w:highlight w:val="none"/>
          <w:u w:val="single"/>
        </w:rPr>
        <w:t>采购人名称 </w:t>
      </w:r>
      <w:r>
        <w:rPr>
          <w:rFonts w:hint="eastAsia" w:ascii="宋体" w:hAnsi="宋体" w:eastAsia="宋体" w:cs="宋体"/>
          <w:color w:val="auto"/>
          <w:sz w:val="24"/>
          <w:highlight w:val="none"/>
        </w:rPr>
        <w:t>：</w:t>
      </w:r>
    </w:p>
    <w:p>
      <w:pPr>
        <w:pStyle w:val="27"/>
        <w:rPr>
          <w:rFonts w:hint="eastAsia" w:ascii="宋体" w:hAnsi="宋体" w:eastAsia="宋体" w:cs="宋体"/>
          <w:color w:val="auto"/>
          <w:highlight w:val="none"/>
          <w:lang w:eastAsia="zh-CN"/>
        </w:rPr>
      </w:pPr>
    </w:p>
    <w:p>
      <w:pPr>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    现附上</w:t>
      </w:r>
      <w:r>
        <w:rPr>
          <w:rFonts w:hint="eastAsia" w:ascii="宋体" w:hAnsi="宋体" w:eastAsia="宋体" w:cs="宋体"/>
          <w:color w:val="auto"/>
          <w:sz w:val="24"/>
          <w:highlight w:val="none"/>
          <w:u w:val="single"/>
        </w:rPr>
        <w:t>  （节能、环保产品产品目录）    </w:t>
      </w:r>
      <w:r>
        <w:rPr>
          <w:rFonts w:hint="eastAsia" w:ascii="宋体" w:hAnsi="宋体" w:eastAsia="宋体" w:cs="宋体"/>
          <w:color w:val="auto"/>
          <w:sz w:val="24"/>
          <w:highlight w:val="none"/>
        </w:rPr>
        <w:t> 证明文件（可在 网站名称 网站进行查询）复印件，该证件真实有效。</w:t>
      </w:r>
    </w:p>
    <w:p>
      <w:pPr>
        <w:pStyle w:val="27"/>
        <w:rPr>
          <w:rFonts w:hint="eastAsia" w:ascii="宋体" w:hAnsi="宋体" w:eastAsia="宋体" w:cs="宋体"/>
          <w:color w:val="auto"/>
          <w:highlight w:val="none"/>
          <w:lang w:eastAsia="zh-CN"/>
        </w:rPr>
      </w:pPr>
    </w:p>
    <w:p>
      <w:pPr>
        <w:pStyle w:val="27"/>
        <w:rPr>
          <w:rFonts w:hint="eastAsia" w:ascii="宋体" w:hAnsi="宋体" w:eastAsia="宋体" w:cs="宋体"/>
          <w:color w:val="auto"/>
          <w:highlight w:val="none"/>
          <w:lang w:eastAsia="zh-CN"/>
        </w:rPr>
      </w:pPr>
    </w:p>
    <w:p>
      <w:pPr>
        <w:pStyle w:val="27"/>
        <w:rPr>
          <w:rFonts w:hint="eastAsia" w:ascii="宋体" w:hAnsi="宋体" w:eastAsia="宋体" w:cs="宋体"/>
          <w:color w:val="auto"/>
          <w:highlight w:val="none"/>
          <w:lang w:eastAsia="zh-CN"/>
        </w:rPr>
      </w:pPr>
    </w:p>
    <w:p>
      <w:pPr>
        <w:pStyle w:val="27"/>
        <w:rPr>
          <w:rFonts w:hint="eastAsia" w:ascii="宋体" w:hAnsi="宋体" w:eastAsia="宋体" w:cs="宋体"/>
          <w:color w:val="auto"/>
          <w:highlight w:val="none"/>
          <w:lang w:eastAsia="zh-CN"/>
        </w:rPr>
      </w:pPr>
    </w:p>
    <w:p>
      <w:pPr>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注：节能、环保产品须提供“财政部、国家发展改革委公布的节能、环保产品清单目录”并在有效期内的复印件或影印件，并能在投标人提供的网站上查询到相关内容（未提供查询网站，或在其提供的查询网站上查询不到相关内容的，将不予认可），由投标人加盖公章并注明“与原件一致”。</w:t>
      </w:r>
    </w:p>
    <w:p>
      <w:pPr>
        <w:pStyle w:val="27"/>
        <w:rPr>
          <w:rFonts w:hint="eastAsia" w:ascii="宋体" w:hAnsi="宋体" w:eastAsia="宋体" w:cs="宋体"/>
          <w:color w:val="auto"/>
          <w:highlight w:val="none"/>
          <w:lang w:eastAsia="zh-CN"/>
        </w:rPr>
      </w:pPr>
    </w:p>
    <w:p>
      <w:pPr>
        <w:pStyle w:val="27"/>
        <w:rPr>
          <w:rFonts w:hint="eastAsia" w:ascii="宋体" w:hAnsi="宋体" w:eastAsia="宋体" w:cs="宋体"/>
          <w:color w:val="auto"/>
          <w:highlight w:val="none"/>
          <w:lang w:eastAsia="zh-CN"/>
        </w:rPr>
      </w:pPr>
    </w:p>
    <w:p>
      <w:pPr>
        <w:pStyle w:val="27"/>
        <w:rPr>
          <w:rFonts w:hint="eastAsia" w:ascii="宋体" w:hAnsi="宋体" w:eastAsia="宋体" w:cs="宋体"/>
          <w:color w:val="auto"/>
          <w:highlight w:val="none"/>
          <w:lang w:eastAsia="zh-CN"/>
        </w:rPr>
      </w:pPr>
    </w:p>
    <w:p>
      <w:pPr>
        <w:pStyle w:val="27"/>
        <w:rPr>
          <w:rFonts w:hint="eastAsia" w:ascii="宋体" w:hAnsi="宋体" w:eastAsia="宋体" w:cs="宋体"/>
          <w:color w:val="auto"/>
          <w:highlight w:val="none"/>
          <w:lang w:eastAsia="zh-CN"/>
        </w:rPr>
      </w:pPr>
    </w:p>
    <w:p>
      <w:pPr>
        <w:pStyle w:val="27"/>
        <w:rPr>
          <w:rFonts w:hint="eastAsia" w:ascii="宋体" w:hAnsi="宋体" w:eastAsia="宋体" w:cs="宋体"/>
          <w:color w:val="auto"/>
          <w:highlight w:val="none"/>
          <w:lang w:eastAsia="zh-CN"/>
        </w:rPr>
      </w:pPr>
    </w:p>
    <w:p>
      <w:pPr>
        <w:pStyle w:val="27"/>
        <w:rPr>
          <w:rFonts w:hint="eastAsia" w:ascii="宋体" w:hAnsi="宋体" w:eastAsia="宋体" w:cs="宋体"/>
          <w:color w:val="auto"/>
          <w:highlight w:val="none"/>
          <w:lang w:eastAsia="zh-CN"/>
        </w:rPr>
      </w:pPr>
    </w:p>
    <w:p>
      <w:pPr>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                                         投标人（加盖公章）：                         </w:t>
      </w:r>
    </w:p>
    <w:p>
      <w:pPr>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                         </w:t>
      </w:r>
    </w:p>
    <w:p>
      <w:pPr>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                                      </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投标人代表（签字</w:t>
      </w:r>
      <w:r>
        <w:rPr>
          <w:rFonts w:hint="eastAsia" w:ascii="宋体" w:hAnsi="宋体" w:eastAsia="宋体" w:cs="宋体"/>
          <w:color w:val="auto"/>
          <w:sz w:val="24"/>
          <w:highlight w:val="none"/>
          <w:lang w:eastAsia="zh-CN"/>
        </w:rPr>
        <w:t>或签章</w:t>
      </w:r>
      <w:r>
        <w:rPr>
          <w:rFonts w:hint="eastAsia" w:ascii="宋体" w:hAnsi="宋体" w:eastAsia="宋体" w:cs="宋体"/>
          <w:color w:val="auto"/>
          <w:sz w:val="24"/>
          <w:highlight w:val="none"/>
        </w:rPr>
        <w:t>）：     </w:t>
      </w: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                                         日          期：    年   月  日</w:t>
      </w:r>
    </w:p>
    <w:p>
      <w:pPr>
        <w:pStyle w:val="389"/>
        <w:ind w:firstLine="0" w:firstLineChars="0"/>
        <w:rPr>
          <w:rFonts w:ascii="宋体" w:hAnsi="宋体" w:eastAsia="宋体" w:cs="宋体"/>
          <w:bCs/>
          <w:color w:val="auto"/>
          <w:spacing w:val="-3"/>
          <w:sz w:val="24"/>
          <w:highlight w:val="none"/>
        </w:rPr>
      </w:pPr>
      <w:r>
        <w:rPr>
          <w:rFonts w:hint="eastAsia" w:ascii="宋体" w:hAnsi="宋体" w:cs="宋体"/>
          <w:b/>
          <w:color w:val="auto"/>
          <w:sz w:val="30"/>
          <w:szCs w:val="30"/>
          <w:highlight w:val="none"/>
        </w:rPr>
        <w:br w:type="page"/>
      </w:r>
      <w:bookmarkStart w:id="189" w:name="_Toc53602924"/>
      <w:bookmarkStart w:id="190" w:name="_Toc7494"/>
      <w:bookmarkStart w:id="191" w:name="_Toc1325"/>
      <w:bookmarkStart w:id="192" w:name="_Toc19743"/>
      <w:r>
        <w:rPr>
          <w:rFonts w:hint="eastAsia" w:ascii="宋体" w:hAnsi="宋体" w:eastAsia="宋体" w:cs="宋体"/>
          <w:color w:val="auto"/>
          <w:sz w:val="24"/>
          <w:highlight w:val="none"/>
        </w:rPr>
        <w:t>（</w:t>
      </w:r>
      <w:r>
        <w:rPr>
          <w:rFonts w:hint="eastAsia" w:ascii="宋体" w:hAnsi="宋体" w:eastAsia="宋体" w:cs="宋体"/>
          <w:color w:val="auto"/>
          <w:sz w:val="24"/>
          <w:highlight w:val="none"/>
          <w:lang w:eastAsia="zh-CN"/>
        </w:rPr>
        <w:t>七</w:t>
      </w:r>
      <w:r>
        <w:rPr>
          <w:rFonts w:hint="eastAsia" w:ascii="宋体" w:hAnsi="宋体" w:eastAsia="宋体" w:cs="宋体"/>
          <w:color w:val="auto"/>
          <w:sz w:val="24"/>
          <w:highlight w:val="none"/>
        </w:rPr>
        <w:t>）</w:t>
      </w:r>
      <w:r>
        <w:rPr>
          <w:rFonts w:hint="eastAsia" w:ascii="宋体" w:hAnsi="宋体" w:eastAsia="宋体" w:cs="宋体"/>
          <w:bCs/>
          <w:color w:val="auto"/>
          <w:spacing w:val="-3"/>
          <w:sz w:val="24"/>
          <w:highlight w:val="none"/>
        </w:rPr>
        <w:t>服务承诺书</w:t>
      </w:r>
    </w:p>
    <w:p>
      <w:pPr>
        <w:spacing w:line="360" w:lineRule="auto"/>
        <w:jc w:val="center"/>
        <w:rPr>
          <w:rFonts w:ascii="宋体" w:hAnsi="宋体" w:cs="宋体"/>
          <w:color w:val="auto"/>
          <w:sz w:val="24"/>
          <w:highlight w:val="none"/>
        </w:rPr>
      </w:pPr>
      <w:r>
        <w:rPr>
          <w:rFonts w:hint="eastAsia" w:ascii="宋体" w:hAnsi="宋体" w:cs="宋体"/>
          <w:b/>
          <w:bCs/>
          <w:color w:val="auto"/>
          <w:sz w:val="28"/>
          <w:szCs w:val="28"/>
          <w:highlight w:val="none"/>
        </w:rPr>
        <w:t>服务承诺书</w:t>
      </w:r>
    </w:p>
    <w:p>
      <w:pPr>
        <w:spacing w:line="360" w:lineRule="auto"/>
        <w:jc w:val="center"/>
        <w:rPr>
          <w:rFonts w:ascii="宋体" w:hAnsi="宋体" w:cs="宋体"/>
          <w:color w:val="auto"/>
          <w:sz w:val="24"/>
          <w:highlight w:val="none"/>
        </w:rPr>
      </w:pPr>
    </w:p>
    <w:p>
      <w:pPr>
        <w:spacing w:line="360" w:lineRule="auto"/>
        <w:rPr>
          <w:rFonts w:ascii="宋体" w:hAnsi="宋体" w:cs="宋体"/>
          <w:color w:val="auto"/>
          <w:sz w:val="24"/>
          <w:highlight w:val="none"/>
        </w:rPr>
      </w:pPr>
    </w:p>
    <w:p>
      <w:pPr>
        <w:spacing w:line="360" w:lineRule="auto"/>
        <w:rPr>
          <w:rFonts w:ascii="宋体" w:hAnsi="宋体" w:cs="宋体"/>
          <w:color w:val="auto"/>
          <w:sz w:val="24"/>
          <w:highlight w:val="none"/>
        </w:rPr>
      </w:pPr>
      <w:r>
        <w:rPr>
          <w:rFonts w:hint="eastAsia" w:ascii="宋体" w:hAnsi="宋体" w:cs="宋体"/>
          <w:color w:val="auto"/>
          <w:sz w:val="24"/>
          <w:highlight w:val="none"/>
        </w:rPr>
        <w:t>根据供应商自身情况及招标文件要求自行编制，至少包括但不限于以下内容：</w:t>
      </w:r>
    </w:p>
    <w:p>
      <w:pPr>
        <w:spacing w:line="480" w:lineRule="exact"/>
        <w:ind w:firstLine="480" w:firstLineChars="200"/>
        <w:rPr>
          <w:rFonts w:ascii="宋体" w:hAnsi="宋体" w:eastAsia="宋体;SimSun" w:cs="宋体"/>
          <w:color w:val="auto"/>
          <w:sz w:val="24"/>
          <w:highlight w:val="none"/>
        </w:rPr>
      </w:pPr>
      <w:r>
        <w:rPr>
          <w:rFonts w:hint="eastAsia" w:ascii="宋体" w:hAnsi="宋体" w:cs="宋体"/>
          <w:color w:val="auto"/>
          <w:sz w:val="24"/>
          <w:highlight w:val="none"/>
        </w:rPr>
        <w:t>1、服务承诺</w:t>
      </w:r>
    </w:p>
    <w:p>
      <w:pPr>
        <w:spacing w:line="48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2、其他优惠承诺</w:t>
      </w:r>
    </w:p>
    <w:p>
      <w:pPr>
        <w:spacing w:line="360" w:lineRule="auto"/>
        <w:rPr>
          <w:rFonts w:ascii="宋体" w:hAnsi="宋体" w:cs="宋体"/>
          <w:b/>
          <w:bCs/>
          <w:color w:val="auto"/>
          <w:sz w:val="24"/>
          <w:highlight w:val="none"/>
        </w:rPr>
      </w:pPr>
    </w:p>
    <w:p>
      <w:pPr>
        <w:pStyle w:val="71"/>
        <w:tabs>
          <w:tab w:val="left" w:pos="-120"/>
        </w:tabs>
        <w:rPr>
          <w:rFonts w:ascii="宋体" w:hAnsi="宋体" w:cs="宋体"/>
          <w:color w:val="auto"/>
          <w:sz w:val="24"/>
          <w:szCs w:val="24"/>
          <w:highlight w:val="none"/>
        </w:rPr>
      </w:pPr>
    </w:p>
    <w:p>
      <w:pPr>
        <w:shd w:val="clear" w:color="auto" w:fill="FFFFFF"/>
        <w:spacing w:line="500" w:lineRule="exact"/>
        <w:rPr>
          <w:rFonts w:ascii="宋体" w:hAnsi="宋体" w:cs="宋体"/>
          <w:color w:val="auto"/>
          <w:sz w:val="24"/>
          <w:highlight w:val="none"/>
        </w:rPr>
      </w:pPr>
    </w:p>
    <w:p>
      <w:pPr>
        <w:shd w:val="clear" w:color="auto" w:fill="FFFFFF"/>
        <w:spacing w:line="500" w:lineRule="exact"/>
        <w:rPr>
          <w:rFonts w:ascii="宋体" w:hAnsi="宋体" w:cs="宋体"/>
          <w:color w:val="auto"/>
          <w:sz w:val="24"/>
          <w:highlight w:val="none"/>
        </w:rPr>
      </w:pPr>
    </w:p>
    <w:p>
      <w:pPr>
        <w:shd w:val="clear" w:color="auto" w:fill="FFFFFF"/>
        <w:spacing w:line="500" w:lineRule="exact"/>
        <w:rPr>
          <w:rFonts w:ascii="宋体" w:hAnsi="宋体" w:cs="宋体"/>
          <w:color w:val="auto"/>
          <w:sz w:val="24"/>
          <w:highlight w:val="none"/>
        </w:rPr>
      </w:pPr>
    </w:p>
    <w:p>
      <w:pPr>
        <w:shd w:val="clear" w:color="auto" w:fill="FFFFFF"/>
        <w:spacing w:line="500" w:lineRule="exact"/>
        <w:rPr>
          <w:rFonts w:ascii="宋体" w:hAnsi="宋体" w:cs="宋体"/>
          <w:color w:val="auto"/>
          <w:sz w:val="24"/>
          <w:highlight w:val="none"/>
        </w:rPr>
      </w:pPr>
    </w:p>
    <w:p>
      <w:pPr>
        <w:shd w:val="clear" w:color="auto" w:fill="FFFFFF"/>
        <w:spacing w:line="500" w:lineRule="exact"/>
        <w:rPr>
          <w:rFonts w:ascii="宋体" w:hAnsi="宋体" w:cs="宋体"/>
          <w:color w:val="auto"/>
          <w:sz w:val="24"/>
          <w:highlight w:val="none"/>
        </w:rPr>
      </w:pPr>
      <w:r>
        <w:rPr>
          <w:rFonts w:hint="eastAsia" w:ascii="宋体" w:hAnsi="宋体" w:cs="宋体"/>
          <w:color w:val="auto"/>
          <w:sz w:val="24"/>
          <w:highlight w:val="none"/>
        </w:rPr>
        <w:t>供应商（电子公章）：</w:t>
      </w:r>
    </w:p>
    <w:p>
      <w:pPr>
        <w:shd w:val="clear" w:color="auto" w:fill="FFFFFF"/>
        <w:tabs>
          <w:tab w:val="left" w:pos="3780"/>
        </w:tabs>
        <w:spacing w:line="440" w:lineRule="exact"/>
        <w:rPr>
          <w:rFonts w:ascii="宋体" w:hAnsi="宋体" w:cs="宋体"/>
          <w:color w:val="auto"/>
          <w:sz w:val="24"/>
          <w:highlight w:val="none"/>
        </w:rPr>
      </w:pPr>
      <w:r>
        <w:rPr>
          <w:rFonts w:hint="eastAsia" w:ascii="宋体" w:hAnsi="宋体" w:cs="宋体"/>
          <w:color w:val="auto"/>
          <w:sz w:val="24"/>
          <w:highlight w:val="none"/>
        </w:rPr>
        <w:t>法定代表人或负责人或授权代理人（签</w:t>
      </w:r>
      <w:r>
        <w:rPr>
          <w:rFonts w:hint="eastAsia" w:ascii="宋体" w:hAnsi="宋体" w:cs="宋体"/>
          <w:color w:val="auto"/>
          <w:sz w:val="24"/>
          <w:highlight w:val="none"/>
          <w:lang w:eastAsia="zh-CN"/>
        </w:rPr>
        <w:t>字</w:t>
      </w:r>
      <w:r>
        <w:rPr>
          <w:rFonts w:hint="eastAsia" w:ascii="宋体" w:hAnsi="宋体" w:cs="宋体"/>
          <w:color w:val="auto"/>
          <w:sz w:val="24"/>
          <w:highlight w:val="none"/>
        </w:rPr>
        <w:t>或签章）：</w:t>
      </w:r>
    </w:p>
    <w:p>
      <w:pPr>
        <w:shd w:val="clear" w:color="auto" w:fill="FFFFFF"/>
        <w:spacing w:line="500" w:lineRule="exact"/>
        <w:rPr>
          <w:rFonts w:ascii="宋体" w:hAnsi="宋体" w:cs="宋体"/>
          <w:color w:val="auto"/>
          <w:sz w:val="24"/>
          <w:highlight w:val="none"/>
        </w:rPr>
      </w:pPr>
      <w:r>
        <w:rPr>
          <w:rFonts w:hint="eastAsia" w:ascii="宋体" w:hAnsi="宋体" w:cs="宋体"/>
          <w:color w:val="auto"/>
          <w:sz w:val="24"/>
          <w:highlight w:val="none"/>
        </w:rPr>
        <w:t>日  期：  年  月  日</w:t>
      </w:r>
    </w:p>
    <w:p>
      <w:pPr>
        <w:rPr>
          <w:rFonts w:ascii="宋体" w:hAnsi="宋体" w:cs="宋体"/>
          <w:color w:val="auto"/>
          <w:sz w:val="24"/>
          <w:highlight w:val="none"/>
        </w:rPr>
      </w:pPr>
      <w:r>
        <w:rPr>
          <w:rFonts w:hint="eastAsia" w:ascii="宋体" w:hAnsi="宋体" w:cs="宋体"/>
          <w:color w:val="auto"/>
          <w:sz w:val="24"/>
          <w:highlight w:val="none"/>
        </w:rPr>
        <w:br w:type="page"/>
      </w:r>
    </w:p>
    <w:p>
      <w:pPr>
        <w:widowControl/>
        <w:jc w:val="left"/>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eastAsia="zh-CN"/>
        </w:rPr>
        <w:t>八</w:t>
      </w:r>
      <w:r>
        <w:rPr>
          <w:rFonts w:hint="eastAsia" w:ascii="宋体" w:hAnsi="宋体" w:cs="宋体"/>
          <w:color w:val="auto"/>
          <w:sz w:val="24"/>
          <w:highlight w:val="none"/>
        </w:rPr>
        <w:t>）供应商认为有必要提供的其他商务资料</w:t>
      </w:r>
    </w:p>
    <w:p>
      <w:pPr>
        <w:pStyle w:val="469"/>
        <w:rPr>
          <w:rFonts w:ascii="宋体" w:hAnsi="宋体" w:cs="宋体"/>
          <w:color w:val="auto"/>
          <w:highlight w:val="none"/>
        </w:rPr>
      </w:pPr>
    </w:p>
    <w:p>
      <w:pPr>
        <w:pStyle w:val="469"/>
        <w:rPr>
          <w:rFonts w:ascii="宋体" w:hAnsi="宋体" w:cs="宋体"/>
          <w:bCs/>
          <w:color w:val="auto"/>
          <w:kern w:val="0"/>
          <w:sz w:val="24"/>
          <w:highlight w:val="none"/>
        </w:rPr>
      </w:pPr>
      <w:r>
        <w:rPr>
          <w:rFonts w:hint="eastAsia" w:ascii="宋体" w:hAnsi="宋体" w:cs="宋体"/>
          <w:bCs/>
          <w:color w:val="auto"/>
          <w:sz w:val="24"/>
          <w:highlight w:val="none"/>
        </w:rPr>
        <w:t>1、</w:t>
      </w:r>
      <w:r>
        <w:rPr>
          <w:rFonts w:hint="eastAsia" w:ascii="宋体" w:hAnsi="宋体" w:cs="宋体"/>
          <w:bCs/>
          <w:color w:val="auto"/>
          <w:kern w:val="0"/>
          <w:sz w:val="24"/>
          <w:highlight w:val="none"/>
        </w:rPr>
        <w:t>供应商自觉抵制政府采购领域商业贿赂行为承诺书；（格式自拟）</w:t>
      </w:r>
    </w:p>
    <w:p>
      <w:pPr>
        <w:pStyle w:val="469"/>
        <w:rPr>
          <w:rFonts w:ascii="宋体" w:hAnsi="宋体" w:cs="宋体"/>
          <w:bCs/>
          <w:color w:val="auto"/>
          <w:kern w:val="0"/>
          <w:sz w:val="24"/>
          <w:highlight w:val="none"/>
        </w:rPr>
      </w:pPr>
    </w:p>
    <w:p>
      <w:pPr>
        <w:pStyle w:val="469"/>
        <w:rPr>
          <w:rFonts w:ascii="宋体" w:hAnsi="宋体" w:cs="宋体"/>
          <w:bCs/>
          <w:color w:val="auto"/>
          <w:kern w:val="0"/>
          <w:sz w:val="24"/>
          <w:highlight w:val="none"/>
        </w:rPr>
      </w:pPr>
    </w:p>
    <w:p>
      <w:pPr>
        <w:pStyle w:val="469"/>
        <w:rPr>
          <w:rFonts w:ascii="宋体" w:hAnsi="宋体" w:cs="宋体"/>
          <w:bCs/>
          <w:color w:val="auto"/>
          <w:kern w:val="0"/>
          <w:sz w:val="24"/>
          <w:highlight w:val="none"/>
        </w:rPr>
      </w:pPr>
    </w:p>
    <w:p>
      <w:pPr>
        <w:pStyle w:val="469"/>
        <w:rPr>
          <w:rFonts w:ascii="宋体" w:hAnsi="宋体" w:cs="宋体"/>
          <w:bCs/>
          <w:color w:val="auto"/>
          <w:kern w:val="0"/>
          <w:sz w:val="24"/>
          <w:highlight w:val="none"/>
        </w:rPr>
      </w:pPr>
    </w:p>
    <w:p>
      <w:pPr>
        <w:pStyle w:val="652"/>
        <w:widowControl/>
        <w:spacing w:line="360" w:lineRule="exact"/>
        <w:rPr>
          <w:rFonts w:ascii="宋体" w:hAnsi="宋体" w:cs="宋体"/>
          <w:b/>
          <w:bCs/>
          <w:color w:val="auto"/>
          <w:kern w:val="0"/>
          <w:sz w:val="24"/>
          <w:szCs w:val="24"/>
          <w:highlight w:val="none"/>
        </w:rPr>
      </w:pPr>
      <w:r>
        <w:rPr>
          <w:rFonts w:hint="eastAsia" w:ascii="宋体" w:hAnsi="宋体" w:cs="宋体"/>
          <w:bCs/>
          <w:color w:val="auto"/>
          <w:sz w:val="24"/>
          <w:highlight w:val="none"/>
        </w:rPr>
        <w:t>2、</w:t>
      </w:r>
      <w:r>
        <w:rPr>
          <w:rFonts w:hint="eastAsia" w:ascii="宋体" w:hAnsi="宋体" w:cs="宋体"/>
          <w:bCs/>
          <w:color w:val="auto"/>
          <w:kern w:val="0"/>
          <w:sz w:val="24"/>
          <w:highlight w:val="none"/>
        </w:rPr>
        <w:t>供应商如提供的服务涉及快递和包装</w:t>
      </w:r>
      <w:r>
        <w:rPr>
          <w:rFonts w:hint="eastAsia" w:ascii="宋体" w:hAnsi="宋体" w:cs="宋体"/>
          <w:bCs/>
          <w:color w:val="auto"/>
          <w:kern w:val="0"/>
          <w:sz w:val="24"/>
          <w:szCs w:val="24"/>
          <w:highlight w:val="none"/>
        </w:rPr>
        <w:t>，须提供《</w:t>
      </w:r>
      <w:r>
        <w:rPr>
          <w:rFonts w:hint="eastAsia" w:ascii="宋体" w:hAnsi="宋体" w:cs="宋体"/>
          <w:bCs/>
          <w:color w:val="auto"/>
          <w:sz w:val="24"/>
          <w:highlight w:val="none"/>
        </w:rPr>
        <w:t>财政部等三部门联合印发商品包装和快</w:t>
      </w:r>
      <w:r>
        <w:rPr>
          <w:rFonts w:hint="eastAsia" w:ascii="宋体" w:hAnsi="宋体" w:cs="宋体"/>
          <w:color w:val="auto"/>
          <w:sz w:val="24"/>
          <w:highlight w:val="none"/>
        </w:rPr>
        <w:t>递包装政府采购需求标准</w:t>
      </w:r>
      <w:r>
        <w:rPr>
          <w:rFonts w:hint="eastAsia" w:ascii="宋体" w:hAnsi="宋体" w:cs="宋体"/>
          <w:color w:val="auto"/>
          <w:kern w:val="0"/>
          <w:sz w:val="24"/>
          <w:szCs w:val="24"/>
          <w:highlight w:val="none"/>
        </w:rPr>
        <w:t>》</w:t>
      </w:r>
      <w:r>
        <w:rPr>
          <w:rFonts w:hint="eastAsia" w:ascii="宋体" w:hAnsi="宋体" w:cs="宋体"/>
          <w:color w:val="auto"/>
          <w:sz w:val="24"/>
          <w:highlight w:val="none"/>
        </w:rPr>
        <w:t>（试行）(财办库〔2020〕123号文)的</w:t>
      </w:r>
      <w:r>
        <w:rPr>
          <w:rFonts w:hint="eastAsia" w:ascii="宋体" w:hAnsi="宋体" w:cs="宋体"/>
          <w:color w:val="auto"/>
          <w:kern w:val="0"/>
          <w:sz w:val="24"/>
          <w:highlight w:val="none"/>
        </w:rPr>
        <w:t>承诺书</w:t>
      </w:r>
      <w:r>
        <w:rPr>
          <w:rFonts w:hint="eastAsia" w:ascii="宋体" w:hAnsi="宋体" w:cs="宋体"/>
          <w:color w:val="auto"/>
          <w:sz w:val="24"/>
          <w:highlight w:val="none"/>
        </w:rPr>
        <w:t>；</w:t>
      </w:r>
      <w:r>
        <w:rPr>
          <w:rFonts w:hint="eastAsia" w:ascii="宋体" w:hAnsi="宋体" w:cs="宋体"/>
          <w:color w:val="auto"/>
          <w:kern w:val="0"/>
          <w:sz w:val="24"/>
          <w:highlight w:val="none"/>
        </w:rPr>
        <w:t>（格式自拟）</w:t>
      </w:r>
    </w:p>
    <w:p>
      <w:pPr>
        <w:pStyle w:val="71"/>
        <w:tabs>
          <w:tab w:val="left" w:pos="-120"/>
        </w:tabs>
        <w:rPr>
          <w:rFonts w:ascii="宋体" w:hAnsi="宋体" w:eastAsia="宋体" w:cs="宋体"/>
          <w:color w:val="auto"/>
          <w:spacing w:val="0"/>
          <w:highlight w:val="none"/>
        </w:rPr>
      </w:pPr>
    </w:p>
    <w:p>
      <w:pPr>
        <w:pStyle w:val="71"/>
        <w:tabs>
          <w:tab w:val="left" w:pos="-120"/>
        </w:tabs>
        <w:rPr>
          <w:rFonts w:ascii="宋体" w:hAnsi="宋体" w:eastAsia="宋体" w:cs="宋体"/>
          <w:color w:val="auto"/>
          <w:spacing w:val="0"/>
          <w:highlight w:val="none"/>
        </w:rPr>
      </w:pPr>
    </w:p>
    <w:p>
      <w:pPr>
        <w:pStyle w:val="71"/>
        <w:tabs>
          <w:tab w:val="left" w:pos="-120"/>
        </w:tabs>
        <w:ind w:firstLine="0"/>
        <w:rPr>
          <w:rFonts w:ascii="宋体" w:hAnsi="宋体" w:eastAsia="宋体" w:cs="宋体"/>
          <w:color w:val="auto"/>
          <w:spacing w:val="0"/>
          <w:highlight w:val="none"/>
        </w:rPr>
      </w:pPr>
      <w:r>
        <w:rPr>
          <w:rFonts w:hint="eastAsia" w:ascii="宋体" w:hAnsi="宋体" w:eastAsia="宋体" w:cs="宋体"/>
          <w:bCs/>
          <w:color w:val="auto"/>
          <w:spacing w:val="0"/>
          <w:sz w:val="24"/>
          <w:szCs w:val="24"/>
          <w:highlight w:val="none"/>
        </w:rPr>
        <w:t>3、供应商认为有必要的其他资料</w:t>
      </w:r>
    </w:p>
    <w:p>
      <w:pPr>
        <w:rPr>
          <w:rFonts w:ascii="宋体" w:hAnsi="宋体" w:cs="宋体"/>
          <w:color w:val="auto"/>
          <w:highlight w:val="none"/>
        </w:rPr>
      </w:pPr>
    </w:p>
    <w:p>
      <w:pPr>
        <w:spacing w:line="360" w:lineRule="auto"/>
        <w:ind w:firstLine="560" w:firstLineChars="200"/>
        <w:jc w:val="center"/>
        <w:rPr>
          <w:rFonts w:ascii="宋体" w:hAnsi="宋体" w:cs="宋体"/>
          <w:color w:val="auto"/>
          <w:sz w:val="28"/>
          <w:szCs w:val="28"/>
          <w:highlight w:val="none"/>
        </w:rPr>
      </w:pPr>
      <w:r>
        <w:rPr>
          <w:rFonts w:hint="eastAsia" w:ascii="宋体" w:hAnsi="宋体" w:cs="宋体"/>
          <w:color w:val="auto"/>
          <w:sz w:val="28"/>
          <w:szCs w:val="28"/>
          <w:highlight w:val="none"/>
        </w:rPr>
        <w:br w:type="page"/>
      </w:r>
    </w:p>
    <w:p>
      <w:pPr>
        <w:pStyle w:val="4"/>
        <w:ind w:left="359"/>
        <w:jc w:val="center"/>
        <w:rPr>
          <w:rFonts w:ascii="宋体" w:hAnsi="宋体" w:eastAsia="宋体" w:cs="宋体"/>
          <w:color w:val="auto"/>
          <w:sz w:val="28"/>
          <w:szCs w:val="28"/>
          <w:highlight w:val="none"/>
        </w:rPr>
      </w:pPr>
      <w:r>
        <w:rPr>
          <w:rFonts w:hint="eastAsia" w:ascii="宋体" w:hAnsi="宋体" w:eastAsia="宋体" w:cs="宋体"/>
          <w:bCs/>
          <w:color w:val="auto"/>
          <w:sz w:val="28"/>
          <w:szCs w:val="28"/>
          <w:highlight w:val="none"/>
        </w:rPr>
        <w:t>四、技术</w:t>
      </w:r>
      <w:r>
        <w:rPr>
          <w:rFonts w:hint="eastAsia" w:ascii="宋体" w:hAnsi="宋体" w:eastAsia="宋体" w:cs="宋体"/>
          <w:color w:val="auto"/>
          <w:sz w:val="28"/>
          <w:szCs w:val="28"/>
          <w:highlight w:val="none"/>
        </w:rPr>
        <w:t>部分</w:t>
      </w:r>
      <w:bookmarkEnd w:id="189"/>
      <w:bookmarkEnd w:id="190"/>
      <w:bookmarkEnd w:id="191"/>
      <w:bookmarkEnd w:id="192"/>
    </w:p>
    <w:p>
      <w:pPr>
        <w:shd w:val="clear" w:color="auto" w:fill="FFFFFF"/>
        <w:spacing w:line="500" w:lineRule="exact"/>
        <w:ind w:left="706" w:leftChars="336"/>
        <w:rPr>
          <w:rFonts w:ascii="宋体" w:hAnsi="宋体" w:cs="宋体"/>
          <w:color w:val="auto"/>
          <w:sz w:val="24"/>
          <w:highlight w:val="none"/>
        </w:rPr>
      </w:pPr>
    </w:p>
    <w:p>
      <w:pPr>
        <w:shd w:val="clear" w:color="auto" w:fill="FFFFFF"/>
        <w:spacing w:line="440" w:lineRule="exact"/>
        <w:jc w:val="left"/>
        <w:rPr>
          <w:rFonts w:hint="eastAsia" w:ascii="宋体" w:hAnsi="宋体"/>
          <w:bCs/>
          <w:color w:val="auto"/>
          <w:sz w:val="28"/>
          <w:szCs w:val="28"/>
          <w:highlight w:val="none"/>
        </w:rPr>
      </w:pPr>
      <w:r>
        <w:rPr>
          <w:rFonts w:hint="eastAsia" w:ascii="宋体" w:hAnsi="宋体" w:cs="宋体"/>
          <w:bCs/>
          <w:color w:val="auto"/>
          <w:sz w:val="24"/>
          <w:highlight w:val="none"/>
        </w:rPr>
        <w:t>（一）</w:t>
      </w:r>
      <w:r>
        <w:rPr>
          <w:rFonts w:ascii="宋体" w:hAnsi="宋体"/>
          <w:bCs/>
          <w:color w:val="auto"/>
          <w:sz w:val="24"/>
          <w:highlight w:val="none"/>
        </w:rPr>
        <w:t>技术条款偏离表</w:t>
      </w:r>
    </w:p>
    <w:p>
      <w:pPr>
        <w:shd w:val="clear" w:color="auto" w:fill="FFFFFF"/>
        <w:spacing w:line="440" w:lineRule="exact"/>
        <w:ind w:firstLine="562" w:firstLineChars="200"/>
        <w:jc w:val="center"/>
        <w:rPr>
          <w:rFonts w:ascii="宋体" w:hAnsi="宋体"/>
          <w:color w:val="auto"/>
          <w:sz w:val="28"/>
          <w:szCs w:val="28"/>
          <w:highlight w:val="none"/>
        </w:rPr>
      </w:pPr>
      <w:r>
        <w:rPr>
          <w:rFonts w:ascii="宋体" w:hAnsi="宋体"/>
          <w:b/>
          <w:bCs/>
          <w:color w:val="auto"/>
          <w:sz w:val="28"/>
          <w:szCs w:val="28"/>
          <w:highlight w:val="none"/>
        </w:rPr>
        <w:t>技术条款偏离表</w:t>
      </w:r>
    </w:p>
    <w:p>
      <w:pPr>
        <w:shd w:val="clear" w:color="auto" w:fill="FFFFFF"/>
        <w:spacing w:line="500" w:lineRule="exact"/>
        <w:ind w:firstLine="120" w:firstLineChars="50"/>
        <w:rPr>
          <w:rFonts w:hint="default" w:ascii="宋体" w:hAnsi="宋体" w:eastAsia="宋体"/>
          <w:color w:val="auto"/>
          <w:sz w:val="24"/>
          <w:highlight w:val="none"/>
          <w:lang w:val="en-US" w:eastAsia="zh-CN"/>
        </w:rPr>
      </w:pPr>
      <w:r>
        <w:rPr>
          <w:rFonts w:ascii="宋体" w:hAnsi="宋体"/>
          <w:color w:val="auto"/>
          <w:sz w:val="24"/>
          <w:highlight w:val="none"/>
        </w:rPr>
        <w:t>项目名称：                            项目编号：</w:t>
      </w:r>
      <w:r>
        <w:rPr>
          <w:rFonts w:hint="eastAsia" w:ascii="宋体" w:hAnsi="宋体"/>
          <w:color w:val="auto"/>
          <w:sz w:val="24"/>
          <w:highlight w:val="none"/>
          <w:lang w:val="en-US" w:eastAsia="zh-CN"/>
        </w:rPr>
        <w:t xml:space="preserve">              标项：</w:t>
      </w:r>
    </w:p>
    <w:tbl>
      <w:tblPr>
        <w:tblStyle w:val="61"/>
        <w:tblW w:w="10246" w:type="dxa"/>
        <w:jc w:val="center"/>
        <w:tblLayout w:type="fixed"/>
        <w:tblCellMar>
          <w:top w:w="0" w:type="dxa"/>
          <w:left w:w="108" w:type="dxa"/>
          <w:bottom w:w="0" w:type="dxa"/>
          <w:right w:w="108" w:type="dxa"/>
        </w:tblCellMar>
      </w:tblPr>
      <w:tblGrid>
        <w:gridCol w:w="1066"/>
        <w:gridCol w:w="1495"/>
        <w:gridCol w:w="1922"/>
        <w:gridCol w:w="1921"/>
        <w:gridCol w:w="1921"/>
        <w:gridCol w:w="1921"/>
      </w:tblGrid>
      <w:tr>
        <w:tblPrEx>
          <w:tblCellMar>
            <w:top w:w="0" w:type="dxa"/>
            <w:left w:w="108" w:type="dxa"/>
            <w:bottom w:w="0" w:type="dxa"/>
            <w:right w:w="108" w:type="dxa"/>
          </w:tblCellMar>
        </w:tblPrEx>
        <w:trPr>
          <w:cantSplit/>
          <w:trHeight w:val="837" w:hRule="exact"/>
          <w:jc w:val="center"/>
        </w:trPr>
        <w:tc>
          <w:tcPr>
            <w:tcW w:w="1066" w:type="dxa"/>
            <w:tcBorders>
              <w:top w:val="single" w:color="auto" w:sz="6" w:space="0"/>
              <w:left w:val="single" w:color="auto" w:sz="6" w:space="0"/>
              <w:bottom w:val="single" w:color="auto" w:sz="6" w:space="0"/>
              <w:right w:val="single" w:color="auto" w:sz="6" w:space="0"/>
            </w:tcBorders>
            <w:noWrap w:val="0"/>
            <w:vAlign w:val="center"/>
          </w:tcPr>
          <w:p>
            <w:pPr>
              <w:shd w:val="clear" w:color="auto" w:fill="FFFFFF"/>
              <w:spacing w:line="500" w:lineRule="exact"/>
              <w:ind w:firstLine="99"/>
              <w:jc w:val="center"/>
              <w:rPr>
                <w:rFonts w:ascii="宋体" w:hAnsi="宋体"/>
                <w:color w:val="auto"/>
                <w:szCs w:val="21"/>
                <w:highlight w:val="none"/>
              </w:rPr>
            </w:pPr>
            <w:r>
              <w:rPr>
                <w:rFonts w:ascii="宋体" w:hAnsi="宋体"/>
                <w:color w:val="auto"/>
                <w:szCs w:val="21"/>
                <w:highlight w:val="none"/>
              </w:rPr>
              <w:t>序 号</w:t>
            </w:r>
          </w:p>
        </w:tc>
        <w:tc>
          <w:tcPr>
            <w:tcW w:w="1495" w:type="dxa"/>
            <w:tcBorders>
              <w:top w:val="single" w:color="auto" w:sz="6" w:space="0"/>
              <w:left w:val="single" w:color="auto" w:sz="6" w:space="0"/>
              <w:bottom w:val="single" w:color="auto" w:sz="6" w:space="0"/>
              <w:right w:val="single" w:color="auto" w:sz="6" w:space="0"/>
            </w:tcBorders>
            <w:noWrap w:val="0"/>
            <w:vAlign w:val="center"/>
          </w:tcPr>
          <w:p>
            <w:pPr>
              <w:shd w:val="clear" w:color="auto" w:fill="FFFFFF"/>
              <w:spacing w:line="500" w:lineRule="exact"/>
              <w:jc w:val="center"/>
              <w:rPr>
                <w:rFonts w:ascii="宋体" w:hAnsi="宋体"/>
                <w:color w:val="auto"/>
                <w:szCs w:val="21"/>
                <w:highlight w:val="none"/>
              </w:rPr>
            </w:pPr>
            <w:r>
              <w:rPr>
                <w:rFonts w:ascii="宋体" w:hAnsi="宋体"/>
                <w:color w:val="auto"/>
                <w:szCs w:val="21"/>
                <w:highlight w:val="none"/>
              </w:rPr>
              <w:t>条款</w:t>
            </w:r>
          </w:p>
        </w:tc>
        <w:tc>
          <w:tcPr>
            <w:tcW w:w="1922" w:type="dxa"/>
            <w:tcBorders>
              <w:top w:val="single" w:color="auto" w:sz="6" w:space="0"/>
              <w:left w:val="single" w:color="auto" w:sz="6" w:space="0"/>
              <w:bottom w:val="single" w:color="auto" w:sz="6" w:space="0"/>
              <w:right w:val="single" w:color="auto" w:sz="6" w:space="0"/>
            </w:tcBorders>
            <w:noWrap w:val="0"/>
            <w:vAlign w:val="center"/>
          </w:tcPr>
          <w:p>
            <w:pPr>
              <w:shd w:val="clear" w:color="auto" w:fill="FFFFFF"/>
              <w:spacing w:line="500" w:lineRule="exact"/>
              <w:jc w:val="center"/>
              <w:rPr>
                <w:rFonts w:ascii="宋体" w:hAnsi="宋体"/>
                <w:color w:val="auto"/>
                <w:szCs w:val="21"/>
                <w:highlight w:val="none"/>
              </w:rPr>
            </w:pPr>
            <w:r>
              <w:rPr>
                <w:rFonts w:ascii="宋体" w:hAnsi="宋体"/>
                <w:color w:val="auto"/>
                <w:szCs w:val="21"/>
                <w:highlight w:val="none"/>
              </w:rPr>
              <w:t>招标规格</w:t>
            </w:r>
          </w:p>
        </w:tc>
        <w:tc>
          <w:tcPr>
            <w:tcW w:w="1921" w:type="dxa"/>
            <w:tcBorders>
              <w:top w:val="single" w:color="auto" w:sz="6" w:space="0"/>
              <w:left w:val="single" w:color="auto" w:sz="6" w:space="0"/>
              <w:bottom w:val="single" w:color="auto" w:sz="6" w:space="0"/>
              <w:right w:val="single" w:color="auto" w:sz="6" w:space="0"/>
            </w:tcBorders>
            <w:noWrap w:val="0"/>
            <w:vAlign w:val="center"/>
          </w:tcPr>
          <w:p>
            <w:pPr>
              <w:shd w:val="clear" w:color="auto" w:fill="FFFFFF"/>
              <w:spacing w:line="500" w:lineRule="exact"/>
              <w:jc w:val="center"/>
              <w:rPr>
                <w:rFonts w:ascii="宋体" w:hAnsi="宋体"/>
                <w:color w:val="auto"/>
                <w:szCs w:val="21"/>
                <w:highlight w:val="none"/>
              </w:rPr>
            </w:pPr>
            <w:r>
              <w:rPr>
                <w:rFonts w:ascii="宋体" w:hAnsi="宋体"/>
                <w:color w:val="auto"/>
                <w:szCs w:val="21"/>
                <w:highlight w:val="none"/>
              </w:rPr>
              <w:t>投标规格</w:t>
            </w:r>
          </w:p>
        </w:tc>
        <w:tc>
          <w:tcPr>
            <w:tcW w:w="1921" w:type="dxa"/>
            <w:tcBorders>
              <w:top w:val="single" w:color="auto" w:sz="6" w:space="0"/>
              <w:left w:val="single" w:color="auto" w:sz="6" w:space="0"/>
              <w:bottom w:val="single" w:color="auto" w:sz="6" w:space="0"/>
              <w:right w:val="single" w:color="auto" w:sz="6" w:space="0"/>
            </w:tcBorders>
            <w:noWrap w:val="0"/>
            <w:vAlign w:val="center"/>
          </w:tcPr>
          <w:p>
            <w:pPr>
              <w:shd w:val="clear" w:color="auto" w:fill="FFFFFF"/>
              <w:spacing w:line="500" w:lineRule="exact"/>
              <w:ind w:firstLine="99"/>
              <w:jc w:val="center"/>
              <w:rPr>
                <w:rFonts w:ascii="宋体" w:hAnsi="宋体"/>
                <w:color w:val="auto"/>
                <w:szCs w:val="21"/>
                <w:highlight w:val="none"/>
              </w:rPr>
            </w:pPr>
            <w:r>
              <w:rPr>
                <w:rFonts w:ascii="宋体" w:hAnsi="宋体"/>
                <w:color w:val="auto"/>
                <w:szCs w:val="21"/>
                <w:highlight w:val="none"/>
              </w:rPr>
              <w:t>是否偏离</w:t>
            </w:r>
          </w:p>
        </w:tc>
        <w:tc>
          <w:tcPr>
            <w:tcW w:w="1921" w:type="dxa"/>
            <w:tcBorders>
              <w:top w:val="single" w:color="auto" w:sz="6" w:space="0"/>
              <w:left w:val="single" w:color="auto" w:sz="6" w:space="0"/>
              <w:bottom w:val="single" w:color="auto" w:sz="6" w:space="0"/>
              <w:right w:val="single" w:color="auto" w:sz="6" w:space="0"/>
            </w:tcBorders>
            <w:noWrap w:val="0"/>
            <w:vAlign w:val="center"/>
          </w:tcPr>
          <w:p>
            <w:pPr>
              <w:shd w:val="clear" w:color="auto" w:fill="FFFFFF"/>
              <w:spacing w:line="300" w:lineRule="exact"/>
              <w:jc w:val="center"/>
              <w:rPr>
                <w:rFonts w:ascii="宋体" w:hAnsi="宋体"/>
                <w:color w:val="auto"/>
                <w:szCs w:val="21"/>
                <w:highlight w:val="none"/>
              </w:rPr>
            </w:pPr>
            <w:r>
              <w:rPr>
                <w:rFonts w:hint="eastAsia" w:ascii="宋体" w:hAnsi="宋体"/>
                <w:color w:val="auto"/>
                <w:szCs w:val="21"/>
                <w:highlight w:val="none"/>
              </w:rPr>
              <w:t>技术支持资料所在投标文件页码</w:t>
            </w:r>
          </w:p>
        </w:tc>
      </w:tr>
      <w:tr>
        <w:tblPrEx>
          <w:tblCellMar>
            <w:top w:w="0" w:type="dxa"/>
            <w:left w:w="108" w:type="dxa"/>
            <w:bottom w:w="0" w:type="dxa"/>
            <w:right w:w="108" w:type="dxa"/>
          </w:tblCellMar>
        </w:tblPrEx>
        <w:trPr>
          <w:cantSplit/>
          <w:trHeight w:val="564" w:hRule="exact"/>
          <w:jc w:val="center"/>
        </w:trPr>
        <w:tc>
          <w:tcPr>
            <w:tcW w:w="1066" w:type="dxa"/>
            <w:tcBorders>
              <w:top w:val="single" w:color="auto" w:sz="6" w:space="0"/>
              <w:left w:val="single" w:color="auto" w:sz="6" w:space="0"/>
              <w:bottom w:val="single" w:color="auto" w:sz="6" w:space="0"/>
              <w:right w:val="single" w:color="auto" w:sz="6" w:space="0"/>
            </w:tcBorders>
            <w:noWrap w:val="0"/>
            <w:vAlign w:val="top"/>
          </w:tcPr>
          <w:p>
            <w:pPr>
              <w:shd w:val="clear" w:color="auto" w:fill="FFFFFF"/>
              <w:spacing w:line="500" w:lineRule="exact"/>
              <w:ind w:firstLine="99"/>
              <w:rPr>
                <w:rFonts w:ascii="宋体" w:hAnsi="宋体"/>
                <w:color w:val="auto"/>
                <w:szCs w:val="21"/>
                <w:highlight w:val="none"/>
              </w:rPr>
            </w:pPr>
            <w:r>
              <w:rPr>
                <w:rFonts w:ascii="宋体" w:hAnsi="宋体"/>
                <w:color w:val="auto"/>
                <w:szCs w:val="21"/>
                <w:highlight w:val="none"/>
              </w:rPr>
              <w:t>1</w:t>
            </w:r>
          </w:p>
        </w:tc>
        <w:tc>
          <w:tcPr>
            <w:tcW w:w="1495" w:type="dxa"/>
            <w:tcBorders>
              <w:top w:val="single" w:color="auto" w:sz="6" w:space="0"/>
              <w:left w:val="single" w:color="auto" w:sz="6" w:space="0"/>
              <w:bottom w:val="single" w:color="auto" w:sz="6" w:space="0"/>
              <w:right w:val="single" w:color="auto" w:sz="6" w:space="0"/>
            </w:tcBorders>
            <w:noWrap w:val="0"/>
            <w:vAlign w:val="center"/>
          </w:tcPr>
          <w:p>
            <w:pPr>
              <w:shd w:val="clear" w:color="auto" w:fill="FFFFFF"/>
              <w:spacing w:line="500" w:lineRule="exact"/>
              <w:rPr>
                <w:rFonts w:ascii="宋体" w:hAnsi="宋体"/>
                <w:color w:val="auto"/>
                <w:szCs w:val="21"/>
                <w:highlight w:val="none"/>
              </w:rPr>
            </w:pPr>
          </w:p>
        </w:tc>
        <w:tc>
          <w:tcPr>
            <w:tcW w:w="1922" w:type="dxa"/>
            <w:tcBorders>
              <w:top w:val="single" w:color="auto" w:sz="6" w:space="0"/>
              <w:left w:val="single" w:color="auto" w:sz="6" w:space="0"/>
              <w:bottom w:val="single" w:color="auto" w:sz="6" w:space="0"/>
              <w:right w:val="single" w:color="auto" w:sz="6" w:space="0"/>
            </w:tcBorders>
            <w:noWrap w:val="0"/>
            <w:vAlign w:val="top"/>
          </w:tcPr>
          <w:p>
            <w:pPr>
              <w:shd w:val="clear" w:color="auto" w:fill="FFFFFF"/>
              <w:spacing w:line="500" w:lineRule="exact"/>
              <w:ind w:firstLine="99"/>
              <w:rPr>
                <w:rFonts w:ascii="宋体" w:hAnsi="宋体"/>
                <w:color w:val="auto"/>
                <w:szCs w:val="21"/>
                <w:highlight w:val="none"/>
              </w:rPr>
            </w:pPr>
          </w:p>
        </w:tc>
        <w:tc>
          <w:tcPr>
            <w:tcW w:w="1921" w:type="dxa"/>
            <w:tcBorders>
              <w:top w:val="single" w:color="auto" w:sz="6" w:space="0"/>
              <w:left w:val="single" w:color="auto" w:sz="6" w:space="0"/>
              <w:bottom w:val="single" w:color="auto" w:sz="6" w:space="0"/>
              <w:right w:val="single" w:color="auto" w:sz="6" w:space="0"/>
            </w:tcBorders>
            <w:noWrap w:val="0"/>
            <w:vAlign w:val="top"/>
          </w:tcPr>
          <w:p>
            <w:pPr>
              <w:shd w:val="clear" w:color="auto" w:fill="FFFFFF"/>
              <w:spacing w:line="500" w:lineRule="exact"/>
              <w:ind w:firstLine="99"/>
              <w:rPr>
                <w:rFonts w:ascii="宋体" w:hAnsi="宋体"/>
                <w:color w:val="auto"/>
                <w:szCs w:val="21"/>
                <w:highlight w:val="none"/>
              </w:rPr>
            </w:pPr>
          </w:p>
        </w:tc>
        <w:tc>
          <w:tcPr>
            <w:tcW w:w="1921" w:type="dxa"/>
            <w:tcBorders>
              <w:top w:val="single" w:color="auto" w:sz="6" w:space="0"/>
              <w:left w:val="single" w:color="auto" w:sz="6" w:space="0"/>
              <w:bottom w:val="single" w:color="auto" w:sz="6" w:space="0"/>
              <w:right w:val="single" w:color="auto" w:sz="6" w:space="0"/>
            </w:tcBorders>
            <w:noWrap w:val="0"/>
            <w:vAlign w:val="top"/>
          </w:tcPr>
          <w:p>
            <w:pPr>
              <w:shd w:val="clear" w:color="auto" w:fill="FFFFFF"/>
              <w:spacing w:line="500" w:lineRule="exact"/>
              <w:ind w:firstLine="99"/>
              <w:rPr>
                <w:rFonts w:ascii="宋体" w:hAnsi="宋体"/>
                <w:color w:val="auto"/>
                <w:szCs w:val="21"/>
                <w:highlight w:val="none"/>
              </w:rPr>
            </w:pPr>
          </w:p>
        </w:tc>
        <w:tc>
          <w:tcPr>
            <w:tcW w:w="1921" w:type="dxa"/>
            <w:tcBorders>
              <w:top w:val="single" w:color="auto" w:sz="6" w:space="0"/>
              <w:left w:val="single" w:color="auto" w:sz="6" w:space="0"/>
              <w:bottom w:val="single" w:color="auto" w:sz="6" w:space="0"/>
              <w:right w:val="single" w:color="auto" w:sz="6" w:space="0"/>
            </w:tcBorders>
            <w:noWrap w:val="0"/>
            <w:vAlign w:val="top"/>
          </w:tcPr>
          <w:p>
            <w:pPr>
              <w:shd w:val="clear" w:color="auto" w:fill="FFFFFF"/>
              <w:spacing w:line="500" w:lineRule="exact"/>
              <w:ind w:firstLine="99"/>
              <w:rPr>
                <w:rFonts w:ascii="宋体" w:hAnsi="宋体"/>
                <w:color w:val="auto"/>
                <w:szCs w:val="21"/>
                <w:highlight w:val="none"/>
              </w:rPr>
            </w:pPr>
          </w:p>
        </w:tc>
      </w:tr>
      <w:tr>
        <w:tblPrEx>
          <w:tblCellMar>
            <w:top w:w="0" w:type="dxa"/>
            <w:left w:w="108" w:type="dxa"/>
            <w:bottom w:w="0" w:type="dxa"/>
            <w:right w:w="108" w:type="dxa"/>
          </w:tblCellMar>
        </w:tblPrEx>
        <w:trPr>
          <w:cantSplit/>
          <w:trHeight w:val="564" w:hRule="exact"/>
          <w:jc w:val="center"/>
        </w:trPr>
        <w:tc>
          <w:tcPr>
            <w:tcW w:w="1066" w:type="dxa"/>
            <w:tcBorders>
              <w:top w:val="single" w:color="auto" w:sz="6" w:space="0"/>
              <w:left w:val="single" w:color="auto" w:sz="6" w:space="0"/>
              <w:bottom w:val="single" w:color="auto" w:sz="6" w:space="0"/>
              <w:right w:val="single" w:color="auto" w:sz="6" w:space="0"/>
            </w:tcBorders>
            <w:noWrap w:val="0"/>
            <w:vAlign w:val="top"/>
          </w:tcPr>
          <w:p>
            <w:pPr>
              <w:shd w:val="clear" w:color="auto" w:fill="FFFFFF"/>
              <w:spacing w:line="500" w:lineRule="exact"/>
              <w:ind w:firstLine="99"/>
              <w:rPr>
                <w:rFonts w:ascii="宋体" w:hAnsi="宋体"/>
                <w:color w:val="auto"/>
                <w:szCs w:val="21"/>
                <w:highlight w:val="none"/>
              </w:rPr>
            </w:pPr>
            <w:r>
              <w:rPr>
                <w:rFonts w:ascii="宋体" w:hAnsi="宋体"/>
                <w:color w:val="auto"/>
                <w:szCs w:val="21"/>
                <w:highlight w:val="none"/>
              </w:rPr>
              <w:t>2</w:t>
            </w:r>
          </w:p>
        </w:tc>
        <w:tc>
          <w:tcPr>
            <w:tcW w:w="1495" w:type="dxa"/>
            <w:tcBorders>
              <w:top w:val="single" w:color="auto" w:sz="6" w:space="0"/>
              <w:left w:val="single" w:color="auto" w:sz="6" w:space="0"/>
              <w:bottom w:val="single" w:color="auto" w:sz="6" w:space="0"/>
              <w:right w:val="single" w:color="auto" w:sz="6" w:space="0"/>
            </w:tcBorders>
            <w:noWrap w:val="0"/>
            <w:vAlign w:val="center"/>
          </w:tcPr>
          <w:p>
            <w:pPr>
              <w:shd w:val="clear" w:color="auto" w:fill="FFFFFF"/>
              <w:spacing w:line="500" w:lineRule="exact"/>
              <w:rPr>
                <w:rFonts w:ascii="宋体" w:hAnsi="宋体"/>
                <w:color w:val="auto"/>
                <w:szCs w:val="21"/>
                <w:highlight w:val="none"/>
              </w:rPr>
            </w:pPr>
          </w:p>
        </w:tc>
        <w:tc>
          <w:tcPr>
            <w:tcW w:w="1922" w:type="dxa"/>
            <w:tcBorders>
              <w:top w:val="single" w:color="auto" w:sz="6" w:space="0"/>
              <w:left w:val="single" w:color="auto" w:sz="6" w:space="0"/>
              <w:bottom w:val="single" w:color="auto" w:sz="6" w:space="0"/>
              <w:right w:val="single" w:color="auto" w:sz="6" w:space="0"/>
            </w:tcBorders>
            <w:noWrap w:val="0"/>
            <w:vAlign w:val="top"/>
          </w:tcPr>
          <w:p>
            <w:pPr>
              <w:shd w:val="clear" w:color="auto" w:fill="FFFFFF"/>
              <w:spacing w:line="500" w:lineRule="exact"/>
              <w:ind w:firstLine="99"/>
              <w:rPr>
                <w:rFonts w:ascii="宋体" w:hAnsi="宋体"/>
                <w:color w:val="auto"/>
                <w:szCs w:val="21"/>
                <w:highlight w:val="none"/>
              </w:rPr>
            </w:pPr>
          </w:p>
        </w:tc>
        <w:tc>
          <w:tcPr>
            <w:tcW w:w="1921" w:type="dxa"/>
            <w:tcBorders>
              <w:top w:val="single" w:color="auto" w:sz="6" w:space="0"/>
              <w:left w:val="single" w:color="auto" w:sz="6" w:space="0"/>
              <w:bottom w:val="single" w:color="auto" w:sz="6" w:space="0"/>
              <w:right w:val="single" w:color="auto" w:sz="6" w:space="0"/>
            </w:tcBorders>
            <w:noWrap w:val="0"/>
            <w:vAlign w:val="top"/>
          </w:tcPr>
          <w:p>
            <w:pPr>
              <w:shd w:val="clear" w:color="auto" w:fill="FFFFFF"/>
              <w:spacing w:line="500" w:lineRule="exact"/>
              <w:ind w:firstLine="99"/>
              <w:rPr>
                <w:rFonts w:ascii="宋体" w:hAnsi="宋体"/>
                <w:color w:val="auto"/>
                <w:szCs w:val="21"/>
                <w:highlight w:val="none"/>
              </w:rPr>
            </w:pPr>
          </w:p>
        </w:tc>
        <w:tc>
          <w:tcPr>
            <w:tcW w:w="1921" w:type="dxa"/>
            <w:tcBorders>
              <w:top w:val="single" w:color="auto" w:sz="6" w:space="0"/>
              <w:left w:val="single" w:color="auto" w:sz="6" w:space="0"/>
              <w:bottom w:val="single" w:color="auto" w:sz="6" w:space="0"/>
              <w:right w:val="single" w:color="auto" w:sz="6" w:space="0"/>
            </w:tcBorders>
            <w:noWrap w:val="0"/>
            <w:vAlign w:val="top"/>
          </w:tcPr>
          <w:p>
            <w:pPr>
              <w:shd w:val="clear" w:color="auto" w:fill="FFFFFF"/>
              <w:spacing w:line="500" w:lineRule="exact"/>
              <w:ind w:firstLine="99"/>
              <w:rPr>
                <w:rFonts w:ascii="宋体" w:hAnsi="宋体"/>
                <w:color w:val="auto"/>
                <w:szCs w:val="21"/>
                <w:highlight w:val="none"/>
              </w:rPr>
            </w:pPr>
          </w:p>
        </w:tc>
        <w:tc>
          <w:tcPr>
            <w:tcW w:w="1921" w:type="dxa"/>
            <w:tcBorders>
              <w:top w:val="single" w:color="auto" w:sz="6" w:space="0"/>
              <w:left w:val="single" w:color="auto" w:sz="6" w:space="0"/>
              <w:bottom w:val="single" w:color="auto" w:sz="6" w:space="0"/>
              <w:right w:val="single" w:color="auto" w:sz="6" w:space="0"/>
            </w:tcBorders>
            <w:noWrap w:val="0"/>
            <w:vAlign w:val="top"/>
          </w:tcPr>
          <w:p>
            <w:pPr>
              <w:shd w:val="clear" w:color="auto" w:fill="FFFFFF"/>
              <w:spacing w:line="500" w:lineRule="exact"/>
              <w:ind w:firstLine="99"/>
              <w:rPr>
                <w:rFonts w:ascii="宋体" w:hAnsi="宋体"/>
                <w:color w:val="auto"/>
                <w:szCs w:val="21"/>
                <w:highlight w:val="none"/>
              </w:rPr>
            </w:pPr>
          </w:p>
        </w:tc>
      </w:tr>
      <w:tr>
        <w:tblPrEx>
          <w:tblCellMar>
            <w:top w:w="0" w:type="dxa"/>
            <w:left w:w="108" w:type="dxa"/>
            <w:bottom w:w="0" w:type="dxa"/>
            <w:right w:w="108" w:type="dxa"/>
          </w:tblCellMar>
        </w:tblPrEx>
        <w:trPr>
          <w:cantSplit/>
          <w:trHeight w:val="564" w:hRule="exact"/>
          <w:jc w:val="center"/>
        </w:trPr>
        <w:tc>
          <w:tcPr>
            <w:tcW w:w="1066" w:type="dxa"/>
            <w:tcBorders>
              <w:top w:val="single" w:color="auto" w:sz="6" w:space="0"/>
              <w:left w:val="single" w:color="auto" w:sz="6" w:space="0"/>
              <w:bottom w:val="single" w:color="auto" w:sz="6" w:space="0"/>
              <w:right w:val="single" w:color="auto" w:sz="6" w:space="0"/>
            </w:tcBorders>
            <w:noWrap w:val="0"/>
            <w:vAlign w:val="top"/>
          </w:tcPr>
          <w:p>
            <w:pPr>
              <w:shd w:val="clear" w:color="auto" w:fill="FFFFFF"/>
              <w:spacing w:line="500" w:lineRule="exact"/>
              <w:ind w:firstLine="99"/>
              <w:rPr>
                <w:rFonts w:ascii="宋体" w:hAnsi="宋体"/>
                <w:color w:val="auto"/>
                <w:szCs w:val="21"/>
                <w:highlight w:val="none"/>
              </w:rPr>
            </w:pPr>
            <w:r>
              <w:rPr>
                <w:rFonts w:ascii="宋体" w:hAnsi="宋体"/>
                <w:color w:val="auto"/>
                <w:szCs w:val="21"/>
                <w:highlight w:val="none"/>
              </w:rPr>
              <w:t>3</w:t>
            </w:r>
          </w:p>
        </w:tc>
        <w:tc>
          <w:tcPr>
            <w:tcW w:w="1495" w:type="dxa"/>
            <w:tcBorders>
              <w:top w:val="single" w:color="auto" w:sz="6" w:space="0"/>
              <w:left w:val="single" w:color="auto" w:sz="6" w:space="0"/>
              <w:bottom w:val="single" w:color="auto" w:sz="6" w:space="0"/>
              <w:right w:val="single" w:color="auto" w:sz="6" w:space="0"/>
            </w:tcBorders>
            <w:noWrap w:val="0"/>
            <w:vAlign w:val="center"/>
          </w:tcPr>
          <w:p>
            <w:pPr>
              <w:shd w:val="clear" w:color="auto" w:fill="FFFFFF"/>
              <w:spacing w:line="500" w:lineRule="exact"/>
              <w:rPr>
                <w:rFonts w:ascii="宋体" w:hAnsi="宋体"/>
                <w:color w:val="auto"/>
                <w:szCs w:val="21"/>
                <w:highlight w:val="none"/>
              </w:rPr>
            </w:pPr>
          </w:p>
        </w:tc>
        <w:tc>
          <w:tcPr>
            <w:tcW w:w="1922" w:type="dxa"/>
            <w:tcBorders>
              <w:top w:val="single" w:color="auto" w:sz="6" w:space="0"/>
              <w:left w:val="single" w:color="auto" w:sz="6" w:space="0"/>
              <w:bottom w:val="single" w:color="auto" w:sz="6" w:space="0"/>
              <w:right w:val="single" w:color="auto" w:sz="6" w:space="0"/>
            </w:tcBorders>
            <w:noWrap w:val="0"/>
            <w:vAlign w:val="top"/>
          </w:tcPr>
          <w:p>
            <w:pPr>
              <w:shd w:val="clear" w:color="auto" w:fill="FFFFFF"/>
              <w:spacing w:line="500" w:lineRule="exact"/>
              <w:ind w:firstLine="99"/>
              <w:rPr>
                <w:rFonts w:ascii="宋体" w:hAnsi="宋体"/>
                <w:color w:val="auto"/>
                <w:szCs w:val="21"/>
                <w:highlight w:val="none"/>
              </w:rPr>
            </w:pPr>
          </w:p>
        </w:tc>
        <w:tc>
          <w:tcPr>
            <w:tcW w:w="1921" w:type="dxa"/>
            <w:tcBorders>
              <w:top w:val="single" w:color="auto" w:sz="6" w:space="0"/>
              <w:left w:val="single" w:color="auto" w:sz="6" w:space="0"/>
              <w:bottom w:val="single" w:color="auto" w:sz="6" w:space="0"/>
              <w:right w:val="single" w:color="auto" w:sz="6" w:space="0"/>
            </w:tcBorders>
            <w:noWrap w:val="0"/>
            <w:vAlign w:val="top"/>
          </w:tcPr>
          <w:p>
            <w:pPr>
              <w:shd w:val="clear" w:color="auto" w:fill="FFFFFF"/>
              <w:spacing w:line="500" w:lineRule="exact"/>
              <w:ind w:firstLine="99"/>
              <w:rPr>
                <w:rFonts w:ascii="宋体" w:hAnsi="宋体"/>
                <w:color w:val="auto"/>
                <w:szCs w:val="21"/>
                <w:highlight w:val="none"/>
              </w:rPr>
            </w:pPr>
          </w:p>
        </w:tc>
        <w:tc>
          <w:tcPr>
            <w:tcW w:w="1921" w:type="dxa"/>
            <w:tcBorders>
              <w:top w:val="single" w:color="auto" w:sz="6" w:space="0"/>
              <w:left w:val="single" w:color="auto" w:sz="6" w:space="0"/>
              <w:bottom w:val="single" w:color="auto" w:sz="6" w:space="0"/>
              <w:right w:val="single" w:color="auto" w:sz="6" w:space="0"/>
            </w:tcBorders>
            <w:noWrap w:val="0"/>
            <w:vAlign w:val="top"/>
          </w:tcPr>
          <w:p>
            <w:pPr>
              <w:shd w:val="clear" w:color="auto" w:fill="FFFFFF"/>
              <w:spacing w:line="500" w:lineRule="exact"/>
              <w:ind w:firstLine="99"/>
              <w:rPr>
                <w:rFonts w:ascii="宋体" w:hAnsi="宋体"/>
                <w:color w:val="auto"/>
                <w:szCs w:val="21"/>
                <w:highlight w:val="none"/>
              </w:rPr>
            </w:pPr>
          </w:p>
        </w:tc>
        <w:tc>
          <w:tcPr>
            <w:tcW w:w="1921" w:type="dxa"/>
            <w:tcBorders>
              <w:top w:val="single" w:color="auto" w:sz="6" w:space="0"/>
              <w:left w:val="single" w:color="auto" w:sz="6" w:space="0"/>
              <w:bottom w:val="single" w:color="auto" w:sz="6" w:space="0"/>
              <w:right w:val="single" w:color="auto" w:sz="6" w:space="0"/>
            </w:tcBorders>
            <w:noWrap w:val="0"/>
            <w:vAlign w:val="top"/>
          </w:tcPr>
          <w:p>
            <w:pPr>
              <w:shd w:val="clear" w:color="auto" w:fill="FFFFFF"/>
              <w:spacing w:line="500" w:lineRule="exact"/>
              <w:ind w:firstLine="99"/>
              <w:rPr>
                <w:rFonts w:ascii="宋体" w:hAnsi="宋体"/>
                <w:color w:val="auto"/>
                <w:szCs w:val="21"/>
                <w:highlight w:val="none"/>
              </w:rPr>
            </w:pPr>
          </w:p>
        </w:tc>
      </w:tr>
      <w:tr>
        <w:tblPrEx>
          <w:tblCellMar>
            <w:top w:w="0" w:type="dxa"/>
            <w:left w:w="108" w:type="dxa"/>
            <w:bottom w:w="0" w:type="dxa"/>
            <w:right w:w="108" w:type="dxa"/>
          </w:tblCellMar>
        </w:tblPrEx>
        <w:trPr>
          <w:cantSplit/>
          <w:trHeight w:val="564" w:hRule="exact"/>
          <w:jc w:val="center"/>
        </w:trPr>
        <w:tc>
          <w:tcPr>
            <w:tcW w:w="1066" w:type="dxa"/>
            <w:tcBorders>
              <w:top w:val="single" w:color="auto" w:sz="6" w:space="0"/>
              <w:left w:val="single" w:color="auto" w:sz="6" w:space="0"/>
              <w:bottom w:val="single" w:color="auto" w:sz="6" w:space="0"/>
              <w:right w:val="single" w:color="auto" w:sz="6" w:space="0"/>
            </w:tcBorders>
            <w:noWrap w:val="0"/>
            <w:vAlign w:val="top"/>
          </w:tcPr>
          <w:p>
            <w:pPr>
              <w:shd w:val="clear" w:color="auto" w:fill="FFFFFF"/>
              <w:spacing w:line="500" w:lineRule="exact"/>
              <w:ind w:firstLine="99"/>
              <w:rPr>
                <w:rFonts w:ascii="宋体" w:hAnsi="宋体"/>
                <w:color w:val="auto"/>
                <w:szCs w:val="21"/>
                <w:highlight w:val="none"/>
              </w:rPr>
            </w:pPr>
            <w:r>
              <w:rPr>
                <w:rFonts w:ascii="宋体" w:hAnsi="宋体"/>
                <w:color w:val="auto"/>
                <w:szCs w:val="21"/>
                <w:highlight w:val="none"/>
              </w:rPr>
              <w:t>4</w:t>
            </w:r>
          </w:p>
        </w:tc>
        <w:tc>
          <w:tcPr>
            <w:tcW w:w="1495" w:type="dxa"/>
            <w:tcBorders>
              <w:top w:val="single" w:color="auto" w:sz="6" w:space="0"/>
              <w:left w:val="single" w:color="auto" w:sz="6" w:space="0"/>
              <w:bottom w:val="single" w:color="auto" w:sz="6" w:space="0"/>
              <w:right w:val="single" w:color="auto" w:sz="6" w:space="0"/>
            </w:tcBorders>
            <w:noWrap w:val="0"/>
            <w:vAlign w:val="center"/>
          </w:tcPr>
          <w:p>
            <w:pPr>
              <w:shd w:val="clear" w:color="auto" w:fill="FFFFFF"/>
              <w:spacing w:line="500" w:lineRule="exact"/>
              <w:rPr>
                <w:rFonts w:ascii="宋体" w:hAnsi="宋体"/>
                <w:color w:val="auto"/>
                <w:szCs w:val="21"/>
                <w:highlight w:val="none"/>
              </w:rPr>
            </w:pPr>
          </w:p>
        </w:tc>
        <w:tc>
          <w:tcPr>
            <w:tcW w:w="1922" w:type="dxa"/>
            <w:tcBorders>
              <w:top w:val="single" w:color="auto" w:sz="6" w:space="0"/>
              <w:left w:val="single" w:color="auto" w:sz="6" w:space="0"/>
              <w:bottom w:val="single" w:color="auto" w:sz="6" w:space="0"/>
              <w:right w:val="single" w:color="auto" w:sz="6" w:space="0"/>
            </w:tcBorders>
            <w:noWrap w:val="0"/>
            <w:vAlign w:val="top"/>
          </w:tcPr>
          <w:p>
            <w:pPr>
              <w:shd w:val="clear" w:color="auto" w:fill="FFFFFF"/>
              <w:spacing w:line="500" w:lineRule="exact"/>
              <w:ind w:firstLine="99"/>
              <w:rPr>
                <w:rFonts w:ascii="宋体" w:hAnsi="宋体"/>
                <w:color w:val="auto"/>
                <w:szCs w:val="21"/>
                <w:highlight w:val="none"/>
              </w:rPr>
            </w:pPr>
          </w:p>
        </w:tc>
        <w:tc>
          <w:tcPr>
            <w:tcW w:w="1921" w:type="dxa"/>
            <w:tcBorders>
              <w:top w:val="single" w:color="auto" w:sz="6" w:space="0"/>
              <w:left w:val="single" w:color="auto" w:sz="6" w:space="0"/>
              <w:bottom w:val="single" w:color="auto" w:sz="6" w:space="0"/>
              <w:right w:val="single" w:color="auto" w:sz="6" w:space="0"/>
            </w:tcBorders>
            <w:noWrap w:val="0"/>
            <w:vAlign w:val="top"/>
          </w:tcPr>
          <w:p>
            <w:pPr>
              <w:shd w:val="clear" w:color="auto" w:fill="FFFFFF"/>
              <w:spacing w:line="500" w:lineRule="exact"/>
              <w:ind w:firstLine="99"/>
              <w:rPr>
                <w:rFonts w:ascii="宋体" w:hAnsi="宋体"/>
                <w:color w:val="auto"/>
                <w:szCs w:val="21"/>
                <w:highlight w:val="none"/>
              </w:rPr>
            </w:pPr>
          </w:p>
        </w:tc>
        <w:tc>
          <w:tcPr>
            <w:tcW w:w="1921" w:type="dxa"/>
            <w:tcBorders>
              <w:top w:val="single" w:color="auto" w:sz="6" w:space="0"/>
              <w:left w:val="single" w:color="auto" w:sz="6" w:space="0"/>
              <w:bottom w:val="single" w:color="auto" w:sz="6" w:space="0"/>
              <w:right w:val="single" w:color="auto" w:sz="6" w:space="0"/>
            </w:tcBorders>
            <w:noWrap w:val="0"/>
            <w:vAlign w:val="top"/>
          </w:tcPr>
          <w:p>
            <w:pPr>
              <w:shd w:val="clear" w:color="auto" w:fill="FFFFFF"/>
              <w:spacing w:line="500" w:lineRule="exact"/>
              <w:ind w:firstLine="99"/>
              <w:rPr>
                <w:rFonts w:ascii="宋体" w:hAnsi="宋体"/>
                <w:color w:val="auto"/>
                <w:szCs w:val="21"/>
                <w:highlight w:val="none"/>
              </w:rPr>
            </w:pPr>
          </w:p>
        </w:tc>
        <w:tc>
          <w:tcPr>
            <w:tcW w:w="1921" w:type="dxa"/>
            <w:tcBorders>
              <w:top w:val="single" w:color="auto" w:sz="6" w:space="0"/>
              <w:left w:val="single" w:color="auto" w:sz="6" w:space="0"/>
              <w:bottom w:val="single" w:color="auto" w:sz="6" w:space="0"/>
              <w:right w:val="single" w:color="auto" w:sz="6" w:space="0"/>
            </w:tcBorders>
            <w:noWrap w:val="0"/>
            <w:vAlign w:val="top"/>
          </w:tcPr>
          <w:p>
            <w:pPr>
              <w:shd w:val="clear" w:color="auto" w:fill="FFFFFF"/>
              <w:spacing w:line="500" w:lineRule="exact"/>
              <w:ind w:firstLine="99"/>
              <w:rPr>
                <w:rFonts w:ascii="宋体" w:hAnsi="宋体"/>
                <w:color w:val="auto"/>
                <w:szCs w:val="21"/>
                <w:highlight w:val="none"/>
              </w:rPr>
            </w:pPr>
          </w:p>
        </w:tc>
      </w:tr>
      <w:tr>
        <w:tblPrEx>
          <w:tblCellMar>
            <w:top w:w="0" w:type="dxa"/>
            <w:left w:w="108" w:type="dxa"/>
            <w:bottom w:w="0" w:type="dxa"/>
            <w:right w:w="108" w:type="dxa"/>
          </w:tblCellMar>
        </w:tblPrEx>
        <w:trPr>
          <w:cantSplit/>
          <w:trHeight w:val="564" w:hRule="exact"/>
          <w:jc w:val="center"/>
        </w:trPr>
        <w:tc>
          <w:tcPr>
            <w:tcW w:w="1066" w:type="dxa"/>
            <w:tcBorders>
              <w:top w:val="single" w:color="auto" w:sz="6" w:space="0"/>
              <w:left w:val="single" w:color="auto" w:sz="6" w:space="0"/>
              <w:bottom w:val="single" w:color="auto" w:sz="6" w:space="0"/>
              <w:right w:val="single" w:color="auto" w:sz="6" w:space="0"/>
            </w:tcBorders>
            <w:noWrap w:val="0"/>
            <w:vAlign w:val="top"/>
          </w:tcPr>
          <w:p>
            <w:pPr>
              <w:shd w:val="clear" w:color="auto" w:fill="FFFFFF"/>
              <w:spacing w:line="500" w:lineRule="exact"/>
              <w:ind w:firstLine="99"/>
              <w:rPr>
                <w:rFonts w:ascii="宋体" w:hAnsi="宋体"/>
                <w:color w:val="auto"/>
                <w:szCs w:val="21"/>
                <w:highlight w:val="none"/>
              </w:rPr>
            </w:pPr>
            <w:r>
              <w:rPr>
                <w:rFonts w:ascii="宋体" w:hAnsi="宋体"/>
                <w:color w:val="auto"/>
                <w:szCs w:val="21"/>
                <w:highlight w:val="none"/>
              </w:rPr>
              <w:t>5</w:t>
            </w:r>
          </w:p>
        </w:tc>
        <w:tc>
          <w:tcPr>
            <w:tcW w:w="1495" w:type="dxa"/>
            <w:tcBorders>
              <w:top w:val="single" w:color="auto" w:sz="6" w:space="0"/>
              <w:left w:val="single" w:color="auto" w:sz="6" w:space="0"/>
              <w:bottom w:val="single" w:color="auto" w:sz="6" w:space="0"/>
              <w:right w:val="single" w:color="auto" w:sz="6" w:space="0"/>
            </w:tcBorders>
            <w:noWrap w:val="0"/>
            <w:vAlign w:val="center"/>
          </w:tcPr>
          <w:p>
            <w:pPr>
              <w:shd w:val="clear" w:color="auto" w:fill="FFFFFF"/>
              <w:spacing w:line="500" w:lineRule="exact"/>
              <w:rPr>
                <w:rFonts w:ascii="宋体" w:hAnsi="宋体"/>
                <w:color w:val="auto"/>
                <w:szCs w:val="21"/>
                <w:highlight w:val="none"/>
              </w:rPr>
            </w:pPr>
          </w:p>
        </w:tc>
        <w:tc>
          <w:tcPr>
            <w:tcW w:w="1922" w:type="dxa"/>
            <w:tcBorders>
              <w:top w:val="single" w:color="auto" w:sz="6" w:space="0"/>
              <w:left w:val="single" w:color="auto" w:sz="6" w:space="0"/>
              <w:bottom w:val="single" w:color="auto" w:sz="6" w:space="0"/>
              <w:right w:val="single" w:color="auto" w:sz="6" w:space="0"/>
            </w:tcBorders>
            <w:noWrap w:val="0"/>
            <w:vAlign w:val="top"/>
          </w:tcPr>
          <w:p>
            <w:pPr>
              <w:shd w:val="clear" w:color="auto" w:fill="FFFFFF"/>
              <w:spacing w:line="500" w:lineRule="exact"/>
              <w:ind w:firstLine="99"/>
              <w:rPr>
                <w:rFonts w:ascii="宋体" w:hAnsi="宋体"/>
                <w:color w:val="auto"/>
                <w:szCs w:val="21"/>
                <w:highlight w:val="none"/>
              </w:rPr>
            </w:pPr>
          </w:p>
        </w:tc>
        <w:tc>
          <w:tcPr>
            <w:tcW w:w="1921" w:type="dxa"/>
            <w:tcBorders>
              <w:top w:val="single" w:color="auto" w:sz="6" w:space="0"/>
              <w:left w:val="single" w:color="auto" w:sz="6" w:space="0"/>
              <w:bottom w:val="single" w:color="auto" w:sz="6" w:space="0"/>
              <w:right w:val="single" w:color="auto" w:sz="6" w:space="0"/>
            </w:tcBorders>
            <w:noWrap w:val="0"/>
            <w:vAlign w:val="top"/>
          </w:tcPr>
          <w:p>
            <w:pPr>
              <w:shd w:val="clear" w:color="auto" w:fill="FFFFFF"/>
              <w:spacing w:line="500" w:lineRule="exact"/>
              <w:ind w:firstLine="99"/>
              <w:rPr>
                <w:rFonts w:ascii="宋体" w:hAnsi="宋体"/>
                <w:color w:val="auto"/>
                <w:szCs w:val="21"/>
                <w:highlight w:val="none"/>
              </w:rPr>
            </w:pPr>
          </w:p>
        </w:tc>
        <w:tc>
          <w:tcPr>
            <w:tcW w:w="1921" w:type="dxa"/>
            <w:tcBorders>
              <w:top w:val="single" w:color="auto" w:sz="6" w:space="0"/>
              <w:left w:val="single" w:color="auto" w:sz="6" w:space="0"/>
              <w:bottom w:val="single" w:color="auto" w:sz="6" w:space="0"/>
              <w:right w:val="single" w:color="auto" w:sz="6" w:space="0"/>
            </w:tcBorders>
            <w:noWrap w:val="0"/>
            <w:vAlign w:val="top"/>
          </w:tcPr>
          <w:p>
            <w:pPr>
              <w:shd w:val="clear" w:color="auto" w:fill="FFFFFF"/>
              <w:spacing w:line="500" w:lineRule="exact"/>
              <w:ind w:firstLine="99"/>
              <w:rPr>
                <w:rFonts w:ascii="宋体" w:hAnsi="宋体"/>
                <w:color w:val="auto"/>
                <w:szCs w:val="21"/>
                <w:highlight w:val="none"/>
              </w:rPr>
            </w:pPr>
          </w:p>
        </w:tc>
        <w:tc>
          <w:tcPr>
            <w:tcW w:w="1921" w:type="dxa"/>
            <w:tcBorders>
              <w:top w:val="single" w:color="auto" w:sz="6" w:space="0"/>
              <w:left w:val="single" w:color="auto" w:sz="6" w:space="0"/>
              <w:bottom w:val="single" w:color="auto" w:sz="6" w:space="0"/>
              <w:right w:val="single" w:color="auto" w:sz="6" w:space="0"/>
            </w:tcBorders>
            <w:noWrap w:val="0"/>
            <w:vAlign w:val="top"/>
          </w:tcPr>
          <w:p>
            <w:pPr>
              <w:shd w:val="clear" w:color="auto" w:fill="FFFFFF"/>
              <w:spacing w:line="500" w:lineRule="exact"/>
              <w:ind w:firstLine="99"/>
              <w:rPr>
                <w:rFonts w:ascii="宋体" w:hAnsi="宋体"/>
                <w:color w:val="auto"/>
                <w:szCs w:val="21"/>
                <w:highlight w:val="none"/>
              </w:rPr>
            </w:pPr>
          </w:p>
        </w:tc>
      </w:tr>
      <w:tr>
        <w:tblPrEx>
          <w:tblCellMar>
            <w:top w:w="0" w:type="dxa"/>
            <w:left w:w="108" w:type="dxa"/>
            <w:bottom w:w="0" w:type="dxa"/>
            <w:right w:w="108" w:type="dxa"/>
          </w:tblCellMar>
        </w:tblPrEx>
        <w:trPr>
          <w:cantSplit/>
          <w:trHeight w:val="564" w:hRule="exact"/>
          <w:jc w:val="center"/>
        </w:trPr>
        <w:tc>
          <w:tcPr>
            <w:tcW w:w="1066" w:type="dxa"/>
            <w:tcBorders>
              <w:top w:val="single" w:color="auto" w:sz="6" w:space="0"/>
              <w:left w:val="single" w:color="auto" w:sz="6" w:space="0"/>
              <w:bottom w:val="single" w:color="auto" w:sz="6" w:space="0"/>
              <w:right w:val="single" w:color="auto" w:sz="6" w:space="0"/>
            </w:tcBorders>
            <w:noWrap w:val="0"/>
            <w:vAlign w:val="top"/>
          </w:tcPr>
          <w:p>
            <w:pPr>
              <w:shd w:val="clear" w:color="auto" w:fill="FFFFFF"/>
              <w:spacing w:line="500" w:lineRule="exact"/>
              <w:ind w:firstLine="99"/>
              <w:rPr>
                <w:rFonts w:ascii="宋体" w:hAnsi="宋体"/>
                <w:color w:val="auto"/>
                <w:szCs w:val="21"/>
                <w:highlight w:val="none"/>
              </w:rPr>
            </w:pPr>
            <w:r>
              <w:rPr>
                <w:rFonts w:ascii="宋体" w:hAnsi="宋体"/>
                <w:color w:val="auto"/>
                <w:szCs w:val="21"/>
                <w:highlight w:val="none"/>
              </w:rPr>
              <w:t>…</w:t>
            </w:r>
          </w:p>
          <w:p>
            <w:pPr>
              <w:shd w:val="clear" w:color="auto" w:fill="FFFFFF"/>
              <w:spacing w:line="500" w:lineRule="exact"/>
              <w:ind w:firstLine="99"/>
              <w:rPr>
                <w:rFonts w:ascii="宋体" w:hAnsi="宋体"/>
                <w:color w:val="auto"/>
                <w:szCs w:val="21"/>
                <w:highlight w:val="none"/>
              </w:rPr>
            </w:pPr>
            <w:r>
              <w:rPr>
                <w:rFonts w:ascii="宋体" w:hAnsi="宋体"/>
                <w:color w:val="auto"/>
                <w:szCs w:val="21"/>
                <w:highlight w:val="none"/>
              </w:rPr>
              <w:t>…..</w:t>
            </w:r>
          </w:p>
        </w:tc>
        <w:tc>
          <w:tcPr>
            <w:tcW w:w="1495" w:type="dxa"/>
            <w:tcBorders>
              <w:top w:val="single" w:color="auto" w:sz="6" w:space="0"/>
              <w:left w:val="single" w:color="auto" w:sz="6" w:space="0"/>
              <w:bottom w:val="single" w:color="auto" w:sz="6" w:space="0"/>
              <w:right w:val="single" w:color="auto" w:sz="6" w:space="0"/>
            </w:tcBorders>
            <w:noWrap w:val="0"/>
            <w:vAlign w:val="top"/>
          </w:tcPr>
          <w:p>
            <w:pPr>
              <w:shd w:val="clear" w:color="auto" w:fill="FFFFFF"/>
              <w:spacing w:line="500" w:lineRule="exact"/>
              <w:ind w:firstLine="99"/>
              <w:rPr>
                <w:rFonts w:ascii="宋体" w:hAnsi="宋体"/>
                <w:color w:val="auto"/>
                <w:szCs w:val="21"/>
                <w:highlight w:val="none"/>
              </w:rPr>
            </w:pPr>
          </w:p>
        </w:tc>
        <w:tc>
          <w:tcPr>
            <w:tcW w:w="1922" w:type="dxa"/>
            <w:tcBorders>
              <w:top w:val="single" w:color="auto" w:sz="6" w:space="0"/>
              <w:left w:val="single" w:color="auto" w:sz="6" w:space="0"/>
              <w:bottom w:val="single" w:color="auto" w:sz="6" w:space="0"/>
              <w:right w:val="single" w:color="auto" w:sz="6" w:space="0"/>
            </w:tcBorders>
            <w:noWrap w:val="0"/>
            <w:vAlign w:val="top"/>
          </w:tcPr>
          <w:p>
            <w:pPr>
              <w:shd w:val="clear" w:color="auto" w:fill="FFFFFF"/>
              <w:spacing w:line="500" w:lineRule="exact"/>
              <w:ind w:firstLine="99"/>
              <w:rPr>
                <w:rFonts w:ascii="宋体" w:hAnsi="宋体"/>
                <w:color w:val="auto"/>
                <w:szCs w:val="21"/>
                <w:highlight w:val="none"/>
              </w:rPr>
            </w:pPr>
          </w:p>
        </w:tc>
        <w:tc>
          <w:tcPr>
            <w:tcW w:w="1921" w:type="dxa"/>
            <w:tcBorders>
              <w:top w:val="single" w:color="auto" w:sz="6" w:space="0"/>
              <w:left w:val="single" w:color="auto" w:sz="6" w:space="0"/>
              <w:bottom w:val="single" w:color="auto" w:sz="6" w:space="0"/>
              <w:right w:val="single" w:color="auto" w:sz="6" w:space="0"/>
            </w:tcBorders>
            <w:noWrap w:val="0"/>
            <w:vAlign w:val="top"/>
          </w:tcPr>
          <w:p>
            <w:pPr>
              <w:shd w:val="clear" w:color="auto" w:fill="FFFFFF"/>
              <w:spacing w:line="500" w:lineRule="exact"/>
              <w:ind w:firstLine="99"/>
              <w:rPr>
                <w:rFonts w:ascii="宋体" w:hAnsi="宋体"/>
                <w:color w:val="auto"/>
                <w:szCs w:val="21"/>
                <w:highlight w:val="none"/>
              </w:rPr>
            </w:pPr>
          </w:p>
        </w:tc>
        <w:tc>
          <w:tcPr>
            <w:tcW w:w="1921" w:type="dxa"/>
            <w:tcBorders>
              <w:top w:val="single" w:color="auto" w:sz="6" w:space="0"/>
              <w:left w:val="single" w:color="auto" w:sz="6" w:space="0"/>
              <w:bottom w:val="single" w:color="auto" w:sz="6" w:space="0"/>
              <w:right w:val="single" w:color="auto" w:sz="6" w:space="0"/>
            </w:tcBorders>
            <w:noWrap w:val="0"/>
            <w:vAlign w:val="top"/>
          </w:tcPr>
          <w:p>
            <w:pPr>
              <w:shd w:val="clear" w:color="auto" w:fill="FFFFFF"/>
              <w:spacing w:line="500" w:lineRule="exact"/>
              <w:ind w:firstLine="99"/>
              <w:rPr>
                <w:rFonts w:ascii="宋体" w:hAnsi="宋体"/>
                <w:color w:val="auto"/>
                <w:szCs w:val="21"/>
                <w:highlight w:val="none"/>
              </w:rPr>
            </w:pPr>
          </w:p>
        </w:tc>
        <w:tc>
          <w:tcPr>
            <w:tcW w:w="1921" w:type="dxa"/>
            <w:tcBorders>
              <w:top w:val="single" w:color="auto" w:sz="6" w:space="0"/>
              <w:left w:val="single" w:color="auto" w:sz="6" w:space="0"/>
              <w:bottom w:val="single" w:color="auto" w:sz="6" w:space="0"/>
              <w:right w:val="single" w:color="auto" w:sz="6" w:space="0"/>
            </w:tcBorders>
            <w:noWrap w:val="0"/>
            <w:vAlign w:val="top"/>
          </w:tcPr>
          <w:p>
            <w:pPr>
              <w:shd w:val="clear" w:color="auto" w:fill="FFFFFF"/>
              <w:spacing w:line="500" w:lineRule="exact"/>
              <w:ind w:firstLine="99"/>
              <w:rPr>
                <w:rFonts w:ascii="宋体" w:hAnsi="宋体"/>
                <w:color w:val="auto"/>
                <w:szCs w:val="21"/>
                <w:highlight w:val="none"/>
              </w:rPr>
            </w:pPr>
          </w:p>
        </w:tc>
      </w:tr>
      <w:tr>
        <w:tblPrEx>
          <w:tblCellMar>
            <w:top w:w="0" w:type="dxa"/>
            <w:left w:w="108" w:type="dxa"/>
            <w:bottom w:w="0" w:type="dxa"/>
            <w:right w:w="108" w:type="dxa"/>
          </w:tblCellMar>
        </w:tblPrEx>
        <w:trPr>
          <w:cantSplit/>
          <w:trHeight w:val="564" w:hRule="exact"/>
          <w:jc w:val="center"/>
        </w:trPr>
        <w:tc>
          <w:tcPr>
            <w:tcW w:w="1066" w:type="dxa"/>
            <w:tcBorders>
              <w:top w:val="single" w:color="auto" w:sz="6" w:space="0"/>
              <w:left w:val="single" w:color="auto" w:sz="6" w:space="0"/>
              <w:bottom w:val="single" w:color="auto" w:sz="6" w:space="0"/>
              <w:right w:val="single" w:color="auto" w:sz="6" w:space="0"/>
            </w:tcBorders>
            <w:noWrap w:val="0"/>
            <w:vAlign w:val="top"/>
          </w:tcPr>
          <w:p>
            <w:pPr>
              <w:shd w:val="clear" w:color="auto" w:fill="FFFFFF"/>
              <w:spacing w:line="500" w:lineRule="exact"/>
              <w:ind w:firstLine="99"/>
              <w:rPr>
                <w:rFonts w:ascii="宋体" w:hAnsi="宋体"/>
                <w:color w:val="auto"/>
                <w:szCs w:val="21"/>
                <w:highlight w:val="none"/>
              </w:rPr>
            </w:pPr>
          </w:p>
        </w:tc>
        <w:tc>
          <w:tcPr>
            <w:tcW w:w="1495" w:type="dxa"/>
            <w:tcBorders>
              <w:top w:val="single" w:color="auto" w:sz="6" w:space="0"/>
              <w:left w:val="single" w:color="auto" w:sz="6" w:space="0"/>
              <w:bottom w:val="single" w:color="auto" w:sz="6" w:space="0"/>
              <w:right w:val="single" w:color="auto" w:sz="6" w:space="0"/>
            </w:tcBorders>
            <w:noWrap w:val="0"/>
            <w:vAlign w:val="top"/>
          </w:tcPr>
          <w:p>
            <w:pPr>
              <w:shd w:val="clear" w:color="auto" w:fill="FFFFFF"/>
              <w:spacing w:line="500" w:lineRule="exact"/>
              <w:ind w:firstLine="99"/>
              <w:rPr>
                <w:rFonts w:ascii="宋体" w:hAnsi="宋体"/>
                <w:color w:val="auto"/>
                <w:szCs w:val="21"/>
                <w:highlight w:val="none"/>
              </w:rPr>
            </w:pPr>
          </w:p>
        </w:tc>
        <w:tc>
          <w:tcPr>
            <w:tcW w:w="1922" w:type="dxa"/>
            <w:tcBorders>
              <w:top w:val="single" w:color="auto" w:sz="6" w:space="0"/>
              <w:left w:val="single" w:color="auto" w:sz="6" w:space="0"/>
              <w:bottom w:val="single" w:color="auto" w:sz="6" w:space="0"/>
              <w:right w:val="single" w:color="auto" w:sz="6" w:space="0"/>
            </w:tcBorders>
            <w:noWrap w:val="0"/>
            <w:vAlign w:val="top"/>
          </w:tcPr>
          <w:p>
            <w:pPr>
              <w:shd w:val="clear" w:color="auto" w:fill="FFFFFF"/>
              <w:spacing w:line="500" w:lineRule="exact"/>
              <w:ind w:firstLine="99"/>
              <w:rPr>
                <w:rFonts w:ascii="宋体" w:hAnsi="宋体"/>
                <w:color w:val="auto"/>
                <w:szCs w:val="21"/>
                <w:highlight w:val="none"/>
              </w:rPr>
            </w:pPr>
          </w:p>
        </w:tc>
        <w:tc>
          <w:tcPr>
            <w:tcW w:w="1921" w:type="dxa"/>
            <w:tcBorders>
              <w:top w:val="single" w:color="auto" w:sz="6" w:space="0"/>
              <w:left w:val="single" w:color="auto" w:sz="6" w:space="0"/>
              <w:bottom w:val="single" w:color="auto" w:sz="6" w:space="0"/>
              <w:right w:val="single" w:color="auto" w:sz="6" w:space="0"/>
            </w:tcBorders>
            <w:noWrap w:val="0"/>
            <w:vAlign w:val="top"/>
          </w:tcPr>
          <w:p>
            <w:pPr>
              <w:shd w:val="clear" w:color="auto" w:fill="FFFFFF"/>
              <w:spacing w:line="500" w:lineRule="exact"/>
              <w:ind w:firstLine="99"/>
              <w:rPr>
                <w:rFonts w:ascii="宋体" w:hAnsi="宋体"/>
                <w:color w:val="auto"/>
                <w:szCs w:val="21"/>
                <w:highlight w:val="none"/>
              </w:rPr>
            </w:pPr>
          </w:p>
        </w:tc>
        <w:tc>
          <w:tcPr>
            <w:tcW w:w="1921" w:type="dxa"/>
            <w:tcBorders>
              <w:top w:val="single" w:color="auto" w:sz="6" w:space="0"/>
              <w:left w:val="single" w:color="auto" w:sz="6" w:space="0"/>
              <w:bottom w:val="single" w:color="auto" w:sz="6" w:space="0"/>
              <w:right w:val="single" w:color="auto" w:sz="6" w:space="0"/>
            </w:tcBorders>
            <w:noWrap w:val="0"/>
            <w:vAlign w:val="top"/>
          </w:tcPr>
          <w:p>
            <w:pPr>
              <w:shd w:val="clear" w:color="auto" w:fill="FFFFFF"/>
              <w:spacing w:line="500" w:lineRule="exact"/>
              <w:ind w:firstLine="99"/>
              <w:rPr>
                <w:rFonts w:ascii="宋体" w:hAnsi="宋体"/>
                <w:color w:val="auto"/>
                <w:szCs w:val="21"/>
                <w:highlight w:val="none"/>
              </w:rPr>
            </w:pPr>
          </w:p>
        </w:tc>
        <w:tc>
          <w:tcPr>
            <w:tcW w:w="1921" w:type="dxa"/>
            <w:tcBorders>
              <w:top w:val="single" w:color="auto" w:sz="6" w:space="0"/>
              <w:left w:val="single" w:color="auto" w:sz="6" w:space="0"/>
              <w:bottom w:val="single" w:color="auto" w:sz="6" w:space="0"/>
              <w:right w:val="single" w:color="auto" w:sz="6" w:space="0"/>
            </w:tcBorders>
            <w:noWrap w:val="0"/>
            <w:vAlign w:val="top"/>
          </w:tcPr>
          <w:p>
            <w:pPr>
              <w:shd w:val="clear" w:color="auto" w:fill="FFFFFF"/>
              <w:spacing w:line="500" w:lineRule="exact"/>
              <w:ind w:firstLine="99"/>
              <w:rPr>
                <w:rFonts w:ascii="宋体" w:hAnsi="宋体"/>
                <w:color w:val="auto"/>
                <w:szCs w:val="21"/>
                <w:highlight w:val="none"/>
              </w:rPr>
            </w:pPr>
          </w:p>
        </w:tc>
      </w:tr>
      <w:tr>
        <w:tblPrEx>
          <w:tblCellMar>
            <w:top w:w="0" w:type="dxa"/>
            <w:left w:w="108" w:type="dxa"/>
            <w:bottom w:w="0" w:type="dxa"/>
            <w:right w:w="108" w:type="dxa"/>
          </w:tblCellMar>
        </w:tblPrEx>
        <w:trPr>
          <w:cantSplit/>
          <w:trHeight w:val="564" w:hRule="exact"/>
          <w:jc w:val="center"/>
        </w:trPr>
        <w:tc>
          <w:tcPr>
            <w:tcW w:w="1066" w:type="dxa"/>
            <w:tcBorders>
              <w:top w:val="single" w:color="auto" w:sz="6" w:space="0"/>
              <w:left w:val="single" w:color="auto" w:sz="6" w:space="0"/>
              <w:bottom w:val="single" w:color="auto" w:sz="6" w:space="0"/>
              <w:right w:val="single" w:color="auto" w:sz="6" w:space="0"/>
            </w:tcBorders>
            <w:noWrap w:val="0"/>
            <w:vAlign w:val="top"/>
          </w:tcPr>
          <w:p>
            <w:pPr>
              <w:shd w:val="clear" w:color="auto" w:fill="FFFFFF"/>
              <w:spacing w:line="500" w:lineRule="exact"/>
              <w:ind w:firstLine="99"/>
              <w:rPr>
                <w:rFonts w:ascii="宋体" w:hAnsi="宋体"/>
                <w:color w:val="auto"/>
                <w:szCs w:val="21"/>
                <w:highlight w:val="none"/>
              </w:rPr>
            </w:pPr>
          </w:p>
        </w:tc>
        <w:tc>
          <w:tcPr>
            <w:tcW w:w="1495" w:type="dxa"/>
            <w:tcBorders>
              <w:top w:val="single" w:color="auto" w:sz="6" w:space="0"/>
              <w:left w:val="single" w:color="auto" w:sz="6" w:space="0"/>
              <w:bottom w:val="single" w:color="auto" w:sz="6" w:space="0"/>
              <w:right w:val="single" w:color="auto" w:sz="6" w:space="0"/>
            </w:tcBorders>
            <w:noWrap w:val="0"/>
            <w:vAlign w:val="top"/>
          </w:tcPr>
          <w:p>
            <w:pPr>
              <w:shd w:val="clear" w:color="auto" w:fill="FFFFFF"/>
              <w:spacing w:line="500" w:lineRule="exact"/>
              <w:ind w:firstLine="99"/>
              <w:rPr>
                <w:rFonts w:ascii="宋体" w:hAnsi="宋体"/>
                <w:color w:val="auto"/>
                <w:szCs w:val="21"/>
                <w:highlight w:val="none"/>
              </w:rPr>
            </w:pPr>
          </w:p>
        </w:tc>
        <w:tc>
          <w:tcPr>
            <w:tcW w:w="1922" w:type="dxa"/>
            <w:tcBorders>
              <w:top w:val="single" w:color="auto" w:sz="6" w:space="0"/>
              <w:left w:val="single" w:color="auto" w:sz="6" w:space="0"/>
              <w:bottom w:val="single" w:color="auto" w:sz="6" w:space="0"/>
              <w:right w:val="single" w:color="auto" w:sz="6" w:space="0"/>
            </w:tcBorders>
            <w:noWrap w:val="0"/>
            <w:vAlign w:val="top"/>
          </w:tcPr>
          <w:p>
            <w:pPr>
              <w:shd w:val="clear" w:color="auto" w:fill="FFFFFF"/>
              <w:spacing w:line="500" w:lineRule="exact"/>
              <w:ind w:firstLine="99"/>
              <w:rPr>
                <w:rFonts w:ascii="宋体" w:hAnsi="宋体"/>
                <w:color w:val="auto"/>
                <w:szCs w:val="21"/>
                <w:highlight w:val="none"/>
              </w:rPr>
            </w:pPr>
          </w:p>
        </w:tc>
        <w:tc>
          <w:tcPr>
            <w:tcW w:w="1921" w:type="dxa"/>
            <w:tcBorders>
              <w:top w:val="single" w:color="auto" w:sz="6" w:space="0"/>
              <w:left w:val="single" w:color="auto" w:sz="6" w:space="0"/>
              <w:bottom w:val="single" w:color="auto" w:sz="6" w:space="0"/>
              <w:right w:val="single" w:color="auto" w:sz="6" w:space="0"/>
            </w:tcBorders>
            <w:noWrap w:val="0"/>
            <w:vAlign w:val="top"/>
          </w:tcPr>
          <w:p>
            <w:pPr>
              <w:shd w:val="clear" w:color="auto" w:fill="FFFFFF"/>
              <w:spacing w:line="500" w:lineRule="exact"/>
              <w:ind w:firstLine="99"/>
              <w:rPr>
                <w:rFonts w:ascii="宋体" w:hAnsi="宋体"/>
                <w:color w:val="auto"/>
                <w:szCs w:val="21"/>
                <w:highlight w:val="none"/>
              </w:rPr>
            </w:pPr>
          </w:p>
        </w:tc>
        <w:tc>
          <w:tcPr>
            <w:tcW w:w="1921" w:type="dxa"/>
            <w:tcBorders>
              <w:top w:val="single" w:color="auto" w:sz="6" w:space="0"/>
              <w:left w:val="single" w:color="auto" w:sz="6" w:space="0"/>
              <w:bottom w:val="single" w:color="auto" w:sz="6" w:space="0"/>
              <w:right w:val="single" w:color="auto" w:sz="6" w:space="0"/>
            </w:tcBorders>
            <w:noWrap w:val="0"/>
            <w:vAlign w:val="top"/>
          </w:tcPr>
          <w:p>
            <w:pPr>
              <w:shd w:val="clear" w:color="auto" w:fill="FFFFFF"/>
              <w:spacing w:line="500" w:lineRule="exact"/>
              <w:ind w:firstLine="99"/>
              <w:rPr>
                <w:rFonts w:ascii="宋体" w:hAnsi="宋体"/>
                <w:color w:val="auto"/>
                <w:szCs w:val="21"/>
                <w:highlight w:val="none"/>
              </w:rPr>
            </w:pPr>
          </w:p>
        </w:tc>
        <w:tc>
          <w:tcPr>
            <w:tcW w:w="1921" w:type="dxa"/>
            <w:tcBorders>
              <w:top w:val="single" w:color="auto" w:sz="6" w:space="0"/>
              <w:left w:val="single" w:color="auto" w:sz="6" w:space="0"/>
              <w:bottom w:val="single" w:color="auto" w:sz="6" w:space="0"/>
              <w:right w:val="single" w:color="auto" w:sz="6" w:space="0"/>
            </w:tcBorders>
            <w:noWrap w:val="0"/>
            <w:vAlign w:val="top"/>
          </w:tcPr>
          <w:p>
            <w:pPr>
              <w:shd w:val="clear" w:color="auto" w:fill="FFFFFF"/>
              <w:spacing w:line="500" w:lineRule="exact"/>
              <w:ind w:firstLine="99"/>
              <w:rPr>
                <w:rFonts w:ascii="宋体" w:hAnsi="宋体"/>
                <w:color w:val="auto"/>
                <w:szCs w:val="21"/>
                <w:highlight w:val="none"/>
              </w:rPr>
            </w:pPr>
          </w:p>
        </w:tc>
      </w:tr>
      <w:tr>
        <w:tblPrEx>
          <w:tblCellMar>
            <w:top w:w="0" w:type="dxa"/>
            <w:left w:w="108" w:type="dxa"/>
            <w:bottom w:w="0" w:type="dxa"/>
            <w:right w:w="108" w:type="dxa"/>
          </w:tblCellMar>
        </w:tblPrEx>
        <w:trPr>
          <w:cantSplit/>
          <w:trHeight w:val="564" w:hRule="exact"/>
          <w:jc w:val="center"/>
        </w:trPr>
        <w:tc>
          <w:tcPr>
            <w:tcW w:w="1066" w:type="dxa"/>
            <w:tcBorders>
              <w:top w:val="single" w:color="auto" w:sz="6" w:space="0"/>
              <w:left w:val="single" w:color="auto" w:sz="6" w:space="0"/>
              <w:bottom w:val="single" w:color="auto" w:sz="6" w:space="0"/>
              <w:right w:val="single" w:color="auto" w:sz="6" w:space="0"/>
            </w:tcBorders>
            <w:noWrap w:val="0"/>
            <w:vAlign w:val="top"/>
          </w:tcPr>
          <w:p>
            <w:pPr>
              <w:shd w:val="clear" w:color="auto" w:fill="FFFFFF"/>
              <w:spacing w:line="500" w:lineRule="exact"/>
              <w:ind w:firstLine="99"/>
              <w:rPr>
                <w:rFonts w:ascii="宋体" w:hAnsi="宋体"/>
                <w:color w:val="auto"/>
                <w:szCs w:val="21"/>
                <w:highlight w:val="none"/>
              </w:rPr>
            </w:pPr>
          </w:p>
        </w:tc>
        <w:tc>
          <w:tcPr>
            <w:tcW w:w="1495" w:type="dxa"/>
            <w:tcBorders>
              <w:top w:val="single" w:color="auto" w:sz="6" w:space="0"/>
              <w:left w:val="single" w:color="auto" w:sz="6" w:space="0"/>
              <w:bottom w:val="single" w:color="auto" w:sz="6" w:space="0"/>
              <w:right w:val="single" w:color="auto" w:sz="6" w:space="0"/>
            </w:tcBorders>
            <w:noWrap w:val="0"/>
            <w:vAlign w:val="top"/>
          </w:tcPr>
          <w:p>
            <w:pPr>
              <w:shd w:val="clear" w:color="auto" w:fill="FFFFFF"/>
              <w:spacing w:line="500" w:lineRule="exact"/>
              <w:ind w:firstLine="99"/>
              <w:rPr>
                <w:rFonts w:ascii="宋体" w:hAnsi="宋体"/>
                <w:color w:val="auto"/>
                <w:szCs w:val="21"/>
                <w:highlight w:val="none"/>
              </w:rPr>
            </w:pPr>
          </w:p>
        </w:tc>
        <w:tc>
          <w:tcPr>
            <w:tcW w:w="1922" w:type="dxa"/>
            <w:tcBorders>
              <w:top w:val="single" w:color="auto" w:sz="6" w:space="0"/>
              <w:left w:val="single" w:color="auto" w:sz="6" w:space="0"/>
              <w:bottom w:val="single" w:color="auto" w:sz="6" w:space="0"/>
              <w:right w:val="single" w:color="auto" w:sz="6" w:space="0"/>
            </w:tcBorders>
            <w:noWrap w:val="0"/>
            <w:vAlign w:val="top"/>
          </w:tcPr>
          <w:p>
            <w:pPr>
              <w:shd w:val="clear" w:color="auto" w:fill="FFFFFF"/>
              <w:spacing w:line="500" w:lineRule="exact"/>
              <w:ind w:firstLine="99"/>
              <w:rPr>
                <w:rFonts w:ascii="宋体" w:hAnsi="宋体"/>
                <w:color w:val="auto"/>
                <w:szCs w:val="21"/>
                <w:highlight w:val="none"/>
              </w:rPr>
            </w:pPr>
          </w:p>
        </w:tc>
        <w:tc>
          <w:tcPr>
            <w:tcW w:w="1921" w:type="dxa"/>
            <w:tcBorders>
              <w:top w:val="single" w:color="auto" w:sz="6" w:space="0"/>
              <w:left w:val="single" w:color="auto" w:sz="6" w:space="0"/>
              <w:bottom w:val="single" w:color="auto" w:sz="6" w:space="0"/>
              <w:right w:val="single" w:color="auto" w:sz="6" w:space="0"/>
            </w:tcBorders>
            <w:noWrap w:val="0"/>
            <w:vAlign w:val="top"/>
          </w:tcPr>
          <w:p>
            <w:pPr>
              <w:shd w:val="clear" w:color="auto" w:fill="FFFFFF"/>
              <w:spacing w:line="500" w:lineRule="exact"/>
              <w:ind w:firstLine="99"/>
              <w:rPr>
                <w:rFonts w:ascii="宋体" w:hAnsi="宋体"/>
                <w:color w:val="auto"/>
                <w:szCs w:val="21"/>
                <w:highlight w:val="none"/>
              </w:rPr>
            </w:pPr>
          </w:p>
        </w:tc>
        <w:tc>
          <w:tcPr>
            <w:tcW w:w="1921" w:type="dxa"/>
            <w:tcBorders>
              <w:top w:val="single" w:color="auto" w:sz="6" w:space="0"/>
              <w:left w:val="single" w:color="auto" w:sz="6" w:space="0"/>
              <w:bottom w:val="single" w:color="auto" w:sz="6" w:space="0"/>
              <w:right w:val="single" w:color="auto" w:sz="6" w:space="0"/>
            </w:tcBorders>
            <w:noWrap w:val="0"/>
            <w:vAlign w:val="top"/>
          </w:tcPr>
          <w:p>
            <w:pPr>
              <w:shd w:val="clear" w:color="auto" w:fill="FFFFFF"/>
              <w:spacing w:line="500" w:lineRule="exact"/>
              <w:ind w:firstLine="99"/>
              <w:rPr>
                <w:rFonts w:ascii="宋体" w:hAnsi="宋体"/>
                <w:color w:val="auto"/>
                <w:szCs w:val="21"/>
                <w:highlight w:val="none"/>
              </w:rPr>
            </w:pPr>
          </w:p>
        </w:tc>
        <w:tc>
          <w:tcPr>
            <w:tcW w:w="1921" w:type="dxa"/>
            <w:tcBorders>
              <w:top w:val="single" w:color="auto" w:sz="6" w:space="0"/>
              <w:left w:val="single" w:color="auto" w:sz="6" w:space="0"/>
              <w:bottom w:val="single" w:color="auto" w:sz="6" w:space="0"/>
              <w:right w:val="single" w:color="auto" w:sz="6" w:space="0"/>
            </w:tcBorders>
            <w:noWrap w:val="0"/>
            <w:vAlign w:val="top"/>
          </w:tcPr>
          <w:p>
            <w:pPr>
              <w:shd w:val="clear" w:color="auto" w:fill="FFFFFF"/>
              <w:spacing w:line="500" w:lineRule="exact"/>
              <w:ind w:firstLine="99"/>
              <w:rPr>
                <w:rFonts w:ascii="宋体" w:hAnsi="宋体"/>
                <w:color w:val="auto"/>
                <w:szCs w:val="21"/>
                <w:highlight w:val="none"/>
              </w:rPr>
            </w:pPr>
          </w:p>
        </w:tc>
      </w:tr>
    </w:tbl>
    <w:p>
      <w:pPr>
        <w:shd w:val="clear" w:color="auto" w:fill="FFFFFF"/>
        <w:spacing w:line="500" w:lineRule="exact"/>
        <w:rPr>
          <w:rFonts w:ascii="宋体" w:hAnsi="宋体"/>
          <w:color w:val="auto"/>
          <w:szCs w:val="21"/>
          <w:highlight w:val="none"/>
        </w:rPr>
      </w:pPr>
    </w:p>
    <w:p>
      <w:pPr>
        <w:shd w:val="clear" w:color="auto" w:fill="FFFFFF"/>
        <w:spacing w:line="500" w:lineRule="exact"/>
        <w:ind w:left="706" w:leftChars="336"/>
        <w:rPr>
          <w:rFonts w:ascii="宋体" w:hAnsi="宋体"/>
          <w:color w:val="auto"/>
          <w:sz w:val="24"/>
          <w:highlight w:val="none"/>
        </w:rPr>
      </w:pPr>
      <w:r>
        <w:rPr>
          <w:rFonts w:ascii="宋体" w:hAnsi="宋体"/>
          <w:color w:val="auto"/>
          <w:sz w:val="24"/>
          <w:highlight w:val="none"/>
        </w:rPr>
        <w:t>供应商（</w:t>
      </w:r>
      <w:r>
        <w:rPr>
          <w:rFonts w:hint="eastAsia" w:ascii="宋体" w:hAnsi="宋体" w:cs="宋体"/>
          <w:color w:val="auto"/>
          <w:sz w:val="24"/>
          <w:highlight w:val="none"/>
        </w:rPr>
        <w:t>电子公章</w:t>
      </w:r>
      <w:r>
        <w:rPr>
          <w:rFonts w:ascii="宋体" w:hAnsi="宋体"/>
          <w:color w:val="auto"/>
          <w:sz w:val="24"/>
          <w:highlight w:val="none"/>
        </w:rPr>
        <w:t>）：</w:t>
      </w:r>
    </w:p>
    <w:p>
      <w:pPr>
        <w:shd w:val="clear" w:color="auto" w:fill="FFFFFF"/>
        <w:tabs>
          <w:tab w:val="left" w:pos="3780"/>
        </w:tabs>
        <w:spacing w:line="440" w:lineRule="exact"/>
        <w:ind w:left="706" w:leftChars="336"/>
        <w:rPr>
          <w:rFonts w:ascii="宋体" w:hAnsi="宋体"/>
          <w:color w:val="auto"/>
          <w:sz w:val="24"/>
          <w:highlight w:val="none"/>
        </w:rPr>
      </w:pPr>
      <w:r>
        <w:rPr>
          <w:rFonts w:hint="eastAsia" w:ascii="宋体" w:hAnsi="宋体"/>
          <w:color w:val="auto"/>
          <w:sz w:val="24"/>
          <w:highlight w:val="none"/>
        </w:rPr>
        <w:t>法定代表人或</w:t>
      </w:r>
      <w:r>
        <w:rPr>
          <w:rFonts w:ascii="宋体" w:hAnsi="宋体"/>
          <w:color w:val="auto"/>
          <w:sz w:val="24"/>
          <w:highlight w:val="none"/>
        </w:rPr>
        <w:t>授权代理人（签字</w:t>
      </w:r>
      <w:r>
        <w:rPr>
          <w:rFonts w:hint="eastAsia" w:ascii="宋体" w:hAnsi="宋体"/>
          <w:color w:val="auto"/>
          <w:sz w:val="24"/>
          <w:highlight w:val="none"/>
        </w:rPr>
        <w:t>或签章</w:t>
      </w:r>
      <w:r>
        <w:rPr>
          <w:rFonts w:ascii="宋体" w:hAnsi="宋体"/>
          <w:color w:val="auto"/>
          <w:sz w:val="24"/>
          <w:highlight w:val="none"/>
        </w:rPr>
        <w:t>）：</w:t>
      </w:r>
    </w:p>
    <w:p>
      <w:pPr>
        <w:shd w:val="clear" w:color="auto" w:fill="FFFFFF"/>
        <w:spacing w:line="500" w:lineRule="exact"/>
        <w:ind w:left="706" w:leftChars="336"/>
        <w:rPr>
          <w:rFonts w:ascii="宋体" w:hAnsi="宋体"/>
          <w:color w:val="auto"/>
          <w:sz w:val="24"/>
          <w:highlight w:val="none"/>
        </w:rPr>
      </w:pPr>
      <w:r>
        <w:rPr>
          <w:rFonts w:ascii="宋体" w:hAnsi="宋体"/>
          <w:color w:val="auto"/>
          <w:sz w:val="24"/>
          <w:highlight w:val="none"/>
        </w:rPr>
        <w:t>日</w:t>
      </w:r>
      <w:r>
        <w:rPr>
          <w:rFonts w:hint="eastAsia" w:ascii="宋体" w:hAnsi="宋体"/>
          <w:color w:val="auto"/>
          <w:sz w:val="24"/>
          <w:highlight w:val="none"/>
        </w:rPr>
        <w:t xml:space="preserve">  </w:t>
      </w:r>
      <w:r>
        <w:rPr>
          <w:rFonts w:ascii="宋体" w:hAnsi="宋体"/>
          <w:color w:val="auto"/>
          <w:sz w:val="24"/>
          <w:highlight w:val="none"/>
        </w:rPr>
        <w:t>期：</w:t>
      </w:r>
      <w:r>
        <w:rPr>
          <w:rFonts w:hint="eastAsia" w:ascii="宋体" w:hAnsi="宋体"/>
          <w:color w:val="auto"/>
          <w:sz w:val="24"/>
          <w:highlight w:val="none"/>
        </w:rPr>
        <w:t xml:space="preserve">  </w:t>
      </w:r>
      <w:r>
        <w:rPr>
          <w:rFonts w:ascii="宋体" w:hAnsi="宋体"/>
          <w:color w:val="auto"/>
          <w:sz w:val="24"/>
          <w:highlight w:val="none"/>
        </w:rPr>
        <w:t>年</w:t>
      </w:r>
      <w:r>
        <w:rPr>
          <w:rFonts w:hint="eastAsia" w:ascii="宋体" w:hAnsi="宋体"/>
          <w:color w:val="auto"/>
          <w:sz w:val="24"/>
          <w:highlight w:val="none"/>
        </w:rPr>
        <w:t xml:space="preserve">  </w:t>
      </w:r>
      <w:r>
        <w:rPr>
          <w:rFonts w:ascii="宋体" w:hAnsi="宋体"/>
          <w:color w:val="auto"/>
          <w:sz w:val="24"/>
          <w:highlight w:val="none"/>
        </w:rPr>
        <w:t>月</w:t>
      </w:r>
      <w:r>
        <w:rPr>
          <w:rFonts w:hint="eastAsia" w:ascii="宋体" w:hAnsi="宋体"/>
          <w:color w:val="auto"/>
          <w:sz w:val="24"/>
          <w:highlight w:val="none"/>
        </w:rPr>
        <w:t xml:space="preserve">  </w:t>
      </w:r>
      <w:r>
        <w:rPr>
          <w:rFonts w:ascii="宋体" w:hAnsi="宋体"/>
          <w:color w:val="auto"/>
          <w:sz w:val="24"/>
          <w:highlight w:val="none"/>
        </w:rPr>
        <w:t>日</w:t>
      </w:r>
    </w:p>
    <w:p>
      <w:pPr>
        <w:pStyle w:val="331"/>
        <w:rPr>
          <w:rFonts w:ascii="宋体" w:hAnsi="宋体" w:eastAsia="宋体" w:cs="Times New Roman"/>
          <w:b/>
          <w:bCs/>
          <w:color w:val="auto"/>
          <w:kern w:val="0"/>
          <w:highlight w:val="none"/>
        </w:rPr>
      </w:pPr>
    </w:p>
    <w:p>
      <w:pPr>
        <w:numPr>
          <w:ilvl w:val="0"/>
          <w:numId w:val="23"/>
        </w:numPr>
        <w:shd w:val="clear" w:color="auto" w:fill="FFFFFF"/>
        <w:spacing w:line="440" w:lineRule="exact"/>
        <w:rPr>
          <w:rFonts w:hint="eastAsia" w:ascii="宋体" w:hAnsi="宋体" w:cs="宋体"/>
          <w:bCs/>
          <w:color w:val="auto"/>
          <w:sz w:val="24"/>
          <w:highlight w:val="none"/>
          <w:lang w:eastAsia="zh-CN"/>
        </w:rPr>
      </w:pPr>
      <w:r>
        <w:rPr>
          <w:color w:val="auto"/>
          <w:highlight w:val="none"/>
        </w:rPr>
        <w:br w:type="page"/>
      </w:r>
      <w:bookmarkStart w:id="193" w:name="_Toc35984293"/>
      <w:r>
        <w:rPr>
          <w:rFonts w:hint="eastAsia" w:ascii="宋体" w:hAnsi="宋体" w:cs="宋体"/>
          <w:bCs/>
          <w:color w:val="auto"/>
          <w:sz w:val="24"/>
          <w:highlight w:val="none"/>
          <w:lang w:eastAsia="zh-CN"/>
        </w:rPr>
        <w:t>服务方案</w:t>
      </w:r>
    </w:p>
    <w:bookmarkEnd w:id="193"/>
    <w:p>
      <w:pPr>
        <w:shd w:val="clear" w:color="auto" w:fill="FFFFFF"/>
        <w:spacing w:line="440" w:lineRule="exact"/>
        <w:ind w:firstLine="720" w:firstLineChars="300"/>
        <w:rPr>
          <w:rFonts w:hint="eastAsia" w:ascii="宋体" w:hAnsi="宋体"/>
          <w:color w:val="auto"/>
          <w:kern w:val="0"/>
          <w:sz w:val="24"/>
          <w:highlight w:val="none"/>
        </w:rPr>
      </w:pPr>
      <w:r>
        <w:rPr>
          <w:rFonts w:hint="eastAsia" w:ascii="宋体" w:hAnsi="宋体"/>
          <w:color w:val="auto"/>
          <w:kern w:val="0"/>
          <w:sz w:val="24"/>
          <w:highlight w:val="none"/>
        </w:rPr>
        <w:t>格式自拟，内容包括但不限于以下内容</w:t>
      </w:r>
    </w:p>
    <w:p>
      <w:pPr>
        <w:numPr>
          <w:ilvl w:val="0"/>
          <w:numId w:val="24"/>
        </w:numPr>
        <w:shd w:val="clear" w:color="auto" w:fill="FFFFFF"/>
        <w:spacing w:line="440" w:lineRule="exact"/>
        <w:ind w:firstLine="720" w:firstLineChars="300"/>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供货方案</w:t>
      </w:r>
    </w:p>
    <w:p>
      <w:pPr>
        <w:pStyle w:val="71"/>
        <w:numPr>
          <w:ilvl w:val="0"/>
          <w:numId w:val="24"/>
        </w:numPr>
        <w:ind w:left="0" w:leftChars="0" w:firstLine="840" w:firstLineChars="300"/>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维修</w:t>
      </w:r>
    </w:p>
    <w:p>
      <w:pPr>
        <w:pStyle w:val="71"/>
        <w:numPr>
          <w:ilvl w:val="0"/>
          <w:numId w:val="24"/>
        </w:numPr>
        <w:ind w:left="0" w:leftChars="0" w:firstLine="840" w:firstLineChars="300"/>
        <w:rPr>
          <w:rFonts w:hint="default" w:ascii="宋体" w:hAnsi="宋体"/>
          <w:color w:val="auto"/>
          <w:kern w:val="0"/>
          <w:sz w:val="24"/>
          <w:highlight w:val="none"/>
          <w:lang w:val="en-US" w:eastAsia="zh-CN"/>
        </w:rPr>
      </w:pPr>
      <w:r>
        <w:rPr>
          <w:rFonts w:hint="eastAsia" w:ascii="宋体" w:hAnsi="宋体"/>
          <w:color w:val="auto"/>
          <w:kern w:val="0"/>
          <w:sz w:val="24"/>
          <w:highlight w:val="none"/>
          <w:lang w:val="en-US" w:eastAsia="zh-CN"/>
        </w:rPr>
        <w:t>验收方案</w:t>
      </w:r>
    </w:p>
    <w:p>
      <w:pPr>
        <w:numPr>
          <w:ilvl w:val="0"/>
          <w:numId w:val="24"/>
        </w:numPr>
        <w:shd w:val="clear" w:color="auto" w:fill="FFFFFF"/>
        <w:spacing w:line="440" w:lineRule="exact"/>
        <w:ind w:firstLine="630" w:firstLineChars="300"/>
        <w:rPr>
          <w:rFonts w:ascii="宋体" w:hAnsi="宋体" w:cs="宋体"/>
          <w:bCs/>
          <w:color w:val="auto"/>
          <w:sz w:val="24"/>
          <w:highlight w:val="none"/>
        </w:rPr>
      </w:pPr>
      <w:r>
        <w:rPr>
          <w:rFonts w:hint="eastAsia" w:ascii="宋体" w:hAnsi="宋体" w:cs="宋体"/>
          <w:color w:val="auto"/>
          <w:highlight w:val="none"/>
        </w:rPr>
        <w:br w:type="page"/>
      </w:r>
      <w:r>
        <w:rPr>
          <w:rFonts w:hint="eastAsia" w:ascii="宋体" w:hAnsi="宋体" w:cs="宋体"/>
          <w:bCs/>
          <w:color w:val="auto"/>
          <w:sz w:val="24"/>
          <w:highlight w:val="none"/>
        </w:rPr>
        <w:t>.供应商认为有必要的其他技术资料</w:t>
      </w:r>
    </w:p>
    <w:p>
      <w:pPr>
        <w:pStyle w:val="4"/>
        <w:ind w:left="359"/>
        <w:jc w:val="center"/>
        <w:rPr>
          <w:rFonts w:ascii="宋体" w:hAnsi="宋体" w:eastAsia="宋体" w:cs="宋体"/>
          <w:b w:val="0"/>
          <w:color w:val="auto"/>
          <w:w w:val="99"/>
          <w:position w:val="-4"/>
          <w:szCs w:val="32"/>
          <w:highlight w:val="none"/>
        </w:rPr>
      </w:pPr>
      <w:r>
        <w:rPr>
          <w:rFonts w:hint="eastAsia" w:ascii="宋体" w:hAnsi="宋体" w:eastAsia="宋体" w:cs="宋体"/>
          <w:color w:val="auto"/>
          <w:w w:val="99"/>
          <w:highlight w:val="none"/>
        </w:rPr>
        <w:br w:type="page"/>
      </w:r>
      <w:bookmarkStart w:id="194" w:name="_Toc5264"/>
      <w:bookmarkStart w:id="195" w:name="_Toc348"/>
      <w:bookmarkStart w:id="196" w:name="_Toc53602925"/>
      <w:bookmarkStart w:id="197" w:name="_Toc24722"/>
      <w:r>
        <w:rPr>
          <w:rFonts w:hint="eastAsia" w:ascii="宋体" w:hAnsi="宋体" w:cs="宋体"/>
          <w:color w:val="auto"/>
          <w:sz w:val="28"/>
          <w:szCs w:val="28"/>
          <w:highlight w:val="none"/>
        </w:rPr>
        <w:t>五</w:t>
      </w:r>
      <w:r>
        <w:rPr>
          <w:rFonts w:hint="eastAsia" w:ascii="宋体" w:hAnsi="宋体" w:eastAsia="宋体" w:cs="宋体"/>
          <w:color w:val="auto"/>
          <w:sz w:val="28"/>
          <w:szCs w:val="28"/>
          <w:highlight w:val="none"/>
        </w:rPr>
        <w:t>、其他资料</w:t>
      </w:r>
      <w:bookmarkEnd w:id="194"/>
      <w:bookmarkEnd w:id="195"/>
      <w:bookmarkEnd w:id="196"/>
      <w:bookmarkEnd w:id="197"/>
    </w:p>
    <w:p>
      <w:pPr>
        <w:pStyle w:val="253"/>
        <w:ind w:firstLine="473"/>
        <w:rPr>
          <w:rFonts w:ascii="宋体" w:hAnsi="宋体" w:cs="宋体"/>
          <w:color w:val="auto"/>
          <w:w w:val="99"/>
          <w:highlight w:val="none"/>
        </w:rPr>
      </w:pPr>
    </w:p>
    <w:p>
      <w:pPr>
        <w:topLinePunct/>
        <w:spacing w:line="520" w:lineRule="exact"/>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1.招标文件未提供格式的内容</w:t>
      </w:r>
    </w:p>
    <w:p>
      <w:pPr>
        <w:topLinePunct/>
        <w:spacing w:line="520" w:lineRule="exact"/>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2.供应商认为有必要的其他资料</w:t>
      </w:r>
      <w:bookmarkStart w:id="198" w:name="_Toc179632833"/>
      <w:bookmarkEnd w:id="198"/>
      <w:bookmarkStart w:id="199" w:name="_Toc152042602"/>
      <w:bookmarkEnd w:id="199"/>
      <w:bookmarkStart w:id="200" w:name="_Toc144974881"/>
      <w:bookmarkEnd w:id="200"/>
      <w:bookmarkStart w:id="201" w:name="_Toc152045813"/>
      <w:bookmarkEnd w:id="201"/>
    </w:p>
    <w:p>
      <w:pPr>
        <w:pStyle w:val="253"/>
        <w:ind w:firstLine="473"/>
        <w:rPr>
          <w:rFonts w:ascii="宋体" w:hAnsi="宋体" w:cs="宋体"/>
          <w:color w:val="auto"/>
          <w:w w:val="99"/>
          <w:highlight w:val="none"/>
        </w:rPr>
      </w:pPr>
    </w:p>
    <w:p>
      <w:pPr>
        <w:pStyle w:val="71"/>
        <w:rPr>
          <w:color w:val="auto"/>
          <w:highlight w:val="none"/>
        </w:rPr>
      </w:pPr>
    </w:p>
    <w:sectPr>
      <w:headerReference r:id="rId13" w:type="default"/>
      <w:footerReference r:id="rId14" w:type="default"/>
      <w:pgSz w:w="11906" w:h="16838"/>
      <w:pgMar w:top="1134" w:right="1417" w:bottom="1134" w:left="1417" w:header="703" w:footer="851" w:gutter="0"/>
      <w:cols w:space="720" w:num="1"/>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魏碑体">
    <w:altName w:val="宋体"/>
    <w:panose1 w:val="00000000000000000000"/>
    <w:charset w:val="86"/>
    <w:family w:val="swiss"/>
    <w:pitch w:val="default"/>
    <w:sig w:usb0="00000000" w:usb1="00000000" w:usb2="00000010" w:usb3="00000000" w:csb0="00040000" w:csb1="00000000"/>
  </w:font>
  <w:font w:name="幼圆">
    <w:panose1 w:val="02010509060101010101"/>
    <w:charset w:val="86"/>
    <w:family w:val="modern"/>
    <w:pitch w:val="default"/>
    <w:sig w:usb0="00000001" w:usb1="080E0000" w:usb2="00000000" w:usb3="00000000" w:csb0="00040000" w:csb1="00000000"/>
  </w:font>
  <w:font w:name="Garamond">
    <w:panose1 w:val="02020404030301010803"/>
    <w:charset w:val="00"/>
    <w:family w:val="roman"/>
    <w:pitch w:val="default"/>
    <w:sig w:usb0="00000287" w:usb1="00000000" w:usb2="00000000" w:usb3="00000000" w:csb0="0000009F" w:csb1="DFD70000"/>
  </w:font>
  <w:font w:name="宋体;SimSun">
    <w:altName w:val="宋体"/>
    <w:panose1 w:val="00000000000000000000"/>
    <w:charset w:val="86"/>
    <w:family w:val="roma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_GB2312">
    <w:altName w:val="Times New Roman"/>
    <w:panose1 w:val="00000000000000000000"/>
    <w:charset w:val="00"/>
    <w:family w:val="auto"/>
    <w:pitch w:val="default"/>
    <w:sig w:usb0="00000000" w:usb1="00000000" w:usb2="00000000" w:usb3="00000000" w:csb0="00000001" w:csb1="00000000"/>
  </w:font>
  <w:font w:name="长城仿宋">
    <w:altName w:val="宋体"/>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roman"/>
    <w:pitch w:val="default"/>
    <w:sig w:usb0="FFFFFFFF" w:usb1="E9FFFFFF" w:usb2="0000003F" w:usb3="00000000" w:csb0="603F01FF" w:csb1="FFFF0000"/>
  </w:font>
  <w:font w:name="文鼎粗黑">
    <w:altName w:val="黑体"/>
    <w:panose1 w:val="00000000000000000000"/>
    <w:charset w:val="86"/>
    <w:family w:val="modern"/>
    <w:pitch w:val="default"/>
    <w:sig w:usb0="00000000" w:usb1="00000000" w:usb2="00000010" w:usb3="00000000" w:csb0="00040000" w:csb1="00000000"/>
  </w:font>
  <w:font w:name="Geneva">
    <w:altName w:val="Arial"/>
    <w:panose1 w:val="00000000000000000000"/>
    <w:charset w:val="00"/>
    <w:family w:val="swiss"/>
    <w:pitch w:val="default"/>
    <w:sig w:usb0="00000000" w:usb1="00000000" w:usb2="00000000" w:usb3="00000000" w:csb0="00000001" w:csb1="00000000"/>
  </w:font>
  <w:font w:name="MingLiU">
    <w:panose1 w:val="02020509000000000000"/>
    <w:charset w:val="88"/>
    <w:family w:val="modern"/>
    <w:pitch w:val="default"/>
    <w:sig w:usb0="A00002FF" w:usb1="28CFFCFA" w:usb2="00000016" w:usb3="00000000" w:csb0="00100001" w:csb1="00000000"/>
  </w:font>
  <w:font w:name="华文新魏">
    <w:panose1 w:val="02010800040101010101"/>
    <w:charset w:val="86"/>
    <w:family w:val="auto"/>
    <w:pitch w:val="default"/>
    <w:sig w:usb0="00000001" w:usb1="080F0000" w:usb2="00000000" w:usb3="00000000" w:csb0="00040000" w:csb1="00000000"/>
  </w:font>
  <w:font w:name=".a..DD..">
    <w:altName w:val="宋体"/>
    <w:panose1 w:val="00000000000000000000"/>
    <w:charset w:val="86"/>
    <w:family w:val="auto"/>
    <w:pitch w:val="default"/>
    <w:sig w:usb0="00000000" w:usb1="00000000" w:usb2="00000010" w:usb3="00000000" w:csb0="00040000" w:csb1="00000000"/>
  </w:font>
  <w:font w:name="Tms Rmn">
    <w:altName w:val="Segoe Print"/>
    <w:panose1 w:val="02020603040505020304"/>
    <w:charset w:val="00"/>
    <w:family w:val="roman"/>
    <w:pitch w:val="default"/>
    <w:sig w:usb0="00000000" w:usb1="00000000" w:usb2="00000000" w:usb3="00000000" w:csb0="00000001" w:csb1="00000000"/>
  </w:font>
  <w:font w:name="Times">
    <w:altName w:val="Times New Roman"/>
    <w:panose1 w:val="02020603050405020304"/>
    <w:charset w:val="00"/>
    <w:family w:val="roman"/>
    <w:pitch w:val="default"/>
    <w:sig w:usb0="00000000" w:usb1="00000000" w:usb2="00000009" w:usb3="00000000" w:csb0="000001FF" w:csb1="00000000"/>
  </w:font>
  <w:font w:name="Arial Black">
    <w:panose1 w:val="020B0A04020102020204"/>
    <w:charset w:val="00"/>
    <w:family w:val="swiss"/>
    <w:pitch w:val="default"/>
    <w:sig w:usb0="00000287" w:usb1="00000000" w:usb2="00000000" w:usb3="00000000" w:csb0="2000009F" w:csb1="DFD70000"/>
  </w:font>
  <w:font w:name="楷体">
    <w:panose1 w:val="02010609060101010101"/>
    <w:charset w:val="86"/>
    <w:family w:val="modern"/>
    <w:pitch w:val="default"/>
    <w:sig w:usb0="800002BF" w:usb1="38CF7CFA" w:usb2="00000016" w:usb3="00000000" w:csb0="00040001" w:csb1="00000000"/>
  </w:font>
  <w:font w:name="Book Antiqua">
    <w:panose1 w:val="02040602050305030304"/>
    <w:charset w:val="00"/>
    <w:family w:val="roman"/>
    <w:pitch w:val="default"/>
    <w:sig w:usb0="00000287" w:usb1="00000000" w:usb2="00000000" w:usb3="00000000" w:csb0="2000009F" w:csb1="DFD7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Angsana New">
    <w:panose1 w:val="02020603050405020304"/>
    <w:charset w:val="DE"/>
    <w:family w:val="roman"/>
    <w:pitch w:val="default"/>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pPr>
    <w:r>
      <w:fldChar w:fldCharType="begin"/>
    </w:r>
    <w:r>
      <w:instrText xml:space="preserve">PAGE   \* MERGEFORMAT</w:instrText>
    </w:r>
    <w:r>
      <w:fldChar w:fldCharType="separate"/>
    </w:r>
    <w:r>
      <w:rPr>
        <w:lang w:val="zh-CN"/>
      </w:rPr>
      <w:t>2</w:t>
    </w:r>
    <w:r>
      <w:fldChar w:fldCharType="end"/>
    </w:r>
  </w:p>
  <w:p>
    <w:pPr>
      <w:ind w:right="359" w:rightChars="171" w:firstLine="525" w:firstLineChars="25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084"/>
      <w:rPr>
        <w:rFonts w:ascii="Calibri" w:hAnsi="Calibri" w:eastAsia="Calibri" w:cs="Calibri"/>
        <w:sz w:val="17"/>
        <w:szCs w:val="17"/>
      </w:rPr>
    </w:pPr>
    <w:r>
      <w:rPr>
        <w:sz w:val="17"/>
      </w:rPr>
      <mc:AlternateContent>
        <mc:Choice Requires="wps">
          <w:drawing>
            <wp:anchor distT="0" distB="0" distL="0" distR="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41"/>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rect id="文本框 2" o:spid="_x0000_s1026" o:spt="1"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5dblS0AAAAAUBAAAPAAAAAAAAAAEAIAAAACIAAABkcnMvZG93bnJldi54bWxQSwEC&#10;FAAUAAAACACHTuJA3dIx5MMBAACHAwAADgAAAAAAAAABACAAAAAfAQAAZHJzL2Uyb0RvYy54bWxQ&#10;SwUGAAAAAAYABgBZAQAAVAUAAAAA&#10;">
              <v:fill on="f" focussize="0,0"/>
              <v:stroke on="f"/>
              <v:imagedata o:title=""/>
              <o:lock v:ext="edit" aspectratio="f"/>
              <v:textbox inset="0mm,0mm,0mm,0mm" style="mso-fit-shape-to-text:t;">
                <w:txbxContent>
                  <w:p>
                    <w:pPr>
                      <w:pStyle w:val="41"/>
                    </w:pPr>
                    <w:r>
                      <w:fldChar w:fldCharType="begin"/>
                    </w:r>
                    <w:r>
                      <w:instrText xml:space="preserve"> PAGE  \* MERGEFORMAT </w:instrText>
                    </w:r>
                    <w:r>
                      <w:fldChar w:fldCharType="separate"/>
                    </w:r>
                    <w:r>
                      <w:t>1</w:t>
                    </w:r>
                    <w:r>
                      <w:fldChar w:fldCharType="end"/>
                    </w:r>
                  </w:p>
                </w:txbxContent>
              </v:textbox>
            </v:rect>
          </w:pict>
        </mc:Fallback>
      </mc:AlternateContent>
    </w:r>
    <w:r>
      <w:rPr>
        <w:rFonts w:ascii="Calibri" w:hAnsi="Calibri" w:eastAsia="Calibri" w:cs="Calibri"/>
        <w:spacing w:val="-1"/>
        <w:sz w:val="17"/>
        <w:szCs w:val="17"/>
      </w:rPr>
      <w:t>2</w:t>
    </w:r>
    <w:r>
      <w:rPr>
        <w:rFonts w:ascii="Calibri" w:hAnsi="Calibri" w:eastAsia="Calibri" w:cs="Calibri"/>
        <w:sz w:val="17"/>
        <w:szCs w:val="17"/>
      </w:rPr>
      <w:t>7</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lang w:val="zh-CN"/>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41"/>
                          </w:pPr>
                          <w:r>
                            <w:rPr>
                              <w:lang w:val="zh-CN"/>
                            </w:rPr>
                            <w:fldChar w:fldCharType="begin"/>
                          </w:r>
                          <w:r>
                            <w:rPr>
                              <w:lang w:val="zh-CN"/>
                            </w:rPr>
                            <w:instrText xml:space="preserve">PAGE   \* MERGEFORMAT</w:instrText>
                          </w:r>
                          <w:r>
                            <w:rPr>
                              <w:lang w:val="zh-CN"/>
                            </w:rPr>
                            <w:fldChar w:fldCharType="separate"/>
                          </w:r>
                          <w:r>
                            <w:rPr>
                              <w:lang w:val="zh-CN"/>
                            </w:rPr>
                            <w:t>24</w:t>
                          </w:r>
                          <w:r>
                            <w:rPr>
                              <w:lang w:val="zh-CN"/>
                            </w:rPr>
                            <w:fldChar w:fldCharType="end"/>
                          </w:r>
                        </w:p>
                      </w:txbxContent>
                    </wps:txbx>
                    <wps:bodyPr vert="horz" wrap="none" lIns="0" tIns="0" rIns="0" bIns="0" anchor="t" anchorCtr="0">
                      <a:spAutoFit/>
                    </wps:bodyPr>
                  </wps:wsp>
                </a:graphicData>
              </a:graphic>
            </wp:anchor>
          </w:drawing>
        </mc:Choice>
        <mc:Fallback>
          <w:pict>
            <v:shape id="文本框 13"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6pebnPAAAABQEAAA8AAAAAAAAA&#10;AQAgAAAAIgAAAGRycy9kb3ducmV2LnhtbFBLAQIUABQAAAAIAIdO4kDjcxy84QEAALwDAAAOAAAA&#10;AAAAAAEAIAAAAB4BAABkcnMvZTJvRG9jLnhtbFBLBQYAAAAABgAGAFkBAABxBQAAAAA=&#10;">
              <v:fill on="f" focussize="0,0"/>
              <v:stroke on="f"/>
              <v:imagedata o:title=""/>
              <o:lock v:ext="edit" aspectratio="f"/>
              <v:textbox inset="0mm,0mm,0mm,0mm" style="mso-fit-shape-to-text:t;">
                <w:txbxContent>
                  <w:p>
                    <w:pPr>
                      <w:pStyle w:val="41"/>
                    </w:pPr>
                    <w:r>
                      <w:rPr>
                        <w:lang w:val="zh-CN"/>
                      </w:rPr>
                      <w:fldChar w:fldCharType="begin"/>
                    </w:r>
                    <w:r>
                      <w:rPr>
                        <w:lang w:val="zh-CN"/>
                      </w:rPr>
                      <w:instrText xml:space="preserve">PAGE   \* MERGEFORMAT</w:instrText>
                    </w:r>
                    <w:r>
                      <w:rPr>
                        <w:lang w:val="zh-CN"/>
                      </w:rPr>
                      <w:fldChar w:fldCharType="separate"/>
                    </w:r>
                    <w:r>
                      <w:rPr>
                        <w:lang w:val="zh-CN"/>
                      </w:rPr>
                      <w:t>24</w:t>
                    </w:r>
                    <w:r>
                      <w:rPr>
                        <w:lang w:val="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41"/>
                          </w:pPr>
                          <w:r>
                            <w:fldChar w:fldCharType="begin"/>
                          </w:r>
                          <w:r>
                            <w:instrText xml:space="preserve"> PAGE  \* MERGEFORMAT </w:instrText>
                          </w:r>
                          <w:r>
                            <w:fldChar w:fldCharType="separate"/>
                          </w:r>
                          <w:r>
                            <w:t>1</w:t>
                          </w:r>
                          <w:r>
                            <w:fldChar w:fldCharType="end"/>
                          </w:r>
                        </w:p>
                      </w:txbxContent>
                    </wps:txbx>
                    <wps:bodyPr vert="horz" wrap="none" lIns="0" tIns="0" rIns="0" bIns="0" anchor="t" anchorCtr="0">
                      <a:spAutoFit/>
                    </wps:bodyPr>
                  </wps:wsp>
                </a:graphicData>
              </a:graphic>
            </wp:anchor>
          </w:drawing>
        </mc:Choice>
        <mc:Fallback>
          <w:pict>
            <v:shape id="文本框 14"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OqXm5zwAAAAUBAAAPAAAAAAAA&#10;AAEAIAAAACIAAABkcnMvZG93bnJldi54bWxQSwECFAAUAAAACACHTuJACoAno+IBAAC8AwAADgAA&#10;AAAAAAABACAAAAAeAQAAZHJzL2Uyb0RvYy54bWxQSwUGAAAAAAYABgBZAQAAcgUAAAAA&#10;">
              <v:fill on="f" focussize="0,0"/>
              <v:stroke on="f"/>
              <v:imagedata o:title=""/>
              <o:lock v:ext="edit" aspectratio="f"/>
              <v:textbox inset="0mm,0mm,0mm,0mm" style="mso-fit-shape-to-text:t;">
                <w:txbxContent>
                  <w:p>
                    <w:pPr>
                      <w:pStyle w:val="41"/>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41"/>
                          </w:pPr>
                          <w:r>
                            <w:fldChar w:fldCharType="begin"/>
                          </w:r>
                          <w:r>
                            <w:instrText xml:space="preserve"> PAGE  \* MERGEFORMAT </w:instrText>
                          </w:r>
                          <w:r>
                            <w:fldChar w:fldCharType="separate"/>
                          </w:r>
                          <w:r>
                            <w:t>40</w:t>
                          </w:r>
                          <w:r>
                            <w:fldChar w:fldCharType="end"/>
                          </w:r>
                        </w:p>
                      </w:txbxContent>
                    </wps:txbx>
                    <wps:bodyPr vert="horz" wrap="none" lIns="0" tIns="0" rIns="0" bIns="0" anchor="t" anchorCtr="0">
                      <a:spAutoFit/>
                    </wps:bodyPr>
                  </wps:wsp>
                </a:graphicData>
              </a:graphic>
            </wp:anchor>
          </w:drawing>
        </mc:Choice>
        <mc:Fallback>
          <w:pict>
            <v:shape id="文本框 15"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6pebnPAAAABQEAAA8AAAAAAAAA&#10;AQAgAAAAIgAAAGRycy9kb3ducmV2LnhtbFBLAQIUABQAAAAIAIdO4kB1upjt4QEAALwDAAAOAAAA&#10;AAAAAAEAIAAAAB4BAABkcnMvZTJvRG9jLnhtbFBLBQYAAAAABgAGAFkBAABxBQAAAAA=&#10;">
              <v:fill on="f" focussize="0,0"/>
              <v:stroke on="f"/>
              <v:imagedata o:title=""/>
              <o:lock v:ext="edit" aspectratio="f"/>
              <v:textbox inset="0mm,0mm,0mm,0mm" style="mso-fit-shape-to-text:t;">
                <w:txbxContent>
                  <w:p>
                    <w:pPr>
                      <w:pStyle w:val="41"/>
                    </w:pPr>
                    <w:r>
                      <w:fldChar w:fldCharType="begin"/>
                    </w:r>
                    <w:r>
                      <w:instrText xml:space="preserve"> PAGE  \* MERGEFORMAT </w:instrText>
                    </w:r>
                    <w:r>
                      <w:fldChar w:fldCharType="separate"/>
                    </w:r>
                    <w:r>
                      <w:t>40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rPr>
        <w:rFonts w:hint="eastAsia"/>
      </w:rPr>
      <w:t>新疆东南项目管理有限公司</w:t>
    </w:r>
    <w:r>
      <w:rPr>
        <w:rFonts w:ascii="??_GB2312" w:eastAsia="Times New Roman"/>
        <w:b/>
        <w:i/>
        <w:spacing w:val="-10"/>
      </w:rPr>
      <w:t xml:space="preserve"> </w:t>
    </w:r>
    <w:r>
      <w:rPr>
        <w:rFonts w:hint="eastAsia" w:ascii="??_GB2312"/>
        <w:b/>
        <w:i/>
        <w:spacing w:val="-10"/>
      </w:rPr>
      <w:t xml:space="preserve">  </w:t>
    </w:r>
    <w:r>
      <w:rPr>
        <w:rFonts w:ascii="??_GB2312"/>
        <w:b/>
        <w:i/>
        <w:spacing w:val="-10"/>
      </w:rPr>
      <w:t xml:space="preserve">  </w:t>
    </w:r>
    <w:r>
      <w:rPr>
        <w:rFonts w:hint="eastAsia" w:ascii="??_GB2312"/>
        <w:b/>
        <w:i/>
        <w:spacing w:val="-10"/>
      </w:rPr>
      <w:t xml:space="preserve">                                                                        </w:t>
    </w:r>
    <w:r>
      <w:rPr>
        <w:rFonts w:hint="eastAsia"/>
      </w:rPr>
      <w:t xml:space="preserve"> 2023年4月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rPr>
        <w:rFonts w:hint="eastAsia"/>
      </w:rPr>
      <w:t>新疆东南项目管理有限公司</w:t>
    </w:r>
    <w:r>
      <w:rPr>
        <w:rFonts w:ascii="??_GB2312" w:eastAsia="Times New Roman"/>
        <w:b/>
        <w:i/>
        <w:spacing w:val="-10"/>
      </w:rPr>
      <w:t xml:space="preserve"> </w:t>
    </w:r>
    <w:r>
      <w:rPr>
        <w:rFonts w:hint="eastAsia" w:ascii="??_GB2312"/>
        <w:b/>
        <w:i/>
        <w:spacing w:val="-10"/>
      </w:rPr>
      <w:t xml:space="preserve">  </w:t>
    </w:r>
    <w:r>
      <w:rPr>
        <w:rFonts w:ascii="??_GB2312"/>
        <w:b/>
        <w:i/>
        <w:spacing w:val="-10"/>
      </w:rPr>
      <w:t xml:space="preserve">  </w:t>
    </w:r>
    <w:r>
      <w:rPr>
        <w:rFonts w:hint="eastAsia" w:ascii="??_GB2312"/>
        <w:b/>
        <w:i/>
        <w:spacing w:val="-10"/>
      </w:rPr>
      <w:t xml:space="preserve">                                                                        </w:t>
    </w:r>
    <w:r>
      <w:rPr>
        <w:rFonts w:hint="eastAsia"/>
      </w:rPr>
      <w:t xml:space="preserve"> 2023年4月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rPr>
        <w:rFonts w:hint="eastAsia"/>
      </w:rPr>
      <w:t>新疆东南项目管理有限公司</w:t>
    </w:r>
    <w:r>
      <w:rPr>
        <w:rFonts w:ascii="??_GB2312" w:eastAsia="Times New Roman"/>
        <w:b/>
        <w:i/>
        <w:spacing w:val="-10"/>
      </w:rPr>
      <w:t xml:space="preserve"> </w:t>
    </w:r>
    <w:r>
      <w:rPr>
        <w:rFonts w:hint="eastAsia" w:ascii="??_GB2312"/>
        <w:b/>
        <w:i/>
        <w:spacing w:val="-10"/>
      </w:rPr>
      <w:t xml:space="preserve">  </w:t>
    </w:r>
    <w:r>
      <w:rPr>
        <w:rFonts w:ascii="??_GB2312"/>
        <w:b/>
        <w:i/>
        <w:spacing w:val="-10"/>
      </w:rPr>
      <w:t xml:space="preserve">  </w:t>
    </w:r>
    <w:r>
      <w:rPr>
        <w:rFonts w:hint="eastAsia" w:ascii="??_GB2312"/>
        <w:b/>
        <w:i/>
        <w:spacing w:val="-10"/>
      </w:rPr>
      <w:t xml:space="preserve">                                                                        </w:t>
    </w:r>
    <w:r>
      <w:rPr>
        <w:rFonts w:hint="eastAsia"/>
      </w:rPr>
      <w:t xml:space="preserve"> 2023年8月</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none" w:color="auto" w:sz="0" w:space="0"/>
      </w:pBdr>
      <w:bidi w:val="0"/>
      <w:ind w:left="0" w:leftChars="0" w:firstLine="0" w:firstLineChars="0"/>
      <w:jc w:val="center"/>
      <w:rPr>
        <w:rFonts w:hint="eastAsia"/>
        <w:lang w:val="en-US" w:eastAsia="zh-C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rPr>
        <w:rFonts w:hint="eastAsia"/>
      </w:rPr>
      <w:t>新疆东南项目管理有限公司</w:t>
    </w:r>
    <w:r>
      <w:rPr>
        <w:rFonts w:ascii="??_GB2312" w:eastAsia="Times New Roman"/>
        <w:b/>
        <w:i/>
        <w:spacing w:val="-10"/>
      </w:rPr>
      <w:t xml:space="preserve"> </w:t>
    </w:r>
    <w:r>
      <w:rPr>
        <w:rFonts w:hint="eastAsia" w:ascii="??_GB2312"/>
        <w:b/>
        <w:i/>
        <w:spacing w:val="-10"/>
      </w:rPr>
      <w:t xml:space="preserve">  </w:t>
    </w:r>
    <w:r>
      <w:rPr>
        <w:rFonts w:ascii="??_GB2312"/>
        <w:b/>
        <w:i/>
        <w:spacing w:val="-10"/>
      </w:rPr>
      <w:t xml:space="preserve">  </w:t>
    </w:r>
    <w:r>
      <w:rPr>
        <w:rFonts w:hint="eastAsia" w:ascii="??_GB2312"/>
        <w:b/>
        <w:i/>
        <w:spacing w:val="-10"/>
      </w:rPr>
      <w:t xml:space="preserve">                                                                        </w:t>
    </w:r>
    <w:r>
      <w:rPr>
        <w:rFonts w:hint="eastAsia"/>
      </w:rPr>
      <w:t xml:space="preserve"> 2023年4月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F8B435"/>
    <w:multiLevelType w:val="singleLevel"/>
    <w:tmpl w:val="8AF8B435"/>
    <w:lvl w:ilvl="0" w:tentative="0">
      <w:start w:val="1"/>
      <w:numFmt w:val="decimal"/>
      <w:suff w:val="nothing"/>
      <w:lvlText w:val="%1、"/>
      <w:lvlJc w:val="left"/>
    </w:lvl>
  </w:abstractNum>
  <w:abstractNum w:abstractNumId="1">
    <w:nsid w:val="A65864DF"/>
    <w:multiLevelType w:val="singleLevel"/>
    <w:tmpl w:val="A65864DF"/>
    <w:lvl w:ilvl="0" w:tentative="0">
      <w:start w:val="1"/>
      <w:numFmt w:val="decimal"/>
      <w:suff w:val="nothing"/>
      <w:lvlText w:val="%1、"/>
      <w:lvlJc w:val="left"/>
    </w:lvl>
  </w:abstractNum>
  <w:abstractNum w:abstractNumId="2">
    <w:nsid w:val="A8DB6077"/>
    <w:multiLevelType w:val="singleLevel"/>
    <w:tmpl w:val="A8DB6077"/>
    <w:lvl w:ilvl="0" w:tentative="0">
      <w:start w:val="4"/>
      <w:numFmt w:val="decimal"/>
      <w:suff w:val="nothing"/>
      <w:lvlText w:val="%1、"/>
      <w:lvlJc w:val="left"/>
    </w:lvl>
  </w:abstractNum>
  <w:abstractNum w:abstractNumId="3">
    <w:nsid w:val="D02EBE38"/>
    <w:multiLevelType w:val="singleLevel"/>
    <w:tmpl w:val="D02EBE38"/>
    <w:lvl w:ilvl="0" w:tentative="0">
      <w:start w:val="1"/>
      <w:numFmt w:val="decimal"/>
      <w:suff w:val="nothing"/>
      <w:lvlText w:val="%1、"/>
      <w:lvlJc w:val="left"/>
    </w:lvl>
  </w:abstractNum>
  <w:abstractNum w:abstractNumId="4">
    <w:nsid w:val="E5A509A2"/>
    <w:multiLevelType w:val="singleLevel"/>
    <w:tmpl w:val="E5A509A2"/>
    <w:lvl w:ilvl="0" w:tentative="0">
      <w:start w:val="1"/>
      <w:numFmt w:val="chineseCounting"/>
      <w:suff w:val="nothing"/>
      <w:lvlText w:val="%1、"/>
      <w:lvlJc w:val="left"/>
      <w:rPr>
        <w:rFonts w:hint="eastAsia"/>
      </w:rPr>
    </w:lvl>
  </w:abstractNum>
  <w:abstractNum w:abstractNumId="5">
    <w:nsid w:val="F7BA37A6"/>
    <w:multiLevelType w:val="singleLevel"/>
    <w:tmpl w:val="F7BA37A6"/>
    <w:lvl w:ilvl="0" w:tentative="0">
      <w:start w:val="5"/>
      <w:numFmt w:val="chineseCounting"/>
      <w:lvlText w:val="(%1)"/>
      <w:lvlJc w:val="left"/>
      <w:pPr>
        <w:tabs>
          <w:tab w:val="left" w:pos="312"/>
        </w:tabs>
      </w:pPr>
      <w:rPr>
        <w:rFonts w:hint="eastAsia"/>
      </w:rPr>
    </w:lvl>
  </w:abstractNum>
  <w:abstractNum w:abstractNumId="6">
    <w:nsid w:val="FEF797D2"/>
    <w:multiLevelType w:val="multilevel"/>
    <w:tmpl w:val="FEF797D2"/>
    <w:lvl w:ilvl="0" w:tentative="0">
      <w:start w:val="3"/>
      <w:numFmt w:val="decimal"/>
      <w:suff w:val="space"/>
      <w:lvlText w:val="%1."/>
      <w:lvlJc w:val="left"/>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7">
    <w:nsid w:val="0EDB2900"/>
    <w:multiLevelType w:val="multilevel"/>
    <w:tmpl w:val="0EDB2900"/>
    <w:lvl w:ilvl="0" w:tentative="0">
      <w:start w:val="1"/>
      <w:numFmt w:val="bullet"/>
      <w:pStyle w:val="526"/>
      <w:lvlText w:val="−"/>
      <w:lvlJc w:val="left"/>
      <w:pPr>
        <w:tabs>
          <w:tab w:val="left" w:pos="2409"/>
        </w:tabs>
        <w:ind w:left="2410" w:hanging="284"/>
      </w:pPr>
      <w:rPr>
        <w:rFonts w:hint="default" w:ascii="Times New Roman" w:hAnsi="Times New Roman"/>
        <w:sz w:val="16"/>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8">
    <w:nsid w:val="11BF6E1B"/>
    <w:multiLevelType w:val="multilevel"/>
    <w:tmpl w:val="11BF6E1B"/>
    <w:lvl w:ilvl="0" w:tentative="0">
      <w:start w:val="1"/>
      <w:numFmt w:val="decimal"/>
      <w:pStyle w:val="163"/>
      <w:lvlText w:val="(%1)"/>
      <w:lvlJc w:val="left"/>
      <w:pPr>
        <w:ind w:left="510" w:hanging="420"/>
      </w:pPr>
      <w:rPr>
        <w:rFonts w:hint="default" w:ascii="Times New Roman" w:hAnsi="Times New Roman" w:cs="Times New Roman"/>
        <w:sz w:val="24"/>
        <w:szCs w:val="24"/>
      </w:rPr>
    </w:lvl>
    <w:lvl w:ilvl="1" w:tentative="0">
      <w:start w:val="1"/>
      <w:numFmt w:val="lowerLetter"/>
      <w:lvlText w:val="%2)"/>
      <w:lvlJc w:val="left"/>
      <w:pPr>
        <w:ind w:left="930" w:hanging="420"/>
      </w:pPr>
      <w:rPr>
        <w:rFonts w:cs="Times New Roman"/>
      </w:rPr>
    </w:lvl>
    <w:lvl w:ilvl="2" w:tentative="0">
      <w:start w:val="1"/>
      <w:numFmt w:val="lowerRoman"/>
      <w:lvlText w:val="%3."/>
      <w:lvlJc w:val="right"/>
      <w:pPr>
        <w:ind w:left="1350" w:hanging="420"/>
      </w:pPr>
      <w:rPr>
        <w:rFonts w:cs="Times New Roman"/>
      </w:rPr>
    </w:lvl>
    <w:lvl w:ilvl="3" w:tentative="0">
      <w:start w:val="1"/>
      <w:numFmt w:val="decimal"/>
      <w:lvlText w:val="%4."/>
      <w:lvlJc w:val="left"/>
      <w:pPr>
        <w:ind w:left="1770" w:hanging="420"/>
      </w:pPr>
      <w:rPr>
        <w:rFonts w:cs="Times New Roman"/>
      </w:rPr>
    </w:lvl>
    <w:lvl w:ilvl="4" w:tentative="0">
      <w:start w:val="1"/>
      <w:numFmt w:val="lowerLetter"/>
      <w:lvlText w:val="%5)"/>
      <w:lvlJc w:val="left"/>
      <w:pPr>
        <w:ind w:left="2190" w:hanging="420"/>
      </w:pPr>
      <w:rPr>
        <w:rFonts w:cs="Times New Roman"/>
      </w:rPr>
    </w:lvl>
    <w:lvl w:ilvl="5" w:tentative="0">
      <w:start w:val="1"/>
      <w:numFmt w:val="lowerRoman"/>
      <w:lvlText w:val="%6."/>
      <w:lvlJc w:val="right"/>
      <w:pPr>
        <w:ind w:left="2610" w:hanging="420"/>
      </w:pPr>
      <w:rPr>
        <w:rFonts w:cs="Times New Roman"/>
      </w:rPr>
    </w:lvl>
    <w:lvl w:ilvl="6" w:tentative="0">
      <w:start w:val="1"/>
      <w:numFmt w:val="decimal"/>
      <w:lvlText w:val="%7."/>
      <w:lvlJc w:val="left"/>
      <w:pPr>
        <w:ind w:left="3030" w:hanging="420"/>
      </w:pPr>
      <w:rPr>
        <w:rFonts w:cs="Times New Roman"/>
      </w:rPr>
    </w:lvl>
    <w:lvl w:ilvl="7" w:tentative="0">
      <w:start w:val="1"/>
      <w:numFmt w:val="lowerLetter"/>
      <w:lvlText w:val="%8)"/>
      <w:lvlJc w:val="left"/>
      <w:pPr>
        <w:ind w:left="3450" w:hanging="420"/>
      </w:pPr>
      <w:rPr>
        <w:rFonts w:cs="Times New Roman"/>
      </w:rPr>
    </w:lvl>
    <w:lvl w:ilvl="8" w:tentative="0">
      <w:start w:val="1"/>
      <w:numFmt w:val="lowerRoman"/>
      <w:lvlText w:val="%9."/>
      <w:lvlJc w:val="right"/>
      <w:pPr>
        <w:ind w:left="3870" w:hanging="420"/>
      </w:pPr>
      <w:rPr>
        <w:rFonts w:cs="Times New Roman"/>
      </w:rPr>
    </w:lvl>
  </w:abstractNum>
  <w:abstractNum w:abstractNumId="9">
    <w:nsid w:val="13F60562"/>
    <w:multiLevelType w:val="multilevel"/>
    <w:tmpl w:val="13F60562"/>
    <w:lvl w:ilvl="0" w:tentative="0">
      <w:start w:val="1"/>
      <w:numFmt w:val="decimal"/>
      <w:lvlText w:val="%1　"/>
      <w:lvlJc w:val="left"/>
      <w:pPr>
        <w:tabs>
          <w:tab w:val="left" w:pos="1733"/>
        </w:tabs>
        <w:ind w:left="1620"/>
      </w:pPr>
      <w:rPr>
        <w:rFonts w:hint="eastAsia" w:cs="Times New Roman"/>
      </w:rPr>
    </w:lvl>
    <w:lvl w:ilvl="1" w:tentative="0">
      <w:start w:val="1"/>
      <w:numFmt w:val="decimal"/>
      <w:lvlText w:val="%1.%2　"/>
      <w:lvlJc w:val="left"/>
      <w:pPr>
        <w:tabs>
          <w:tab w:val="left" w:pos="767"/>
        </w:tabs>
        <w:ind w:left="767" w:hanging="227"/>
      </w:pPr>
      <w:rPr>
        <w:rFonts w:hint="default" w:ascii="Times New Roman" w:hAnsi="Times New Roman" w:eastAsia="宋体" w:cs="Times New Roman"/>
        <w:b/>
        <w:i w:val="0"/>
        <w:sz w:val="30"/>
        <w:szCs w:val="30"/>
      </w:rPr>
    </w:lvl>
    <w:lvl w:ilvl="2" w:tentative="0">
      <w:start w:val="1"/>
      <w:numFmt w:val="decimal"/>
      <w:lvlText w:val="%1.%2.%3　"/>
      <w:lvlJc w:val="left"/>
      <w:pPr>
        <w:tabs>
          <w:tab w:val="left" w:pos="709"/>
        </w:tabs>
        <w:ind w:left="709" w:hanging="709"/>
      </w:pPr>
      <w:rPr>
        <w:rFonts w:hint="eastAsia" w:cs="Times New Roman"/>
        <w:sz w:val="28"/>
        <w:szCs w:val="28"/>
      </w:rPr>
    </w:lvl>
    <w:lvl w:ilvl="3" w:tentative="0">
      <w:start w:val="0"/>
      <w:numFmt w:val="decimal"/>
      <w:pStyle w:val="351"/>
      <w:lvlText w:val="%42.1.1.3"/>
      <w:lvlJc w:val="left"/>
      <w:pPr>
        <w:tabs>
          <w:tab w:val="left" w:pos="851"/>
        </w:tabs>
        <w:ind w:left="851" w:hanging="851"/>
      </w:pPr>
      <w:rPr>
        <w:rFonts w:hint="eastAsia" w:cs="Times New Roman"/>
      </w:rPr>
    </w:lvl>
    <w:lvl w:ilvl="4" w:tentative="0">
      <w:start w:val="0"/>
      <w:numFmt w:val="decimal"/>
      <w:lvlText w:val="%1.%2.%3.%4.%5."/>
      <w:lvlJc w:val="left"/>
      <w:pPr>
        <w:tabs>
          <w:tab w:val="left" w:pos="992"/>
        </w:tabs>
        <w:ind w:left="992" w:hanging="992"/>
      </w:pPr>
      <w:rPr>
        <w:rFonts w:hint="eastAsia" w:cs="Times New Roman"/>
      </w:rPr>
    </w:lvl>
    <w:lvl w:ilvl="5" w:tentative="0">
      <w:start w:val="0"/>
      <w:numFmt w:val="decimal"/>
      <w:lvlText w:val="%1.%2.%3.%4.%5.%6."/>
      <w:lvlJc w:val="left"/>
      <w:pPr>
        <w:tabs>
          <w:tab w:val="left" w:pos="1134"/>
        </w:tabs>
        <w:ind w:left="1134" w:hanging="1134"/>
      </w:pPr>
      <w:rPr>
        <w:rFonts w:hint="eastAsia" w:cs="Times New Roman"/>
      </w:rPr>
    </w:lvl>
    <w:lvl w:ilvl="6" w:tentative="0">
      <w:start w:val="0"/>
      <w:numFmt w:val="decimal"/>
      <w:lvlText w:val="%1.%2.%3.%4.%5.%6.%7."/>
      <w:lvlJc w:val="left"/>
      <w:pPr>
        <w:tabs>
          <w:tab w:val="left" w:pos="1276"/>
        </w:tabs>
        <w:ind w:left="1276" w:hanging="1276"/>
      </w:pPr>
      <w:rPr>
        <w:rFonts w:hint="eastAsia" w:cs="Times New Roman"/>
      </w:rPr>
    </w:lvl>
    <w:lvl w:ilvl="7" w:tentative="0">
      <w:start w:val="0"/>
      <w:numFmt w:val="decimal"/>
      <w:lvlText w:val="%1.%2.%3.%4.%5.%6.%7.%8."/>
      <w:lvlJc w:val="left"/>
      <w:pPr>
        <w:tabs>
          <w:tab w:val="left" w:pos="1418"/>
        </w:tabs>
        <w:ind w:left="1418" w:hanging="1418"/>
      </w:pPr>
      <w:rPr>
        <w:rFonts w:hint="eastAsia" w:cs="Times New Roman"/>
      </w:rPr>
    </w:lvl>
    <w:lvl w:ilvl="8" w:tentative="0">
      <w:start w:val="0"/>
      <w:numFmt w:val="decimal"/>
      <w:lvlText w:val="%1.%2.%3.%4.%5.%6.%7.%8.%9."/>
      <w:lvlJc w:val="left"/>
      <w:pPr>
        <w:tabs>
          <w:tab w:val="left" w:pos="1559"/>
        </w:tabs>
        <w:ind w:left="1559" w:hanging="1559"/>
      </w:pPr>
      <w:rPr>
        <w:rFonts w:hint="eastAsia" w:cs="Times New Roman"/>
      </w:rPr>
    </w:lvl>
  </w:abstractNum>
  <w:abstractNum w:abstractNumId="10">
    <w:nsid w:val="18232DD3"/>
    <w:multiLevelType w:val="singleLevel"/>
    <w:tmpl w:val="18232DD3"/>
    <w:lvl w:ilvl="0" w:tentative="0">
      <w:start w:val="1"/>
      <w:numFmt w:val="decimal"/>
      <w:pStyle w:val="707"/>
      <w:lvlText w:val="（%1）"/>
      <w:lvlJc w:val="left"/>
      <w:pPr>
        <w:tabs>
          <w:tab w:val="left" w:pos="1800"/>
        </w:tabs>
        <w:ind w:left="1800" w:hanging="900"/>
      </w:pPr>
      <w:rPr>
        <w:rFonts w:hint="eastAsia" w:cs="Times New Roman"/>
      </w:rPr>
    </w:lvl>
  </w:abstractNum>
  <w:abstractNum w:abstractNumId="11">
    <w:nsid w:val="1A572C1E"/>
    <w:multiLevelType w:val="multilevel"/>
    <w:tmpl w:val="1A572C1E"/>
    <w:lvl w:ilvl="0" w:tentative="0">
      <w:start w:val="1"/>
      <w:numFmt w:val="japaneseCounting"/>
      <w:lvlText w:val="（%1）"/>
      <w:lvlJc w:val="left"/>
      <w:pPr>
        <w:ind w:left="720" w:hanging="72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2">
    <w:nsid w:val="1C973F09"/>
    <w:multiLevelType w:val="singleLevel"/>
    <w:tmpl w:val="1C973F09"/>
    <w:lvl w:ilvl="0" w:tentative="0">
      <w:start w:val="4"/>
      <w:numFmt w:val="decimal"/>
      <w:lvlText w:val="%1."/>
      <w:lvlJc w:val="left"/>
      <w:pPr>
        <w:tabs>
          <w:tab w:val="left" w:pos="312"/>
        </w:tabs>
      </w:pPr>
    </w:lvl>
  </w:abstractNum>
  <w:abstractNum w:abstractNumId="13">
    <w:nsid w:val="20A10221"/>
    <w:multiLevelType w:val="multilevel"/>
    <w:tmpl w:val="20A10221"/>
    <w:lvl w:ilvl="0" w:tentative="0">
      <w:start w:val="1"/>
      <w:numFmt w:val="decimal"/>
      <w:pStyle w:val="419"/>
      <w:lvlText w:val="表 2.%1"/>
      <w:lvlJc w:val="left"/>
      <w:pPr>
        <w:tabs>
          <w:tab w:val="left" w:pos="902"/>
        </w:tabs>
        <w:ind w:left="902" w:hanging="42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4">
    <w:nsid w:val="25090165"/>
    <w:multiLevelType w:val="multilevel"/>
    <w:tmpl w:val="25090165"/>
    <w:lvl w:ilvl="0" w:tentative="0">
      <w:start w:val="1"/>
      <w:numFmt w:val="none"/>
      <w:suff w:val="nothing"/>
      <w:lvlText w:val=""/>
      <w:lvlJc w:val="left"/>
    </w:lvl>
    <w:lvl w:ilvl="1" w:tentative="0">
      <w:start w:val="1"/>
      <w:numFmt w:val="none"/>
      <w:pStyle w:val="341"/>
      <w:suff w:val="nothing"/>
      <w:lvlText w:val=""/>
      <w:lvlJc w:val="left"/>
    </w:lvl>
    <w:lvl w:ilvl="2" w:tentative="0">
      <w:start w:val="1"/>
      <w:numFmt w:val="none"/>
      <w:suff w:val="nothing"/>
      <w:lvlText w:val=""/>
      <w:lvlJc w:val="left"/>
    </w:lvl>
    <w:lvl w:ilvl="3" w:tentative="0">
      <w:start w:val="1"/>
      <w:numFmt w:val="none"/>
      <w:suff w:val="nothing"/>
      <w:lvlText w:val=""/>
      <w:lvlJc w:val="left"/>
    </w:lvl>
    <w:lvl w:ilvl="4" w:tentative="0">
      <w:start w:val="1"/>
      <w:numFmt w:val="none"/>
      <w:suff w:val="nothing"/>
      <w:lvlText w:val=""/>
      <w:lvlJc w:val="left"/>
    </w:lvl>
    <w:lvl w:ilvl="5" w:tentative="0">
      <w:start w:val="1"/>
      <w:numFmt w:val="none"/>
      <w:suff w:val="nothing"/>
      <w:lvlText w:val=""/>
      <w:lvlJc w:val="left"/>
    </w:lvl>
    <w:lvl w:ilvl="6" w:tentative="0">
      <w:start w:val="1"/>
      <w:numFmt w:val="none"/>
      <w:suff w:val="nothing"/>
      <w:lvlText w:val=""/>
      <w:lvlJc w:val="left"/>
    </w:lvl>
    <w:lvl w:ilvl="7" w:tentative="0">
      <w:start w:val="1"/>
      <w:numFmt w:val="none"/>
      <w:suff w:val="nothing"/>
      <w:lvlText w:val=""/>
      <w:lvlJc w:val="left"/>
    </w:lvl>
    <w:lvl w:ilvl="8" w:tentative="0">
      <w:start w:val="1"/>
      <w:numFmt w:val="none"/>
      <w:suff w:val="nothing"/>
      <w:lvlText w:val=""/>
      <w:lvlJc w:val="left"/>
    </w:lvl>
  </w:abstractNum>
  <w:abstractNum w:abstractNumId="15">
    <w:nsid w:val="27727B63"/>
    <w:multiLevelType w:val="multilevel"/>
    <w:tmpl w:val="27727B63"/>
    <w:lvl w:ilvl="0" w:tentative="0">
      <w:start w:val="1"/>
      <w:numFmt w:val="bullet"/>
      <w:pStyle w:val="281"/>
      <w:lvlText w:val=""/>
      <w:lvlJc w:val="left"/>
      <w:pPr>
        <w:tabs>
          <w:tab w:val="left" w:pos="340"/>
        </w:tabs>
        <w:ind w:left="340" w:hanging="170"/>
      </w:pPr>
      <w:rPr>
        <w:rFonts w:hint="default" w:ascii="Wingdings" w:hAnsi="Wingdings"/>
        <w:color w:val="auto"/>
        <w:spacing w:val="0"/>
        <w:w w:val="100"/>
        <w:position w:val="1"/>
        <w:sz w:val="13"/>
      </w:rPr>
    </w:lvl>
    <w:lvl w:ilvl="1" w:tentative="0">
      <w:start w:val="1"/>
      <w:numFmt w:val="bullet"/>
      <w:pStyle w:val="333"/>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6">
    <w:nsid w:val="329B15B9"/>
    <w:multiLevelType w:val="multilevel"/>
    <w:tmpl w:val="329B15B9"/>
    <w:lvl w:ilvl="0" w:tentative="0">
      <w:start w:val="1"/>
      <w:numFmt w:val="japaneseCounting"/>
      <w:lvlText w:val="（%1）"/>
      <w:lvlJc w:val="left"/>
      <w:pPr>
        <w:ind w:left="720" w:hanging="720"/>
      </w:pPr>
      <w:rPr>
        <w:rFonts w:hint="default"/>
        <w:color w:val="auto"/>
        <w:sz w:val="24"/>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7">
    <w:nsid w:val="346584D4"/>
    <w:multiLevelType w:val="singleLevel"/>
    <w:tmpl w:val="346584D4"/>
    <w:lvl w:ilvl="0" w:tentative="0">
      <w:start w:val="2"/>
      <w:numFmt w:val="chineseCounting"/>
      <w:suff w:val="nothing"/>
      <w:lvlText w:val="（%1）"/>
      <w:lvlJc w:val="left"/>
      <w:rPr>
        <w:rFonts w:hint="eastAsia"/>
      </w:rPr>
    </w:lvl>
  </w:abstractNum>
  <w:abstractNum w:abstractNumId="18">
    <w:nsid w:val="4F430D32"/>
    <w:multiLevelType w:val="multilevel"/>
    <w:tmpl w:val="4F430D32"/>
    <w:lvl w:ilvl="0" w:tentative="0">
      <w:start w:val="1"/>
      <w:numFmt w:val="decimal"/>
      <w:pStyle w:val="15"/>
      <w:lvlText w:val=""/>
      <w:lvlJc w:val="left"/>
      <w:pPr>
        <w:tabs>
          <w:tab w:val="left" w:pos="360"/>
        </w:tabs>
        <w:ind w:left="360" w:hanging="360"/>
      </w:pPr>
      <w:rPr>
        <w:rFonts w:hint="default" w:ascii="Times New Roman" w:hAnsi="Times New Roman" w:cs="Times New Roman"/>
      </w:rPr>
    </w:lvl>
    <w:lvl w:ilvl="1" w:tentative="0">
      <w:start w:val="1"/>
      <w:numFmt w:val="decimal"/>
      <w:lvlText w:val="%1.%2"/>
      <w:lvlJc w:val="left"/>
      <w:pPr>
        <w:tabs>
          <w:tab w:val="left" w:pos="1620"/>
        </w:tabs>
        <w:ind w:left="1620" w:hanging="810"/>
      </w:pPr>
      <w:rPr>
        <w:rFonts w:hint="eastAsia" w:cs="Times New Roman"/>
      </w:rPr>
    </w:lvl>
    <w:lvl w:ilvl="2" w:tentative="0">
      <w:start w:val="1"/>
      <w:numFmt w:val="decimal"/>
      <w:lvlText w:val="%1.%2.%3"/>
      <w:lvlJc w:val="left"/>
      <w:pPr>
        <w:tabs>
          <w:tab w:val="left" w:pos="2430"/>
        </w:tabs>
        <w:ind w:left="2430" w:hanging="810"/>
      </w:pPr>
      <w:rPr>
        <w:rFonts w:hint="eastAsia" w:cs="Times New Roman"/>
      </w:rPr>
    </w:lvl>
    <w:lvl w:ilvl="3" w:tentative="0">
      <w:start w:val="1"/>
      <w:numFmt w:val="decimal"/>
      <w:lvlText w:val="%1.%2.%3.%4"/>
      <w:lvlJc w:val="left"/>
      <w:pPr>
        <w:tabs>
          <w:tab w:val="left" w:pos="3240"/>
        </w:tabs>
        <w:ind w:left="3240" w:hanging="810"/>
      </w:pPr>
      <w:rPr>
        <w:rFonts w:hint="eastAsia" w:cs="Times New Roman"/>
      </w:rPr>
    </w:lvl>
    <w:lvl w:ilvl="4" w:tentative="0">
      <w:start w:val="1"/>
      <w:numFmt w:val="decimal"/>
      <w:lvlText w:val="%1.%2.%3.%4.%5"/>
      <w:lvlJc w:val="left"/>
      <w:pPr>
        <w:tabs>
          <w:tab w:val="left" w:pos="4050"/>
        </w:tabs>
        <w:ind w:left="4050" w:hanging="810"/>
      </w:pPr>
      <w:rPr>
        <w:rFonts w:hint="eastAsia" w:cs="Times New Roman"/>
      </w:rPr>
    </w:lvl>
    <w:lvl w:ilvl="5" w:tentative="0">
      <w:start w:val="1"/>
      <w:numFmt w:val="decimal"/>
      <w:lvlText w:val="%1.%2.%3.%4.%5.%6"/>
      <w:lvlJc w:val="left"/>
      <w:pPr>
        <w:tabs>
          <w:tab w:val="left" w:pos="4860"/>
        </w:tabs>
        <w:ind w:left="4860" w:hanging="810"/>
      </w:pPr>
      <w:rPr>
        <w:rFonts w:hint="eastAsia" w:cs="Times New Roman"/>
      </w:rPr>
    </w:lvl>
    <w:lvl w:ilvl="6" w:tentative="0">
      <w:start w:val="1"/>
      <w:numFmt w:val="decimal"/>
      <w:lvlText w:val="%1.%2.%3.%4.%5.%6.%7"/>
      <w:lvlJc w:val="left"/>
      <w:pPr>
        <w:tabs>
          <w:tab w:val="left" w:pos="5670"/>
        </w:tabs>
        <w:ind w:left="5670" w:hanging="810"/>
      </w:pPr>
      <w:rPr>
        <w:rFonts w:hint="eastAsia" w:cs="Times New Roman"/>
      </w:rPr>
    </w:lvl>
    <w:lvl w:ilvl="7" w:tentative="0">
      <w:start w:val="1"/>
      <w:numFmt w:val="decimal"/>
      <w:lvlText w:val="%1.%2.%3.%4.%5.%6.%7.%8"/>
      <w:lvlJc w:val="left"/>
      <w:pPr>
        <w:tabs>
          <w:tab w:val="left" w:pos="6480"/>
        </w:tabs>
        <w:ind w:left="6480" w:hanging="810"/>
      </w:pPr>
      <w:rPr>
        <w:rFonts w:hint="eastAsia" w:cs="Times New Roman"/>
      </w:rPr>
    </w:lvl>
    <w:lvl w:ilvl="8" w:tentative="0">
      <w:start w:val="1"/>
      <w:numFmt w:val="decimal"/>
      <w:lvlText w:val="%1.%2.%3.%4.%5.%6.%7.%8.%9"/>
      <w:lvlJc w:val="left"/>
      <w:pPr>
        <w:tabs>
          <w:tab w:val="left" w:pos="7290"/>
        </w:tabs>
        <w:ind w:left="7290" w:hanging="810"/>
      </w:pPr>
      <w:rPr>
        <w:rFonts w:hint="eastAsia" w:cs="Times New Roman"/>
      </w:rPr>
    </w:lvl>
  </w:abstractNum>
  <w:abstractNum w:abstractNumId="19">
    <w:nsid w:val="5B6D3AF1"/>
    <w:multiLevelType w:val="multilevel"/>
    <w:tmpl w:val="5B6D3AF1"/>
    <w:lvl w:ilvl="0" w:tentative="0">
      <w:start w:val="1"/>
      <w:numFmt w:val="decimal"/>
      <w:pStyle w:val="380"/>
      <w:lvlText w:val="%1　"/>
      <w:lvlJc w:val="left"/>
      <w:pPr>
        <w:tabs>
          <w:tab w:val="left" w:pos="539"/>
        </w:tabs>
        <w:ind w:left="426"/>
      </w:pPr>
      <w:rPr>
        <w:rFonts w:hint="eastAsia" w:cs="Times New Roman"/>
      </w:rPr>
    </w:lvl>
    <w:lvl w:ilvl="1" w:tentative="0">
      <w:start w:val="1"/>
      <w:numFmt w:val="decimal"/>
      <w:lvlText w:val="%1.%2　"/>
      <w:lvlJc w:val="left"/>
      <w:pPr>
        <w:tabs>
          <w:tab w:val="left" w:pos="369"/>
        </w:tabs>
        <w:ind w:left="369" w:hanging="227"/>
      </w:pPr>
      <w:rPr>
        <w:rFonts w:hint="default" w:ascii="Arial" w:hAnsi="Arial" w:eastAsia="宋体" w:cs="Times New Roman"/>
        <w:b/>
        <w:i w:val="0"/>
        <w:sz w:val="28"/>
      </w:rPr>
    </w:lvl>
    <w:lvl w:ilvl="2" w:tentative="0">
      <w:start w:val="1"/>
      <w:numFmt w:val="decimal"/>
      <w:lvlText w:val="%1.%2.%3."/>
      <w:lvlJc w:val="left"/>
      <w:pPr>
        <w:tabs>
          <w:tab w:val="left" w:pos="709"/>
        </w:tabs>
        <w:ind w:left="709" w:hanging="709"/>
      </w:pPr>
      <w:rPr>
        <w:rFonts w:hint="eastAsia" w:cs="Times New Roman"/>
      </w:rPr>
    </w:lvl>
    <w:lvl w:ilvl="3" w:tentative="0">
      <w:start w:val="0"/>
      <w:numFmt w:val="decimal"/>
      <w:lvlText w:val="%42.1.1.3"/>
      <w:lvlJc w:val="left"/>
      <w:pPr>
        <w:tabs>
          <w:tab w:val="left" w:pos="851"/>
        </w:tabs>
        <w:ind w:left="851" w:hanging="851"/>
      </w:pPr>
      <w:rPr>
        <w:rFonts w:hint="eastAsia" w:cs="Times New Roman"/>
      </w:rPr>
    </w:lvl>
    <w:lvl w:ilvl="4" w:tentative="0">
      <w:start w:val="0"/>
      <w:numFmt w:val="decimal"/>
      <w:lvlText w:val="%1.%2.%3.%4.%5."/>
      <w:lvlJc w:val="left"/>
      <w:pPr>
        <w:tabs>
          <w:tab w:val="left" w:pos="992"/>
        </w:tabs>
        <w:ind w:left="992" w:hanging="992"/>
      </w:pPr>
      <w:rPr>
        <w:rFonts w:hint="eastAsia" w:cs="Times New Roman"/>
      </w:rPr>
    </w:lvl>
    <w:lvl w:ilvl="5" w:tentative="0">
      <w:start w:val="0"/>
      <w:numFmt w:val="decimal"/>
      <w:lvlText w:val="%1.%2.%3.%4.%5.%6."/>
      <w:lvlJc w:val="left"/>
      <w:pPr>
        <w:tabs>
          <w:tab w:val="left" w:pos="1134"/>
        </w:tabs>
        <w:ind w:left="1134" w:hanging="1134"/>
      </w:pPr>
      <w:rPr>
        <w:rFonts w:hint="eastAsia" w:cs="Times New Roman"/>
      </w:rPr>
    </w:lvl>
    <w:lvl w:ilvl="6" w:tentative="0">
      <w:start w:val="0"/>
      <w:numFmt w:val="decimal"/>
      <w:lvlText w:val="%1.%2.%3.%4.%5.%6.%7."/>
      <w:lvlJc w:val="left"/>
      <w:pPr>
        <w:tabs>
          <w:tab w:val="left" w:pos="1276"/>
        </w:tabs>
        <w:ind w:left="1276" w:hanging="1276"/>
      </w:pPr>
      <w:rPr>
        <w:rFonts w:hint="eastAsia" w:cs="Times New Roman"/>
      </w:rPr>
    </w:lvl>
    <w:lvl w:ilvl="7" w:tentative="0">
      <w:start w:val="0"/>
      <w:numFmt w:val="decimal"/>
      <w:lvlText w:val="%1.%2.%3.%4.%5.%6.%7.%8."/>
      <w:lvlJc w:val="left"/>
      <w:pPr>
        <w:tabs>
          <w:tab w:val="left" w:pos="1418"/>
        </w:tabs>
        <w:ind w:left="1418" w:hanging="1418"/>
      </w:pPr>
      <w:rPr>
        <w:rFonts w:hint="eastAsia" w:cs="Times New Roman"/>
      </w:rPr>
    </w:lvl>
    <w:lvl w:ilvl="8" w:tentative="0">
      <w:start w:val="0"/>
      <w:numFmt w:val="decimal"/>
      <w:lvlText w:val="%1.%2.%3.%4.%5.%6.%7.%8.%9."/>
      <w:lvlJc w:val="left"/>
      <w:pPr>
        <w:tabs>
          <w:tab w:val="left" w:pos="1559"/>
        </w:tabs>
        <w:ind w:left="1559" w:hanging="1559"/>
      </w:pPr>
      <w:rPr>
        <w:rFonts w:hint="eastAsia" w:cs="Times New Roman"/>
      </w:rPr>
    </w:lvl>
  </w:abstractNum>
  <w:abstractNum w:abstractNumId="20">
    <w:nsid w:val="5D1F27D9"/>
    <w:multiLevelType w:val="singleLevel"/>
    <w:tmpl w:val="5D1F27D9"/>
    <w:lvl w:ilvl="0" w:tentative="0">
      <w:start w:val="3"/>
      <w:numFmt w:val="chineseCounting"/>
      <w:suff w:val="space"/>
      <w:lvlText w:val="第%1章"/>
      <w:lvlJc w:val="left"/>
      <w:rPr>
        <w:rFonts w:hint="eastAsia"/>
      </w:rPr>
    </w:lvl>
  </w:abstractNum>
  <w:abstractNum w:abstractNumId="21">
    <w:nsid w:val="6E230785"/>
    <w:multiLevelType w:val="multilevel"/>
    <w:tmpl w:val="6E230785"/>
    <w:lvl w:ilvl="0" w:tentative="0">
      <w:start w:val="1"/>
      <w:numFmt w:val="bullet"/>
      <w:pStyle w:val="731"/>
      <w:lvlText w:val=""/>
      <w:lvlJc w:val="left"/>
      <w:pPr>
        <w:tabs>
          <w:tab w:val="left" w:pos="170"/>
        </w:tabs>
        <w:ind w:left="170" w:hanging="170"/>
      </w:pPr>
      <w:rPr>
        <w:rFonts w:hint="default" w:ascii="Wingdings" w:hAnsi="Wingdings" w:eastAsia="宋体"/>
        <w:b w:val="0"/>
        <w:i w:val="0"/>
        <w:color w:val="auto"/>
        <w:position w:val="3"/>
        <w:sz w:val="13"/>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2">
    <w:nsid w:val="6FD04764"/>
    <w:multiLevelType w:val="singleLevel"/>
    <w:tmpl w:val="6FD04764"/>
    <w:lvl w:ilvl="0" w:tentative="0">
      <w:start w:val="1"/>
      <w:numFmt w:val="decimal"/>
      <w:suff w:val="space"/>
      <w:lvlText w:val="(%1)"/>
      <w:lvlJc w:val="left"/>
    </w:lvl>
  </w:abstractNum>
  <w:abstractNum w:abstractNumId="23">
    <w:nsid w:val="7E3B679F"/>
    <w:multiLevelType w:val="multilevel"/>
    <w:tmpl w:val="7E3B679F"/>
    <w:lvl w:ilvl="0" w:tentative="0">
      <w:start w:val="1"/>
      <w:numFmt w:val="chineseCountingThousand"/>
      <w:pStyle w:val="319"/>
      <w:lvlText w:val="%1."/>
      <w:lvlJc w:val="left"/>
      <w:rPr>
        <w:rFonts w:hint="default" w:cs="Times New Roman"/>
        <w:color w:val="auto"/>
        <w:sz w:val="44"/>
      </w:rPr>
    </w:lvl>
    <w:lvl w:ilvl="1" w:tentative="0">
      <w:start w:val="1"/>
      <w:numFmt w:val="decimal"/>
      <w:pStyle w:val="702"/>
      <w:lvlText w:val="%2"/>
      <w:lvlJc w:val="left"/>
      <w:rPr>
        <w:rFonts w:hint="eastAsia" w:cs="Times New Roman"/>
      </w:rPr>
    </w:lvl>
    <w:lvl w:ilvl="2" w:tentative="0">
      <w:start w:val="1"/>
      <w:numFmt w:val="decimal"/>
      <w:pStyle w:val="732"/>
      <w:lvlText w:val="%2.%3"/>
      <w:lvlJc w:val="left"/>
      <w:rPr>
        <w:rFonts w:hint="eastAsia" w:cs="Times New Roman"/>
      </w:rPr>
    </w:lvl>
    <w:lvl w:ilvl="3" w:tentative="0">
      <w:start w:val="1"/>
      <w:numFmt w:val="decimal"/>
      <w:pStyle w:val="188"/>
      <w:lvlText w:val="%2.%3.%4"/>
      <w:lvlJc w:val="left"/>
      <w:rPr>
        <w:rFonts w:hint="eastAsia" w:cs="Times New Roman"/>
      </w:rPr>
    </w:lvl>
    <w:lvl w:ilvl="4" w:tentative="0">
      <w:start w:val="1"/>
      <w:numFmt w:val="decimal"/>
      <w:pStyle w:val="544"/>
      <w:lvlText w:val="%2.%3.%4.%5"/>
      <w:lvlJc w:val="left"/>
      <w:rPr>
        <w:rFonts w:hint="eastAsia" w:cs="Times New Roman"/>
      </w:rPr>
    </w:lvl>
    <w:lvl w:ilvl="5" w:tentative="0">
      <w:start w:val="1"/>
      <w:numFmt w:val="decimal"/>
      <w:lvlText w:val="%2.%3.%4.%5.%6"/>
      <w:lvlJc w:val="left"/>
      <w:rPr>
        <w:rFonts w:hint="eastAsia" w:eastAsia="宋体" w:cs="Times New Roman"/>
        <w:b/>
        <w:sz w:val="24"/>
      </w:rPr>
    </w:lvl>
    <w:lvl w:ilvl="6" w:tentative="0">
      <w:start w:val="1"/>
      <w:numFmt w:val="decimal"/>
      <w:lvlText w:val="%2.%3.%4.%5.%6.%7"/>
      <w:lvlJc w:val="left"/>
      <w:rPr>
        <w:rFonts w:hint="eastAsia" w:cs="Times New Roman"/>
      </w:rPr>
    </w:lvl>
    <w:lvl w:ilvl="7" w:tentative="0">
      <w:start w:val="1"/>
      <w:numFmt w:val="decimal"/>
      <w:lvlText w:val="%2.%3.%4.%5.%6.%7.%8"/>
      <w:lvlJc w:val="left"/>
      <w:rPr>
        <w:rFonts w:hint="eastAsia" w:cs="Times New Roman"/>
      </w:rPr>
    </w:lvl>
    <w:lvl w:ilvl="8" w:tentative="0">
      <w:start w:val="1"/>
      <w:numFmt w:val="decimal"/>
      <w:lvlText w:val="%2.%3.%4.%5.%6.%7.%8.%9"/>
      <w:lvlJc w:val="left"/>
      <w:rPr>
        <w:rFonts w:hint="eastAsia" w:cs="Times New Roman"/>
      </w:rPr>
    </w:lvl>
  </w:abstractNum>
  <w:num w:numId="1">
    <w:abstractNumId w:val="18"/>
  </w:num>
  <w:num w:numId="2">
    <w:abstractNumId w:val="8"/>
  </w:num>
  <w:num w:numId="3">
    <w:abstractNumId w:val="23"/>
  </w:num>
  <w:num w:numId="4">
    <w:abstractNumId w:val="15"/>
  </w:num>
  <w:num w:numId="5">
    <w:abstractNumId w:val="14"/>
  </w:num>
  <w:num w:numId="6">
    <w:abstractNumId w:val="9"/>
  </w:num>
  <w:num w:numId="7">
    <w:abstractNumId w:val="19"/>
  </w:num>
  <w:num w:numId="8">
    <w:abstractNumId w:val="13"/>
  </w:num>
  <w:num w:numId="9">
    <w:abstractNumId w:val="7"/>
  </w:num>
  <w:num w:numId="10">
    <w:abstractNumId w:val="10"/>
  </w:num>
  <w:num w:numId="11">
    <w:abstractNumId w:val="21"/>
  </w:num>
  <w:num w:numId="12">
    <w:abstractNumId w:val="1"/>
  </w:num>
  <w:num w:numId="13">
    <w:abstractNumId w:val="22"/>
  </w:num>
  <w:num w:numId="14">
    <w:abstractNumId w:val="20"/>
  </w:num>
  <w:num w:numId="15">
    <w:abstractNumId w:val="16"/>
  </w:num>
  <w:num w:numId="16">
    <w:abstractNumId w:val="6"/>
  </w:num>
  <w:num w:numId="17">
    <w:abstractNumId w:val="11"/>
  </w:num>
  <w:num w:numId="18">
    <w:abstractNumId w:val="12"/>
  </w:num>
  <w:num w:numId="19">
    <w:abstractNumId w:val="2"/>
  </w:num>
  <w:num w:numId="20">
    <w:abstractNumId w:val="3"/>
  </w:num>
  <w:num w:numId="21">
    <w:abstractNumId w:val="4"/>
  </w:num>
  <w:num w:numId="22">
    <w:abstractNumId w:val="5"/>
  </w:num>
  <w:num w:numId="23">
    <w:abstractNumId w:val="17"/>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oNotHyphenateCaps/>
  <w:drawingGridHorizontalSpacing w:val="105"/>
  <w:drawingGridVerticalSpacing w:val="157"/>
  <w:noPunctuationKerning w:val="1"/>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5NmEyNDJmZTQ0NzQ4NWIwNWY3MGIyYmI1YzgzMWIifQ=="/>
  </w:docVars>
  <w:rsids>
    <w:rsidRoot w:val="00FD0709"/>
    <w:rsid w:val="00000180"/>
    <w:rsid w:val="00000648"/>
    <w:rsid w:val="0000080C"/>
    <w:rsid w:val="0000164C"/>
    <w:rsid w:val="0000219E"/>
    <w:rsid w:val="000026E1"/>
    <w:rsid w:val="00002A72"/>
    <w:rsid w:val="00002D0A"/>
    <w:rsid w:val="00003069"/>
    <w:rsid w:val="000036C7"/>
    <w:rsid w:val="0000431D"/>
    <w:rsid w:val="00004BCF"/>
    <w:rsid w:val="00005500"/>
    <w:rsid w:val="00005717"/>
    <w:rsid w:val="00006F15"/>
    <w:rsid w:val="00006FF4"/>
    <w:rsid w:val="00007393"/>
    <w:rsid w:val="0000744F"/>
    <w:rsid w:val="00007E6D"/>
    <w:rsid w:val="000100D7"/>
    <w:rsid w:val="00010470"/>
    <w:rsid w:val="00010A5F"/>
    <w:rsid w:val="00010CE3"/>
    <w:rsid w:val="00010DF2"/>
    <w:rsid w:val="00012264"/>
    <w:rsid w:val="00012804"/>
    <w:rsid w:val="00013694"/>
    <w:rsid w:val="00013833"/>
    <w:rsid w:val="000138DF"/>
    <w:rsid w:val="00013ECD"/>
    <w:rsid w:val="000140FD"/>
    <w:rsid w:val="00015260"/>
    <w:rsid w:val="0001535B"/>
    <w:rsid w:val="00015E47"/>
    <w:rsid w:val="0001650D"/>
    <w:rsid w:val="00016860"/>
    <w:rsid w:val="00016944"/>
    <w:rsid w:val="0001711C"/>
    <w:rsid w:val="00017BA7"/>
    <w:rsid w:val="00020677"/>
    <w:rsid w:val="0002078F"/>
    <w:rsid w:val="00020F51"/>
    <w:rsid w:val="00022976"/>
    <w:rsid w:val="000235E9"/>
    <w:rsid w:val="00023888"/>
    <w:rsid w:val="00023E07"/>
    <w:rsid w:val="0002451A"/>
    <w:rsid w:val="0002579A"/>
    <w:rsid w:val="00025802"/>
    <w:rsid w:val="00025FE5"/>
    <w:rsid w:val="00026643"/>
    <w:rsid w:val="00027213"/>
    <w:rsid w:val="000275F5"/>
    <w:rsid w:val="0003038B"/>
    <w:rsid w:val="00030458"/>
    <w:rsid w:val="00030940"/>
    <w:rsid w:val="00032460"/>
    <w:rsid w:val="00032774"/>
    <w:rsid w:val="0003299A"/>
    <w:rsid w:val="00033651"/>
    <w:rsid w:val="0003443B"/>
    <w:rsid w:val="00034C64"/>
    <w:rsid w:val="00035989"/>
    <w:rsid w:val="000361E1"/>
    <w:rsid w:val="00036F43"/>
    <w:rsid w:val="00037038"/>
    <w:rsid w:val="000375B1"/>
    <w:rsid w:val="000377AC"/>
    <w:rsid w:val="000379CC"/>
    <w:rsid w:val="000403B6"/>
    <w:rsid w:val="000417C3"/>
    <w:rsid w:val="00043FB9"/>
    <w:rsid w:val="0004427D"/>
    <w:rsid w:val="00044931"/>
    <w:rsid w:val="00047062"/>
    <w:rsid w:val="00047090"/>
    <w:rsid w:val="0005094C"/>
    <w:rsid w:val="00050D70"/>
    <w:rsid w:val="000514DA"/>
    <w:rsid w:val="00051B60"/>
    <w:rsid w:val="0005275C"/>
    <w:rsid w:val="00052D90"/>
    <w:rsid w:val="00053BB2"/>
    <w:rsid w:val="00053E13"/>
    <w:rsid w:val="000541EF"/>
    <w:rsid w:val="00054CD9"/>
    <w:rsid w:val="000578E2"/>
    <w:rsid w:val="00057BEC"/>
    <w:rsid w:val="00057CEE"/>
    <w:rsid w:val="00060599"/>
    <w:rsid w:val="000615F7"/>
    <w:rsid w:val="00061754"/>
    <w:rsid w:val="00061E49"/>
    <w:rsid w:val="00062523"/>
    <w:rsid w:val="00063463"/>
    <w:rsid w:val="00063EE6"/>
    <w:rsid w:val="00065970"/>
    <w:rsid w:val="0006630D"/>
    <w:rsid w:val="000668C3"/>
    <w:rsid w:val="00066E3F"/>
    <w:rsid w:val="000676B4"/>
    <w:rsid w:val="00070238"/>
    <w:rsid w:val="000706EA"/>
    <w:rsid w:val="00070A85"/>
    <w:rsid w:val="0007120E"/>
    <w:rsid w:val="0007149E"/>
    <w:rsid w:val="00071CDF"/>
    <w:rsid w:val="000720DB"/>
    <w:rsid w:val="000725C8"/>
    <w:rsid w:val="00072985"/>
    <w:rsid w:val="00072BD7"/>
    <w:rsid w:val="00073D89"/>
    <w:rsid w:val="00073E8E"/>
    <w:rsid w:val="000749E7"/>
    <w:rsid w:val="00080194"/>
    <w:rsid w:val="000827AD"/>
    <w:rsid w:val="00082E4F"/>
    <w:rsid w:val="000830A7"/>
    <w:rsid w:val="000832A1"/>
    <w:rsid w:val="0008382F"/>
    <w:rsid w:val="00083B2D"/>
    <w:rsid w:val="00084864"/>
    <w:rsid w:val="00084DE9"/>
    <w:rsid w:val="0008583E"/>
    <w:rsid w:val="00085DC8"/>
    <w:rsid w:val="00085FAD"/>
    <w:rsid w:val="000864B0"/>
    <w:rsid w:val="000867C7"/>
    <w:rsid w:val="00086C8A"/>
    <w:rsid w:val="00087B69"/>
    <w:rsid w:val="00087F9F"/>
    <w:rsid w:val="00090C73"/>
    <w:rsid w:val="000934DC"/>
    <w:rsid w:val="0009387E"/>
    <w:rsid w:val="00093D4C"/>
    <w:rsid w:val="00094064"/>
    <w:rsid w:val="000947F1"/>
    <w:rsid w:val="000949E6"/>
    <w:rsid w:val="00094C95"/>
    <w:rsid w:val="0009593D"/>
    <w:rsid w:val="00095994"/>
    <w:rsid w:val="00095EAE"/>
    <w:rsid w:val="000973D4"/>
    <w:rsid w:val="000A08F8"/>
    <w:rsid w:val="000A11E5"/>
    <w:rsid w:val="000A14D8"/>
    <w:rsid w:val="000A1504"/>
    <w:rsid w:val="000A4B79"/>
    <w:rsid w:val="000A4BCB"/>
    <w:rsid w:val="000A5AE9"/>
    <w:rsid w:val="000A6391"/>
    <w:rsid w:val="000B0216"/>
    <w:rsid w:val="000B0279"/>
    <w:rsid w:val="000B0851"/>
    <w:rsid w:val="000B0960"/>
    <w:rsid w:val="000B17A7"/>
    <w:rsid w:val="000B1BB8"/>
    <w:rsid w:val="000B1CC4"/>
    <w:rsid w:val="000B1F7E"/>
    <w:rsid w:val="000B2198"/>
    <w:rsid w:val="000B35E1"/>
    <w:rsid w:val="000B389A"/>
    <w:rsid w:val="000B4FE9"/>
    <w:rsid w:val="000B60AE"/>
    <w:rsid w:val="000B6137"/>
    <w:rsid w:val="000B65B8"/>
    <w:rsid w:val="000B6AF4"/>
    <w:rsid w:val="000C0AA0"/>
    <w:rsid w:val="000C1377"/>
    <w:rsid w:val="000C17B0"/>
    <w:rsid w:val="000C1CA2"/>
    <w:rsid w:val="000C2CB4"/>
    <w:rsid w:val="000C4110"/>
    <w:rsid w:val="000C41EA"/>
    <w:rsid w:val="000C4B6C"/>
    <w:rsid w:val="000C4D44"/>
    <w:rsid w:val="000C6301"/>
    <w:rsid w:val="000C686C"/>
    <w:rsid w:val="000C7574"/>
    <w:rsid w:val="000D00C8"/>
    <w:rsid w:val="000D0BBC"/>
    <w:rsid w:val="000D0F31"/>
    <w:rsid w:val="000D1353"/>
    <w:rsid w:val="000D153C"/>
    <w:rsid w:val="000D17BA"/>
    <w:rsid w:val="000D1DBA"/>
    <w:rsid w:val="000D1DDD"/>
    <w:rsid w:val="000D2FEE"/>
    <w:rsid w:val="000D328F"/>
    <w:rsid w:val="000D33F8"/>
    <w:rsid w:val="000D5000"/>
    <w:rsid w:val="000D5FBA"/>
    <w:rsid w:val="000D62DA"/>
    <w:rsid w:val="000D6A10"/>
    <w:rsid w:val="000D7A06"/>
    <w:rsid w:val="000D7D03"/>
    <w:rsid w:val="000E01A4"/>
    <w:rsid w:val="000E01BB"/>
    <w:rsid w:val="000E0C38"/>
    <w:rsid w:val="000E0FEE"/>
    <w:rsid w:val="000E17A6"/>
    <w:rsid w:val="000E1875"/>
    <w:rsid w:val="000E1A89"/>
    <w:rsid w:val="000E2A07"/>
    <w:rsid w:val="000E36DE"/>
    <w:rsid w:val="000E5C7C"/>
    <w:rsid w:val="000E5C89"/>
    <w:rsid w:val="000E7B08"/>
    <w:rsid w:val="000E7BEE"/>
    <w:rsid w:val="000E7DEA"/>
    <w:rsid w:val="000E7EAF"/>
    <w:rsid w:val="000E7F1E"/>
    <w:rsid w:val="000F0017"/>
    <w:rsid w:val="000F01D5"/>
    <w:rsid w:val="000F0549"/>
    <w:rsid w:val="000F1ED1"/>
    <w:rsid w:val="000F2021"/>
    <w:rsid w:val="000F21E5"/>
    <w:rsid w:val="000F24BF"/>
    <w:rsid w:val="000F2A62"/>
    <w:rsid w:val="000F39A1"/>
    <w:rsid w:val="000F3F24"/>
    <w:rsid w:val="000F44AE"/>
    <w:rsid w:val="000F4FDE"/>
    <w:rsid w:val="000F5100"/>
    <w:rsid w:val="000F5230"/>
    <w:rsid w:val="000F55CE"/>
    <w:rsid w:val="000F5A98"/>
    <w:rsid w:val="000F5C69"/>
    <w:rsid w:val="000F6D58"/>
    <w:rsid w:val="00100EF6"/>
    <w:rsid w:val="00101022"/>
    <w:rsid w:val="00101550"/>
    <w:rsid w:val="00101A88"/>
    <w:rsid w:val="00103C81"/>
    <w:rsid w:val="00104153"/>
    <w:rsid w:val="0010489E"/>
    <w:rsid w:val="00104B84"/>
    <w:rsid w:val="001056FC"/>
    <w:rsid w:val="001069F0"/>
    <w:rsid w:val="0011054A"/>
    <w:rsid w:val="001113CC"/>
    <w:rsid w:val="001118E4"/>
    <w:rsid w:val="00112A2A"/>
    <w:rsid w:val="00113994"/>
    <w:rsid w:val="00113D6F"/>
    <w:rsid w:val="00113FC6"/>
    <w:rsid w:val="00114616"/>
    <w:rsid w:val="00115817"/>
    <w:rsid w:val="00115CAE"/>
    <w:rsid w:val="00116620"/>
    <w:rsid w:val="0011671D"/>
    <w:rsid w:val="001205DF"/>
    <w:rsid w:val="00120DC2"/>
    <w:rsid w:val="00120EB2"/>
    <w:rsid w:val="00121314"/>
    <w:rsid w:val="00122B8B"/>
    <w:rsid w:val="001236B1"/>
    <w:rsid w:val="001240BA"/>
    <w:rsid w:val="001246AD"/>
    <w:rsid w:val="00124AC7"/>
    <w:rsid w:val="00124DF5"/>
    <w:rsid w:val="00125E8C"/>
    <w:rsid w:val="00126796"/>
    <w:rsid w:val="00127E92"/>
    <w:rsid w:val="00130176"/>
    <w:rsid w:val="00130A54"/>
    <w:rsid w:val="00130C2C"/>
    <w:rsid w:val="00130D97"/>
    <w:rsid w:val="00130EE4"/>
    <w:rsid w:val="00130FD7"/>
    <w:rsid w:val="00131CC8"/>
    <w:rsid w:val="00132E8E"/>
    <w:rsid w:val="00132FC1"/>
    <w:rsid w:val="00133161"/>
    <w:rsid w:val="001331DD"/>
    <w:rsid w:val="0013329C"/>
    <w:rsid w:val="001332D6"/>
    <w:rsid w:val="00133537"/>
    <w:rsid w:val="00133BBE"/>
    <w:rsid w:val="00133D43"/>
    <w:rsid w:val="001346F9"/>
    <w:rsid w:val="00137242"/>
    <w:rsid w:val="00141351"/>
    <w:rsid w:val="00142ED9"/>
    <w:rsid w:val="001432C0"/>
    <w:rsid w:val="00143BE1"/>
    <w:rsid w:val="00144F52"/>
    <w:rsid w:val="0014543A"/>
    <w:rsid w:val="00145484"/>
    <w:rsid w:val="00145632"/>
    <w:rsid w:val="001468EF"/>
    <w:rsid w:val="00146B76"/>
    <w:rsid w:val="00150704"/>
    <w:rsid w:val="00150ECD"/>
    <w:rsid w:val="0015214A"/>
    <w:rsid w:val="00153ED1"/>
    <w:rsid w:val="00154367"/>
    <w:rsid w:val="001544B2"/>
    <w:rsid w:val="00154A90"/>
    <w:rsid w:val="001553B5"/>
    <w:rsid w:val="001556E9"/>
    <w:rsid w:val="00155A2F"/>
    <w:rsid w:val="0015619C"/>
    <w:rsid w:val="0015642B"/>
    <w:rsid w:val="001568D4"/>
    <w:rsid w:val="00157E9E"/>
    <w:rsid w:val="00160BC8"/>
    <w:rsid w:val="00161870"/>
    <w:rsid w:val="0016302E"/>
    <w:rsid w:val="0016347D"/>
    <w:rsid w:val="00163499"/>
    <w:rsid w:val="00163CF4"/>
    <w:rsid w:val="001642B0"/>
    <w:rsid w:val="001647B3"/>
    <w:rsid w:val="00165A93"/>
    <w:rsid w:val="00165B6E"/>
    <w:rsid w:val="00166EAA"/>
    <w:rsid w:val="00166EDE"/>
    <w:rsid w:val="00167210"/>
    <w:rsid w:val="00167E2A"/>
    <w:rsid w:val="00170781"/>
    <w:rsid w:val="00171434"/>
    <w:rsid w:val="00171C3E"/>
    <w:rsid w:val="00172069"/>
    <w:rsid w:val="00172C28"/>
    <w:rsid w:val="00173868"/>
    <w:rsid w:val="00173D3B"/>
    <w:rsid w:val="00173DB6"/>
    <w:rsid w:val="00175964"/>
    <w:rsid w:val="00175FB4"/>
    <w:rsid w:val="001762E9"/>
    <w:rsid w:val="00176468"/>
    <w:rsid w:val="00176D5C"/>
    <w:rsid w:val="00177106"/>
    <w:rsid w:val="00177D68"/>
    <w:rsid w:val="00180752"/>
    <w:rsid w:val="00180985"/>
    <w:rsid w:val="00180C8F"/>
    <w:rsid w:val="00181904"/>
    <w:rsid w:val="00182166"/>
    <w:rsid w:val="001822FC"/>
    <w:rsid w:val="00182460"/>
    <w:rsid w:val="00182627"/>
    <w:rsid w:val="0018262A"/>
    <w:rsid w:val="00183396"/>
    <w:rsid w:val="00183D54"/>
    <w:rsid w:val="00183FEA"/>
    <w:rsid w:val="00184397"/>
    <w:rsid w:val="001846AE"/>
    <w:rsid w:val="00185020"/>
    <w:rsid w:val="00185166"/>
    <w:rsid w:val="00185451"/>
    <w:rsid w:val="00185BA7"/>
    <w:rsid w:val="0018784A"/>
    <w:rsid w:val="0019050D"/>
    <w:rsid w:val="00190DC4"/>
    <w:rsid w:val="00191383"/>
    <w:rsid w:val="0019173B"/>
    <w:rsid w:val="00191C0B"/>
    <w:rsid w:val="00192678"/>
    <w:rsid w:val="001928E7"/>
    <w:rsid w:val="00193B7B"/>
    <w:rsid w:val="001940A1"/>
    <w:rsid w:val="001951C1"/>
    <w:rsid w:val="00195330"/>
    <w:rsid w:val="001954B8"/>
    <w:rsid w:val="0019588D"/>
    <w:rsid w:val="0019638F"/>
    <w:rsid w:val="00196965"/>
    <w:rsid w:val="00196CB7"/>
    <w:rsid w:val="0019721D"/>
    <w:rsid w:val="001978EC"/>
    <w:rsid w:val="00197C2E"/>
    <w:rsid w:val="001A07D7"/>
    <w:rsid w:val="001A0940"/>
    <w:rsid w:val="001A0C26"/>
    <w:rsid w:val="001A1572"/>
    <w:rsid w:val="001A1C1E"/>
    <w:rsid w:val="001A2869"/>
    <w:rsid w:val="001A2E20"/>
    <w:rsid w:val="001A376D"/>
    <w:rsid w:val="001A4876"/>
    <w:rsid w:val="001A4BED"/>
    <w:rsid w:val="001A4F84"/>
    <w:rsid w:val="001A5CF0"/>
    <w:rsid w:val="001A60A6"/>
    <w:rsid w:val="001A60D0"/>
    <w:rsid w:val="001A6703"/>
    <w:rsid w:val="001A6DED"/>
    <w:rsid w:val="001B0101"/>
    <w:rsid w:val="001B0D17"/>
    <w:rsid w:val="001B0E63"/>
    <w:rsid w:val="001B0E64"/>
    <w:rsid w:val="001B1F23"/>
    <w:rsid w:val="001B2A11"/>
    <w:rsid w:val="001B3C6F"/>
    <w:rsid w:val="001B3EDC"/>
    <w:rsid w:val="001B5117"/>
    <w:rsid w:val="001B60B0"/>
    <w:rsid w:val="001B658F"/>
    <w:rsid w:val="001B6602"/>
    <w:rsid w:val="001B6CA7"/>
    <w:rsid w:val="001B712A"/>
    <w:rsid w:val="001B7540"/>
    <w:rsid w:val="001C01C7"/>
    <w:rsid w:val="001C0200"/>
    <w:rsid w:val="001C061F"/>
    <w:rsid w:val="001C0C8A"/>
    <w:rsid w:val="001C117B"/>
    <w:rsid w:val="001C18D9"/>
    <w:rsid w:val="001C2501"/>
    <w:rsid w:val="001C2648"/>
    <w:rsid w:val="001C2C9A"/>
    <w:rsid w:val="001C314A"/>
    <w:rsid w:val="001C34CD"/>
    <w:rsid w:val="001C39B1"/>
    <w:rsid w:val="001C3E0F"/>
    <w:rsid w:val="001C511F"/>
    <w:rsid w:val="001C56DD"/>
    <w:rsid w:val="001C5BFB"/>
    <w:rsid w:val="001C7D63"/>
    <w:rsid w:val="001D016E"/>
    <w:rsid w:val="001D0F23"/>
    <w:rsid w:val="001D1082"/>
    <w:rsid w:val="001D1A2A"/>
    <w:rsid w:val="001D21B6"/>
    <w:rsid w:val="001D350E"/>
    <w:rsid w:val="001D3C2F"/>
    <w:rsid w:val="001D4490"/>
    <w:rsid w:val="001D5068"/>
    <w:rsid w:val="001D5360"/>
    <w:rsid w:val="001D62DB"/>
    <w:rsid w:val="001D6E3A"/>
    <w:rsid w:val="001D7D3E"/>
    <w:rsid w:val="001E0506"/>
    <w:rsid w:val="001E0698"/>
    <w:rsid w:val="001E2B77"/>
    <w:rsid w:val="001E30E6"/>
    <w:rsid w:val="001E3B18"/>
    <w:rsid w:val="001E3C81"/>
    <w:rsid w:val="001E52A9"/>
    <w:rsid w:val="001E591B"/>
    <w:rsid w:val="001E62E3"/>
    <w:rsid w:val="001E6CA5"/>
    <w:rsid w:val="001E6EED"/>
    <w:rsid w:val="001E6FAE"/>
    <w:rsid w:val="001E7078"/>
    <w:rsid w:val="001E75C1"/>
    <w:rsid w:val="001E7944"/>
    <w:rsid w:val="001E7D66"/>
    <w:rsid w:val="001F041F"/>
    <w:rsid w:val="001F14F5"/>
    <w:rsid w:val="001F1743"/>
    <w:rsid w:val="001F180A"/>
    <w:rsid w:val="001F1CAC"/>
    <w:rsid w:val="001F1E17"/>
    <w:rsid w:val="001F1F1D"/>
    <w:rsid w:val="001F2419"/>
    <w:rsid w:val="001F4381"/>
    <w:rsid w:val="001F479E"/>
    <w:rsid w:val="001F5134"/>
    <w:rsid w:val="001F5141"/>
    <w:rsid w:val="001F55A0"/>
    <w:rsid w:val="001F697E"/>
    <w:rsid w:val="001F76F6"/>
    <w:rsid w:val="002002FE"/>
    <w:rsid w:val="00200E97"/>
    <w:rsid w:val="002018C8"/>
    <w:rsid w:val="00201F6C"/>
    <w:rsid w:val="00202657"/>
    <w:rsid w:val="002033CE"/>
    <w:rsid w:val="002044E0"/>
    <w:rsid w:val="0020489B"/>
    <w:rsid w:val="00204AE6"/>
    <w:rsid w:val="00204D42"/>
    <w:rsid w:val="002053A0"/>
    <w:rsid w:val="00206433"/>
    <w:rsid w:val="00206AD9"/>
    <w:rsid w:val="00206AE0"/>
    <w:rsid w:val="00206B08"/>
    <w:rsid w:val="002073D9"/>
    <w:rsid w:val="002100AB"/>
    <w:rsid w:val="002101AD"/>
    <w:rsid w:val="00211D5D"/>
    <w:rsid w:val="00212407"/>
    <w:rsid w:val="00213954"/>
    <w:rsid w:val="0021398C"/>
    <w:rsid w:val="00213A06"/>
    <w:rsid w:val="00213DFD"/>
    <w:rsid w:val="002146A5"/>
    <w:rsid w:val="00214D2C"/>
    <w:rsid w:val="00215669"/>
    <w:rsid w:val="00215A2E"/>
    <w:rsid w:val="00215B0C"/>
    <w:rsid w:val="00215CD4"/>
    <w:rsid w:val="002170E1"/>
    <w:rsid w:val="002171B9"/>
    <w:rsid w:val="00217E4B"/>
    <w:rsid w:val="002200D7"/>
    <w:rsid w:val="00221059"/>
    <w:rsid w:val="00221080"/>
    <w:rsid w:val="00222A25"/>
    <w:rsid w:val="00223091"/>
    <w:rsid w:val="00223158"/>
    <w:rsid w:val="002242AF"/>
    <w:rsid w:val="00225663"/>
    <w:rsid w:val="00225746"/>
    <w:rsid w:val="00225955"/>
    <w:rsid w:val="002264D5"/>
    <w:rsid w:val="0022690C"/>
    <w:rsid w:val="00226970"/>
    <w:rsid w:val="00227189"/>
    <w:rsid w:val="0022730E"/>
    <w:rsid w:val="00227947"/>
    <w:rsid w:val="00227B79"/>
    <w:rsid w:val="002300C6"/>
    <w:rsid w:val="002300E1"/>
    <w:rsid w:val="002304B6"/>
    <w:rsid w:val="0023271B"/>
    <w:rsid w:val="0023299B"/>
    <w:rsid w:val="00234304"/>
    <w:rsid w:val="0023463B"/>
    <w:rsid w:val="00234EF7"/>
    <w:rsid w:val="002355FD"/>
    <w:rsid w:val="00236104"/>
    <w:rsid w:val="00236D55"/>
    <w:rsid w:val="002372F4"/>
    <w:rsid w:val="00237A0B"/>
    <w:rsid w:val="00237D96"/>
    <w:rsid w:val="00240846"/>
    <w:rsid w:val="002408A3"/>
    <w:rsid w:val="002409E6"/>
    <w:rsid w:val="00240AEE"/>
    <w:rsid w:val="00240E9B"/>
    <w:rsid w:val="00240F2E"/>
    <w:rsid w:val="0024226A"/>
    <w:rsid w:val="00243092"/>
    <w:rsid w:val="00243E03"/>
    <w:rsid w:val="00244EE6"/>
    <w:rsid w:val="00245A2D"/>
    <w:rsid w:val="002461BB"/>
    <w:rsid w:val="002462FB"/>
    <w:rsid w:val="00247285"/>
    <w:rsid w:val="00247398"/>
    <w:rsid w:val="00247B1A"/>
    <w:rsid w:val="002502A5"/>
    <w:rsid w:val="00250A32"/>
    <w:rsid w:val="00251429"/>
    <w:rsid w:val="002518C1"/>
    <w:rsid w:val="0025226C"/>
    <w:rsid w:val="002534DA"/>
    <w:rsid w:val="002535F1"/>
    <w:rsid w:val="002538DB"/>
    <w:rsid w:val="00253D4C"/>
    <w:rsid w:val="0025421B"/>
    <w:rsid w:val="00255643"/>
    <w:rsid w:val="00255B81"/>
    <w:rsid w:val="00255E51"/>
    <w:rsid w:val="00255F3F"/>
    <w:rsid w:val="00257B49"/>
    <w:rsid w:val="00260254"/>
    <w:rsid w:val="002602F3"/>
    <w:rsid w:val="0026031A"/>
    <w:rsid w:val="00262276"/>
    <w:rsid w:val="00262BE9"/>
    <w:rsid w:val="00263B7D"/>
    <w:rsid w:val="00264859"/>
    <w:rsid w:val="00264BB5"/>
    <w:rsid w:val="00264E05"/>
    <w:rsid w:val="00265D0B"/>
    <w:rsid w:val="002661E8"/>
    <w:rsid w:val="00266402"/>
    <w:rsid w:val="0027015E"/>
    <w:rsid w:val="002702FD"/>
    <w:rsid w:val="00271231"/>
    <w:rsid w:val="00271975"/>
    <w:rsid w:val="002733E2"/>
    <w:rsid w:val="00273D1C"/>
    <w:rsid w:val="00273FC8"/>
    <w:rsid w:val="00274244"/>
    <w:rsid w:val="00274336"/>
    <w:rsid w:val="00275893"/>
    <w:rsid w:val="002759A1"/>
    <w:rsid w:val="00275A59"/>
    <w:rsid w:val="00275FB8"/>
    <w:rsid w:val="0027776E"/>
    <w:rsid w:val="00280700"/>
    <w:rsid w:val="002808D0"/>
    <w:rsid w:val="00280A1F"/>
    <w:rsid w:val="00281080"/>
    <w:rsid w:val="00281642"/>
    <w:rsid w:val="00282325"/>
    <w:rsid w:val="00282DD6"/>
    <w:rsid w:val="00283395"/>
    <w:rsid w:val="002842CD"/>
    <w:rsid w:val="00284834"/>
    <w:rsid w:val="002855C9"/>
    <w:rsid w:val="00285C1B"/>
    <w:rsid w:val="00286273"/>
    <w:rsid w:val="00286A37"/>
    <w:rsid w:val="00286B65"/>
    <w:rsid w:val="00287035"/>
    <w:rsid w:val="00287A5A"/>
    <w:rsid w:val="00287BB1"/>
    <w:rsid w:val="002904AC"/>
    <w:rsid w:val="002904CD"/>
    <w:rsid w:val="002905DB"/>
    <w:rsid w:val="0029159D"/>
    <w:rsid w:val="002918F4"/>
    <w:rsid w:val="002921F2"/>
    <w:rsid w:val="00292652"/>
    <w:rsid w:val="00292A77"/>
    <w:rsid w:val="00292D52"/>
    <w:rsid w:val="00293B6A"/>
    <w:rsid w:val="00293B80"/>
    <w:rsid w:val="00294E8F"/>
    <w:rsid w:val="00297364"/>
    <w:rsid w:val="00297F03"/>
    <w:rsid w:val="002A00AA"/>
    <w:rsid w:val="002A2BAB"/>
    <w:rsid w:val="002A3040"/>
    <w:rsid w:val="002A3742"/>
    <w:rsid w:val="002A4E2D"/>
    <w:rsid w:val="002A5B04"/>
    <w:rsid w:val="002A5CD0"/>
    <w:rsid w:val="002A60FD"/>
    <w:rsid w:val="002A6138"/>
    <w:rsid w:val="002A6614"/>
    <w:rsid w:val="002A71EF"/>
    <w:rsid w:val="002A77C3"/>
    <w:rsid w:val="002A7872"/>
    <w:rsid w:val="002B23DF"/>
    <w:rsid w:val="002B28BE"/>
    <w:rsid w:val="002B32EF"/>
    <w:rsid w:val="002B44C7"/>
    <w:rsid w:val="002B48B5"/>
    <w:rsid w:val="002B599D"/>
    <w:rsid w:val="002B6902"/>
    <w:rsid w:val="002B7D6F"/>
    <w:rsid w:val="002C036A"/>
    <w:rsid w:val="002C0420"/>
    <w:rsid w:val="002C1B5E"/>
    <w:rsid w:val="002C2460"/>
    <w:rsid w:val="002C2D41"/>
    <w:rsid w:val="002C2E16"/>
    <w:rsid w:val="002C326A"/>
    <w:rsid w:val="002C40EE"/>
    <w:rsid w:val="002C4E05"/>
    <w:rsid w:val="002C5358"/>
    <w:rsid w:val="002C55A1"/>
    <w:rsid w:val="002C57C0"/>
    <w:rsid w:val="002C6353"/>
    <w:rsid w:val="002C6C9C"/>
    <w:rsid w:val="002C6E0E"/>
    <w:rsid w:val="002C73F8"/>
    <w:rsid w:val="002C7882"/>
    <w:rsid w:val="002C7925"/>
    <w:rsid w:val="002C7C8A"/>
    <w:rsid w:val="002D04A9"/>
    <w:rsid w:val="002D0838"/>
    <w:rsid w:val="002D0F47"/>
    <w:rsid w:val="002D10EF"/>
    <w:rsid w:val="002D1E9D"/>
    <w:rsid w:val="002D202F"/>
    <w:rsid w:val="002D2237"/>
    <w:rsid w:val="002D45BD"/>
    <w:rsid w:val="002D4962"/>
    <w:rsid w:val="002D497C"/>
    <w:rsid w:val="002D4DB5"/>
    <w:rsid w:val="002D5E3D"/>
    <w:rsid w:val="002D6698"/>
    <w:rsid w:val="002D677D"/>
    <w:rsid w:val="002D6B8E"/>
    <w:rsid w:val="002D6BAB"/>
    <w:rsid w:val="002D6F03"/>
    <w:rsid w:val="002D771E"/>
    <w:rsid w:val="002D7F2F"/>
    <w:rsid w:val="002E0426"/>
    <w:rsid w:val="002E04EA"/>
    <w:rsid w:val="002E2CF9"/>
    <w:rsid w:val="002E39AA"/>
    <w:rsid w:val="002E3AA7"/>
    <w:rsid w:val="002E3F83"/>
    <w:rsid w:val="002E44F0"/>
    <w:rsid w:val="002E4561"/>
    <w:rsid w:val="002E4D99"/>
    <w:rsid w:val="002E5100"/>
    <w:rsid w:val="002E59FB"/>
    <w:rsid w:val="002E5E93"/>
    <w:rsid w:val="002E6613"/>
    <w:rsid w:val="002E6BE7"/>
    <w:rsid w:val="002F12CB"/>
    <w:rsid w:val="002F14EF"/>
    <w:rsid w:val="002F1841"/>
    <w:rsid w:val="002F1ECD"/>
    <w:rsid w:val="002F1F29"/>
    <w:rsid w:val="002F33C5"/>
    <w:rsid w:val="002F3591"/>
    <w:rsid w:val="002F5998"/>
    <w:rsid w:val="002F636D"/>
    <w:rsid w:val="002F716B"/>
    <w:rsid w:val="002F7AAB"/>
    <w:rsid w:val="003001D4"/>
    <w:rsid w:val="00300597"/>
    <w:rsid w:val="00300818"/>
    <w:rsid w:val="0030090B"/>
    <w:rsid w:val="00300CD2"/>
    <w:rsid w:val="00300D89"/>
    <w:rsid w:val="00300F32"/>
    <w:rsid w:val="0030104F"/>
    <w:rsid w:val="003018A4"/>
    <w:rsid w:val="00302A92"/>
    <w:rsid w:val="00302C03"/>
    <w:rsid w:val="00304499"/>
    <w:rsid w:val="00304743"/>
    <w:rsid w:val="00305902"/>
    <w:rsid w:val="00305D3D"/>
    <w:rsid w:val="00305F28"/>
    <w:rsid w:val="00307F1D"/>
    <w:rsid w:val="00310468"/>
    <w:rsid w:val="00310747"/>
    <w:rsid w:val="00310AED"/>
    <w:rsid w:val="003111C7"/>
    <w:rsid w:val="00312026"/>
    <w:rsid w:val="00313AC0"/>
    <w:rsid w:val="00313E14"/>
    <w:rsid w:val="00314B05"/>
    <w:rsid w:val="0031502D"/>
    <w:rsid w:val="003152BB"/>
    <w:rsid w:val="0031616B"/>
    <w:rsid w:val="00316286"/>
    <w:rsid w:val="00316A7C"/>
    <w:rsid w:val="00316B20"/>
    <w:rsid w:val="00316BFF"/>
    <w:rsid w:val="003177F5"/>
    <w:rsid w:val="00317DA2"/>
    <w:rsid w:val="0032015D"/>
    <w:rsid w:val="003202AC"/>
    <w:rsid w:val="00320A3A"/>
    <w:rsid w:val="00321082"/>
    <w:rsid w:val="003217E4"/>
    <w:rsid w:val="003219B3"/>
    <w:rsid w:val="003222CC"/>
    <w:rsid w:val="00322655"/>
    <w:rsid w:val="00323301"/>
    <w:rsid w:val="0032377B"/>
    <w:rsid w:val="00323E35"/>
    <w:rsid w:val="00324E64"/>
    <w:rsid w:val="00325545"/>
    <w:rsid w:val="0032560B"/>
    <w:rsid w:val="003258EB"/>
    <w:rsid w:val="00325C94"/>
    <w:rsid w:val="003260AA"/>
    <w:rsid w:val="0032665D"/>
    <w:rsid w:val="00327A9E"/>
    <w:rsid w:val="003301D7"/>
    <w:rsid w:val="0033062D"/>
    <w:rsid w:val="0033185A"/>
    <w:rsid w:val="00331D65"/>
    <w:rsid w:val="0033224C"/>
    <w:rsid w:val="00332671"/>
    <w:rsid w:val="003330D8"/>
    <w:rsid w:val="00333F73"/>
    <w:rsid w:val="00334415"/>
    <w:rsid w:val="0033443D"/>
    <w:rsid w:val="00334BDE"/>
    <w:rsid w:val="00335527"/>
    <w:rsid w:val="0033652A"/>
    <w:rsid w:val="0033684E"/>
    <w:rsid w:val="00336C3E"/>
    <w:rsid w:val="00337C72"/>
    <w:rsid w:val="00340540"/>
    <w:rsid w:val="0034083D"/>
    <w:rsid w:val="00340E71"/>
    <w:rsid w:val="00341524"/>
    <w:rsid w:val="00343B84"/>
    <w:rsid w:val="00344709"/>
    <w:rsid w:val="00345C11"/>
    <w:rsid w:val="00345C36"/>
    <w:rsid w:val="00347271"/>
    <w:rsid w:val="00350D46"/>
    <w:rsid w:val="0035106E"/>
    <w:rsid w:val="00351466"/>
    <w:rsid w:val="003519D2"/>
    <w:rsid w:val="00352751"/>
    <w:rsid w:val="0035398F"/>
    <w:rsid w:val="00353BBA"/>
    <w:rsid w:val="00353E82"/>
    <w:rsid w:val="00354000"/>
    <w:rsid w:val="0035427B"/>
    <w:rsid w:val="003542A3"/>
    <w:rsid w:val="00354EB6"/>
    <w:rsid w:val="003553C2"/>
    <w:rsid w:val="00355FB8"/>
    <w:rsid w:val="00356492"/>
    <w:rsid w:val="00356678"/>
    <w:rsid w:val="0035733A"/>
    <w:rsid w:val="00360511"/>
    <w:rsid w:val="00360984"/>
    <w:rsid w:val="00360F14"/>
    <w:rsid w:val="00361DD3"/>
    <w:rsid w:val="00361E00"/>
    <w:rsid w:val="0036239E"/>
    <w:rsid w:val="00362503"/>
    <w:rsid w:val="003628D5"/>
    <w:rsid w:val="0036358E"/>
    <w:rsid w:val="00364897"/>
    <w:rsid w:val="003648F9"/>
    <w:rsid w:val="00364B80"/>
    <w:rsid w:val="0036598D"/>
    <w:rsid w:val="00366369"/>
    <w:rsid w:val="00366C68"/>
    <w:rsid w:val="00370035"/>
    <w:rsid w:val="0037021C"/>
    <w:rsid w:val="00373D60"/>
    <w:rsid w:val="003747F2"/>
    <w:rsid w:val="00375220"/>
    <w:rsid w:val="00377B7A"/>
    <w:rsid w:val="00377E03"/>
    <w:rsid w:val="00377EED"/>
    <w:rsid w:val="00380DC3"/>
    <w:rsid w:val="00381183"/>
    <w:rsid w:val="003814C9"/>
    <w:rsid w:val="003815EF"/>
    <w:rsid w:val="00381EE6"/>
    <w:rsid w:val="00381F0E"/>
    <w:rsid w:val="00382ACB"/>
    <w:rsid w:val="0038312F"/>
    <w:rsid w:val="0038351C"/>
    <w:rsid w:val="00383895"/>
    <w:rsid w:val="00383B15"/>
    <w:rsid w:val="00383E41"/>
    <w:rsid w:val="00383FBB"/>
    <w:rsid w:val="0038413D"/>
    <w:rsid w:val="003865AB"/>
    <w:rsid w:val="00386ECF"/>
    <w:rsid w:val="00387050"/>
    <w:rsid w:val="00390808"/>
    <w:rsid w:val="00390FC1"/>
    <w:rsid w:val="00391116"/>
    <w:rsid w:val="00391287"/>
    <w:rsid w:val="00391FE4"/>
    <w:rsid w:val="00392004"/>
    <w:rsid w:val="00393710"/>
    <w:rsid w:val="00394135"/>
    <w:rsid w:val="0039461B"/>
    <w:rsid w:val="00395268"/>
    <w:rsid w:val="00395B8D"/>
    <w:rsid w:val="003964B3"/>
    <w:rsid w:val="00396967"/>
    <w:rsid w:val="00396A15"/>
    <w:rsid w:val="003973FB"/>
    <w:rsid w:val="003A079F"/>
    <w:rsid w:val="003A0A12"/>
    <w:rsid w:val="003A206B"/>
    <w:rsid w:val="003A23B0"/>
    <w:rsid w:val="003A438A"/>
    <w:rsid w:val="003A46F1"/>
    <w:rsid w:val="003A5CC6"/>
    <w:rsid w:val="003A66F8"/>
    <w:rsid w:val="003A6ABA"/>
    <w:rsid w:val="003A7A5A"/>
    <w:rsid w:val="003A7DF2"/>
    <w:rsid w:val="003A7E56"/>
    <w:rsid w:val="003B23B7"/>
    <w:rsid w:val="003B2FB3"/>
    <w:rsid w:val="003B2FC7"/>
    <w:rsid w:val="003B301A"/>
    <w:rsid w:val="003B331E"/>
    <w:rsid w:val="003B38B2"/>
    <w:rsid w:val="003B44C4"/>
    <w:rsid w:val="003B45F8"/>
    <w:rsid w:val="003B48EB"/>
    <w:rsid w:val="003B558C"/>
    <w:rsid w:val="003B577A"/>
    <w:rsid w:val="003B6B07"/>
    <w:rsid w:val="003B7829"/>
    <w:rsid w:val="003C00A6"/>
    <w:rsid w:val="003C099E"/>
    <w:rsid w:val="003C0B78"/>
    <w:rsid w:val="003C101A"/>
    <w:rsid w:val="003C1115"/>
    <w:rsid w:val="003C2039"/>
    <w:rsid w:val="003C23EB"/>
    <w:rsid w:val="003C2522"/>
    <w:rsid w:val="003C2BA5"/>
    <w:rsid w:val="003C300B"/>
    <w:rsid w:val="003C3FE6"/>
    <w:rsid w:val="003C47D4"/>
    <w:rsid w:val="003C4C07"/>
    <w:rsid w:val="003C740E"/>
    <w:rsid w:val="003C772D"/>
    <w:rsid w:val="003C7927"/>
    <w:rsid w:val="003D0B7D"/>
    <w:rsid w:val="003D0B9A"/>
    <w:rsid w:val="003D2B14"/>
    <w:rsid w:val="003D35DA"/>
    <w:rsid w:val="003D4059"/>
    <w:rsid w:val="003D5C0A"/>
    <w:rsid w:val="003D6B87"/>
    <w:rsid w:val="003E0BF7"/>
    <w:rsid w:val="003E0C04"/>
    <w:rsid w:val="003E0F8F"/>
    <w:rsid w:val="003E1671"/>
    <w:rsid w:val="003E2A93"/>
    <w:rsid w:val="003E2D2D"/>
    <w:rsid w:val="003E2EC5"/>
    <w:rsid w:val="003E308B"/>
    <w:rsid w:val="003E38D1"/>
    <w:rsid w:val="003E49DE"/>
    <w:rsid w:val="003E4B39"/>
    <w:rsid w:val="003E4EE4"/>
    <w:rsid w:val="003E63CA"/>
    <w:rsid w:val="003E6F90"/>
    <w:rsid w:val="003E7C0D"/>
    <w:rsid w:val="003E7FDA"/>
    <w:rsid w:val="003F0019"/>
    <w:rsid w:val="003F03A3"/>
    <w:rsid w:val="003F0997"/>
    <w:rsid w:val="003F09F9"/>
    <w:rsid w:val="003F126A"/>
    <w:rsid w:val="003F27FB"/>
    <w:rsid w:val="003F470B"/>
    <w:rsid w:val="003F5180"/>
    <w:rsid w:val="003F6B77"/>
    <w:rsid w:val="003F6F2C"/>
    <w:rsid w:val="0040081C"/>
    <w:rsid w:val="00400A47"/>
    <w:rsid w:val="00400AE5"/>
    <w:rsid w:val="00401DD7"/>
    <w:rsid w:val="00402950"/>
    <w:rsid w:val="004036F7"/>
    <w:rsid w:val="00403FCE"/>
    <w:rsid w:val="004045E9"/>
    <w:rsid w:val="00404750"/>
    <w:rsid w:val="004051F2"/>
    <w:rsid w:val="0040629E"/>
    <w:rsid w:val="004065D0"/>
    <w:rsid w:val="00406E46"/>
    <w:rsid w:val="004078E9"/>
    <w:rsid w:val="0040797A"/>
    <w:rsid w:val="00410048"/>
    <w:rsid w:val="00410249"/>
    <w:rsid w:val="004103F1"/>
    <w:rsid w:val="00410E53"/>
    <w:rsid w:val="00411125"/>
    <w:rsid w:val="00411266"/>
    <w:rsid w:val="004119C7"/>
    <w:rsid w:val="00411A15"/>
    <w:rsid w:val="00411B23"/>
    <w:rsid w:val="00411DDB"/>
    <w:rsid w:val="0041301B"/>
    <w:rsid w:val="00413318"/>
    <w:rsid w:val="004143B9"/>
    <w:rsid w:val="004156A0"/>
    <w:rsid w:val="004157A2"/>
    <w:rsid w:val="00416611"/>
    <w:rsid w:val="004166B0"/>
    <w:rsid w:val="00416C81"/>
    <w:rsid w:val="00417192"/>
    <w:rsid w:val="00420BC5"/>
    <w:rsid w:val="004219D0"/>
    <w:rsid w:val="00421A40"/>
    <w:rsid w:val="00422195"/>
    <w:rsid w:val="004222B8"/>
    <w:rsid w:val="00422838"/>
    <w:rsid w:val="00422CCB"/>
    <w:rsid w:val="00423B7E"/>
    <w:rsid w:val="00423BDD"/>
    <w:rsid w:val="00424792"/>
    <w:rsid w:val="004249EF"/>
    <w:rsid w:val="00425A04"/>
    <w:rsid w:val="00426118"/>
    <w:rsid w:val="004268E8"/>
    <w:rsid w:val="0042696B"/>
    <w:rsid w:val="00426DEC"/>
    <w:rsid w:val="00426EAF"/>
    <w:rsid w:val="0042740F"/>
    <w:rsid w:val="004300CC"/>
    <w:rsid w:val="0043076C"/>
    <w:rsid w:val="00430F0A"/>
    <w:rsid w:val="00430F55"/>
    <w:rsid w:val="0043118F"/>
    <w:rsid w:val="00431373"/>
    <w:rsid w:val="004320D0"/>
    <w:rsid w:val="00432277"/>
    <w:rsid w:val="00432A96"/>
    <w:rsid w:val="00432EAC"/>
    <w:rsid w:val="00433182"/>
    <w:rsid w:val="00433FA9"/>
    <w:rsid w:val="00435002"/>
    <w:rsid w:val="004374EC"/>
    <w:rsid w:val="004377CE"/>
    <w:rsid w:val="00437B62"/>
    <w:rsid w:val="00437BB3"/>
    <w:rsid w:val="0044034D"/>
    <w:rsid w:val="00441705"/>
    <w:rsid w:val="00441F7C"/>
    <w:rsid w:val="0044204F"/>
    <w:rsid w:val="0044241A"/>
    <w:rsid w:val="00442A7C"/>
    <w:rsid w:val="00442C72"/>
    <w:rsid w:val="0044337C"/>
    <w:rsid w:val="00444302"/>
    <w:rsid w:val="0044457E"/>
    <w:rsid w:val="00444883"/>
    <w:rsid w:val="00444F07"/>
    <w:rsid w:val="004453F3"/>
    <w:rsid w:val="0044548E"/>
    <w:rsid w:val="004458A7"/>
    <w:rsid w:val="00446FA1"/>
    <w:rsid w:val="00447EF9"/>
    <w:rsid w:val="004500B3"/>
    <w:rsid w:val="0045092E"/>
    <w:rsid w:val="00450C2E"/>
    <w:rsid w:val="00451077"/>
    <w:rsid w:val="00451487"/>
    <w:rsid w:val="004516B0"/>
    <w:rsid w:val="004523B6"/>
    <w:rsid w:val="00452447"/>
    <w:rsid w:val="00453D86"/>
    <w:rsid w:val="00455075"/>
    <w:rsid w:val="0045580F"/>
    <w:rsid w:val="00455E35"/>
    <w:rsid w:val="00456E66"/>
    <w:rsid w:val="00457053"/>
    <w:rsid w:val="00457BB1"/>
    <w:rsid w:val="004607AA"/>
    <w:rsid w:val="00460D17"/>
    <w:rsid w:val="004614C1"/>
    <w:rsid w:val="004614FF"/>
    <w:rsid w:val="004617AE"/>
    <w:rsid w:val="004632CF"/>
    <w:rsid w:val="00463915"/>
    <w:rsid w:val="00463E99"/>
    <w:rsid w:val="00464063"/>
    <w:rsid w:val="00464783"/>
    <w:rsid w:val="00464AB6"/>
    <w:rsid w:val="0046590F"/>
    <w:rsid w:val="00465A3C"/>
    <w:rsid w:val="00465B24"/>
    <w:rsid w:val="00465CA8"/>
    <w:rsid w:val="0046679E"/>
    <w:rsid w:val="004703C0"/>
    <w:rsid w:val="00470A1F"/>
    <w:rsid w:val="00471124"/>
    <w:rsid w:val="00471B14"/>
    <w:rsid w:val="0047245F"/>
    <w:rsid w:val="00472BB5"/>
    <w:rsid w:val="00473AB2"/>
    <w:rsid w:val="00473C94"/>
    <w:rsid w:val="004744DB"/>
    <w:rsid w:val="004753F9"/>
    <w:rsid w:val="00476DD0"/>
    <w:rsid w:val="004777C7"/>
    <w:rsid w:val="00477908"/>
    <w:rsid w:val="00477B51"/>
    <w:rsid w:val="004800CD"/>
    <w:rsid w:val="00480923"/>
    <w:rsid w:val="00481E4C"/>
    <w:rsid w:val="00482160"/>
    <w:rsid w:val="00482A52"/>
    <w:rsid w:val="00482D5E"/>
    <w:rsid w:val="00482EA9"/>
    <w:rsid w:val="00483137"/>
    <w:rsid w:val="0048315F"/>
    <w:rsid w:val="00483FE0"/>
    <w:rsid w:val="004851A7"/>
    <w:rsid w:val="00485D02"/>
    <w:rsid w:val="004867CB"/>
    <w:rsid w:val="00486A0D"/>
    <w:rsid w:val="00486B88"/>
    <w:rsid w:val="00486EB8"/>
    <w:rsid w:val="00487892"/>
    <w:rsid w:val="00487AE6"/>
    <w:rsid w:val="00490A17"/>
    <w:rsid w:val="0049127E"/>
    <w:rsid w:val="004914DE"/>
    <w:rsid w:val="00491EF6"/>
    <w:rsid w:val="00491F25"/>
    <w:rsid w:val="00492206"/>
    <w:rsid w:val="00492A0C"/>
    <w:rsid w:val="004933EE"/>
    <w:rsid w:val="004936EA"/>
    <w:rsid w:val="00495508"/>
    <w:rsid w:val="004959BA"/>
    <w:rsid w:val="00495EFF"/>
    <w:rsid w:val="00495F27"/>
    <w:rsid w:val="004961CD"/>
    <w:rsid w:val="004964B2"/>
    <w:rsid w:val="004966DC"/>
    <w:rsid w:val="004967A5"/>
    <w:rsid w:val="004979BF"/>
    <w:rsid w:val="00497F58"/>
    <w:rsid w:val="004A20B5"/>
    <w:rsid w:val="004A2F8A"/>
    <w:rsid w:val="004A349B"/>
    <w:rsid w:val="004A523B"/>
    <w:rsid w:val="004A7346"/>
    <w:rsid w:val="004B091B"/>
    <w:rsid w:val="004B0ED2"/>
    <w:rsid w:val="004B0FAC"/>
    <w:rsid w:val="004B119F"/>
    <w:rsid w:val="004B11AD"/>
    <w:rsid w:val="004B24A8"/>
    <w:rsid w:val="004B29B6"/>
    <w:rsid w:val="004B3B6C"/>
    <w:rsid w:val="004B4996"/>
    <w:rsid w:val="004B49D5"/>
    <w:rsid w:val="004B4CE6"/>
    <w:rsid w:val="004B5490"/>
    <w:rsid w:val="004B5783"/>
    <w:rsid w:val="004B65E5"/>
    <w:rsid w:val="004B6B0C"/>
    <w:rsid w:val="004B6F9B"/>
    <w:rsid w:val="004C03D8"/>
    <w:rsid w:val="004C0BD6"/>
    <w:rsid w:val="004C0C50"/>
    <w:rsid w:val="004C138A"/>
    <w:rsid w:val="004C1E2F"/>
    <w:rsid w:val="004C2A5F"/>
    <w:rsid w:val="004C35C2"/>
    <w:rsid w:val="004C53E2"/>
    <w:rsid w:val="004C5482"/>
    <w:rsid w:val="004C557A"/>
    <w:rsid w:val="004C5DCA"/>
    <w:rsid w:val="004C6413"/>
    <w:rsid w:val="004C6EFE"/>
    <w:rsid w:val="004C6FE5"/>
    <w:rsid w:val="004C7207"/>
    <w:rsid w:val="004C76A6"/>
    <w:rsid w:val="004C7B8F"/>
    <w:rsid w:val="004D0CD6"/>
    <w:rsid w:val="004D1D07"/>
    <w:rsid w:val="004D1F65"/>
    <w:rsid w:val="004D21BE"/>
    <w:rsid w:val="004D273B"/>
    <w:rsid w:val="004D2A5A"/>
    <w:rsid w:val="004D2B58"/>
    <w:rsid w:val="004D3418"/>
    <w:rsid w:val="004D3C14"/>
    <w:rsid w:val="004D3EA1"/>
    <w:rsid w:val="004D3EE4"/>
    <w:rsid w:val="004D4C57"/>
    <w:rsid w:val="004D51C0"/>
    <w:rsid w:val="004D6E04"/>
    <w:rsid w:val="004D70E2"/>
    <w:rsid w:val="004E0585"/>
    <w:rsid w:val="004E075A"/>
    <w:rsid w:val="004E18B1"/>
    <w:rsid w:val="004E2018"/>
    <w:rsid w:val="004E210B"/>
    <w:rsid w:val="004E22C8"/>
    <w:rsid w:val="004E22EC"/>
    <w:rsid w:val="004E259D"/>
    <w:rsid w:val="004E4061"/>
    <w:rsid w:val="004E6128"/>
    <w:rsid w:val="004E7007"/>
    <w:rsid w:val="004E7B4F"/>
    <w:rsid w:val="004F0327"/>
    <w:rsid w:val="004F03A0"/>
    <w:rsid w:val="004F0439"/>
    <w:rsid w:val="004F0659"/>
    <w:rsid w:val="004F08BF"/>
    <w:rsid w:val="004F0C74"/>
    <w:rsid w:val="004F1317"/>
    <w:rsid w:val="004F221B"/>
    <w:rsid w:val="004F246D"/>
    <w:rsid w:val="004F2725"/>
    <w:rsid w:val="004F2841"/>
    <w:rsid w:val="004F319E"/>
    <w:rsid w:val="004F3423"/>
    <w:rsid w:val="004F36CA"/>
    <w:rsid w:val="004F4191"/>
    <w:rsid w:val="004F419E"/>
    <w:rsid w:val="004F457F"/>
    <w:rsid w:val="004F45E0"/>
    <w:rsid w:val="004F5110"/>
    <w:rsid w:val="004F544A"/>
    <w:rsid w:val="004F55B9"/>
    <w:rsid w:val="004F6A07"/>
    <w:rsid w:val="004F6BF6"/>
    <w:rsid w:val="004F6E37"/>
    <w:rsid w:val="0050101E"/>
    <w:rsid w:val="005011D7"/>
    <w:rsid w:val="00501DBA"/>
    <w:rsid w:val="005030C9"/>
    <w:rsid w:val="005039A5"/>
    <w:rsid w:val="00504573"/>
    <w:rsid w:val="00504E35"/>
    <w:rsid w:val="005050D4"/>
    <w:rsid w:val="0050555E"/>
    <w:rsid w:val="005059A9"/>
    <w:rsid w:val="005062D6"/>
    <w:rsid w:val="0050760B"/>
    <w:rsid w:val="00507A12"/>
    <w:rsid w:val="00507C25"/>
    <w:rsid w:val="00510977"/>
    <w:rsid w:val="005114E3"/>
    <w:rsid w:val="005116A5"/>
    <w:rsid w:val="00511FEB"/>
    <w:rsid w:val="00512800"/>
    <w:rsid w:val="005129EA"/>
    <w:rsid w:val="00512B83"/>
    <w:rsid w:val="00513037"/>
    <w:rsid w:val="005134C6"/>
    <w:rsid w:val="00513F0A"/>
    <w:rsid w:val="005142BD"/>
    <w:rsid w:val="005146BF"/>
    <w:rsid w:val="005158C2"/>
    <w:rsid w:val="00515A77"/>
    <w:rsid w:val="00515EDE"/>
    <w:rsid w:val="00516197"/>
    <w:rsid w:val="00516E14"/>
    <w:rsid w:val="00517126"/>
    <w:rsid w:val="00517351"/>
    <w:rsid w:val="0051792D"/>
    <w:rsid w:val="00517DE1"/>
    <w:rsid w:val="00520387"/>
    <w:rsid w:val="005215EB"/>
    <w:rsid w:val="00521E28"/>
    <w:rsid w:val="00521EED"/>
    <w:rsid w:val="005220C5"/>
    <w:rsid w:val="00522307"/>
    <w:rsid w:val="00522334"/>
    <w:rsid w:val="00522995"/>
    <w:rsid w:val="00522A08"/>
    <w:rsid w:val="005235D6"/>
    <w:rsid w:val="00523825"/>
    <w:rsid w:val="00523840"/>
    <w:rsid w:val="00523B97"/>
    <w:rsid w:val="005254F7"/>
    <w:rsid w:val="00525D08"/>
    <w:rsid w:val="00525F82"/>
    <w:rsid w:val="00526D07"/>
    <w:rsid w:val="0052722B"/>
    <w:rsid w:val="00527FA1"/>
    <w:rsid w:val="0053018F"/>
    <w:rsid w:val="00530293"/>
    <w:rsid w:val="0053034E"/>
    <w:rsid w:val="00531370"/>
    <w:rsid w:val="00531443"/>
    <w:rsid w:val="00531B35"/>
    <w:rsid w:val="00531DC2"/>
    <w:rsid w:val="00532BD1"/>
    <w:rsid w:val="00533623"/>
    <w:rsid w:val="00533BCF"/>
    <w:rsid w:val="00533C82"/>
    <w:rsid w:val="005344FC"/>
    <w:rsid w:val="0053463D"/>
    <w:rsid w:val="00535EFA"/>
    <w:rsid w:val="005362DD"/>
    <w:rsid w:val="005368DE"/>
    <w:rsid w:val="005400A2"/>
    <w:rsid w:val="00540A53"/>
    <w:rsid w:val="00541B9C"/>
    <w:rsid w:val="00542C9C"/>
    <w:rsid w:val="0054374C"/>
    <w:rsid w:val="00543A81"/>
    <w:rsid w:val="00544CE1"/>
    <w:rsid w:val="005451A6"/>
    <w:rsid w:val="00546C51"/>
    <w:rsid w:val="00546D09"/>
    <w:rsid w:val="00547395"/>
    <w:rsid w:val="005476FC"/>
    <w:rsid w:val="005479EA"/>
    <w:rsid w:val="00550637"/>
    <w:rsid w:val="00550732"/>
    <w:rsid w:val="0055080E"/>
    <w:rsid w:val="005515E6"/>
    <w:rsid w:val="00551A4D"/>
    <w:rsid w:val="00552339"/>
    <w:rsid w:val="0055290D"/>
    <w:rsid w:val="00552F63"/>
    <w:rsid w:val="00553567"/>
    <w:rsid w:val="005543FF"/>
    <w:rsid w:val="005546DD"/>
    <w:rsid w:val="00555125"/>
    <w:rsid w:val="0055530F"/>
    <w:rsid w:val="00555376"/>
    <w:rsid w:val="00555BEA"/>
    <w:rsid w:val="00556CE5"/>
    <w:rsid w:val="00560D24"/>
    <w:rsid w:val="005613DD"/>
    <w:rsid w:val="00561932"/>
    <w:rsid w:val="00561CE4"/>
    <w:rsid w:val="00562BEB"/>
    <w:rsid w:val="00563935"/>
    <w:rsid w:val="00563B54"/>
    <w:rsid w:val="00565D73"/>
    <w:rsid w:val="00565F64"/>
    <w:rsid w:val="00565F7C"/>
    <w:rsid w:val="0056669E"/>
    <w:rsid w:val="005718F5"/>
    <w:rsid w:val="00571954"/>
    <w:rsid w:val="00572089"/>
    <w:rsid w:val="00574692"/>
    <w:rsid w:val="00574785"/>
    <w:rsid w:val="0057503C"/>
    <w:rsid w:val="00576078"/>
    <w:rsid w:val="00576534"/>
    <w:rsid w:val="00576688"/>
    <w:rsid w:val="005768D1"/>
    <w:rsid w:val="00576910"/>
    <w:rsid w:val="00576CE9"/>
    <w:rsid w:val="00577147"/>
    <w:rsid w:val="00577491"/>
    <w:rsid w:val="0058125D"/>
    <w:rsid w:val="00582D5B"/>
    <w:rsid w:val="00583680"/>
    <w:rsid w:val="005837CE"/>
    <w:rsid w:val="00583F15"/>
    <w:rsid w:val="005846DA"/>
    <w:rsid w:val="0058526D"/>
    <w:rsid w:val="00586CF2"/>
    <w:rsid w:val="00586D7A"/>
    <w:rsid w:val="0058717C"/>
    <w:rsid w:val="005875A5"/>
    <w:rsid w:val="0058798B"/>
    <w:rsid w:val="00587EF8"/>
    <w:rsid w:val="005900AF"/>
    <w:rsid w:val="0059055E"/>
    <w:rsid w:val="0059116B"/>
    <w:rsid w:val="00591A62"/>
    <w:rsid w:val="00591CA1"/>
    <w:rsid w:val="00591EB1"/>
    <w:rsid w:val="00591FE6"/>
    <w:rsid w:val="005925F4"/>
    <w:rsid w:val="00593479"/>
    <w:rsid w:val="00593F20"/>
    <w:rsid w:val="00595D44"/>
    <w:rsid w:val="00596AA7"/>
    <w:rsid w:val="00596C4E"/>
    <w:rsid w:val="005973E2"/>
    <w:rsid w:val="00597749"/>
    <w:rsid w:val="00597E37"/>
    <w:rsid w:val="00597E85"/>
    <w:rsid w:val="00597EAC"/>
    <w:rsid w:val="005A136B"/>
    <w:rsid w:val="005A1B0B"/>
    <w:rsid w:val="005A201D"/>
    <w:rsid w:val="005A2638"/>
    <w:rsid w:val="005A2C2A"/>
    <w:rsid w:val="005A35E0"/>
    <w:rsid w:val="005A43F2"/>
    <w:rsid w:val="005A458D"/>
    <w:rsid w:val="005A4E06"/>
    <w:rsid w:val="005A509E"/>
    <w:rsid w:val="005A51F0"/>
    <w:rsid w:val="005A664A"/>
    <w:rsid w:val="005A66A1"/>
    <w:rsid w:val="005A7418"/>
    <w:rsid w:val="005A7745"/>
    <w:rsid w:val="005B16EF"/>
    <w:rsid w:val="005B1E07"/>
    <w:rsid w:val="005B34DA"/>
    <w:rsid w:val="005B3922"/>
    <w:rsid w:val="005B4361"/>
    <w:rsid w:val="005B447F"/>
    <w:rsid w:val="005B4DAE"/>
    <w:rsid w:val="005B5992"/>
    <w:rsid w:val="005B6340"/>
    <w:rsid w:val="005B6848"/>
    <w:rsid w:val="005B6EF9"/>
    <w:rsid w:val="005B70C4"/>
    <w:rsid w:val="005B7AB8"/>
    <w:rsid w:val="005C0393"/>
    <w:rsid w:val="005C08D3"/>
    <w:rsid w:val="005C0B62"/>
    <w:rsid w:val="005C0DE9"/>
    <w:rsid w:val="005C19D3"/>
    <w:rsid w:val="005C2547"/>
    <w:rsid w:val="005C3531"/>
    <w:rsid w:val="005C4490"/>
    <w:rsid w:val="005C512D"/>
    <w:rsid w:val="005C53F4"/>
    <w:rsid w:val="005C5D45"/>
    <w:rsid w:val="005C6753"/>
    <w:rsid w:val="005C68B5"/>
    <w:rsid w:val="005C6A2A"/>
    <w:rsid w:val="005C6BF7"/>
    <w:rsid w:val="005C6F7A"/>
    <w:rsid w:val="005C7AA4"/>
    <w:rsid w:val="005C7F8D"/>
    <w:rsid w:val="005D0689"/>
    <w:rsid w:val="005D11BA"/>
    <w:rsid w:val="005D121B"/>
    <w:rsid w:val="005D196E"/>
    <w:rsid w:val="005D1CE3"/>
    <w:rsid w:val="005D24F5"/>
    <w:rsid w:val="005D260C"/>
    <w:rsid w:val="005D3073"/>
    <w:rsid w:val="005D3598"/>
    <w:rsid w:val="005D4161"/>
    <w:rsid w:val="005D448D"/>
    <w:rsid w:val="005D47E1"/>
    <w:rsid w:val="005D52B9"/>
    <w:rsid w:val="005D55BC"/>
    <w:rsid w:val="005D5D42"/>
    <w:rsid w:val="005D5DB7"/>
    <w:rsid w:val="005D668E"/>
    <w:rsid w:val="005D7136"/>
    <w:rsid w:val="005D7FEF"/>
    <w:rsid w:val="005E0D54"/>
    <w:rsid w:val="005E0F22"/>
    <w:rsid w:val="005E1CB0"/>
    <w:rsid w:val="005E2062"/>
    <w:rsid w:val="005E2B27"/>
    <w:rsid w:val="005E3478"/>
    <w:rsid w:val="005E3805"/>
    <w:rsid w:val="005E391F"/>
    <w:rsid w:val="005E39CD"/>
    <w:rsid w:val="005E3E2C"/>
    <w:rsid w:val="005E4B70"/>
    <w:rsid w:val="005E4B7C"/>
    <w:rsid w:val="005E528A"/>
    <w:rsid w:val="005E53A9"/>
    <w:rsid w:val="005E5FE8"/>
    <w:rsid w:val="005E67DB"/>
    <w:rsid w:val="005E6E41"/>
    <w:rsid w:val="005F04F3"/>
    <w:rsid w:val="005F09E0"/>
    <w:rsid w:val="005F0FD5"/>
    <w:rsid w:val="005F1786"/>
    <w:rsid w:val="005F3523"/>
    <w:rsid w:val="005F3FD8"/>
    <w:rsid w:val="005F4926"/>
    <w:rsid w:val="005F4D20"/>
    <w:rsid w:val="005F514B"/>
    <w:rsid w:val="005F5535"/>
    <w:rsid w:val="005F5AF0"/>
    <w:rsid w:val="005F6FC1"/>
    <w:rsid w:val="00600194"/>
    <w:rsid w:val="00600A30"/>
    <w:rsid w:val="00601325"/>
    <w:rsid w:val="00601B2E"/>
    <w:rsid w:val="00601B6C"/>
    <w:rsid w:val="00602004"/>
    <w:rsid w:val="00602782"/>
    <w:rsid w:val="006027A4"/>
    <w:rsid w:val="006029B2"/>
    <w:rsid w:val="00602CC3"/>
    <w:rsid w:val="00602F41"/>
    <w:rsid w:val="00603281"/>
    <w:rsid w:val="00603A7C"/>
    <w:rsid w:val="00603CBA"/>
    <w:rsid w:val="006040FD"/>
    <w:rsid w:val="0060419A"/>
    <w:rsid w:val="0060468A"/>
    <w:rsid w:val="00604DAB"/>
    <w:rsid w:val="006060D7"/>
    <w:rsid w:val="00606BDD"/>
    <w:rsid w:val="00606D84"/>
    <w:rsid w:val="00607219"/>
    <w:rsid w:val="00610671"/>
    <w:rsid w:val="006109ED"/>
    <w:rsid w:val="006110EC"/>
    <w:rsid w:val="00611CB0"/>
    <w:rsid w:val="00611FD5"/>
    <w:rsid w:val="006120B9"/>
    <w:rsid w:val="006125F2"/>
    <w:rsid w:val="00612CB2"/>
    <w:rsid w:val="006156B8"/>
    <w:rsid w:val="006158F4"/>
    <w:rsid w:val="00615D3F"/>
    <w:rsid w:val="00615D72"/>
    <w:rsid w:val="00616052"/>
    <w:rsid w:val="00617785"/>
    <w:rsid w:val="00621254"/>
    <w:rsid w:val="00621379"/>
    <w:rsid w:val="00621532"/>
    <w:rsid w:val="00621679"/>
    <w:rsid w:val="006234E0"/>
    <w:rsid w:val="0062390D"/>
    <w:rsid w:val="00623A18"/>
    <w:rsid w:val="00624458"/>
    <w:rsid w:val="00624FA7"/>
    <w:rsid w:val="00626338"/>
    <w:rsid w:val="006263B2"/>
    <w:rsid w:val="00626C50"/>
    <w:rsid w:val="00626D7E"/>
    <w:rsid w:val="00626E58"/>
    <w:rsid w:val="00627100"/>
    <w:rsid w:val="00627409"/>
    <w:rsid w:val="00627C51"/>
    <w:rsid w:val="006304CC"/>
    <w:rsid w:val="00630A18"/>
    <w:rsid w:val="006328B3"/>
    <w:rsid w:val="00632F53"/>
    <w:rsid w:val="00634222"/>
    <w:rsid w:val="006348E9"/>
    <w:rsid w:val="0063492C"/>
    <w:rsid w:val="00634ED9"/>
    <w:rsid w:val="00634F50"/>
    <w:rsid w:val="006375EF"/>
    <w:rsid w:val="006403F1"/>
    <w:rsid w:val="00640BB7"/>
    <w:rsid w:val="00640DBF"/>
    <w:rsid w:val="006415D1"/>
    <w:rsid w:val="0064169C"/>
    <w:rsid w:val="006416DA"/>
    <w:rsid w:val="006418D9"/>
    <w:rsid w:val="00642732"/>
    <w:rsid w:val="00642DDB"/>
    <w:rsid w:val="0064317F"/>
    <w:rsid w:val="006435E4"/>
    <w:rsid w:val="00643CA2"/>
    <w:rsid w:val="00645FE2"/>
    <w:rsid w:val="00646AF2"/>
    <w:rsid w:val="00647F6C"/>
    <w:rsid w:val="006504EC"/>
    <w:rsid w:val="00650E10"/>
    <w:rsid w:val="006515F1"/>
    <w:rsid w:val="00651B56"/>
    <w:rsid w:val="006528F8"/>
    <w:rsid w:val="00652BEF"/>
    <w:rsid w:val="00653156"/>
    <w:rsid w:val="00653CE4"/>
    <w:rsid w:val="006544CF"/>
    <w:rsid w:val="00654A5D"/>
    <w:rsid w:val="00654C5E"/>
    <w:rsid w:val="006550B8"/>
    <w:rsid w:val="006562D5"/>
    <w:rsid w:val="006566E8"/>
    <w:rsid w:val="006567CA"/>
    <w:rsid w:val="006568C5"/>
    <w:rsid w:val="006573AD"/>
    <w:rsid w:val="00657899"/>
    <w:rsid w:val="006602D4"/>
    <w:rsid w:val="0066031A"/>
    <w:rsid w:val="00660ED4"/>
    <w:rsid w:val="00661C60"/>
    <w:rsid w:val="00663578"/>
    <w:rsid w:val="00663663"/>
    <w:rsid w:val="006639C7"/>
    <w:rsid w:val="00663CD4"/>
    <w:rsid w:val="00663FAA"/>
    <w:rsid w:val="00663FF5"/>
    <w:rsid w:val="00664324"/>
    <w:rsid w:val="00664F1A"/>
    <w:rsid w:val="006650F8"/>
    <w:rsid w:val="0066563D"/>
    <w:rsid w:val="0066589D"/>
    <w:rsid w:val="00665D19"/>
    <w:rsid w:val="00666109"/>
    <w:rsid w:val="006662E9"/>
    <w:rsid w:val="00666912"/>
    <w:rsid w:val="00666B79"/>
    <w:rsid w:val="006673C4"/>
    <w:rsid w:val="00667A25"/>
    <w:rsid w:val="00670805"/>
    <w:rsid w:val="00671953"/>
    <w:rsid w:val="00672059"/>
    <w:rsid w:val="006720D3"/>
    <w:rsid w:val="00672BEB"/>
    <w:rsid w:val="00673A37"/>
    <w:rsid w:val="00675263"/>
    <w:rsid w:val="006752F0"/>
    <w:rsid w:val="00675542"/>
    <w:rsid w:val="00675A96"/>
    <w:rsid w:val="00675C3A"/>
    <w:rsid w:val="00676091"/>
    <w:rsid w:val="00676DE0"/>
    <w:rsid w:val="006773E7"/>
    <w:rsid w:val="006778F6"/>
    <w:rsid w:val="00677B47"/>
    <w:rsid w:val="00680396"/>
    <w:rsid w:val="00680621"/>
    <w:rsid w:val="00680E87"/>
    <w:rsid w:val="00681351"/>
    <w:rsid w:val="0068149B"/>
    <w:rsid w:val="00681842"/>
    <w:rsid w:val="006819AF"/>
    <w:rsid w:val="00682FA4"/>
    <w:rsid w:val="00683CAF"/>
    <w:rsid w:val="00684591"/>
    <w:rsid w:val="00684BFA"/>
    <w:rsid w:val="0068540A"/>
    <w:rsid w:val="00685579"/>
    <w:rsid w:val="006857CE"/>
    <w:rsid w:val="00686457"/>
    <w:rsid w:val="00686A37"/>
    <w:rsid w:val="00687145"/>
    <w:rsid w:val="00687172"/>
    <w:rsid w:val="006875B3"/>
    <w:rsid w:val="00687BDB"/>
    <w:rsid w:val="00687E38"/>
    <w:rsid w:val="00690CF0"/>
    <w:rsid w:val="00690D6C"/>
    <w:rsid w:val="006912B3"/>
    <w:rsid w:val="0069141B"/>
    <w:rsid w:val="00692978"/>
    <w:rsid w:val="00694640"/>
    <w:rsid w:val="0069491F"/>
    <w:rsid w:val="00694BF6"/>
    <w:rsid w:val="00694D25"/>
    <w:rsid w:val="00695680"/>
    <w:rsid w:val="006965CE"/>
    <w:rsid w:val="00697714"/>
    <w:rsid w:val="006978CA"/>
    <w:rsid w:val="00697A2E"/>
    <w:rsid w:val="006A0C5D"/>
    <w:rsid w:val="006A0F7B"/>
    <w:rsid w:val="006A20A5"/>
    <w:rsid w:val="006A2AED"/>
    <w:rsid w:val="006A33E6"/>
    <w:rsid w:val="006A39BF"/>
    <w:rsid w:val="006A3C27"/>
    <w:rsid w:val="006A3E77"/>
    <w:rsid w:val="006A3EB9"/>
    <w:rsid w:val="006A3ECA"/>
    <w:rsid w:val="006A4358"/>
    <w:rsid w:val="006A4605"/>
    <w:rsid w:val="006A52B8"/>
    <w:rsid w:val="006A55A9"/>
    <w:rsid w:val="006A6178"/>
    <w:rsid w:val="006A6C83"/>
    <w:rsid w:val="006A6D8D"/>
    <w:rsid w:val="006A7504"/>
    <w:rsid w:val="006A7615"/>
    <w:rsid w:val="006A7A3D"/>
    <w:rsid w:val="006A7AF5"/>
    <w:rsid w:val="006B0C9E"/>
    <w:rsid w:val="006B13AA"/>
    <w:rsid w:val="006B1E06"/>
    <w:rsid w:val="006B47FC"/>
    <w:rsid w:val="006B5233"/>
    <w:rsid w:val="006B54FD"/>
    <w:rsid w:val="006B5582"/>
    <w:rsid w:val="006B5A93"/>
    <w:rsid w:val="006B5EED"/>
    <w:rsid w:val="006B605B"/>
    <w:rsid w:val="006B7449"/>
    <w:rsid w:val="006B7CAC"/>
    <w:rsid w:val="006B7E1B"/>
    <w:rsid w:val="006C0FD4"/>
    <w:rsid w:val="006C106A"/>
    <w:rsid w:val="006C18BD"/>
    <w:rsid w:val="006C2496"/>
    <w:rsid w:val="006C270D"/>
    <w:rsid w:val="006C3465"/>
    <w:rsid w:val="006C367B"/>
    <w:rsid w:val="006C38BA"/>
    <w:rsid w:val="006C4196"/>
    <w:rsid w:val="006C4492"/>
    <w:rsid w:val="006C4B9E"/>
    <w:rsid w:val="006C5491"/>
    <w:rsid w:val="006C6387"/>
    <w:rsid w:val="006C6B28"/>
    <w:rsid w:val="006C71A6"/>
    <w:rsid w:val="006C73DA"/>
    <w:rsid w:val="006C784B"/>
    <w:rsid w:val="006C79E3"/>
    <w:rsid w:val="006C7D99"/>
    <w:rsid w:val="006D1F55"/>
    <w:rsid w:val="006D3810"/>
    <w:rsid w:val="006D39A7"/>
    <w:rsid w:val="006D4EEB"/>
    <w:rsid w:val="006D54DE"/>
    <w:rsid w:val="006D55A4"/>
    <w:rsid w:val="006D5F7D"/>
    <w:rsid w:val="006D62D7"/>
    <w:rsid w:val="006D712B"/>
    <w:rsid w:val="006E0896"/>
    <w:rsid w:val="006E0B7D"/>
    <w:rsid w:val="006E1624"/>
    <w:rsid w:val="006E3A0B"/>
    <w:rsid w:val="006E3FCA"/>
    <w:rsid w:val="006E422C"/>
    <w:rsid w:val="006E565C"/>
    <w:rsid w:val="006E5881"/>
    <w:rsid w:val="006E6751"/>
    <w:rsid w:val="006E6ADE"/>
    <w:rsid w:val="006E70B3"/>
    <w:rsid w:val="006E737F"/>
    <w:rsid w:val="006E7A32"/>
    <w:rsid w:val="006E7A3C"/>
    <w:rsid w:val="006F0F5A"/>
    <w:rsid w:val="006F133F"/>
    <w:rsid w:val="006F31EC"/>
    <w:rsid w:val="006F32BF"/>
    <w:rsid w:val="006F36F7"/>
    <w:rsid w:val="006F3CCC"/>
    <w:rsid w:val="006F4221"/>
    <w:rsid w:val="006F42E0"/>
    <w:rsid w:val="006F748A"/>
    <w:rsid w:val="006F79A4"/>
    <w:rsid w:val="00700A50"/>
    <w:rsid w:val="007014D9"/>
    <w:rsid w:val="00701FAC"/>
    <w:rsid w:val="00702A0C"/>
    <w:rsid w:val="00702DA2"/>
    <w:rsid w:val="00703952"/>
    <w:rsid w:val="00704A81"/>
    <w:rsid w:val="007054DA"/>
    <w:rsid w:val="00705F50"/>
    <w:rsid w:val="00707318"/>
    <w:rsid w:val="0070798F"/>
    <w:rsid w:val="00707E86"/>
    <w:rsid w:val="00710352"/>
    <w:rsid w:val="007108DF"/>
    <w:rsid w:val="00710A1F"/>
    <w:rsid w:val="00711033"/>
    <w:rsid w:val="00711042"/>
    <w:rsid w:val="007116B6"/>
    <w:rsid w:val="007116F1"/>
    <w:rsid w:val="00713004"/>
    <w:rsid w:val="00713CD4"/>
    <w:rsid w:val="00713ED6"/>
    <w:rsid w:val="00714507"/>
    <w:rsid w:val="00714B14"/>
    <w:rsid w:val="00715D6A"/>
    <w:rsid w:val="00715E5E"/>
    <w:rsid w:val="007162F1"/>
    <w:rsid w:val="00716680"/>
    <w:rsid w:val="00716877"/>
    <w:rsid w:val="00716AB7"/>
    <w:rsid w:val="00716D67"/>
    <w:rsid w:val="00717AE8"/>
    <w:rsid w:val="00717C51"/>
    <w:rsid w:val="00717C59"/>
    <w:rsid w:val="00720055"/>
    <w:rsid w:val="0072023E"/>
    <w:rsid w:val="00720780"/>
    <w:rsid w:val="00720FA5"/>
    <w:rsid w:val="00721AAC"/>
    <w:rsid w:val="00721BBD"/>
    <w:rsid w:val="00722E29"/>
    <w:rsid w:val="007236F8"/>
    <w:rsid w:val="00723994"/>
    <w:rsid w:val="007241A3"/>
    <w:rsid w:val="0072452D"/>
    <w:rsid w:val="0072557B"/>
    <w:rsid w:val="007301CA"/>
    <w:rsid w:val="00730485"/>
    <w:rsid w:val="0073099A"/>
    <w:rsid w:val="00731B29"/>
    <w:rsid w:val="00733308"/>
    <w:rsid w:val="007356F7"/>
    <w:rsid w:val="00735D0C"/>
    <w:rsid w:val="00735FF9"/>
    <w:rsid w:val="007361A8"/>
    <w:rsid w:val="00736894"/>
    <w:rsid w:val="00736944"/>
    <w:rsid w:val="0073737F"/>
    <w:rsid w:val="007376B1"/>
    <w:rsid w:val="00737C93"/>
    <w:rsid w:val="00740DC1"/>
    <w:rsid w:val="0074229B"/>
    <w:rsid w:val="00742CC6"/>
    <w:rsid w:val="007430AA"/>
    <w:rsid w:val="007443B2"/>
    <w:rsid w:val="00744F4C"/>
    <w:rsid w:val="00744FFF"/>
    <w:rsid w:val="0074594B"/>
    <w:rsid w:val="00745F66"/>
    <w:rsid w:val="007462F6"/>
    <w:rsid w:val="007466B0"/>
    <w:rsid w:val="007510B0"/>
    <w:rsid w:val="007512BE"/>
    <w:rsid w:val="00753165"/>
    <w:rsid w:val="00753334"/>
    <w:rsid w:val="00753CB7"/>
    <w:rsid w:val="00753D97"/>
    <w:rsid w:val="007542F6"/>
    <w:rsid w:val="007545FA"/>
    <w:rsid w:val="0075638D"/>
    <w:rsid w:val="00756E68"/>
    <w:rsid w:val="00757505"/>
    <w:rsid w:val="00757597"/>
    <w:rsid w:val="0075795A"/>
    <w:rsid w:val="00760DAB"/>
    <w:rsid w:val="007621A6"/>
    <w:rsid w:val="007621FC"/>
    <w:rsid w:val="007669AB"/>
    <w:rsid w:val="007670EA"/>
    <w:rsid w:val="00767BF8"/>
    <w:rsid w:val="00771BF1"/>
    <w:rsid w:val="007743F6"/>
    <w:rsid w:val="00774631"/>
    <w:rsid w:val="00774CDC"/>
    <w:rsid w:val="00776408"/>
    <w:rsid w:val="00776DD8"/>
    <w:rsid w:val="0077719B"/>
    <w:rsid w:val="007777C9"/>
    <w:rsid w:val="00780DAB"/>
    <w:rsid w:val="00782159"/>
    <w:rsid w:val="00782B96"/>
    <w:rsid w:val="00782C54"/>
    <w:rsid w:val="00782E17"/>
    <w:rsid w:val="0078381E"/>
    <w:rsid w:val="007842CA"/>
    <w:rsid w:val="00784738"/>
    <w:rsid w:val="00785F5F"/>
    <w:rsid w:val="00786134"/>
    <w:rsid w:val="00786D1A"/>
    <w:rsid w:val="00786F6E"/>
    <w:rsid w:val="007901AD"/>
    <w:rsid w:val="00791ACD"/>
    <w:rsid w:val="00791EB0"/>
    <w:rsid w:val="00791F39"/>
    <w:rsid w:val="00792A6F"/>
    <w:rsid w:val="007930EE"/>
    <w:rsid w:val="007936F2"/>
    <w:rsid w:val="00793724"/>
    <w:rsid w:val="00793C8E"/>
    <w:rsid w:val="0079453C"/>
    <w:rsid w:val="00794758"/>
    <w:rsid w:val="00794A7D"/>
    <w:rsid w:val="007955D0"/>
    <w:rsid w:val="00795A8B"/>
    <w:rsid w:val="007961AA"/>
    <w:rsid w:val="007977CA"/>
    <w:rsid w:val="00797880"/>
    <w:rsid w:val="00797F5A"/>
    <w:rsid w:val="007A013F"/>
    <w:rsid w:val="007A146C"/>
    <w:rsid w:val="007A147B"/>
    <w:rsid w:val="007A2106"/>
    <w:rsid w:val="007A247F"/>
    <w:rsid w:val="007A2D1B"/>
    <w:rsid w:val="007A2D64"/>
    <w:rsid w:val="007A3F6E"/>
    <w:rsid w:val="007A464E"/>
    <w:rsid w:val="007A50D0"/>
    <w:rsid w:val="007A5F4C"/>
    <w:rsid w:val="007A6F32"/>
    <w:rsid w:val="007A79E0"/>
    <w:rsid w:val="007A7E92"/>
    <w:rsid w:val="007B019A"/>
    <w:rsid w:val="007B03F6"/>
    <w:rsid w:val="007B1052"/>
    <w:rsid w:val="007B1417"/>
    <w:rsid w:val="007B16F6"/>
    <w:rsid w:val="007B1ABB"/>
    <w:rsid w:val="007B25CD"/>
    <w:rsid w:val="007B27FF"/>
    <w:rsid w:val="007B2CAB"/>
    <w:rsid w:val="007B3370"/>
    <w:rsid w:val="007B34FE"/>
    <w:rsid w:val="007B4670"/>
    <w:rsid w:val="007B608B"/>
    <w:rsid w:val="007B722D"/>
    <w:rsid w:val="007B743D"/>
    <w:rsid w:val="007B7ED8"/>
    <w:rsid w:val="007C06B1"/>
    <w:rsid w:val="007C1647"/>
    <w:rsid w:val="007C1E42"/>
    <w:rsid w:val="007C2385"/>
    <w:rsid w:val="007C3112"/>
    <w:rsid w:val="007C518E"/>
    <w:rsid w:val="007C6296"/>
    <w:rsid w:val="007C639A"/>
    <w:rsid w:val="007D08AF"/>
    <w:rsid w:val="007D08C6"/>
    <w:rsid w:val="007D0B5D"/>
    <w:rsid w:val="007D0E28"/>
    <w:rsid w:val="007D1A26"/>
    <w:rsid w:val="007D21EE"/>
    <w:rsid w:val="007D22FE"/>
    <w:rsid w:val="007D2EAB"/>
    <w:rsid w:val="007D321F"/>
    <w:rsid w:val="007D34BD"/>
    <w:rsid w:val="007D4559"/>
    <w:rsid w:val="007D4D5A"/>
    <w:rsid w:val="007D5845"/>
    <w:rsid w:val="007D5F2F"/>
    <w:rsid w:val="007D659D"/>
    <w:rsid w:val="007D67ED"/>
    <w:rsid w:val="007D6863"/>
    <w:rsid w:val="007E0773"/>
    <w:rsid w:val="007E1324"/>
    <w:rsid w:val="007E1603"/>
    <w:rsid w:val="007E26A8"/>
    <w:rsid w:val="007E2AF2"/>
    <w:rsid w:val="007E300A"/>
    <w:rsid w:val="007E55E3"/>
    <w:rsid w:val="007E5F25"/>
    <w:rsid w:val="007E6032"/>
    <w:rsid w:val="007E67D9"/>
    <w:rsid w:val="007E747B"/>
    <w:rsid w:val="007E7754"/>
    <w:rsid w:val="007E7D84"/>
    <w:rsid w:val="007F00AA"/>
    <w:rsid w:val="007F0243"/>
    <w:rsid w:val="007F19EC"/>
    <w:rsid w:val="007F1EF2"/>
    <w:rsid w:val="007F256B"/>
    <w:rsid w:val="007F2D69"/>
    <w:rsid w:val="007F3A12"/>
    <w:rsid w:val="007F3E57"/>
    <w:rsid w:val="007F4895"/>
    <w:rsid w:val="007F4B12"/>
    <w:rsid w:val="007F5030"/>
    <w:rsid w:val="007F677B"/>
    <w:rsid w:val="007F7157"/>
    <w:rsid w:val="007F755F"/>
    <w:rsid w:val="00800194"/>
    <w:rsid w:val="008007F3"/>
    <w:rsid w:val="00800804"/>
    <w:rsid w:val="00801057"/>
    <w:rsid w:val="00801B9B"/>
    <w:rsid w:val="00802D52"/>
    <w:rsid w:val="00803609"/>
    <w:rsid w:val="008037A6"/>
    <w:rsid w:val="00804986"/>
    <w:rsid w:val="00804BB8"/>
    <w:rsid w:val="00804D50"/>
    <w:rsid w:val="00805409"/>
    <w:rsid w:val="00805537"/>
    <w:rsid w:val="00805550"/>
    <w:rsid w:val="00805583"/>
    <w:rsid w:val="00806005"/>
    <w:rsid w:val="0080632A"/>
    <w:rsid w:val="00806502"/>
    <w:rsid w:val="008071C3"/>
    <w:rsid w:val="00807C26"/>
    <w:rsid w:val="00811F52"/>
    <w:rsid w:val="00812108"/>
    <w:rsid w:val="008123DA"/>
    <w:rsid w:val="00813376"/>
    <w:rsid w:val="008133E3"/>
    <w:rsid w:val="00813C68"/>
    <w:rsid w:val="00814DC4"/>
    <w:rsid w:val="0081509B"/>
    <w:rsid w:val="00815175"/>
    <w:rsid w:val="00815D47"/>
    <w:rsid w:val="00816546"/>
    <w:rsid w:val="00820AD7"/>
    <w:rsid w:val="00820C08"/>
    <w:rsid w:val="00823C9C"/>
    <w:rsid w:val="0082445F"/>
    <w:rsid w:val="00824917"/>
    <w:rsid w:val="008250BD"/>
    <w:rsid w:val="008256E3"/>
    <w:rsid w:val="00827039"/>
    <w:rsid w:val="00827A93"/>
    <w:rsid w:val="00827DEA"/>
    <w:rsid w:val="00827F35"/>
    <w:rsid w:val="008303F9"/>
    <w:rsid w:val="008311C6"/>
    <w:rsid w:val="00831434"/>
    <w:rsid w:val="00831B47"/>
    <w:rsid w:val="0083239E"/>
    <w:rsid w:val="00832A58"/>
    <w:rsid w:val="008331AA"/>
    <w:rsid w:val="0083354A"/>
    <w:rsid w:val="00833BE5"/>
    <w:rsid w:val="008347E2"/>
    <w:rsid w:val="00834B47"/>
    <w:rsid w:val="0083690E"/>
    <w:rsid w:val="00836EAB"/>
    <w:rsid w:val="008375D7"/>
    <w:rsid w:val="008375E5"/>
    <w:rsid w:val="0084056F"/>
    <w:rsid w:val="0084059A"/>
    <w:rsid w:val="00841C59"/>
    <w:rsid w:val="00842222"/>
    <w:rsid w:val="00842AA6"/>
    <w:rsid w:val="00842C7C"/>
    <w:rsid w:val="00843702"/>
    <w:rsid w:val="008442D1"/>
    <w:rsid w:val="00844C47"/>
    <w:rsid w:val="00844C5E"/>
    <w:rsid w:val="00845FEC"/>
    <w:rsid w:val="008469CA"/>
    <w:rsid w:val="00846A56"/>
    <w:rsid w:val="00847741"/>
    <w:rsid w:val="00850937"/>
    <w:rsid w:val="00850B9A"/>
    <w:rsid w:val="00850D8A"/>
    <w:rsid w:val="00851116"/>
    <w:rsid w:val="008515E1"/>
    <w:rsid w:val="00851FB5"/>
    <w:rsid w:val="00852BFD"/>
    <w:rsid w:val="00852F94"/>
    <w:rsid w:val="00853820"/>
    <w:rsid w:val="0085458C"/>
    <w:rsid w:val="00854695"/>
    <w:rsid w:val="0085483F"/>
    <w:rsid w:val="00854DCB"/>
    <w:rsid w:val="008554D6"/>
    <w:rsid w:val="00855E13"/>
    <w:rsid w:val="00856D29"/>
    <w:rsid w:val="00860188"/>
    <w:rsid w:val="008606CD"/>
    <w:rsid w:val="00862C5E"/>
    <w:rsid w:val="008634BF"/>
    <w:rsid w:val="008638BA"/>
    <w:rsid w:val="0086433F"/>
    <w:rsid w:val="00865297"/>
    <w:rsid w:val="008657A7"/>
    <w:rsid w:val="00865CE4"/>
    <w:rsid w:val="00866E7E"/>
    <w:rsid w:val="0087014B"/>
    <w:rsid w:val="008701C9"/>
    <w:rsid w:val="0087082C"/>
    <w:rsid w:val="00871656"/>
    <w:rsid w:val="00871B44"/>
    <w:rsid w:val="00872CCB"/>
    <w:rsid w:val="00872E71"/>
    <w:rsid w:val="00873CA0"/>
    <w:rsid w:val="00874AC5"/>
    <w:rsid w:val="00875E0F"/>
    <w:rsid w:val="00877522"/>
    <w:rsid w:val="008778AD"/>
    <w:rsid w:val="0087791C"/>
    <w:rsid w:val="00881285"/>
    <w:rsid w:val="00881CE4"/>
    <w:rsid w:val="00882042"/>
    <w:rsid w:val="00882534"/>
    <w:rsid w:val="00882862"/>
    <w:rsid w:val="00883624"/>
    <w:rsid w:val="00883913"/>
    <w:rsid w:val="00883F59"/>
    <w:rsid w:val="00883FF6"/>
    <w:rsid w:val="008840DF"/>
    <w:rsid w:val="0088548C"/>
    <w:rsid w:val="008858BB"/>
    <w:rsid w:val="008874BF"/>
    <w:rsid w:val="00887875"/>
    <w:rsid w:val="00887DFC"/>
    <w:rsid w:val="0089208C"/>
    <w:rsid w:val="008921C3"/>
    <w:rsid w:val="0089292F"/>
    <w:rsid w:val="008931AA"/>
    <w:rsid w:val="00893401"/>
    <w:rsid w:val="00894246"/>
    <w:rsid w:val="008943F3"/>
    <w:rsid w:val="00896061"/>
    <w:rsid w:val="00896AAF"/>
    <w:rsid w:val="00897915"/>
    <w:rsid w:val="008A00A5"/>
    <w:rsid w:val="008A0212"/>
    <w:rsid w:val="008A0937"/>
    <w:rsid w:val="008A157D"/>
    <w:rsid w:val="008A1F26"/>
    <w:rsid w:val="008A2245"/>
    <w:rsid w:val="008A4214"/>
    <w:rsid w:val="008A4787"/>
    <w:rsid w:val="008A4932"/>
    <w:rsid w:val="008A5432"/>
    <w:rsid w:val="008A54D0"/>
    <w:rsid w:val="008A656E"/>
    <w:rsid w:val="008A6584"/>
    <w:rsid w:val="008A6FD2"/>
    <w:rsid w:val="008A79D2"/>
    <w:rsid w:val="008A7B4D"/>
    <w:rsid w:val="008B0567"/>
    <w:rsid w:val="008B2BA2"/>
    <w:rsid w:val="008B35A3"/>
    <w:rsid w:val="008B4F3E"/>
    <w:rsid w:val="008B4FDA"/>
    <w:rsid w:val="008B54D4"/>
    <w:rsid w:val="008B55E3"/>
    <w:rsid w:val="008B5DBB"/>
    <w:rsid w:val="008B627B"/>
    <w:rsid w:val="008B6916"/>
    <w:rsid w:val="008B699B"/>
    <w:rsid w:val="008B7119"/>
    <w:rsid w:val="008B7C5A"/>
    <w:rsid w:val="008C0258"/>
    <w:rsid w:val="008C0C7A"/>
    <w:rsid w:val="008C1816"/>
    <w:rsid w:val="008C2FC1"/>
    <w:rsid w:val="008C3469"/>
    <w:rsid w:val="008C4424"/>
    <w:rsid w:val="008C4C41"/>
    <w:rsid w:val="008C4DB4"/>
    <w:rsid w:val="008C558A"/>
    <w:rsid w:val="008C63F0"/>
    <w:rsid w:val="008C6543"/>
    <w:rsid w:val="008C6F63"/>
    <w:rsid w:val="008C76D1"/>
    <w:rsid w:val="008C7BF5"/>
    <w:rsid w:val="008D019A"/>
    <w:rsid w:val="008D02D1"/>
    <w:rsid w:val="008D1989"/>
    <w:rsid w:val="008D2270"/>
    <w:rsid w:val="008D269D"/>
    <w:rsid w:val="008D2A38"/>
    <w:rsid w:val="008D2F22"/>
    <w:rsid w:val="008D3214"/>
    <w:rsid w:val="008D4491"/>
    <w:rsid w:val="008D46A1"/>
    <w:rsid w:val="008D669B"/>
    <w:rsid w:val="008D69F5"/>
    <w:rsid w:val="008D7113"/>
    <w:rsid w:val="008D7DB6"/>
    <w:rsid w:val="008E08C2"/>
    <w:rsid w:val="008E1572"/>
    <w:rsid w:val="008E1813"/>
    <w:rsid w:val="008E1AFA"/>
    <w:rsid w:val="008E2138"/>
    <w:rsid w:val="008E2CFA"/>
    <w:rsid w:val="008E2DCF"/>
    <w:rsid w:val="008E31FC"/>
    <w:rsid w:val="008E33A1"/>
    <w:rsid w:val="008E347D"/>
    <w:rsid w:val="008E4BDE"/>
    <w:rsid w:val="008E5931"/>
    <w:rsid w:val="008E5D47"/>
    <w:rsid w:val="008E70DF"/>
    <w:rsid w:val="008E7208"/>
    <w:rsid w:val="008E740D"/>
    <w:rsid w:val="008E75F8"/>
    <w:rsid w:val="008E7C38"/>
    <w:rsid w:val="008F0045"/>
    <w:rsid w:val="008F023E"/>
    <w:rsid w:val="008F153D"/>
    <w:rsid w:val="008F1998"/>
    <w:rsid w:val="008F30A0"/>
    <w:rsid w:val="008F41E6"/>
    <w:rsid w:val="008F4617"/>
    <w:rsid w:val="008F517E"/>
    <w:rsid w:val="008F5A40"/>
    <w:rsid w:val="008F5EC0"/>
    <w:rsid w:val="008F6FF1"/>
    <w:rsid w:val="008F75E6"/>
    <w:rsid w:val="009003C5"/>
    <w:rsid w:val="0090055F"/>
    <w:rsid w:val="009007F0"/>
    <w:rsid w:val="00901CC0"/>
    <w:rsid w:val="00901F8E"/>
    <w:rsid w:val="00902009"/>
    <w:rsid w:val="00902319"/>
    <w:rsid w:val="00903F02"/>
    <w:rsid w:val="0090449A"/>
    <w:rsid w:val="009053B2"/>
    <w:rsid w:val="00905566"/>
    <w:rsid w:val="00905D88"/>
    <w:rsid w:val="00906F98"/>
    <w:rsid w:val="009070B4"/>
    <w:rsid w:val="0091125E"/>
    <w:rsid w:val="00911E70"/>
    <w:rsid w:val="0091268E"/>
    <w:rsid w:val="00912DA2"/>
    <w:rsid w:val="0091419F"/>
    <w:rsid w:val="009153F3"/>
    <w:rsid w:val="00915AA0"/>
    <w:rsid w:val="009161D0"/>
    <w:rsid w:val="00916412"/>
    <w:rsid w:val="00917428"/>
    <w:rsid w:val="009176FB"/>
    <w:rsid w:val="009177AC"/>
    <w:rsid w:val="00917B62"/>
    <w:rsid w:val="0092038A"/>
    <w:rsid w:val="009212E8"/>
    <w:rsid w:val="00921ADB"/>
    <w:rsid w:val="00922DD1"/>
    <w:rsid w:val="0092301C"/>
    <w:rsid w:val="009230C9"/>
    <w:rsid w:val="009234BB"/>
    <w:rsid w:val="00923D4C"/>
    <w:rsid w:val="00925777"/>
    <w:rsid w:val="0092689C"/>
    <w:rsid w:val="0092726C"/>
    <w:rsid w:val="00931B3F"/>
    <w:rsid w:val="00933E6E"/>
    <w:rsid w:val="009353D9"/>
    <w:rsid w:val="00935E48"/>
    <w:rsid w:val="00936430"/>
    <w:rsid w:val="009415E5"/>
    <w:rsid w:val="00941806"/>
    <w:rsid w:val="00941875"/>
    <w:rsid w:val="00942037"/>
    <w:rsid w:val="009420B9"/>
    <w:rsid w:val="009421B2"/>
    <w:rsid w:val="0094290F"/>
    <w:rsid w:val="009429F2"/>
    <w:rsid w:val="00942F59"/>
    <w:rsid w:val="00943436"/>
    <w:rsid w:val="00943BFA"/>
    <w:rsid w:val="00944A05"/>
    <w:rsid w:val="00945825"/>
    <w:rsid w:val="0094658E"/>
    <w:rsid w:val="00946818"/>
    <w:rsid w:val="00946B57"/>
    <w:rsid w:val="009472A3"/>
    <w:rsid w:val="009477B3"/>
    <w:rsid w:val="009478CB"/>
    <w:rsid w:val="009513DA"/>
    <w:rsid w:val="00952B17"/>
    <w:rsid w:val="00954626"/>
    <w:rsid w:val="009548FB"/>
    <w:rsid w:val="00956646"/>
    <w:rsid w:val="00956719"/>
    <w:rsid w:val="009567E8"/>
    <w:rsid w:val="00956810"/>
    <w:rsid w:val="00956D18"/>
    <w:rsid w:val="0096294B"/>
    <w:rsid w:val="0096303B"/>
    <w:rsid w:val="0096326C"/>
    <w:rsid w:val="00963996"/>
    <w:rsid w:val="00963BF7"/>
    <w:rsid w:val="009648C5"/>
    <w:rsid w:val="00964C97"/>
    <w:rsid w:val="00966018"/>
    <w:rsid w:val="00966793"/>
    <w:rsid w:val="00966F16"/>
    <w:rsid w:val="00967BF7"/>
    <w:rsid w:val="00970E80"/>
    <w:rsid w:val="009712FD"/>
    <w:rsid w:val="00971365"/>
    <w:rsid w:val="0097314C"/>
    <w:rsid w:val="00973879"/>
    <w:rsid w:val="00973968"/>
    <w:rsid w:val="009739D7"/>
    <w:rsid w:val="00973DE4"/>
    <w:rsid w:val="00973DF2"/>
    <w:rsid w:val="00974D45"/>
    <w:rsid w:val="0097574C"/>
    <w:rsid w:val="009759E9"/>
    <w:rsid w:val="00976ACA"/>
    <w:rsid w:val="00980155"/>
    <w:rsid w:val="00980969"/>
    <w:rsid w:val="00980DF5"/>
    <w:rsid w:val="00982A05"/>
    <w:rsid w:val="00982F29"/>
    <w:rsid w:val="00983522"/>
    <w:rsid w:val="009839CA"/>
    <w:rsid w:val="00983E38"/>
    <w:rsid w:val="009842DA"/>
    <w:rsid w:val="00985306"/>
    <w:rsid w:val="0098581C"/>
    <w:rsid w:val="00985B8B"/>
    <w:rsid w:val="00986895"/>
    <w:rsid w:val="00986F86"/>
    <w:rsid w:val="00986F97"/>
    <w:rsid w:val="00987DDD"/>
    <w:rsid w:val="00987DE8"/>
    <w:rsid w:val="009907B4"/>
    <w:rsid w:val="00991351"/>
    <w:rsid w:val="009913A5"/>
    <w:rsid w:val="0099180A"/>
    <w:rsid w:val="00991851"/>
    <w:rsid w:val="00991F4D"/>
    <w:rsid w:val="00992227"/>
    <w:rsid w:val="00993B98"/>
    <w:rsid w:val="00993CA0"/>
    <w:rsid w:val="00993DA3"/>
    <w:rsid w:val="00993F22"/>
    <w:rsid w:val="009946AE"/>
    <w:rsid w:val="00994A50"/>
    <w:rsid w:val="00994BAC"/>
    <w:rsid w:val="00995673"/>
    <w:rsid w:val="0099607C"/>
    <w:rsid w:val="00996EE9"/>
    <w:rsid w:val="0099714E"/>
    <w:rsid w:val="00997C8E"/>
    <w:rsid w:val="00997F93"/>
    <w:rsid w:val="009A2108"/>
    <w:rsid w:val="009A2FDF"/>
    <w:rsid w:val="009A347A"/>
    <w:rsid w:val="009A3C15"/>
    <w:rsid w:val="009A3D91"/>
    <w:rsid w:val="009A3F0D"/>
    <w:rsid w:val="009A4407"/>
    <w:rsid w:val="009A455C"/>
    <w:rsid w:val="009A457D"/>
    <w:rsid w:val="009A45BA"/>
    <w:rsid w:val="009A4A2F"/>
    <w:rsid w:val="009A640B"/>
    <w:rsid w:val="009A752F"/>
    <w:rsid w:val="009B1D4F"/>
    <w:rsid w:val="009B286A"/>
    <w:rsid w:val="009B3015"/>
    <w:rsid w:val="009B34F6"/>
    <w:rsid w:val="009B3AF7"/>
    <w:rsid w:val="009B4238"/>
    <w:rsid w:val="009B6A88"/>
    <w:rsid w:val="009B6EE9"/>
    <w:rsid w:val="009B718B"/>
    <w:rsid w:val="009B7CA7"/>
    <w:rsid w:val="009B7FA8"/>
    <w:rsid w:val="009C0C2B"/>
    <w:rsid w:val="009C0F04"/>
    <w:rsid w:val="009C2E20"/>
    <w:rsid w:val="009C321F"/>
    <w:rsid w:val="009C32EB"/>
    <w:rsid w:val="009C46E5"/>
    <w:rsid w:val="009C5CD0"/>
    <w:rsid w:val="009C6768"/>
    <w:rsid w:val="009C6D88"/>
    <w:rsid w:val="009C7139"/>
    <w:rsid w:val="009C7357"/>
    <w:rsid w:val="009C74C4"/>
    <w:rsid w:val="009C78D7"/>
    <w:rsid w:val="009C7C60"/>
    <w:rsid w:val="009D0224"/>
    <w:rsid w:val="009D11B4"/>
    <w:rsid w:val="009D11DD"/>
    <w:rsid w:val="009D29BE"/>
    <w:rsid w:val="009D29F7"/>
    <w:rsid w:val="009D2A94"/>
    <w:rsid w:val="009D2D76"/>
    <w:rsid w:val="009D5727"/>
    <w:rsid w:val="009D5973"/>
    <w:rsid w:val="009D7C26"/>
    <w:rsid w:val="009E0371"/>
    <w:rsid w:val="009E0898"/>
    <w:rsid w:val="009E112E"/>
    <w:rsid w:val="009E169C"/>
    <w:rsid w:val="009E177B"/>
    <w:rsid w:val="009E1916"/>
    <w:rsid w:val="009E35B3"/>
    <w:rsid w:val="009E4BCD"/>
    <w:rsid w:val="009E4D65"/>
    <w:rsid w:val="009E4ECB"/>
    <w:rsid w:val="009E4FFD"/>
    <w:rsid w:val="009E5657"/>
    <w:rsid w:val="009E641E"/>
    <w:rsid w:val="009E6B0A"/>
    <w:rsid w:val="009E6E1B"/>
    <w:rsid w:val="009F0262"/>
    <w:rsid w:val="009F05F2"/>
    <w:rsid w:val="009F0BC9"/>
    <w:rsid w:val="009F10CE"/>
    <w:rsid w:val="009F1214"/>
    <w:rsid w:val="009F12C0"/>
    <w:rsid w:val="009F19AE"/>
    <w:rsid w:val="009F20D5"/>
    <w:rsid w:val="009F34AD"/>
    <w:rsid w:val="009F354F"/>
    <w:rsid w:val="009F3948"/>
    <w:rsid w:val="009F491A"/>
    <w:rsid w:val="009F5ECF"/>
    <w:rsid w:val="009F6589"/>
    <w:rsid w:val="009F69FE"/>
    <w:rsid w:val="00A000F9"/>
    <w:rsid w:val="00A0177C"/>
    <w:rsid w:val="00A02350"/>
    <w:rsid w:val="00A0308F"/>
    <w:rsid w:val="00A034B0"/>
    <w:rsid w:val="00A0455B"/>
    <w:rsid w:val="00A049DC"/>
    <w:rsid w:val="00A04DC4"/>
    <w:rsid w:val="00A05253"/>
    <w:rsid w:val="00A064DD"/>
    <w:rsid w:val="00A0653F"/>
    <w:rsid w:val="00A065E4"/>
    <w:rsid w:val="00A066CC"/>
    <w:rsid w:val="00A0685D"/>
    <w:rsid w:val="00A06BE7"/>
    <w:rsid w:val="00A11404"/>
    <w:rsid w:val="00A11AC8"/>
    <w:rsid w:val="00A121FA"/>
    <w:rsid w:val="00A126AD"/>
    <w:rsid w:val="00A12717"/>
    <w:rsid w:val="00A12CC9"/>
    <w:rsid w:val="00A13037"/>
    <w:rsid w:val="00A1310F"/>
    <w:rsid w:val="00A1370E"/>
    <w:rsid w:val="00A145C9"/>
    <w:rsid w:val="00A16461"/>
    <w:rsid w:val="00A16B95"/>
    <w:rsid w:val="00A20BDF"/>
    <w:rsid w:val="00A20F90"/>
    <w:rsid w:val="00A21513"/>
    <w:rsid w:val="00A22426"/>
    <w:rsid w:val="00A239D8"/>
    <w:rsid w:val="00A25490"/>
    <w:rsid w:val="00A25612"/>
    <w:rsid w:val="00A269D6"/>
    <w:rsid w:val="00A27685"/>
    <w:rsid w:val="00A30BC0"/>
    <w:rsid w:val="00A30C24"/>
    <w:rsid w:val="00A32FA4"/>
    <w:rsid w:val="00A33B3F"/>
    <w:rsid w:val="00A33F1F"/>
    <w:rsid w:val="00A33F76"/>
    <w:rsid w:val="00A3443D"/>
    <w:rsid w:val="00A34B55"/>
    <w:rsid w:val="00A34D78"/>
    <w:rsid w:val="00A351CC"/>
    <w:rsid w:val="00A3521B"/>
    <w:rsid w:val="00A366EC"/>
    <w:rsid w:val="00A37BDA"/>
    <w:rsid w:val="00A37E13"/>
    <w:rsid w:val="00A37E8C"/>
    <w:rsid w:val="00A4098A"/>
    <w:rsid w:val="00A40ED4"/>
    <w:rsid w:val="00A414C6"/>
    <w:rsid w:val="00A41595"/>
    <w:rsid w:val="00A41AA1"/>
    <w:rsid w:val="00A41B5F"/>
    <w:rsid w:val="00A42195"/>
    <w:rsid w:val="00A44187"/>
    <w:rsid w:val="00A458EA"/>
    <w:rsid w:val="00A463EF"/>
    <w:rsid w:val="00A46CC9"/>
    <w:rsid w:val="00A51416"/>
    <w:rsid w:val="00A5170E"/>
    <w:rsid w:val="00A51A21"/>
    <w:rsid w:val="00A51DEE"/>
    <w:rsid w:val="00A52015"/>
    <w:rsid w:val="00A52939"/>
    <w:rsid w:val="00A53746"/>
    <w:rsid w:val="00A53963"/>
    <w:rsid w:val="00A53A83"/>
    <w:rsid w:val="00A53DD0"/>
    <w:rsid w:val="00A5508C"/>
    <w:rsid w:val="00A55578"/>
    <w:rsid w:val="00A5661C"/>
    <w:rsid w:val="00A56A50"/>
    <w:rsid w:val="00A60999"/>
    <w:rsid w:val="00A60AB1"/>
    <w:rsid w:val="00A60FFF"/>
    <w:rsid w:val="00A613A9"/>
    <w:rsid w:val="00A6186F"/>
    <w:rsid w:val="00A62582"/>
    <w:rsid w:val="00A62BAD"/>
    <w:rsid w:val="00A62E70"/>
    <w:rsid w:val="00A63922"/>
    <w:rsid w:val="00A6421D"/>
    <w:rsid w:val="00A642B4"/>
    <w:rsid w:val="00A65735"/>
    <w:rsid w:val="00A659D1"/>
    <w:rsid w:val="00A65A75"/>
    <w:rsid w:val="00A65F4B"/>
    <w:rsid w:val="00A67E11"/>
    <w:rsid w:val="00A67E39"/>
    <w:rsid w:val="00A70754"/>
    <w:rsid w:val="00A715B2"/>
    <w:rsid w:val="00A724E4"/>
    <w:rsid w:val="00A725E5"/>
    <w:rsid w:val="00A733E2"/>
    <w:rsid w:val="00A735C3"/>
    <w:rsid w:val="00A746D1"/>
    <w:rsid w:val="00A74F83"/>
    <w:rsid w:val="00A75156"/>
    <w:rsid w:val="00A7583C"/>
    <w:rsid w:val="00A75E5F"/>
    <w:rsid w:val="00A76ABC"/>
    <w:rsid w:val="00A7753F"/>
    <w:rsid w:val="00A77EB5"/>
    <w:rsid w:val="00A801A2"/>
    <w:rsid w:val="00A80C19"/>
    <w:rsid w:val="00A811C9"/>
    <w:rsid w:val="00A82723"/>
    <w:rsid w:val="00A8275C"/>
    <w:rsid w:val="00A83951"/>
    <w:rsid w:val="00A844D0"/>
    <w:rsid w:val="00A845EB"/>
    <w:rsid w:val="00A84767"/>
    <w:rsid w:val="00A84E63"/>
    <w:rsid w:val="00A84E68"/>
    <w:rsid w:val="00A85329"/>
    <w:rsid w:val="00A858AF"/>
    <w:rsid w:val="00A8689A"/>
    <w:rsid w:val="00A86916"/>
    <w:rsid w:val="00A871AD"/>
    <w:rsid w:val="00A87873"/>
    <w:rsid w:val="00A87DE3"/>
    <w:rsid w:val="00A910F7"/>
    <w:rsid w:val="00A92501"/>
    <w:rsid w:val="00A94C76"/>
    <w:rsid w:val="00A94F78"/>
    <w:rsid w:val="00A965AE"/>
    <w:rsid w:val="00A96F26"/>
    <w:rsid w:val="00A973E2"/>
    <w:rsid w:val="00A974DA"/>
    <w:rsid w:val="00A97A98"/>
    <w:rsid w:val="00A97D73"/>
    <w:rsid w:val="00AA0345"/>
    <w:rsid w:val="00AA1C11"/>
    <w:rsid w:val="00AA22AD"/>
    <w:rsid w:val="00AA3306"/>
    <w:rsid w:val="00AA3365"/>
    <w:rsid w:val="00AA4931"/>
    <w:rsid w:val="00AA4990"/>
    <w:rsid w:val="00AA4BF2"/>
    <w:rsid w:val="00AA4DEC"/>
    <w:rsid w:val="00AA51C0"/>
    <w:rsid w:val="00AA5B98"/>
    <w:rsid w:val="00AA60CE"/>
    <w:rsid w:val="00AA6A8D"/>
    <w:rsid w:val="00AA6D60"/>
    <w:rsid w:val="00AA6F52"/>
    <w:rsid w:val="00AA7371"/>
    <w:rsid w:val="00AA7FB3"/>
    <w:rsid w:val="00AB0CFD"/>
    <w:rsid w:val="00AB10F0"/>
    <w:rsid w:val="00AB11F1"/>
    <w:rsid w:val="00AB1567"/>
    <w:rsid w:val="00AB36AF"/>
    <w:rsid w:val="00AB5373"/>
    <w:rsid w:val="00AB5991"/>
    <w:rsid w:val="00AB5D60"/>
    <w:rsid w:val="00AB6A3F"/>
    <w:rsid w:val="00AB7056"/>
    <w:rsid w:val="00AB72B7"/>
    <w:rsid w:val="00AC062D"/>
    <w:rsid w:val="00AC18DD"/>
    <w:rsid w:val="00AC2D35"/>
    <w:rsid w:val="00AC3D3C"/>
    <w:rsid w:val="00AC53A8"/>
    <w:rsid w:val="00AC5511"/>
    <w:rsid w:val="00AC5790"/>
    <w:rsid w:val="00AC61A3"/>
    <w:rsid w:val="00AC6371"/>
    <w:rsid w:val="00AC6789"/>
    <w:rsid w:val="00AC6C95"/>
    <w:rsid w:val="00AC7059"/>
    <w:rsid w:val="00AC768A"/>
    <w:rsid w:val="00AC7958"/>
    <w:rsid w:val="00AD0877"/>
    <w:rsid w:val="00AD0995"/>
    <w:rsid w:val="00AD0FFD"/>
    <w:rsid w:val="00AD1286"/>
    <w:rsid w:val="00AD1B2C"/>
    <w:rsid w:val="00AD1F5D"/>
    <w:rsid w:val="00AD2302"/>
    <w:rsid w:val="00AD2860"/>
    <w:rsid w:val="00AD3B4B"/>
    <w:rsid w:val="00AD4843"/>
    <w:rsid w:val="00AD4B7D"/>
    <w:rsid w:val="00AD5A38"/>
    <w:rsid w:val="00AD5E51"/>
    <w:rsid w:val="00AD78C9"/>
    <w:rsid w:val="00AD7E6D"/>
    <w:rsid w:val="00AE0397"/>
    <w:rsid w:val="00AE1B46"/>
    <w:rsid w:val="00AE2411"/>
    <w:rsid w:val="00AE24D7"/>
    <w:rsid w:val="00AE2C51"/>
    <w:rsid w:val="00AE2C75"/>
    <w:rsid w:val="00AE3473"/>
    <w:rsid w:val="00AE3715"/>
    <w:rsid w:val="00AE3BE7"/>
    <w:rsid w:val="00AE3E31"/>
    <w:rsid w:val="00AE4A82"/>
    <w:rsid w:val="00AE4EEC"/>
    <w:rsid w:val="00AE6C7F"/>
    <w:rsid w:val="00AE6F8E"/>
    <w:rsid w:val="00AE7281"/>
    <w:rsid w:val="00AF05B7"/>
    <w:rsid w:val="00AF1805"/>
    <w:rsid w:val="00AF216D"/>
    <w:rsid w:val="00AF2B0F"/>
    <w:rsid w:val="00AF2E9C"/>
    <w:rsid w:val="00AF3696"/>
    <w:rsid w:val="00AF427D"/>
    <w:rsid w:val="00AF5252"/>
    <w:rsid w:val="00AF5286"/>
    <w:rsid w:val="00AF547D"/>
    <w:rsid w:val="00AF6A15"/>
    <w:rsid w:val="00AF6D5F"/>
    <w:rsid w:val="00AF6EC7"/>
    <w:rsid w:val="00AF71E4"/>
    <w:rsid w:val="00AF7256"/>
    <w:rsid w:val="00B00F3C"/>
    <w:rsid w:val="00B00F61"/>
    <w:rsid w:val="00B013A1"/>
    <w:rsid w:val="00B01729"/>
    <w:rsid w:val="00B02A0A"/>
    <w:rsid w:val="00B0456E"/>
    <w:rsid w:val="00B04B31"/>
    <w:rsid w:val="00B05E2A"/>
    <w:rsid w:val="00B07987"/>
    <w:rsid w:val="00B1025C"/>
    <w:rsid w:val="00B104BD"/>
    <w:rsid w:val="00B104ED"/>
    <w:rsid w:val="00B1140B"/>
    <w:rsid w:val="00B11718"/>
    <w:rsid w:val="00B147F5"/>
    <w:rsid w:val="00B1493B"/>
    <w:rsid w:val="00B15079"/>
    <w:rsid w:val="00B154D9"/>
    <w:rsid w:val="00B155F2"/>
    <w:rsid w:val="00B169DA"/>
    <w:rsid w:val="00B1732C"/>
    <w:rsid w:val="00B17C6E"/>
    <w:rsid w:val="00B20717"/>
    <w:rsid w:val="00B20A03"/>
    <w:rsid w:val="00B21591"/>
    <w:rsid w:val="00B21ABF"/>
    <w:rsid w:val="00B221C3"/>
    <w:rsid w:val="00B224D7"/>
    <w:rsid w:val="00B230F4"/>
    <w:rsid w:val="00B23C80"/>
    <w:rsid w:val="00B2427B"/>
    <w:rsid w:val="00B24314"/>
    <w:rsid w:val="00B2484B"/>
    <w:rsid w:val="00B24B2B"/>
    <w:rsid w:val="00B2680D"/>
    <w:rsid w:val="00B26F36"/>
    <w:rsid w:val="00B27444"/>
    <w:rsid w:val="00B275A3"/>
    <w:rsid w:val="00B3045D"/>
    <w:rsid w:val="00B304E3"/>
    <w:rsid w:val="00B31604"/>
    <w:rsid w:val="00B3238B"/>
    <w:rsid w:val="00B323FB"/>
    <w:rsid w:val="00B32F42"/>
    <w:rsid w:val="00B346ED"/>
    <w:rsid w:val="00B34B4B"/>
    <w:rsid w:val="00B34DED"/>
    <w:rsid w:val="00B358E6"/>
    <w:rsid w:val="00B433B3"/>
    <w:rsid w:val="00B43E24"/>
    <w:rsid w:val="00B449E1"/>
    <w:rsid w:val="00B45090"/>
    <w:rsid w:val="00B450A8"/>
    <w:rsid w:val="00B455A9"/>
    <w:rsid w:val="00B45B2E"/>
    <w:rsid w:val="00B45E1F"/>
    <w:rsid w:val="00B47C9D"/>
    <w:rsid w:val="00B47DB8"/>
    <w:rsid w:val="00B50F26"/>
    <w:rsid w:val="00B518B7"/>
    <w:rsid w:val="00B51B62"/>
    <w:rsid w:val="00B524FC"/>
    <w:rsid w:val="00B52F7C"/>
    <w:rsid w:val="00B54BBC"/>
    <w:rsid w:val="00B55616"/>
    <w:rsid w:val="00B56097"/>
    <w:rsid w:val="00B5612E"/>
    <w:rsid w:val="00B572F5"/>
    <w:rsid w:val="00B5738F"/>
    <w:rsid w:val="00B60517"/>
    <w:rsid w:val="00B61524"/>
    <w:rsid w:val="00B61611"/>
    <w:rsid w:val="00B61CA8"/>
    <w:rsid w:val="00B623E4"/>
    <w:rsid w:val="00B626E3"/>
    <w:rsid w:val="00B631C8"/>
    <w:rsid w:val="00B636CA"/>
    <w:rsid w:val="00B645AF"/>
    <w:rsid w:val="00B64B15"/>
    <w:rsid w:val="00B65511"/>
    <w:rsid w:val="00B65B14"/>
    <w:rsid w:val="00B65C88"/>
    <w:rsid w:val="00B66ED0"/>
    <w:rsid w:val="00B66FBA"/>
    <w:rsid w:val="00B6752C"/>
    <w:rsid w:val="00B675BA"/>
    <w:rsid w:val="00B67954"/>
    <w:rsid w:val="00B67A44"/>
    <w:rsid w:val="00B7111F"/>
    <w:rsid w:val="00B7115B"/>
    <w:rsid w:val="00B71F95"/>
    <w:rsid w:val="00B72033"/>
    <w:rsid w:val="00B73C57"/>
    <w:rsid w:val="00B74A63"/>
    <w:rsid w:val="00B755B8"/>
    <w:rsid w:val="00B75A16"/>
    <w:rsid w:val="00B75AFF"/>
    <w:rsid w:val="00B77433"/>
    <w:rsid w:val="00B77708"/>
    <w:rsid w:val="00B77FDF"/>
    <w:rsid w:val="00B8087D"/>
    <w:rsid w:val="00B80B37"/>
    <w:rsid w:val="00B81971"/>
    <w:rsid w:val="00B828C4"/>
    <w:rsid w:val="00B82D67"/>
    <w:rsid w:val="00B835AA"/>
    <w:rsid w:val="00B83639"/>
    <w:rsid w:val="00B8387F"/>
    <w:rsid w:val="00B83A5C"/>
    <w:rsid w:val="00B83AFB"/>
    <w:rsid w:val="00B84450"/>
    <w:rsid w:val="00B84528"/>
    <w:rsid w:val="00B84E0E"/>
    <w:rsid w:val="00B8559F"/>
    <w:rsid w:val="00B8695E"/>
    <w:rsid w:val="00B86C59"/>
    <w:rsid w:val="00B87596"/>
    <w:rsid w:val="00B8771B"/>
    <w:rsid w:val="00B9082C"/>
    <w:rsid w:val="00B918CB"/>
    <w:rsid w:val="00B918FE"/>
    <w:rsid w:val="00B91940"/>
    <w:rsid w:val="00B921DD"/>
    <w:rsid w:val="00B923AB"/>
    <w:rsid w:val="00B947F1"/>
    <w:rsid w:val="00B94CE5"/>
    <w:rsid w:val="00B95ACE"/>
    <w:rsid w:val="00B96733"/>
    <w:rsid w:val="00B96EF0"/>
    <w:rsid w:val="00B9717C"/>
    <w:rsid w:val="00B97FD4"/>
    <w:rsid w:val="00BA233F"/>
    <w:rsid w:val="00BA26B3"/>
    <w:rsid w:val="00BA2721"/>
    <w:rsid w:val="00BA2DD7"/>
    <w:rsid w:val="00BA2E07"/>
    <w:rsid w:val="00BA2F85"/>
    <w:rsid w:val="00BA30B5"/>
    <w:rsid w:val="00BA3190"/>
    <w:rsid w:val="00BA3390"/>
    <w:rsid w:val="00BA417D"/>
    <w:rsid w:val="00BA5425"/>
    <w:rsid w:val="00BA5426"/>
    <w:rsid w:val="00BA576F"/>
    <w:rsid w:val="00BA618C"/>
    <w:rsid w:val="00BA6326"/>
    <w:rsid w:val="00BA68E8"/>
    <w:rsid w:val="00BA6D75"/>
    <w:rsid w:val="00BA7F85"/>
    <w:rsid w:val="00BB08F6"/>
    <w:rsid w:val="00BB1379"/>
    <w:rsid w:val="00BB3576"/>
    <w:rsid w:val="00BB3B42"/>
    <w:rsid w:val="00BB4146"/>
    <w:rsid w:val="00BB428F"/>
    <w:rsid w:val="00BB4787"/>
    <w:rsid w:val="00BB4926"/>
    <w:rsid w:val="00BB499F"/>
    <w:rsid w:val="00BB4E76"/>
    <w:rsid w:val="00BB53A2"/>
    <w:rsid w:val="00BB6AA1"/>
    <w:rsid w:val="00BB7D9B"/>
    <w:rsid w:val="00BB7DD9"/>
    <w:rsid w:val="00BC0CAC"/>
    <w:rsid w:val="00BC0F30"/>
    <w:rsid w:val="00BC20B4"/>
    <w:rsid w:val="00BC2170"/>
    <w:rsid w:val="00BC29C0"/>
    <w:rsid w:val="00BC2FEF"/>
    <w:rsid w:val="00BC4020"/>
    <w:rsid w:val="00BC5315"/>
    <w:rsid w:val="00BC56CF"/>
    <w:rsid w:val="00BC595B"/>
    <w:rsid w:val="00BC5A44"/>
    <w:rsid w:val="00BC7DAD"/>
    <w:rsid w:val="00BC7E68"/>
    <w:rsid w:val="00BD0888"/>
    <w:rsid w:val="00BD147C"/>
    <w:rsid w:val="00BD1CC5"/>
    <w:rsid w:val="00BD1DDF"/>
    <w:rsid w:val="00BD3299"/>
    <w:rsid w:val="00BD32C6"/>
    <w:rsid w:val="00BD3AB5"/>
    <w:rsid w:val="00BD43CF"/>
    <w:rsid w:val="00BD4B50"/>
    <w:rsid w:val="00BD5632"/>
    <w:rsid w:val="00BD5D92"/>
    <w:rsid w:val="00BD5EE2"/>
    <w:rsid w:val="00BD63EC"/>
    <w:rsid w:val="00BD6C87"/>
    <w:rsid w:val="00BD772B"/>
    <w:rsid w:val="00BD78AF"/>
    <w:rsid w:val="00BE048D"/>
    <w:rsid w:val="00BE1ED3"/>
    <w:rsid w:val="00BE25E1"/>
    <w:rsid w:val="00BE2797"/>
    <w:rsid w:val="00BE3479"/>
    <w:rsid w:val="00BE492C"/>
    <w:rsid w:val="00BE5069"/>
    <w:rsid w:val="00BE5132"/>
    <w:rsid w:val="00BE6317"/>
    <w:rsid w:val="00BE696C"/>
    <w:rsid w:val="00BE6C0D"/>
    <w:rsid w:val="00BE7343"/>
    <w:rsid w:val="00BE7361"/>
    <w:rsid w:val="00BE759B"/>
    <w:rsid w:val="00BE773F"/>
    <w:rsid w:val="00BF0830"/>
    <w:rsid w:val="00BF0CAD"/>
    <w:rsid w:val="00BF148C"/>
    <w:rsid w:val="00BF1818"/>
    <w:rsid w:val="00BF2787"/>
    <w:rsid w:val="00BF2A4A"/>
    <w:rsid w:val="00BF2FC8"/>
    <w:rsid w:val="00BF2FF9"/>
    <w:rsid w:val="00BF48F9"/>
    <w:rsid w:val="00BF585E"/>
    <w:rsid w:val="00BF60A9"/>
    <w:rsid w:val="00BF60BA"/>
    <w:rsid w:val="00BF6487"/>
    <w:rsid w:val="00BF6E2F"/>
    <w:rsid w:val="00BF7575"/>
    <w:rsid w:val="00BF7ABF"/>
    <w:rsid w:val="00BF7ED2"/>
    <w:rsid w:val="00C009EF"/>
    <w:rsid w:val="00C01B4E"/>
    <w:rsid w:val="00C01D54"/>
    <w:rsid w:val="00C01D59"/>
    <w:rsid w:val="00C02980"/>
    <w:rsid w:val="00C02E6F"/>
    <w:rsid w:val="00C0391B"/>
    <w:rsid w:val="00C03A32"/>
    <w:rsid w:val="00C041FF"/>
    <w:rsid w:val="00C04682"/>
    <w:rsid w:val="00C047E7"/>
    <w:rsid w:val="00C04CFF"/>
    <w:rsid w:val="00C059B2"/>
    <w:rsid w:val="00C067AD"/>
    <w:rsid w:val="00C067F1"/>
    <w:rsid w:val="00C06EE0"/>
    <w:rsid w:val="00C07BB6"/>
    <w:rsid w:val="00C07E9D"/>
    <w:rsid w:val="00C1086D"/>
    <w:rsid w:val="00C1097D"/>
    <w:rsid w:val="00C11107"/>
    <w:rsid w:val="00C11618"/>
    <w:rsid w:val="00C12C84"/>
    <w:rsid w:val="00C12FF6"/>
    <w:rsid w:val="00C1456E"/>
    <w:rsid w:val="00C15EDF"/>
    <w:rsid w:val="00C1702B"/>
    <w:rsid w:val="00C17F4A"/>
    <w:rsid w:val="00C200B9"/>
    <w:rsid w:val="00C20101"/>
    <w:rsid w:val="00C20A35"/>
    <w:rsid w:val="00C2179A"/>
    <w:rsid w:val="00C2205F"/>
    <w:rsid w:val="00C2498C"/>
    <w:rsid w:val="00C24B0F"/>
    <w:rsid w:val="00C24F97"/>
    <w:rsid w:val="00C26044"/>
    <w:rsid w:val="00C266A0"/>
    <w:rsid w:val="00C302E7"/>
    <w:rsid w:val="00C304EE"/>
    <w:rsid w:val="00C306A2"/>
    <w:rsid w:val="00C30F54"/>
    <w:rsid w:val="00C317D5"/>
    <w:rsid w:val="00C31A6F"/>
    <w:rsid w:val="00C31AC5"/>
    <w:rsid w:val="00C31D22"/>
    <w:rsid w:val="00C3294A"/>
    <w:rsid w:val="00C32E6F"/>
    <w:rsid w:val="00C336F2"/>
    <w:rsid w:val="00C3535E"/>
    <w:rsid w:val="00C353FD"/>
    <w:rsid w:val="00C3585C"/>
    <w:rsid w:val="00C35D61"/>
    <w:rsid w:val="00C35E94"/>
    <w:rsid w:val="00C361B0"/>
    <w:rsid w:val="00C36823"/>
    <w:rsid w:val="00C36FAC"/>
    <w:rsid w:val="00C37434"/>
    <w:rsid w:val="00C37801"/>
    <w:rsid w:val="00C406AC"/>
    <w:rsid w:val="00C41FBA"/>
    <w:rsid w:val="00C4220E"/>
    <w:rsid w:val="00C4231C"/>
    <w:rsid w:val="00C428E0"/>
    <w:rsid w:val="00C43FF8"/>
    <w:rsid w:val="00C442AA"/>
    <w:rsid w:val="00C44AA0"/>
    <w:rsid w:val="00C45C4C"/>
    <w:rsid w:val="00C46202"/>
    <w:rsid w:val="00C462D8"/>
    <w:rsid w:val="00C46381"/>
    <w:rsid w:val="00C46922"/>
    <w:rsid w:val="00C503BD"/>
    <w:rsid w:val="00C5048D"/>
    <w:rsid w:val="00C50C52"/>
    <w:rsid w:val="00C518ED"/>
    <w:rsid w:val="00C51A02"/>
    <w:rsid w:val="00C52AB8"/>
    <w:rsid w:val="00C554BA"/>
    <w:rsid w:val="00C55DB2"/>
    <w:rsid w:val="00C561B9"/>
    <w:rsid w:val="00C570C0"/>
    <w:rsid w:val="00C600BB"/>
    <w:rsid w:val="00C60810"/>
    <w:rsid w:val="00C61CCE"/>
    <w:rsid w:val="00C6258E"/>
    <w:rsid w:val="00C62676"/>
    <w:rsid w:val="00C63206"/>
    <w:rsid w:val="00C6338D"/>
    <w:rsid w:val="00C6389A"/>
    <w:rsid w:val="00C63F97"/>
    <w:rsid w:val="00C64B7F"/>
    <w:rsid w:val="00C64F78"/>
    <w:rsid w:val="00C6605A"/>
    <w:rsid w:val="00C6634F"/>
    <w:rsid w:val="00C66CA9"/>
    <w:rsid w:val="00C67C75"/>
    <w:rsid w:val="00C7042E"/>
    <w:rsid w:val="00C70708"/>
    <w:rsid w:val="00C7106D"/>
    <w:rsid w:val="00C710CB"/>
    <w:rsid w:val="00C71416"/>
    <w:rsid w:val="00C71BF9"/>
    <w:rsid w:val="00C722FA"/>
    <w:rsid w:val="00C73EC7"/>
    <w:rsid w:val="00C7402E"/>
    <w:rsid w:val="00C753FE"/>
    <w:rsid w:val="00C75566"/>
    <w:rsid w:val="00C762D1"/>
    <w:rsid w:val="00C772E3"/>
    <w:rsid w:val="00C774C6"/>
    <w:rsid w:val="00C7778D"/>
    <w:rsid w:val="00C77835"/>
    <w:rsid w:val="00C77ACA"/>
    <w:rsid w:val="00C77EA5"/>
    <w:rsid w:val="00C82261"/>
    <w:rsid w:val="00C826D4"/>
    <w:rsid w:val="00C82ACD"/>
    <w:rsid w:val="00C83024"/>
    <w:rsid w:val="00C8315F"/>
    <w:rsid w:val="00C83DF7"/>
    <w:rsid w:val="00C84EDB"/>
    <w:rsid w:val="00C851BB"/>
    <w:rsid w:val="00C85D01"/>
    <w:rsid w:val="00C8609A"/>
    <w:rsid w:val="00C869FD"/>
    <w:rsid w:val="00C86FCC"/>
    <w:rsid w:val="00C87264"/>
    <w:rsid w:val="00C905AA"/>
    <w:rsid w:val="00C90D48"/>
    <w:rsid w:val="00C9213F"/>
    <w:rsid w:val="00C92617"/>
    <w:rsid w:val="00C93003"/>
    <w:rsid w:val="00C9359C"/>
    <w:rsid w:val="00C936FD"/>
    <w:rsid w:val="00C94419"/>
    <w:rsid w:val="00C95242"/>
    <w:rsid w:val="00C9578B"/>
    <w:rsid w:val="00C968EE"/>
    <w:rsid w:val="00C96A07"/>
    <w:rsid w:val="00C96AD2"/>
    <w:rsid w:val="00C96B2C"/>
    <w:rsid w:val="00C9760D"/>
    <w:rsid w:val="00C97F06"/>
    <w:rsid w:val="00CA01AA"/>
    <w:rsid w:val="00CA06E3"/>
    <w:rsid w:val="00CA0C2A"/>
    <w:rsid w:val="00CA161C"/>
    <w:rsid w:val="00CA1A02"/>
    <w:rsid w:val="00CA1DB0"/>
    <w:rsid w:val="00CA2302"/>
    <w:rsid w:val="00CA27A3"/>
    <w:rsid w:val="00CA28B9"/>
    <w:rsid w:val="00CA2B2C"/>
    <w:rsid w:val="00CA342B"/>
    <w:rsid w:val="00CA353A"/>
    <w:rsid w:val="00CA4921"/>
    <w:rsid w:val="00CA493B"/>
    <w:rsid w:val="00CA63D4"/>
    <w:rsid w:val="00CA6E1A"/>
    <w:rsid w:val="00CA6E88"/>
    <w:rsid w:val="00CA7765"/>
    <w:rsid w:val="00CA77DA"/>
    <w:rsid w:val="00CB0B97"/>
    <w:rsid w:val="00CB111C"/>
    <w:rsid w:val="00CB12A4"/>
    <w:rsid w:val="00CB194D"/>
    <w:rsid w:val="00CB1B85"/>
    <w:rsid w:val="00CB1CCD"/>
    <w:rsid w:val="00CB206F"/>
    <w:rsid w:val="00CB50D2"/>
    <w:rsid w:val="00CB5246"/>
    <w:rsid w:val="00CB5993"/>
    <w:rsid w:val="00CB5B41"/>
    <w:rsid w:val="00CB5B8B"/>
    <w:rsid w:val="00CB623A"/>
    <w:rsid w:val="00CB6E93"/>
    <w:rsid w:val="00CB70D4"/>
    <w:rsid w:val="00CB7B29"/>
    <w:rsid w:val="00CC101C"/>
    <w:rsid w:val="00CC1700"/>
    <w:rsid w:val="00CC2234"/>
    <w:rsid w:val="00CC3D41"/>
    <w:rsid w:val="00CC544B"/>
    <w:rsid w:val="00CC5B81"/>
    <w:rsid w:val="00CC5D92"/>
    <w:rsid w:val="00CC60F8"/>
    <w:rsid w:val="00CC6111"/>
    <w:rsid w:val="00CC6A5A"/>
    <w:rsid w:val="00CC7D68"/>
    <w:rsid w:val="00CD06DD"/>
    <w:rsid w:val="00CD2716"/>
    <w:rsid w:val="00CD38EB"/>
    <w:rsid w:val="00CD489E"/>
    <w:rsid w:val="00CD58F6"/>
    <w:rsid w:val="00CD5A38"/>
    <w:rsid w:val="00CD6276"/>
    <w:rsid w:val="00CD63EF"/>
    <w:rsid w:val="00CD650F"/>
    <w:rsid w:val="00CD7D8F"/>
    <w:rsid w:val="00CD7EED"/>
    <w:rsid w:val="00CE1470"/>
    <w:rsid w:val="00CE1F8B"/>
    <w:rsid w:val="00CE2B12"/>
    <w:rsid w:val="00CE2E05"/>
    <w:rsid w:val="00CE3CCE"/>
    <w:rsid w:val="00CE3F79"/>
    <w:rsid w:val="00CE51AE"/>
    <w:rsid w:val="00CE51ED"/>
    <w:rsid w:val="00CE5DB9"/>
    <w:rsid w:val="00CE5EAA"/>
    <w:rsid w:val="00CE6966"/>
    <w:rsid w:val="00CE6CD0"/>
    <w:rsid w:val="00CE6E52"/>
    <w:rsid w:val="00CE7110"/>
    <w:rsid w:val="00CE7AFF"/>
    <w:rsid w:val="00CE7C7A"/>
    <w:rsid w:val="00CF0661"/>
    <w:rsid w:val="00CF171A"/>
    <w:rsid w:val="00CF17DF"/>
    <w:rsid w:val="00CF2311"/>
    <w:rsid w:val="00CF320C"/>
    <w:rsid w:val="00CF3500"/>
    <w:rsid w:val="00CF39AC"/>
    <w:rsid w:val="00CF3E77"/>
    <w:rsid w:val="00CF4431"/>
    <w:rsid w:val="00CF541F"/>
    <w:rsid w:val="00CF6335"/>
    <w:rsid w:val="00CF6418"/>
    <w:rsid w:val="00CF72F8"/>
    <w:rsid w:val="00CF74F8"/>
    <w:rsid w:val="00CF7502"/>
    <w:rsid w:val="00CF780B"/>
    <w:rsid w:val="00CF7CEE"/>
    <w:rsid w:val="00D001F0"/>
    <w:rsid w:val="00D0089B"/>
    <w:rsid w:val="00D00D1B"/>
    <w:rsid w:val="00D0144E"/>
    <w:rsid w:val="00D02601"/>
    <w:rsid w:val="00D0386E"/>
    <w:rsid w:val="00D03AAE"/>
    <w:rsid w:val="00D03F07"/>
    <w:rsid w:val="00D04457"/>
    <w:rsid w:val="00D04C57"/>
    <w:rsid w:val="00D06276"/>
    <w:rsid w:val="00D06320"/>
    <w:rsid w:val="00D06966"/>
    <w:rsid w:val="00D072D3"/>
    <w:rsid w:val="00D07CCD"/>
    <w:rsid w:val="00D07FCC"/>
    <w:rsid w:val="00D10B62"/>
    <w:rsid w:val="00D10D31"/>
    <w:rsid w:val="00D114FF"/>
    <w:rsid w:val="00D11BC2"/>
    <w:rsid w:val="00D11F86"/>
    <w:rsid w:val="00D12689"/>
    <w:rsid w:val="00D12DCA"/>
    <w:rsid w:val="00D12F31"/>
    <w:rsid w:val="00D13155"/>
    <w:rsid w:val="00D141E5"/>
    <w:rsid w:val="00D156CC"/>
    <w:rsid w:val="00D156E2"/>
    <w:rsid w:val="00D15942"/>
    <w:rsid w:val="00D1627E"/>
    <w:rsid w:val="00D16AA3"/>
    <w:rsid w:val="00D172EF"/>
    <w:rsid w:val="00D17DA1"/>
    <w:rsid w:val="00D20067"/>
    <w:rsid w:val="00D20533"/>
    <w:rsid w:val="00D20920"/>
    <w:rsid w:val="00D20EF6"/>
    <w:rsid w:val="00D211B6"/>
    <w:rsid w:val="00D216DB"/>
    <w:rsid w:val="00D2193F"/>
    <w:rsid w:val="00D22700"/>
    <w:rsid w:val="00D22750"/>
    <w:rsid w:val="00D22AFC"/>
    <w:rsid w:val="00D24C0A"/>
    <w:rsid w:val="00D24E40"/>
    <w:rsid w:val="00D25A40"/>
    <w:rsid w:val="00D265D0"/>
    <w:rsid w:val="00D2697A"/>
    <w:rsid w:val="00D27421"/>
    <w:rsid w:val="00D27FF1"/>
    <w:rsid w:val="00D30538"/>
    <w:rsid w:val="00D31827"/>
    <w:rsid w:val="00D31BB9"/>
    <w:rsid w:val="00D31C2B"/>
    <w:rsid w:val="00D32139"/>
    <w:rsid w:val="00D32759"/>
    <w:rsid w:val="00D32E9B"/>
    <w:rsid w:val="00D3546F"/>
    <w:rsid w:val="00D354D6"/>
    <w:rsid w:val="00D358E5"/>
    <w:rsid w:val="00D37EB4"/>
    <w:rsid w:val="00D407E3"/>
    <w:rsid w:val="00D40B45"/>
    <w:rsid w:val="00D40D38"/>
    <w:rsid w:val="00D4159F"/>
    <w:rsid w:val="00D41CF5"/>
    <w:rsid w:val="00D41FFF"/>
    <w:rsid w:val="00D42611"/>
    <w:rsid w:val="00D4295A"/>
    <w:rsid w:val="00D448FA"/>
    <w:rsid w:val="00D466C7"/>
    <w:rsid w:val="00D47688"/>
    <w:rsid w:val="00D478C0"/>
    <w:rsid w:val="00D502EE"/>
    <w:rsid w:val="00D506CC"/>
    <w:rsid w:val="00D5076F"/>
    <w:rsid w:val="00D5079D"/>
    <w:rsid w:val="00D5187E"/>
    <w:rsid w:val="00D52812"/>
    <w:rsid w:val="00D52ACA"/>
    <w:rsid w:val="00D537A0"/>
    <w:rsid w:val="00D54048"/>
    <w:rsid w:val="00D54249"/>
    <w:rsid w:val="00D54C4D"/>
    <w:rsid w:val="00D54D8B"/>
    <w:rsid w:val="00D5561A"/>
    <w:rsid w:val="00D5608D"/>
    <w:rsid w:val="00D56CD9"/>
    <w:rsid w:val="00D575B2"/>
    <w:rsid w:val="00D603DD"/>
    <w:rsid w:val="00D60D43"/>
    <w:rsid w:val="00D61842"/>
    <w:rsid w:val="00D61C09"/>
    <w:rsid w:val="00D61E4D"/>
    <w:rsid w:val="00D628FB"/>
    <w:rsid w:val="00D62969"/>
    <w:rsid w:val="00D62DA9"/>
    <w:rsid w:val="00D6428C"/>
    <w:rsid w:val="00D6442D"/>
    <w:rsid w:val="00D65A08"/>
    <w:rsid w:val="00D65A64"/>
    <w:rsid w:val="00D66448"/>
    <w:rsid w:val="00D6647F"/>
    <w:rsid w:val="00D669B4"/>
    <w:rsid w:val="00D66BE0"/>
    <w:rsid w:val="00D671EA"/>
    <w:rsid w:val="00D67512"/>
    <w:rsid w:val="00D702B2"/>
    <w:rsid w:val="00D70452"/>
    <w:rsid w:val="00D706EA"/>
    <w:rsid w:val="00D707A7"/>
    <w:rsid w:val="00D70BA1"/>
    <w:rsid w:val="00D70F3D"/>
    <w:rsid w:val="00D72239"/>
    <w:rsid w:val="00D73961"/>
    <w:rsid w:val="00D74680"/>
    <w:rsid w:val="00D74811"/>
    <w:rsid w:val="00D75A98"/>
    <w:rsid w:val="00D77001"/>
    <w:rsid w:val="00D7735B"/>
    <w:rsid w:val="00D7747B"/>
    <w:rsid w:val="00D803B8"/>
    <w:rsid w:val="00D8117A"/>
    <w:rsid w:val="00D814D0"/>
    <w:rsid w:val="00D820FD"/>
    <w:rsid w:val="00D824F6"/>
    <w:rsid w:val="00D826F0"/>
    <w:rsid w:val="00D83D9D"/>
    <w:rsid w:val="00D846F6"/>
    <w:rsid w:val="00D84937"/>
    <w:rsid w:val="00D84BB7"/>
    <w:rsid w:val="00D85968"/>
    <w:rsid w:val="00D85D25"/>
    <w:rsid w:val="00D85E62"/>
    <w:rsid w:val="00D86E17"/>
    <w:rsid w:val="00D87669"/>
    <w:rsid w:val="00D9275B"/>
    <w:rsid w:val="00D93656"/>
    <w:rsid w:val="00D93669"/>
    <w:rsid w:val="00D94A21"/>
    <w:rsid w:val="00D94D96"/>
    <w:rsid w:val="00D94EE3"/>
    <w:rsid w:val="00D94FCE"/>
    <w:rsid w:val="00D95881"/>
    <w:rsid w:val="00D95C4A"/>
    <w:rsid w:val="00D95DB4"/>
    <w:rsid w:val="00D9632E"/>
    <w:rsid w:val="00D96F05"/>
    <w:rsid w:val="00D97A14"/>
    <w:rsid w:val="00DA0182"/>
    <w:rsid w:val="00DA0757"/>
    <w:rsid w:val="00DA08BF"/>
    <w:rsid w:val="00DA09DD"/>
    <w:rsid w:val="00DA1487"/>
    <w:rsid w:val="00DA15C9"/>
    <w:rsid w:val="00DA165F"/>
    <w:rsid w:val="00DA180E"/>
    <w:rsid w:val="00DA2139"/>
    <w:rsid w:val="00DA224E"/>
    <w:rsid w:val="00DA2BB7"/>
    <w:rsid w:val="00DA2E2B"/>
    <w:rsid w:val="00DA3391"/>
    <w:rsid w:val="00DA3D7E"/>
    <w:rsid w:val="00DA3E83"/>
    <w:rsid w:val="00DA4F36"/>
    <w:rsid w:val="00DA6385"/>
    <w:rsid w:val="00DA7136"/>
    <w:rsid w:val="00DA7618"/>
    <w:rsid w:val="00DA7DE7"/>
    <w:rsid w:val="00DB01A7"/>
    <w:rsid w:val="00DB09D2"/>
    <w:rsid w:val="00DB0D7A"/>
    <w:rsid w:val="00DB1531"/>
    <w:rsid w:val="00DB19A3"/>
    <w:rsid w:val="00DB1A88"/>
    <w:rsid w:val="00DB1F58"/>
    <w:rsid w:val="00DB2965"/>
    <w:rsid w:val="00DB2A1D"/>
    <w:rsid w:val="00DB2B56"/>
    <w:rsid w:val="00DB3AB8"/>
    <w:rsid w:val="00DB3C6A"/>
    <w:rsid w:val="00DB3CD1"/>
    <w:rsid w:val="00DB4C5F"/>
    <w:rsid w:val="00DB51BC"/>
    <w:rsid w:val="00DB5BF3"/>
    <w:rsid w:val="00DB636B"/>
    <w:rsid w:val="00DB74AF"/>
    <w:rsid w:val="00DB7953"/>
    <w:rsid w:val="00DC000A"/>
    <w:rsid w:val="00DC00F8"/>
    <w:rsid w:val="00DC01B4"/>
    <w:rsid w:val="00DC1344"/>
    <w:rsid w:val="00DC181E"/>
    <w:rsid w:val="00DC2128"/>
    <w:rsid w:val="00DC22CB"/>
    <w:rsid w:val="00DC332D"/>
    <w:rsid w:val="00DC3A9B"/>
    <w:rsid w:val="00DC3F85"/>
    <w:rsid w:val="00DC4403"/>
    <w:rsid w:val="00DC4920"/>
    <w:rsid w:val="00DC5F9B"/>
    <w:rsid w:val="00DC6637"/>
    <w:rsid w:val="00DC6923"/>
    <w:rsid w:val="00DC6DED"/>
    <w:rsid w:val="00DC71A5"/>
    <w:rsid w:val="00DC741C"/>
    <w:rsid w:val="00DC75BE"/>
    <w:rsid w:val="00DC7845"/>
    <w:rsid w:val="00DC78A3"/>
    <w:rsid w:val="00DC7F3E"/>
    <w:rsid w:val="00DC7F7F"/>
    <w:rsid w:val="00DD049A"/>
    <w:rsid w:val="00DD1916"/>
    <w:rsid w:val="00DD1FF6"/>
    <w:rsid w:val="00DD25E4"/>
    <w:rsid w:val="00DD2E76"/>
    <w:rsid w:val="00DD3504"/>
    <w:rsid w:val="00DD57C3"/>
    <w:rsid w:val="00DD596A"/>
    <w:rsid w:val="00DD6983"/>
    <w:rsid w:val="00DD6BDB"/>
    <w:rsid w:val="00DD7200"/>
    <w:rsid w:val="00DD7321"/>
    <w:rsid w:val="00DD7727"/>
    <w:rsid w:val="00DE035B"/>
    <w:rsid w:val="00DE0432"/>
    <w:rsid w:val="00DE19F4"/>
    <w:rsid w:val="00DE36E9"/>
    <w:rsid w:val="00DE39BD"/>
    <w:rsid w:val="00DE4373"/>
    <w:rsid w:val="00DE479F"/>
    <w:rsid w:val="00DE609E"/>
    <w:rsid w:val="00DE6158"/>
    <w:rsid w:val="00DE64EB"/>
    <w:rsid w:val="00DE6633"/>
    <w:rsid w:val="00DE6D9C"/>
    <w:rsid w:val="00DF02BE"/>
    <w:rsid w:val="00DF0C97"/>
    <w:rsid w:val="00DF1CC3"/>
    <w:rsid w:val="00DF230C"/>
    <w:rsid w:val="00DF5951"/>
    <w:rsid w:val="00DF7147"/>
    <w:rsid w:val="00DF78B9"/>
    <w:rsid w:val="00DF7E0E"/>
    <w:rsid w:val="00E001A8"/>
    <w:rsid w:val="00E00261"/>
    <w:rsid w:val="00E00862"/>
    <w:rsid w:val="00E012B4"/>
    <w:rsid w:val="00E01996"/>
    <w:rsid w:val="00E03EF6"/>
    <w:rsid w:val="00E040FA"/>
    <w:rsid w:val="00E042F4"/>
    <w:rsid w:val="00E0472F"/>
    <w:rsid w:val="00E04D88"/>
    <w:rsid w:val="00E05FA4"/>
    <w:rsid w:val="00E06485"/>
    <w:rsid w:val="00E06E5D"/>
    <w:rsid w:val="00E07783"/>
    <w:rsid w:val="00E07BDB"/>
    <w:rsid w:val="00E109F9"/>
    <w:rsid w:val="00E10FDB"/>
    <w:rsid w:val="00E114E4"/>
    <w:rsid w:val="00E11C02"/>
    <w:rsid w:val="00E120FD"/>
    <w:rsid w:val="00E124AF"/>
    <w:rsid w:val="00E12EA2"/>
    <w:rsid w:val="00E13096"/>
    <w:rsid w:val="00E134EB"/>
    <w:rsid w:val="00E13F6C"/>
    <w:rsid w:val="00E1678B"/>
    <w:rsid w:val="00E16B09"/>
    <w:rsid w:val="00E17577"/>
    <w:rsid w:val="00E21295"/>
    <w:rsid w:val="00E223F4"/>
    <w:rsid w:val="00E22AF7"/>
    <w:rsid w:val="00E22DCE"/>
    <w:rsid w:val="00E24B93"/>
    <w:rsid w:val="00E257A9"/>
    <w:rsid w:val="00E25920"/>
    <w:rsid w:val="00E25A3A"/>
    <w:rsid w:val="00E25CFD"/>
    <w:rsid w:val="00E266AC"/>
    <w:rsid w:val="00E273D3"/>
    <w:rsid w:val="00E304C5"/>
    <w:rsid w:val="00E31178"/>
    <w:rsid w:val="00E312E4"/>
    <w:rsid w:val="00E31620"/>
    <w:rsid w:val="00E31632"/>
    <w:rsid w:val="00E3183D"/>
    <w:rsid w:val="00E31879"/>
    <w:rsid w:val="00E31EE6"/>
    <w:rsid w:val="00E325F4"/>
    <w:rsid w:val="00E327E5"/>
    <w:rsid w:val="00E3286E"/>
    <w:rsid w:val="00E32906"/>
    <w:rsid w:val="00E32CD0"/>
    <w:rsid w:val="00E32ED5"/>
    <w:rsid w:val="00E3357B"/>
    <w:rsid w:val="00E34077"/>
    <w:rsid w:val="00E34F2A"/>
    <w:rsid w:val="00E35C48"/>
    <w:rsid w:val="00E36B96"/>
    <w:rsid w:val="00E37050"/>
    <w:rsid w:val="00E370AB"/>
    <w:rsid w:val="00E3746D"/>
    <w:rsid w:val="00E403BB"/>
    <w:rsid w:val="00E405F7"/>
    <w:rsid w:val="00E41712"/>
    <w:rsid w:val="00E420F8"/>
    <w:rsid w:val="00E42E12"/>
    <w:rsid w:val="00E44B09"/>
    <w:rsid w:val="00E45253"/>
    <w:rsid w:val="00E452FE"/>
    <w:rsid w:val="00E45419"/>
    <w:rsid w:val="00E45B3E"/>
    <w:rsid w:val="00E460A8"/>
    <w:rsid w:val="00E47061"/>
    <w:rsid w:val="00E4717F"/>
    <w:rsid w:val="00E4771C"/>
    <w:rsid w:val="00E50426"/>
    <w:rsid w:val="00E5066F"/>
    <w:rsid w:val="00E51155"/>
    <w:rsid w:val="00E512EF"/>
    <w:rsid w:val="00E51A6D"/>
    <w:rsid w:val="00E51DD8"/>
    <w:rsid w:val="00E51FD1"/>
    <w:rsid w:val="00E52447"/>
    <w:rsid w:val="00E53F4A"/>
    <w:rsid w:val="00E5498D"/>
    <w:rsid w:val="00E55A31"/>
    <w:rsid w:val="00E5641D"/>
    <w:rsid w:val="00E56759"/>
    <w:rsid w:val="00E6159B"/>
    <w:rsid w:val="00E6310E"/>
    <w:rsid w:val="00E63FB5"/>
    <w:rsid w:val="00E64D85"/>
    <w:rsid w:val="00E64FC5"/>
    <w:rsid w:val="00E6526E"/>
    <w:rsid w:val="00E6550F"/>
    <w:rsid w:val="00E65DA5"/>
    <w:rsid w:val="00E66E82"/>
    <w:rsid w:val="00E671F3"/>
    <w:rsid w:val="00E675C5"/>
    <w:rsid w:val="00E676BA"/>
    <w:rsid w:val="00E67C0E"/>
    <w:rsid w:val="00E67C2C"/>
    <w:rsid w:val="00E71AC1"/>
    <w:rsid w:val="00E73C4F"/>
    <w:rsid w:val="00E743C8"/>
    <w:rsid w:val="00E74543"/>
    <w:rsid w:val="00E757AF"/>
    <w:rsid w:val="00E75A5B"/>
    <w:rsid w:val="00E75AEB"/>
    <w:rsid w:val="00E75F91"/>
    <w:rsid w:val="00E7688C"/>
    <w:rsid w:val="00E76B71"/>
    <w:rsid w:val="00E76D5A"/>
    <w:rsid w:val="00E77BB2"/>
    <w:rsid w:val="00E80092"/>
    <w:rsid w:val="00E81A53"/>
    <w:rsid w:val="00E82139"/>
    <w:rsid w:val="00E8282E"/>
    <w:rsid w:val="00E82C0E"/>
    <w:rsid w:val="00E82CD0"/>
    <w:rsid w:val="00E83813"/>
    <w:rsid w:val="00E8387B"/>
    <w:rsid w:val="00E84D5F"/>
    <w:rsid w:val="00E85501"/>
    <w:rsid w:val="00E86278"/>
    <w:rsid w:val="00E86A81"/>
    <w:rsid w:val="00E875A6"/>
    <w:rsid w:val="00E87BE5"/>
    <w:rsid w:val="00E90CBB"/>
    <w:rsid w:val="00E91734"/>
    <w:rsid w:val="00E91DFC"/>
    <w:rsid w:val="00E9215A"/>
    <w:rsid w:val="00E92D18"/>
    <w:rsid w:val="00E92D20"/>
    <w:rsid w:val="00E9374F"/>
    <w:rsid w:val="00E943BA"/>
    <w:rsid w:val="00E95FF3"/>
    <w:rsid w:val="00E96669"/>
    <w:rsid w:val="00EA19DF"/>
    <w:rsid w:val="00EA1A09"/>
    <w:rsid w:val="00EA1BD8"/>
    <w:rsid w:val="00EA293D"/>
    <w:rsid w:val="00EA2F4F"/>
    <w:rsid w:val="00EA3045"/>
    <w:rsid w:val="00EA32F0"/>
    <w:rsid w:val="00EA3AA4"/>
    <w:rsid w:val="00EA4425"/>
    <w:rsid w:val="00EA4525"/>
    <w:rsid w:val="00EA463E"/>
    <w:rsid w:val="00EA4A6C"/>
    <w:rsid w:val="00EA4FA6"/>
    <w:rsid w:val="00EA5236"/>
    <w:rsid w:val="00EA5400"/>
    <w:rsid w:val="00EA583E"/>
    <w:rsid w:val="00EA5869"/>
    <w:rsid w:val="00EB050A"/>
    <w:rsid w:val="00EB063A"/>
    <w:rsid w:val="00EB0692"/>
    <w:rsid w:val="00EB07D3"/>
    <w:rsid w:val="00EB1619"/>
    <w:rsid w:val="00EB1E97"/>
    <w:rsid w:val="00EB2530"/>
    <w:rsid w:val="00EB2B28"/>
    <w:rsid w:val="00EB2EEB"/>
    <w:rsid w:val="00EB356C"/>
    <w:rsid w:val="00EB39C6"/>
    <w:rsid w:val="00EB57F9"/>
    <w:rsid w:val="00EB5C63"/>
    <w:rsid w:val="00EB6FF1"/>
    <w:rsid w:val="00EB712C"/>
    <w:rsid w:val="00EC05C1"/>
    <w:rsid w:val="00EC0CCD"/>
    <w:rsid w:val="00EC11CE"/>
    <w:rsid w:val="00EC1766"/>
    <w:rsid w:val="00EC1962"/>
    <w:rsid w:val="00EC1A36"/>
    <w:rsid w:val="00EC1E98"/>
    <w:rsid w:val="00EC2809"/>
    <w:rsid w:val="00EC427C"/>
    <w:rsid w:val="00EC4CB9"/>
    <w:rsid w:val="00EC5069"/>
    <w:rsid w:val="00EC5093"/>
    <w:rsid w:val="00EC52E1"/>
    <w:rsid w:val="00EC652F"/>
    <w:rsid w:val="00EC6B7F"/>
    <w:rsid w:val="00EC784C"/>
    <w:rsid w:val="00EC7B88"/>
    <w:rsid w:val="00ED27D1"/>
    <w:rsid w:val="00ED2EC8"/>
    <w:rsid w:val="00ED3E43"/>
    <w:rsid w:val="00ED4AA1"/>
    <w:rsid w:val="00ED4B6C"/>
    <w:rsid w:val="00ED4D33"/>
    <w:rsid w:val="00ED527B"/>
    <w:rsid w:val="00ED54A4"/>
    <w:rsid w:val="00ED7373"/>
    <w:rsid w:val="00ED7481"/>
    <w:rsid w:val="00EE0D84"/>
    <w:rsid w:val="00EE11E6"/>
    <w:rsid w:val="00EE177D"/>
    <w:rsid w:val="00EE1AE2"/>
    <w:rsid w:val="00EE1C2E"/>
    <w:rsid w:val="00EE20B6"/>
    <w:rsid w:val="00EE285E"/>
    <w:rsid w:val="00EE2AAB"/>
    <w:rsid w:val="00EE3141"/>
    <w:rsid w:val="00EE3247"/>
    <w:rsid w:val="00EE3F4C"/>
    <w:rsid w:val="00EE4924"/>
    <w:rsid w:val="00EE4B95"/>
    <w:rsid w:val="00EE4D2A"/>
    <w:rsid w:val="00EE524C"/>
    <w:rsid w:val="00EE5C37"/>
    <w:rsid w:val="00EE6BAA"/>
    <w:rsid w:val="00EE6FE2"/>
    <w:rsid w:val="00EE7086"/>
    <w:rsid w:val="00EE7A24"/>
    <w:rsid w:val="00EF0988"/>
    <w:rsid w:val="00EF14D1"/>
    <w:rsid w:val="00EF1A83"/>
    <w:rsid w:val="00EF1E17"/>
    <w:rsid w:val="00EF2063"/>
    <w:rsid w:val="00EF2F22"/>
    <w:rsid w:val="00EF300D"/>
    <w:rsid w:val="00EF4B0A"/>
    <w:rsid w:val="00EF4BB5"/>
    <w:rsid w:val="00EF4E6A"/>
    <w:rsid w:val="00EF52C3"/>
    <w:rsid w:val="00EF58CD"/>
    <w:rsid w:val="00EF652F"/>
    <w:rsid w:val="00EF6DC3"/>
    <w:rsid w:val="00EF7B13"/>
    <w:rsid w:val="00F00343"/>
    <w:rsid w:val="00F0059D"/>
    <w:rsid w:val="00F00678"/>
    <w:rsid w:val="00F010F7"/>
    <w:rsid w:val="00F014F5"/>
    <w:rsid w:val="00F038AE"/>
    <w:rsid w:val="00F04A52"/>
    <w:rsid w:val="00F05662"/>
    <w:rsid w:val="00F059B0"/>
    <w:rsid w:val="00F05CDA"/>
    <w:rsid w:val="00F0740E"/>
    <w:rsid w:val="00F109B3"/>
    <w:rsid w:val="00F10C7D"/>
    <w:rsid w:val="00F1157C"/>
    <w:rsid w:val="00F125D7"/>
    <w:rsid w:val="00F13052"/>
    <w:rsid w:val="00F139C4"/>
    <w:rsid w:val="00F1408D"/>
    <w:rsid w:val="00F14543"/>
    <w:rsid w:val="00F14B5A"/>
    <w:rsid w:val="00F14FAD"/>
    <w:rsid w:val="00F1579D"/>
    <w:rsid w:val="00F15932"/>
    <w:rsid w:val="00F15BA0"/>
    <w:rsid w:val="00F15C32"/>
    <w:rsid w:val="00F16215"/>
    <w:rsid w:val="00F17636"/>
    <w:rsid w:val="00F17E54"/>
    <w:rsid w:val="00F20455"/>
    <w:rsid w:val="00F20836"/>
    <w:rsid w:val="00F21000"/>
    <w:rsid w:val="00F21147"/>
    <w:rsid w:val="00F2119A"/>
    <w:rsid w:val="00F21B3C"/>
    <w:rsid w:val="00F236B1"/>
    <w:rsid w:val="00F23E7B"/>
    <w:rsid w:val="00F24828"/>
    <w:rsid w:val="00F2486F"/>
    <w:rsid w:val="00F2527A"/>
    <w:rsid w:val="00F25E14"/>
    <w:rsid w:val="00F26AF0"/>
    <w:rsid w:val="00F26E31"/>
    <w:rsid w:val="00F306E4"/>
    <w:rsid w:val="00F30A61"/>
    <w:rsid w:val="00F30E5E"/>
    <w:rsid w:val="00F30E8F"/>
    <w:rsid w:val="00F314A3"/>
    <w:rsid w:val="00F31AB8"/>
    <w:rsid w:val="00F31D69"/>
    <w:rsid w:val="00F31EB1"/>
    <w:rsid w:val="00F32177"/>
    <w:rsid w:val="00F324A4"/>
    <w:rsid w:val="00F3316E"/>
    <w:rsid w:val="00F33304"/>
    <w:rsid w:val="00F334C0"/>
    <w:rsid w:val="00F336A7"/>
    <w:rsid w:val="00F34EC8"/>
    <w:rsid w:val="00F354FD"/>
    <w:rsid w:val="00F35508"/>
    <w:rsid w:val="00F355CC"/>
    <w:rsid w:val="00F356C8"/>
    <w:rsid w:val="00F35817"/>
    <w:rsid w:val="00F35EFD"/>
    <w:rsid w:val="00F35F3A"/>
    <w:rsid w:val="00F36198"/>
    <w:rsid w:val="00F36A20"/>
    <w:rsid w:val="00F36CA8"/>
    <w:rsid w:val="00F40016"/>
    <w:rsid w:val="00F4200A"/>
    <w:rsid w:val="00F4248F"/>
    <w:rsid w:val="00F430A4"/>
    <w:rsid w:val="00F43A67"/>
    <w:rsid w:val="00F44016"/>
    <w:rsid w:val="00F44333"/>
    <w:rsid w:val="00F44385"/>
    <w:rsid w:val="00F44AA7"/>
    <w:rsid w:val="00F4522A"/>
    <w:rsid w:val="00F453F9"/>
    <w:rsid w:val="00F457E9"/>
    <w:rsid w:val="00F46335"/>
    <w:rsid w:val="00F46850"/>
    <w:rsid w:val="00F47096"/>
    <w:rsid w:val="00F50675"/>
    <w:rsid w:val="00F50F78"/>
    <w:rsid w:val="00F516C5"/>
    <w:rsid w:val="00F51DCB"/>
    <w:rsid w:val="00F5249E"/>
    <w:rsid w:val="00F527DC"/>
    <w:rsid w:val="00F528D5"/>
    <w:rsid w:val="00F52EE0"/>
    <w:rsid w:val="00F5393F"/>
    <w:rsid w:val="00F54A51"/>
    <w:rsid w:val="00F56372"/>
    <w:rsid w:val="00F56D35"/>
    <w:rsid w:val="00F56D44"/>
    <w:rsid w:val="00F5783A"/>
    <w:rsid w:val="00F607B3"/>
    <w:rsid w:val="00F61B23"/>
    <w:rsid w:val="00F62199"/>
    <w:rsid w:val="00F62DEA"/>
    <w:rsid w:val="00F63480"/>
    <w:rsid w:val="00F638C7"/>
    <w:rsid w:val="00F63CDA"/>
    <w:rsid w:val="00F641B2"/>
    <w:rsid w:val="00F643CE"/>
    <w:rsid w:val="00F65116"/>
    <w:rsid w:val="00F65505"/>
    <w:rsid w:val="00F664A3"/>
    <w:rsid w:val="00F675E7"/>
    <w:rsid w:val="00F676D1"/>
    <w:rsid w:val="00F67740"/>
    <w:rsid w:val="00F678B7"/>
    <w:rsid w:val="00F67CF8"/>
    <w:rsid w:val="00F70F94"/>
    <w:rsid w:val="00F7124F"/>
    <w:rsid w:val="00F7208E"/>
    <w:rsid w:val="00F72A1C"/>
    <w:rsid w:val="00F72D66"/>
    <w:rsid w:val="00F72DCC"/>
    <w:rsid w:val="00F734C6"/>
    <w:rsid w:val="00F743C0"/>
    <w:rsid w:val="00F7484F"/>
    <w:rsid w:val="00F75746"/>
    <w:rsid w:val="00F757F1"/>
    <w:rsid w:val="00F7641C"/>
    <w:rsid w:val="00F76B03"/>
    <w:rsid w:val="00F76E73"/>
    <w:rsid w:val="00F77935"/>
    <w:rsid w:val="00F77FD7"/>
    <w:rsid w:val="00F80057"/>
    <w:rsid w:val="00F803AC"/>
    <w:rsid w:val="00F80416"/>
    <w:rsid w:val="00F80A5D"/>
    <w:rsid w:val="00F81161"/>
    <w:rsid w:val="00F81329"/>
    <w:rsid w:val="00F81626"/>
    <w:rsid w:val="00F820F3"/>
    <w:rsid w:val="00F823E8"/>
    <w:rsid w:val="00F8546B"/>
    <w:rsid w:val="00F86802"/>
    <w:rsid w:val="00F87214"/>
    <w:rsid w:val="00F87277"/>
    <w:rsid w:val="00F87412"/>
    <w:rsid w:val="00F87C28"/>
    <w:rsid w:val="00F90A99"/>
    <w:rsid w:val="00F9179F"/>
    <w:rsid w:val="00F91998"/>
    <w:rsid w:val="00F923DA"/>
    <w:rsid w:val="00F93B9D"/>
    <w:rsid w:val="00F93C2A"/>
    <w:rsid w:val="00F9425A"/>
    <w:rsid w:val="00F9430A"/>
    <w:rsid w:val="00F957DB"/>
    <w:rsid w:val="00F96183"/>
    <w:rsid w:val="00F96208"/>
    <w:rsid w:val="00F96246"/>
    <w:rsid w:val="00F96E73"/>
    <w:rsid w:val="00F972D3"/>
    <w:rsid w:val="00F976E6"/>
    <w:rsid w:val="00F97EA4"/>
    <w:rsid w:val="00FA0E0D"/>
    <w:rsid w:val="00FA149E"/>
    <w:rsid w:val="00FA15A9"/>
    <w:rsid w:val="00FA1D8E"/>
    <w:rsid w:val="00FA26F6"/>
    <w:rsid w:val="00FA4190"/>
    <w:rsid w:val="00FA4847"/>
    <w:rsid w:val="00FA50B6"/>
    <w:rsid w:val="00FA6509"/>
    <w:rsid w:val="00FA6E3C"/>
    <w:rsid w:val="00FA7255"/>
    <w:rsid w:val="00FA755C"/>
    <w:rsid w:val="00FA779C"/>
    <w:rsid w:val="00FA791A"/>
    <w:rsid w:val="00FB05F4"/>
    <w:rsid w:val="00FB0879"/>
    <w:rsid w:val="00FB1497"/>
    <w:rsid w:val="00FB1BFD"/>
    <w:rsid w:val="00FB20E2"/>
    <w:rsid w:val="00FB4B92"/>
    <w:rsid w:val="00FB4C2C"/>
    <w:rsid w:val="00FB4F60"/>
    <w:rsid w:val="00FB52DD"/>
    <w:rsid w:val="00FB5640"/>
    <w:rsid w:val="00FB5C74"/>
    <w:rsid w:val="00FB7B46"/>
    <w:rsid w:val="00FC0141"/>
    <w:rsid w:val="00FC0575"/>
    <w:rsid w:val="00FC0694"/>
    <w:rsid w:val="00FC08FB"/>
    <w:rsid w:val="00FC0A2F"/>
    <w:rsid w:val="00FC176A"/>
    <w:rsid w:val="00FC1B89"/>
    <w:rsid w:val="00FC20F4"/>
    <w:rsid w:val="00FC30BC"/>
    <w:rsid w:val="00FC3E25"/>
    <w:rsid w:val="00FC4715"/>
    <w:rsid w:val="00FC498C"/>
    <w:rsid w:val="00FC4E3E"/>
    <w:rsid w:val="00FC5ED9"/>
    <w:rsid w:val="00FC6E5E"/>
    <w:rsid w:val="00FC714E"/>
    <w:rsid w:val="00FC73BE"/>
    <w:rsid w:val="00FD06A2"/>
    <w:rsid w:val="00FD0709"/>
    <w:rsid w:val="00FD070E"/>
    <w:rsid w:val="00FD0E54"/>
    <w:rsid w:val="00FD0EF0"/>
    <w:rsid w:val="00FD185C"/>
    <w:rsid w:val="00FD18EB"/>
    <w:rsid w:val="00FD23F1"/>
    <w:rsid w:val="00FD43C2"/>
    <w:rsid w:val="00FD594D"/>
    <w:rsid w:val="00FD6042"/>
    <w:rsid w:val="00FD6197"/>
    <w:rsid w:val="00FD6BE2"/>
    <w:rsid w:val="00FD6FFF"/>
    <w:rsid w:val="00FD7FA4"/>
    <w:rsid w:val="00FE0314"/>
    <w:rsid w:val="00FE0DCD"/>
    <w:rsid w:val="00FE0EE8"/>
    <w:rsid w:val="00FE15C8"/>
    <w:rsid w:val="00FE2469"/>
    <w:rsid w:val="00FE2C7E"/>
    <w:rsid w:val="00FE30A4"/>
    <w:rsid w:val="00FE3CF4"/>
    <w:rsid w:val="00FE4C24"/>
    <w:rsid w:val="00FE4D15"/>
    <w:rsid w:val="00FE58AB"/>
    <w:rsid w:val="00FE68D2"/>
    <w:rsid w:val="00FE6B34"/>
    <w:rsid w:val="00FE6F4E"/>
    <w:rsid w:val="00FE7AED"/>
    <w:rsid w:val="00FF004C"/>
    <w:rsid w:val="00FF1B0F"/>
    <w:rsid w:val="00FF21E8"/>
    <w:rsid w:val="00FF3403"/>
    <w:rsid w:val="00FF67C6"/>
    <w:rsid w:val="00FF6C73"/>
    <w:rsid w:val="00FF6CFA"/>
    <w:rsid w:val="00FF6EFD"/>
    <w:rsid w:val="00FF7952"/>
    <w:rsid w:val="010159AE"/>
    <w:rsid w:val="01030E86"/>
    <w:rsid w:val="011D167F"/>
    <w:rsid w:val="011E677C"/>
    <w:rsid w:val="016C23E0"/>
    <w:rsid w:val="01B4017C"/>
    <w:rsid w:val="01FA06CC"/>
    <w:rsid w:val="02076A8E"/>
    <w:rsid w:val="020A19B3"/>
    <w:rsid w:val="0242549F"/>
    <w:rsid w:val="025C7777"/>
    <w:rsid w:val="02B5742E"/>
    <w:rsid w:val="02BC3E9F"/>
    <w:rsid w:val="02BF1515"/>
    <w:rsid w:val="02F65820"/>
    <w:rsid w:val="0321202E"/>
    <w:rsid w:val="034E3DBB"/>
    <w:rsid w:val="0359193E"/>
    <w:rsid w:val="039840F6"/>
    <w:rsid w:val="03B23C12"/>
    <w:rsid w:val="03EE22C9"/>
    <w:rsid w:val="03FC7226"/>
    <w:rsid w:val="042A1451"/>
    <w:rsid w:val="050B3639"/>
    <w:rsid w:val="05154454"/>
    <w:rsid w:val="053278BB"/>
    <w:rsid w:val="057D77DA"/>
    <w:rsid w:val="05854D69"/>
    <w:rsid w:val="05DC40DC"/>
    <w:rsid w:val="05E51FB5"/>
    <w:rsid w:val="06751496"/>
    <w:rsid w:val="067F49C6"/>
    <w:rsid w:val="06A102D8"/>
    <w:rsid w:val="06CA6F0E"/>
    <w:rsid w:val="06D94902"/>
    <w:rsid w:val="06F76619"/>
    <w:rsid w:val="075B7CDE"/>
    <w:rsid w:val="077A71C4"/>
    <w:rsid w:val="07DD467A"/>
    <w:rsid w:val="080B179B"/>
    <w:rsid w:val="081B1C8C"/>
    <w:rsid w:val="084B7B7F"/>
    <w:rsid w:val="08762BD8"/>
    <w:rsid w:val="08904401"/>
    <w:rsid w:val="08D202E8"/>
    <w:rsid w:val="092B6F40"/>
    <w:rsid w:val="093E0D00"/>
    <w:rsid w:val="098D101E"/>
    <w:rsid w:val="099B796F"/>
    <w:rsid w:val="09A47E68"/>
    <w:rsid w:val="09C96DF0"/>
    <w:rsid w:val="09FB12CB"/>
    <w:rsid w:val="0A191ACC"/>
    <w:rsid w:val="0A335CE2"/>
    <w:rsid w:val="0AC76ABF"/>
    <w:rsid w:val="0B136C66"/>
    <w:rsid w:val="0B147892"/>
    <w:rsid w:val="0B630F4E"/>
    <w:rsid w:val="0B767F5D"/>
    <w:rsid w:val="0B8956E5"/>
    <w:rsid w:val="0BB9659A"/>
    <w:rsid w:val="0BBC1469"/>
    <w:rsid w:val="0BC54A09"/>
    <w:rsid w:val="0BEE589E"/>
    <w:rsid w:val="0BEF4A8D"/>
    <w:rsid w:val="0C0C0B9F"/>
    <w:rsid w:val="0C243E2A"/>
    <w:rsid w:val="0C706546"/>
    <w:rsid w:val="0C755255"/>
    <w:rsid w:val="0CE22390"/>
    <w:rsid w:val="0D0A1BCF"/>
    <w:rsid w:val="0D1B0275"/>
    <w:rsid w:val="0D205E44"/>
    <w:rsid w:val="0D285918"/>
    <w:rsid w:val="0D4A225D"/>
    <w:rsid w:val="0D597D40"/>
    <w:rsid w:val="0D6F7582"/>
    <w:rsid w:val="0D787973"/>
    <w:rsid w:val="0D945C06"/>
    <w:rsid w:val="0DCC2BEA"/>
    <w:rsid w:val="0DD002B9"/>
    <w:rsid w:val="0DE867D6"/>
    <w:rsid w:val="0DF52BB1"/>
    <w:rsid w:val="0E0B45FF"/>
    <w:rsid w:val="0E8C396F"/>
    <w:rsid w:val="0EBE0829"/>
    <w:rsid w:val="0F5C73A1"/>
    <w:rsid w:val="0F9D05FF"/>
    <w:rsid w:val="0FBB2AC0"/>
    <w:rsid w:val="0FCA0808"/>
    <w:rsid w:val="0FF3635B"/>
    <w:rsid w:val="10480AF1"/>
    <w:rsid w:val="10563E73"/>
    <w:rsid w:val="10D10D1E"/>
    <w:rsid w:val="10FA29A8"/>
    <w:rsid w:val="10FA676B"/>
    <w:rsid w:val="11321AC0"/>
    <w:rsid w:val="114A061D"/>
    <w:rsid w:val="11EE66B9"/>
    <w:rsid w:val="11F54185"/>
    <w:rsid w:val="11F63E74"/>
    <w:rsid w:val="127206BD"/>
    <w:rsid w:val="12BC0DD4"/>
    <w:rsid w:val="12CB5EEF"/>
    <w:rsid w:val="13022A60"/>
    <w:rsid w:val="131A5191"/>
    <w:rsid w:val="13391B33"/>
    <w:rsid w:val="13517FF7"/>
    <w:rsid w:val="13CC3122"/>
    <w:rsid w:val="13ED3812"/>
    <w:rsid w:val="141A2921"/>
    <w:rsid w:val="141C1FD6"/>
    <w:rsid w:val="14234EA3"/>
    <w:rsid w:val="144C40BE"/>
    <w:rsid w:val="14DA53BF"/>
    <w:rsid w:val="150465E9"/>
    <w:rsid w:val="151B5BFA"/>
    <w:rsid w:val="153D6E51"/>
    <w:rsid w:val="157A6D6E"/>
    <w:rsid w:val="157E73A0"/>
    <w:rsid w:val="15BA3C1A"/>
    <w:rsid w:val="15EC5AE8"/>
    <w:rsid w:val="16273B90"/>
    <w:rsid w:val="164E4689"/>
    <w:rsid w:val="165E221E"/>
    <w:rsid w:val="165F2CF2"/>
    <w:rsid w:val="16743E31"/>
    <w:rsid w:val="16CE71E9"/>
    <w:rsid w:val="16EE34F7"/>
    <w:rsid w:val="174D4DA3"/>
    <w:rsid w:val="17FD5CF8"/>
    <w:rsid w:val="1828055E"/>
    <w:rsid w:val="18766D5C"/>
    <w:rsid w:val="187732D4"/>
    <w:rsid w:val="18D3322C"/>
    <w:rsid w:val="18D36B32"/>
    <w:rsid w:val="18E35F75"/>
    <w:rsid w:val="193821C1"/>
    <w:rsid w:val="193B720B"/>
    <w:rsid w:val="19B71D15"/>
    <w:rsid w:val="1A070E5D"/>
    <w:rsid w:val="1A2623A5"/>
    <w:rsid w:val="1A702027"/>
    <w:rsid w:val="1B196450"/>
    <w:rsid w:val="1B2C344A"/>
    <w:rsid w:val="1B3859BB"/>
    <w:rsid w:val="1BD6415B"/>
    <w:rsid w:val="1BF0048C"/>
    <w:rsid w:val="1C204B72"/>
    <w:rsid w:val="1C583E5D"/>
    <w:rsid w:val="1C8C130D"/>
    <w:rsid w:val="1CA307FF"/>
    <w:rsid w:val="1CC225DD"/>
    <w:rsid w:val="1CC51F1F"/>
    <w:rsid w:val="1D2A126F"/>
    <w:rsid w:val="1D444EDF"/>
    <w:rsid w:val="1D75572C"/>
    <w:rsid w:val="1DEC5E46"/>
    <w:rsid w:val="1DFD5D9B"/>
    <w:rsid w:val="1E3A17FF"/>
    <w:rsid w:val="1E437605"/>
    <w:rsid w:val="1E58446C"/>
    <w:rsid w:val="1E8B1540"/>
    <w:rsid w:val="1EAA6C0E"/>
    <w:rsid w:val="1EC952A8"/>
    <w:rsid w:val="1EE24C35"/>
    <w:rsid w:val="1F0F2C24"/>
    <w:rsid w:val="1F2E59B9"/>
    <w:rsid w:val="1F6C46A4"/>
    <w:rsid w:val="1F96516F"/>
    <w:rsid w:val="1FAC2718"/>
    <w:rsid w:val="1FE67A2A"/>
    <w:rsid w:val="1FE82CEE"/>
    <w:rsid w:val="201052B5"/>
    <w:rsid w:val="20492636"/>
    <w:rsid w:val="2083485E"/>
    <w:rsid w:val="20B268DE"/>
    <w:rsid w:val="20CF170C"/>
    <w:rsid w:val="20F57270"/>
    <w:rsid w:val="2139674D"/>
    <w:rsid w:val="2188552B"/>
    <w:rsid w:val="21C73EEC"/>
    <w:rsid w:val="22142A77"/>
    <w:rsid w:val="22175505"/>
    <w:rsid w:val="22410859"/>
    <w:rsid w:val="22496FF8"/>
    <w:rsid w:val="226E2211"/>
    <w:rsid w:val="22896798"/>
    <w:rsid w:val="22DA38E6"/>
    <w:rsid w:val="230C79F5"/>
    <w:rsid w:val="23511A08"/>
    <w:rsid w:val="2361269A"/>
    <w:rsid w:val="23C63AC8"/>
    <w:rsid w:val="23CF6BE4"/>
    <w:rsid w:val="24145D5B"/>
    <w:rsid w:val="24253D60"/>
    <w:rsid w:val="244D1138"/>
    <w:rsid w:val="246D2537"/>
    <w:rsid w:val="24DC278B"/>
    <w:rsid w:val="25012E29"/>
    <w:rsid w:val="254538F1"/>
    <w:rsid w:val="25687873"/>
    <w:rsid w:val="25952F74"/>
    <w:rsid w:val="25BB79B8"/>
    <w:rsid w:val="25FF561B"/>
    <w:rsid w:val="260819B4"/>
    <w:rsid w:val="262343A5"/>
    <w:rsid w:val="262476DC"/>
    <w:rsid w:val="262607DC"/>
    <w:rsid w:val="263A096A"/>
    <w:rsid w:val="263F21AD"/>
    <w:rsid w:val="26417CD1"/>
    <w:rsid w:val="26747C3A"/>
    <w:rsid w:val="26853417"/>
    <w:rsid w:val="26A06A3F"/>
    <w:rsid w:val="26B31CAB"/>
    <w:rsid w:val="26E361E8"/>
    <w:rsid w:val="26EF1AA0"/>
    <w:rsid w:val="28235E4A"/>
    <w:rsid w:val="286B09FD"/>
    <w:rsid w:val="287634F0"/>
    <w:rsid w:val="28924ECE"/>
    <w:rsid w:val="28A260D4"/>
    <w:rsid w:val="28A30F7E"/>
    <w:rsid w:val="28C406DF"/>
    <w:rsid w:val="28DC428F"/>
    <w:rsid w:val="290E65B3"/>
    <w:rsid w:val="29BD75B5"/>
    <w:rsid w:val="29F36FE0"/>
    <w:rsid w:val="29FD79BA"/>
    <w:rsid w:val="2A2A273C"/>
    <w:rsid w:val="2A4E4338"/>
    <w:rsid w:val="2B155FDD"/>
    <w:rsid w:val="2B630A82"/>
    <w:rsid w:val="2B7A2802"/>
    <w:rsid w:val="2B806CD8"/>
    <w:rsid w:val="2BB35B03"/>
    <w:rsid w:val="2BC66177"/>
    <w:rsid w:val="2C6110AC"/>
    <w:rsid w:val="2C775B06"/>
    <w:rsid w:val="2C7A6EED"/>
    <w:rsid w:val="2C7A7E2A"/>
    <w:rsid w:val="2CBE56D8"/>
    <w:rsid w:val="2CC92EE2"/>
    <w:rsid w:val="2CCA7B38"/>
    <w:rsid w:val="2D3A7E91"/>
    <w:rsid w:val="2D916349"/>
    <w:rsid w:val="2D981B38"/>
    <w:rsid w:val="2DA97EE5"/>
    <w:rsid w:val="2DCB20DF"/>
    <w:rsid w:val="2DD97BC5"/>
    <w:rsid w:val="2E382CBB"/>
    <w:rsid w:val="2E3B6C24"/>
    <w:rsid w:val="2E720C58"/>
    <w:rsid w:val="2E851E88"/>
    <w:rsid w:val="2EB51489"/>
    <w:rsid w:val="2EC176D6"/>
    <w:rsid w:val="2F103B1D"/>
    <w:rsid w:val="2F6B7CC0"/>
    <w:rsid w:val="2F726131"/>
    <w:rsid w:val="2F770F98"/>
    <w:rsid w:val="2F895F6B"/>
    <w:rsid w:val="2FB539CB"/>
    <w:rsid w:val="2FD40C84"/>
    <w:rsid w:val="2FDB5CC5"/>
    <w:rsid w:val="2FE82C58"/>
    <w:rsid w:val="3057343D"/>
    <w:rsid w:val="30611815"/>
    <w:rsid w:val="30710FF9"/>
    <w:rsid w:val="30A05D0A"/>
    <w:rsid w:val="30B766C6"/>
    <w:rsid w:val="30FA3B2A"/>
    <w:rsid w:val="30FE6160"/>
    <w:rsid w:val="310966F9"/>
    <w:rsid w:val="31223687"/>
    <w:rsid w:val="314A1BF8"/>
    <w:rsid w:val="316E04D9"/>
    <w:rsid w:val="317734FE"/>
    <w:rsid w:val="317D3191"/>
    <w:rsid w:val="31AF279F"/>
    <w:rsid w:val="320630D1"/>
    <w:rsid w:val="320B47B3"/>
    <w:rsid w:val="32352D3F"/>
    <w:rsid w:val="3274194D"/>
    <w:rsid w:val="32AC3CB0"/>
    <w:rsid w:val="32E150AB"/>
    <w:rsid w:val="32EB3BB0"/>
    <w:rsid w:val="33531B35"/>
    <w:rsid w:val="33A24FD6"/>
    <w:rsid w:val="33C85E84"/>
    <w:rsid w:val="33F27615"/>
    <w:rsid w:val="34121D0A"/>
    <w:rsid w:val="342F4D5B"/>
    <w:rsid w:val="343D02FC"/>
    <w:rsid w:val="34723006"/>
    <w:rsid w:val="34B8012E"/>
    <w:rsid w:val="34F22A61"/>
    <w:rsid w:val="352F0B8A"/>
    <w:rsid w:val="355D690D"/>
    <w:rsid w:val="35784EE9"/>
    <w:rsid w:val="357A00DC"/>
    <w:rsid w:val="357B4AEA"/>
    <w:rsid w:val="35C1572B"/>
    <w:rsid w:val="35E5058A"/>
    <w:rsid w:val="35F923E2"/>
    <w:rsid w:val="36AF0D4D"/>
    <w:rsid w:val="371777CE"/>
    <w:rsid w:val="3742208F"/>
    <w:rsid w:val="37783252"/>
    <w:rsid w:val="377F79E5"/>
    <w:rsid w:val="37813D7F"/>
    <w:rsid w:val="378A27B4"/>
    <w:rsid w:val="380C2EB3"/>
    <w:rsid w:val="382736C5"/>
    <w:rsid w:val="3832127F"/>
    <w:rsid w:val="3868579B"/>
    <w:rsid w:val="387C217C"/>
    <w:rsid w:val="38845302"/>
    <w:rsid w:val="38CB1000"/>
    <w:rsid w:val="38FC471C"/>
    <w:rsid w:val="38FE7ED5"/>
    <w:rsid w:val="396402D1"/>
    <w:rsid w:val="39B37010"/>
    <w:rsid w:val="39B63AC1"/>
    <w:rsid w:val="3A250F74"/>
    <w:rsid w:val="3A8721AB"/>
    <w:rsid w:val="3A99316B"/>
    <w:rsid w:val="3AE8398C"/>
    <w:rsid w:val="3B0844CA"/>
    <w:rsid w:val="3B5A745B"/>
    <w:rsid w:val="3B64606D"/>
    <w:rsid w:val="3B8318A6"/>
    <w:rsid w:val="3BA3014F"/>
    <w:rsid w:val="3BE117A6"/>
    <w:rsid w:val="3BE21B1A"/>
    <w:rsid w:val="3C095919"/>
    <w:rsid w:val="3C0D2EC8"/>
    <w:rsid w:val="3C0F2A41"/>
    <w:rsid w:val="3C126712"/>
    <w:rsid w:val="3C223F31"/>
    <w:rsid w:val="3C5677B8"/>
    <w:rsid w:val="3C5F730D"/>
    <w:rsid w:val="3C7610B7"/>
    <w:rsid w:val="3C892438"/>
    <w:rsid w:val="3CB919B2"/>
    <w:rsid w:val="3CC2207F"/>
    <w:rsid w:val="3CDF733E"/>
    <w:rsid w:val="3CE2440C"/>
    <w:rsid w:val="3CED7D45"/>
    <w:rsid w:val="3D5B6558"/>
    <w:rsid w:val="3D603EFC"/>
    <w:rsid w:val="3DB40F5B"/>
    <w:rsid w:val="3DB85315"/>
    <w:rsid w:val="3DD43E88"/>
    <w:rsid w:val="3E0C5E8D"/>
    <w:rsid w:val="3E2C7ADD"/>
    <w:rsid w:val="3E74005D"/>
    <w:rsid w:val="3EF50DF8"/>
    <w:rsid w:val="3F9D6DAE"/>
    <w:rsid w:val="3FB14895"/>
    <w:rsid w:val="3FB7229E"/>
    <w:rsid w:val="3FCD11B9"/>
    <w:rsid w:val="3FD7604A"/>
    <w:rsid w:val="402421AC"/>
    <w:rsid w:val="4089679F"/>
    <w:rsid w:val="40A1219A"/>
    <w:rsid w:val="40F1187B"/>
    <w:rsid w:val="41163263"/>
    <w:rsid w:val="41DB7A5F"/>
    <w:rsid w:val="42152F75"/>
    <w:rsid w:val="42587480"/>
    <w:rsid w:val="425C5FE5"/>
    <w:rsid w:val="428003B2"/>
    <w:rsid w:val="42B243AE"/>
    <w:rsid w:val="42C0260F"/>
    <w:rsid w:val="42EB2281"/>
    <w:rsid w:val="432C0C78"/>
    <w:rsid w:val="43453FEA"/>
    <w:rsid w:val="437835D9"/>
    <w:rsid w:val="4398200B"/>
    <w:rsid w:val="43B909C5"/>
    <w:rsid w:val="440E1E71"/>
    <w:rsid w:val="441950C4"/>
    <w:rsid w:val="44316F47"/>
    <w:rsid w:val="44363411"/>
    <w:rsid w:val="443D052B"/>
    <w:rsid w:val="444637FA"/>
    <w:rsid w:val="44720289"/>
    <w:rsid w:val="44771939"/>
    <w:rsid w:val="44D43AF0"/>
    <w:rsid w:val="44E22421"/>
    <w:rsid w:val="45056ECF"/>
    <w:rsid w:val="457D63F4"/>
    <w:rsid w:val="4582395B"/>
    <w:rsid w:val="458E6C85"/>
    <w:rsid w:val="45CF585A"/>
    <w:rsid w:val="45E13FD4"/>
    <w:rsid w:val="45F62B36"/>
    <w:rsid w:val="46107637"/>
    <w:rsid w:val="462664F5"/>
    <w:rsid w:val="46855A4B"/>
    <w:rsid w:val="469848C0"/>
    <w:rsid w:val="46AA17D0"/>
    <w:rsid w:val="46EE1E8D"/>
    <w:rsid w:val="471E47F2"/>
    <w:rsid w:val="471F30D3"/>
    <w:rsid w:val="472E66EC"/>
    <w:rsid w:val="473C3AC5"/>
    <w:rsid w:val="474F655F"/>
    <w:rsid w:val="47DB0BF0"/>
    <w:rsid w:val="481D61F1"/>
    <w:rsid w:val="48362755"/>
    <w:rsid w:val="485108AC"/>
    <w:rsid w:val="485E074A"/>
    <w:rsid w:val="49206800"/>
    <w:rsid w:val="492607BA"/>
    <w:rsid w:val="492757C2"/>
    <w:rsid w:val="494E36E2"/>
    <w:rsid w:val="496A6BDF"/>
    <w:rsid w:val="498460AE"/>
    <w:rsid w:val="498D203F"/>
    <w:rsid w:val="499E2C4A"/>
    <w:rsid w:val="49B800E6"/>
    <w:rsid w:val="49C2723B"/>
    <w:rsid w:val="49E7432F"/>
    <w:rsid w:val="4A020EFA"/>
    <w:rsid w:val="4A3B0C92"/>
    <w:rsid w:val="4A67550E"/>
    <w:rsid w:val="4A7B18AF"/>
    <w:rsid w:val="4AAD488C"/>
    <w:rsid w:val="4AAF49E8"/>
    <w:rsid w:val="4B122CFD"/>
    <w:rsid w:val="4B1309AD"/>
    <w:rsid w:val="4B4E04B7"/>
    <w:rsid w:val="4B78366B"/>
    <w:rsid w:val="4BD254BC"/>
    <w:rsid w:val="4C370773"/>
    <w:rsid w:val="4C6437DD"/>
    <w:rsid w:val="4C683258"/>
    <w:rsid w:val="4C895DB9"/>
    <w:rsid w:val="4D027B0A"/>
    <w:rsid w:val="4D111BE5"/>
    <w:rsid w:val="4D1823C7"/>
    <w:rsid w:val="4D2C1D53"/>
    <w:rsid w:val="4D3B13C3"/>
    <w:rsid w:val="4D8676EF"/>
    <w:rsid w:val="4D9F222D"/>
    <w:rsid w:val="4DF91F53"/>
    <w:rsid w:val="4E611091"/>
    <w:rsid w:val="4E6D044E"/>
    <w:rsid w:val="4E78374C"/>
    <w:rsid w:val="4E95578B"/>
    <w:rsid w:val="4EB5544D"/>
    <w:rsid w:val="4F686681"/>
    <w:rsid w:val="4F6E759B"/>
    <w:rsid w:val="4F7709FC"/>
    <w:rsid w:val="4F964B89"/>
    <w:rsid w:val="4FA06741"/>
    <w:rsid w:val="4FBC4948"/>
    <w:rsid w:val="502742B3"/>
    <w:rsid w:val="504340CD"/>
    <w:rsid w:val="50897ABA"/>
    <w:rsid w:val="509D776B"/>
    <w:rsid w:val="50F4464B"/>
    <w:rsid w:val="50FE0E86"/>
    <w:rsid w:val="51007408"/>
    <w:rsid w:val="510342AC"/>
    <w:rsid w:val="517B221B"/>
    <w:rsid w:val="51915680"/>
    <w:rsid w:val="51E70278"/>
    <w:rsid w:val="51F17C55"/>
    <w:rsid w:val="521A10C4"/>
    <w:rsid w:val="52252DD4"/>
    <w:rsid w:val="52325031"/>
    <w:rsid w:val="52380055"/>
    <w:rsid w:val="52722285"/>
    <w:rsid w:val="52C85A28"/>
    <w:rsid w:val="52D0041B"/>
    <w:rsid w:val="52DD009F"/>
    <w:rsid w:val="52DF7371"/>
    <w:rsid w:val="531050B2"/>
    <w:rsid w:val="53486280"/>
    <w:rsid w:val="539B540F"/>
    <w:rsid w:val="53AD0E9A"/>
    <w:rsid w:val="53CB0662"/>
    <w:rsid w:val="53D81C5E"/>
    <w:rsid w:val="543A714F"/>
    <w:rsid w:val="54536607"/>
    <w:rsid w:val="548010BF"/>
    <w:rsid w:val="54A439D8"/>
    <w:rsid w:val="54BA63B6"/>
    <w:rsid w:val="54F52EC9"/>
    <w:rsid w:val="551045B4"/>
    <w:rsid w:val="553168FE"/>
    <w:rsid w:val="55484964"/>
    <w:rsid w:val="55581336"/>
    <w:rsid w:val="55980950"/>
    <w:rsid w:val="560608C3"/>
    <w:rsid w:val="560C1EC0"/>
    <w:rsid w:val="561813CE"/>
    <w:rsid w:val="56402472"/>
    <w:rsid w:val="564D7B3F"/>
    <w:rsid w:val="567E6134"/>
    <w:rsid w:val="56F47B7E"/>
    <w:rsid w:val="571A3CDF"/>
    <w:rsid w:val="57453C72"/>
    <w:rsid w:val="57680B30"/>
    <w:rsid w:val="578A6C00"/>
    <w:rsid w:val="57906509"/>
    <w:rsid w:val="57E31007"/>
    <w:rsid w:val="57E92F57"/>
    <w:rsid w:val="57F94BFD"/>
    <w:rsid w:val="58335A19"/>
    <w:rsid w:val="585C0985"/>
    <w:rsid w:val="586E06E5"/>
    <w:rsid w:val="59077D7A"/>
    <w:rsid w:val="594415A6"/>
    <w:rsid w:val="59444C1B"/>
    <w:rsid w:val="594D3595"/>
    <w:rsid w:val="5975465D"/>
    <w:rsid w:val="59786F41"/>
    <w:rsid w:val="59B16B57"/>
    <w:rsid w:val="59DE72B6"/>
    <w:rsid w:val="59F8421A"/>
    <w:rsid w:val="5A350DBE"/>
    <w:rsid w:val="5A9653EC"/>
    <w:rsid w:val="5ABB594E"/>
    <w:rsid w:val="5ACA044F"/>
    <w:rsid w:val="5AE17B2D"/>
    <w:rsid w:val="5B0244B3"/>
    <w:rsid w:val="5BBA5D28"/>
    <w:rsid w:val="5BDC60F2"/>
    <w:rsid w:val="5BED19F4"/>
    <w:rsid w:val="5C4F3583"/>
    <w:rsid w:val="5C9F0FAF"/>
    <w:rsid w:val="5CA32379"/>
    <w:rsid w:val="5CAF51E6"/>
    <w:rsid w:val="5CB179C5"/>
    <w:rsid w:val="5CBE5BAB"/>
    <w:rsid w:val="5D7834B6"/>
    <w:rsid w:val="5D802425"/>
    <w:rsid w:val="5DFD1C35"/>
    <w:rsid w:val="5E9C7D94"/>
    <w:rsid w:val="5EA8734E"/>
    <w:rsid w:val="5EB64BE6"/>
    <w:rsid w:val="5EE1322D"/>
    <w:rsid w:val="5EE56CE4"/>
    <w:rsid w:val="5EEF754A"/>
    <w:rsid w:val="5EF4726A"/>
    <w:rsid w:val="5F063FC4"/>
    <w:rsid w:val="5F5453E7"/>
    <w:rsid w:val="5FCF24A2"/>
    <w:rsid w:val="5FD769E3"/>
    <w:rsid w:val="60BF2BBD"/>
    <w:rsid w:val="60D134E0"/>
    <w:rsid w:val="610B478D"/>
    <w:rsid w:val="611D1BF2"/>
    <w:rsid w:val="61DB4870"/>
    <w:rsid w:val="623A5387"/>
    <w:rsid w:val="627C1875"/>
    <w:rsid w:val="62A15DA4"/>
    <w:rsid w:val="62A95AA4"/>
    <w:rsid w:val="62D968EB"/>
    <w:rsid w:val="62DB15A2"/>
    <w:rsid w:val="62E7353A"/>
    <w:rsid w:val="62ED0C2D"/>
    <w:rsid w:val="630E7BC6"/>
    <w:rsid w:val="63101CCE"/>
    <w:rsid w:val="63434731"/>
    <w:rsid w:val="639530E2"/>
    <w:rsid w:val="640B413A"/>
    <w:rsid w:val="645B50DA"/>
    <w:rsid w:val="64700EE4"/>
    <w:rsid w:val="64894F8F"/>
    <w:rsid w:val="651736A7"/>
    <w:rsid w:val="65254004"/>
    <w:rsid w:val="65452C10"/>
    <w:rsid w:val="654A0133"/>
    <w:rsid w:val="6576790B"/>
    <w:rsid w:val="658D7704"/>
    <w:rsid w:val="661063CD"/>
    <w:rsid w:val="662A261F"/>
    <w:rsid w:val="665E3A40"/>
    <w:rsid w:val="66867E32"/>
    <w:rsid w:val="66C62DD5"/>
    <w:rsid w:val="66CC797F"/>
    <w:rsid w:val="67224B97"/>
    <w:rsid w:val="672A3AF0"/>
    <w:rsid w:val="677D740C"/>
    <w:rsid w:val="67A81DBC"/>
    <w:rsid w:val="67EF4EEE"/>
    <w:rsid w:val="67FA5587"/>
    <w:rsid w:val="682068E4"/>
    <w:rsid w:val="68404858"/>
    <w:rsid w:val="685658A4"/>
    <w:rsid w:val="686C71EC"/>
    <w:rsid w:val="68DA7C00"/>
    <w:rsid w:val="69961E34"/>
    <w:rsid w:val="69D20770"/>
    <w:rsid w:val="69E93AAE"/>
    <w:rsid w:val="69EA4447"/>
    <w:rsid w:val="6A0D3E57"/>
    <w:rsid w:val="6A39698F"/>
    <w:rsid w:val="6A3D3DFF"/>
    <w:rsid w:val="6A516205"/>
    <w:rsid w:val="6A6C5263"/>
    <w:rsid w:val="6A717033"/>
    <w:rsid w:val="6A8F5E03"/>
    <w:rsid w:val="6AC661C6"/>
    <w:rsid w:val="6ACB0EFB"/>
    <w:rsid w:val="6ACF66B4"/>
    <w:rsid w:val="6AFF300A"/>
    <w:rsid w:val="6B105D01"/>
    <w:rsid w:val="6B14032C"/>
    <w:rsid w:val="6B171960"/>
    <w:rsid w:val="6B431CAF"/>
    <w:rsid w:val="6B6577D3"/>
    <w:rsid w:val="6B882790"/>
    <w:rsid w:val="6BBC4980"/>
    <w:rsid w:val="6BC530F4"/>
    <w:rsid w:val="6BE37218"/>
    <w:rsid w:val="6BFC18F9"/>
    <w:rsid w:val="6C2956BF"/>
    <w:rsid w:val="6C7353EC"/>
    <w:rsid w:val="6C8C0138"/>
    <w:rsid w:val="6C946ED5"/>
    <w:rsid w:val="6DC063BB"/>
    <w:rsid w:val="6DD55B38"/>
    <w:rsid w:val="6DE137C0"/>
    <w:rsid w:val="6DF709F3"/>
    <w:rsid w:val="6DF71F59"/>
    <w:rsid w:val="6E1A51F8"/>
    <w:rsid w:val="6E3E1358"/>
    <w:rsid w:val="6E6071A2"/>
    <w:rsid w:val="6E793720"/>
    <w:rsid w:val="6E7E5383"/>
    <w:rsid w:val="6EE07530"/>
    <w:rsid w:val="6EE53D0B"/>
    <w:rsid w:val="6F013A6B"/>
    <w:rsid w:val="6F0F0E58"/>
    <w:rsid w:val="6F4E4B26"/>
    <w:rsid w:val="6F7031D6"/>
    <w:rsid w:val="6FC216BD"/>
    <w:rsid w:val="6FF959BC"/>
    <w:rsid w:val="701A7EF3"/>
    <w:rsid w:val="702D27F7"/>
    <w:rsid w:val="703D677F"/>
    <w:rsid w:val="70465CD0"/>
    <w:rsid w:val="709D5AE7"/>
    <w:rsid w:val="70B078F1"/>
    <w:rsid w:val="70B606BA"/>
    <w:rsid w:val="70C33985"/>
    <w:rsid w:val="70CC411C"/>
    <w:rsid w:val="70FE47A5"/>
    <w:rsid w:val="71190330"/>
    <w:rsid w:val="712E63DA"/>
    <w:rsid w:val="71310EFB"/>
    <w:rsid w:val="71942299"/>
    <w:rsid w:val="71A83CA1"/>
    <w:rsid w:val="72395885"/>
    <w:rsid w:val="724E2F94"/>
    <w:rsid w:val="725F7A0B"/>
    <w:rsid w:val="72C0052E"/>
    <w:rsid w:val="72F1136F"/>
    <w:rsid w:val="73322873"/>
    <w:rsid w:val="735C0F83"/>
    <w:rsid w:val="736F588F"/>
    <w:rsid w:val="73796F93"/>
    <w:rsid w:val="73BE6D5C"/>
    <w:rsid w:val="73D3595A"/>
    <w:rsid w:val="7403775D"/>
    <w:rsid w:val="741864AB"/>
    <w:rsid w:val="746A396B"/>
    <w:rsid w:val="746F1738"/>
    <w:rsid w:val="748C44D7"/>
    <w:rsid w:val="74947835"/>
    <w:rsid w:val="74C97177"/>
    <w:rsid w:val="74CD4AB0"/>
    <w:rsid w:val="75431DF5"/>
    <w:rsid w:val="754B0B63"/>
    <w:rsid w:val="758E47A1"/>
    <w:rsid w:val="75A2531A"/>
    <w:rsid w:val="75C01EA3"/>
    <w:rsid w:val="75EE0105"/>
    <w:rsid w:val="761A31DD"/>
    <w:rsid w:val="76205E2A"/>
    <w:rsid w:val="764D62E3"/>
    <w:rsid w:val="767D2E2C"/>
    <w:rsid w:val="76907AF5"/>
    <w:rsid w:val="76B31D22"/>
    <w:rsid w:val="76D718DF"/>
    <w:rsid w:val="76F251E7"/>
    <w:rsid w:val="772F03BD"/>
    <w:rsid w:val="77AA0560"/>
    <w:rsid w:val="78004D23"/>
    <w:rsid w:val="782869F8"/>
    <w:rsid w:val="785946F7"/>
    <w:rsid w:val="786268E4"/>
    <w:rsid w:val="788B6E31"/>
    <w:rsid w:val="789C1C94"/>
    <w:rsid w:val="78BF17C0"/>
    <w:rsid w:val="78FA3085"/>
    <w:rsid w:val="791122B5"/>
    <w:rsid w:val="7938560E"/>
    <w:rsid w:val="793D1BC7"/>
    <w:rsid w:val="79832847"/>
    <w:rsid w:val="79886122"/>
    <w:rsid w:val="799A135F"/>
    <w:rsid w:val="799B4E5B"/>
    <w:rsid w:val="79A25A49"/>
    <w:rsid w:val="7A0931A3"/>
    <w:rsid w:val="7A163F7F"/>
    <w:rsid w:val="7A366FBF"/>
    <w:rsid w:val="7A3D196A"/>
    <w:rsid w:val="7A567868"/>
    <w:rsid w:val="7A68122E"/>
    <w:rsid w:val="7A6A5E31"/>
    <w:rsid w:val="7A934BA1"/>
    <w:rsid w:val="7AAB5418"/>
    <w:rsid w:val="7AC165EC"/>
    <w:rsid w:val="7AFD57B8"/>
    <w:rsid w:val="7B0F3E73"/>
    <w:rsid w:val="7B283A33"/>
    <w:rsid w:val="7B531487"/>
    <w:rsid w:val="7B6F7FD6"/>
    <w:rsid w:val="7B740579"/>
    <w:rsid w:val="7B78060E"/>
    <w:rsid w:val="7B91726B"/>
    <w:rsid w:val="7BC028F3"/>
    <w:rsid w:val="7C01687E"/>
    <w:rsid w:val="7C0C12FB"/>
    <w:rsid w:val="7C0E47A7"/>
    <w:rsid w:val="7C215D74"/>
    <w:rsid w:val="7C2734D7"/>
    <w:rsid w:val="7CCE2349"/>
    <w:rsid w:val="7CDA5AD7"/>
    <w:rsid w:val="7D0F7EE3"/>
    <w:rsid w:val="7D321BDE"/>
    <w:rsid w:val="7D5170DA"/>
    <w:rsid w:val="7D6535E9"/>
    <w:rsid w:val="7D7609EE"/>
    <w:rsid w:val="7DFE75DF"/>
    <w:rsid w:val="7E1F247D"/>
    <w:rsid w:val="7E214F8A"/>
    <w:rsid w:val="7E2879C0"/>
    <w:rsid w:val="7E2D1F06"/>
    <w:rsid w:val="7E2F7E93"/>
    <w:rsid w:val="7E523FF3"/>
    <w:rsid w:val="7E7A28A3"/>
    <w:rsid w:val="7E7D6203"/>
    <w:rsid w:val="7E9665D0"/>
    <w:rsid w:val="7E986D2F"/>
    <w:rsid w:val="7ECC0BBE"/>
    <w:rsid w:val="7EEE0723"/>
    <w:rsid w:val="7F103ED2"/>
    <w:rsid w:val="7F280963"/>
    <w:rsid w:val="7F4C640C"/>
    <w:rsid w:val="7F530919"/>
    <w:rsid w:val="7F5E6069"/>
    <w:rsid w:val="7F5F04E4"/>
    <w:rsid w:val="7F662A58"/>
    <w:rsid w:val="7F6B74B8"/>
    <w:rsid w:val="7F866CCD"/>
    <w:rsid w:val="7FB7798B"/>
    <w:rsid w:val="7FEE6A0D"/>
    <w:rsid w:val="7FF52F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ocked="1"/>
    <w:lsdException w:unhideWhenUsed="0" w:uiPriority="0" w:semiHidden="0" w:name="index 3" w:locked="1"/>
    <w:lsdException w:unhideWhenUsed="0" w:uiPriority="0" w:semiHidden="0" w:name="index 4" w:locked="1"/>
    <w:lsdException w:unhideWhenUsed="0" w:uiPriority="0" w:semiHidden="0" w:name="index 5" w:locked="1"/>
    <w:lsdException w:unhideWhenUsed="0" w:uiPriority="0" w:semiHidden="0" w:name="index 6" w:locked="1"/>
    <w:lsdException w:unhideWhenUsed="0" w:uiPriority="0" w:semiHidden="0" w:name="index 7" w:locked="1"/>
    <w:lsdException w:unhideWhenUsed="0" w:uiPriority="0" w:semiHidden="0" w:name="index 8" w:locked="1"/>
    <w:lsdException w:unhideWhenUsed="0" w:uiPriority="0" w:semiHidden="0" w:name="index 9" w:locked="1"/>
    <w:lsdException w:qFormat="1" w:unhideWhenUsed="0" w:uiPriority="39" w:semiHidden="0" w:name="toc 1"/>
    <w:lsdException w:qFormat="1" w:unhideWhenUsed="0" w:uiPriority="39"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nhideWhenUsed="0" w:uiPriority="0" w:semiHidden="0" w:name="footnote text" w:locked="1"/>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ocked="1"/>
    <w:lsdException w:qFormat="1" w:unhideWhenUsed="0" w:uiPriority="0" w:semiHidden="0" w:name="caption"/>
    <w:lsdException w:qFormat="1" w:unhideWhenUsed="0" w:uiPriority="0" w:name="table of figures"/>
    <w:lsdException w:qFormat="1" w:unhideWhenUsed="0" w:uiPriority="0" w:semiHidden="0" w:name="envelope address"/>
    <w:lsdException w:unhideWhenUsed="0" w:uiPriority="0" w:semiHidden="0" w:name="envelope return" w:locked="1"/>
    <w:lsdException w:unhideWhenUsed="0" w:uiPriority="0" w:semiHidden="0" w:name="footnote reference" w:locked="1"/>
    <w:lsdException w:qFormat="1" w:unhideWhenUsed="0" w:uiPriority="0" w:name="annotation reference"/>
    <w:lsdException w:unhideWhenUsed="0" w:uiPriority="0" w:semiHidden="0" w:name="line number" w:locked="1"/>
    <w:lsdException w:qFormat="1" w:unhideWhenUsed="0" w:uiPriority="0" w:semiHidden="0" w:name="page number"/>
    <w:lsdException w:qFormat="1" w:unhideWhenUsed="0" w:uiPriority="0" w:name="endnote reference"/>
    <w:lsdException w:qFormat="1" w:unhideWhenUsed="0" w:uiPriority="0" w:name="endnote text"/>
    <w:lsdException w:qFormat="1" w:unhideWhenUsed="0" w:uiPriority="0" w:name="table of authorities"/>
    <w:lsdException w:unhideWhenUsed="0" w:uiPriority="0" w:semiHidden="0" w:name="macro" w:locked="1"/>
    <w:lsdException w:qFormat="1" w:unhideWhenUsed="0" w:uiPriority="0" w:semiHidden="0" w:name="toa heading" w:locked="1"/>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unhideWhenUsed="0" w:uiPriority="0" w:semiHidden="0" w:name="List 4" w:locked="1"/>
    <w:lsdException w:unhideWhenUsed="0" w:uiPriority="0" w:semiHidden="0" w:name="List 5" w:locked="1"/>
    <w:lsdException w:unhideWhenUsed="0" w:uiPriority="0" w:semiHidden="0" w:name="List Bullet 2" w:locked="1"/>
    <w:lsdException w:qFormat="1" w:unhideWhenUsed="0" w:uiPriority="0" w:semiHidden="0" w:name="List Bullet 3"/>
    <w:lsdException w:qFormat="1" w:unhideWhenUsed="0" w:uiPriority="0" w:semiHidden="0" w:name="List Bullet 4"/>
    <w:lsdException w:unhideWhenUsed="0" w:uiPriority="0" w:semiHidden="0" w:name="List Bullet 5" w:locked="1"/>
    <w:lsdException w:unhideWhenUsed="0" w:uiPriority="0" w:semiHidden="0" w:name="List Number 2" w:locked="1"/>
    <w:lsdException w:unhideWhenUsed="0" w:uiPriority="0" w:semiHidden="0" w:name="List Number 3" w:locked="1"/>
    <w:lsdException w:unhideWhenUsed="0" w:uiPriority="0" w:semiHidden="0" w:name="List Number 4" w:locked="1"/>
    <w:lsdException w:unhideWhenUsed="0" w:uiPriority="0" w:semiHidden="0" w:name="List Number 5" w:locked="1"/>
    <w:lsdException w:qFormat="1" w:unhideWhenUsed="0" w:uiPriority="0" w:semiHidden="0" w:name="Title"/>
    <w:lsdException w:qFormat="1" w:unhideWhenUsed="0" w:uiPriority="0" w:semiHidden="0" w:name="Closing"/>
    <w:lsdException w:qFormat="1" w:unhideWhenUsed="0" w:uiPriority="0" w:semiHidden="0" w:name="Signature" w:locked="1"/>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ocked="1"/>
    <w:lsdException w:unhideWhenUsed="0" w:uiPriority="0" w:semiHidden="0" w:name="List Continue 2" w:locked="1"/>
    <w:lsdException w:unhideWhenUsed="0" w:uiPriority="0" w:semiHidden="0" w:name="List Continue 3" w:locked="1"/>
    <w:lsdException w:unhideWhenUsed="0" w:uiPriority="0" w:semiHidden="0" w:name="List Continue 4" w:locked="1"/>
    <w:lsdException w:unhideWhenUsed="0" w:uiPriority="0" w:semiHidden="0" w:name="List Continue 5" w:locked="1"/>
    <w:lsdException w:unhideWhenUsed="0" w:uiPriority="0" w:semiHidden="0" w:name="Message Header" w:locked="1"/>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ocked="1"/>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ocked="1"/>
    <w:lsdException w:qFormat="1" w:unhideWhenUsed="0" w:uiPriority="0" w:semiHidden="0" w:name="Normal (Web)"/>
    <w:lsdException w:unhideWhenUsed="0" w:uiPriority="0" w:semiHidden="0" w:name="HTML Acronym" w:locked="1"/>
    <w:lsdException w:unhideWhenUsed="0" w:uiPriority="0" w:semiHidden="0" w:name="HTML Address" w:locked="1"/>
    <w:lsdException w:unhideWhenUsed="0" w:uiPriority="0" w:semiHidden="0" w:name="HTML Cite" w:locked="1"/>
    <w:lsdException w:unhideWhenUsed="0" w:uiPriority="0" w:semiHidden="0" w:name="HTML Code" w:locked="1"/>
    <w:lsdException w:unhideWhenUsed="0" w:uiPriority="0" w:semiHidden="0" w:name="HTML Definition" w:locked="1"/>
    <w:lsdException w:unhideWhenUsed="0" w:uiPriority="0" w:semiHidden="0" w:name="HTML Keyboard" w:locked="1"/>
    <w:lsdException w:qFormat="1" w:unhideWhenUsed="0" w:uiPriority="0" w:semiHidden="0" w:name="HTML Preformatted"/>
    <w:lsdException w:unhideWhenUsed="0" w:uiPriority="0" w:semiHidden="0" w:name="HTML Sample" w:locked="1"/>
    <w:lsdException w:unhideWhenUsed="0" w:uiPriority="0" w:semiHidden="0" w:name="HTML Typewriter" w:locked="1"/>
    <w:lsdException w:unhideWhenUsed="0" w:uiPriority="0" w:semiHidden="0" w:name="HTML Variable" w:locked="1"/>
    <w:lsdException w:qFormat="1" w:uiPriority="99" w:name="Normal Table"/>
    <w:lsdException w:qFormat="1" w:unhideWhenUsed="0" w:uiPriority="0" w:name="annotation subject"/>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ocked="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qFormat="1" w:unhideWhenUsed="0" w:uiPriority="0" w:name="Balloon Text"/>
    <w:lsdException w:qFormat="1" w:unhideWhenUsed="0" w:uiPriority="0" w:semiHidden="0" w:name="Table Grid"/>
    <w:lsdException w:uiPriority="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73"/>
    <w:qFormat/>
    <w:uiPriority w:val="0"/>
    <w:pPr>
      <w:keepNext/>
      <w:keepLines/>
      <w:adjustRightInd w:val="0"/>
      <w:spacing w:line="460" w:lineRule="exact"/>
      <w:jc w:val="left"/>
      <w:textAlignment w:val="baseline"/>
      <w:outlineLvl w:val="0"/>
    </w:pPr>
    <w:rPr>
      <w:b/>
      <w:kern w:val="44"/>
      <w:sz w:val="32"/>
      <w:szCs w:val="20"/>
    </w:rPr>
  </w:style>
  <w:style w:type="paragraph" w:styleId="4">
    <w:name w:val="heading 2"/>
    <w:basedOn w:val="1"/>
    <w:next w:val="1"/>
    <w:link w:val="74"/>
    <w:qFormat/>
    <w:uiPriority w:val="0"/>
    <w:pPr>
      <w:spacing w:line="413" w:lineRule="auto"/>
      <w:outlineLvl w:val="1"/>
    </w:pPr>
    <w:rPr>
      <w:rFonts w:ascii="Arial" w:hAnsi="Arial" w:eastAsia="黑体"/>
      <w:kern w:val="0"/>
      <w:sz w:val="32"/>
    </w:rPr>
  </w:style>
  <w:style w:type="paragraph" w:styleId="2">
    <w:name w:val="heading 3"/>
    <w:basedOn w:val="1"/>
    <w:next w:val="1"/>
    <w:link w:val="75"/>
    <w:qFormat/>
    <w:uiPriority w:val="0"/>
    <w:pPr>
      <w:keepNext/>
      <w:keepLines/>
      <w:spacing w:before="260" w:after="260" w:line="360" w:lineRule="auto"/>
      <w:ind w:left="171" w:leftChars="171"/>
      <w:outlineLvl w:val="2"/>
    </w:pPr>
    <w:rPr>
      <w:rFonts w:eastAsia="Times New Roman"/>
      <w:b/>
      <w:szCs w:val="20"/>
    </w:rPr>
  </w:style>
  <w:style w:type="paragraph" w:styleId="5">
    <w:name w:val="heading 4"/>
    <w:basedOn w:val="1"/>
    <w:next w:val="1"/>
    <w:link w:val="76"/>
    <w:qFormat/>
    <w:uiPriority w:val="0"/>
    <w:pPr>
      <w:keepNext/>
      <w:keepLines/>
      <w:spacing w:before="280" w:after="290" w:line="376" w:lineRule="auto"/>
      <w:outlineLvl w:val="3"/>
    </w:pPr>
    <w:rPr>
      <w:rFonts w:ascii="Cambria" w:hAnsi="Cambria"/>
      <w:b/>
      <w:bCs/>
      <w:sz w:val="28"/>
      <w:szCs w:val="28"/>
    </w:rPr>
  </w:style>
  <w:style w:type="paragraph" w:styleId="6">
    <w:name w:val="heading 5"/>
    <w:basedOn w:val="1"/>
    <w:next w:val="1"/>
    <w:link w:val="77"/>
    <w:qFormat/>
    <w:uiPriority w:val="0"/>
    <w:pPr>
      <w:keepNext/>
      <w:keepLines/>
      <w:spacing w:before="280" w:after="290" w:line="376" w:lineRule="auto"/>
      <w:outlineLvl w:val="4"/>
    </w:pPr>
    <w:rPr>
      <w:rFonts w:ascii="Calibri" w:hAnsi="Calibri"/>
      <w:b/>
      <w:bCs/>
      <w:sz w:val="28"/>
      <w:szCs w:val="28"/>
    </w:rPr>
  </w:style>
  <w:style w:type="paragraph" w:styleId="7">
    <w:name w:val="heading 6"/>
    <w:basedOn w:val="1"/>
    <w:next w:val="1"/>
    <w:link w:val="78"/>
    <w:qFormat/>
    <w:uiPriority w:val="0"/>
    <w:pPr>
      <w:keepNext/>
      <w:keepLines/>
      <w:widowControl/>
      <w:tabs>
        <w:tab w:val="left" w:pos="1320"/>
        <w:tab w:val="left" w:pos="1440"/>
        <w:tab w:val="left" w:pos="3480"/>
      </w:tabs>
      <w:spacing w:before="240" w:after="64" w:line="320" w:lineRule="auto"/>
      <w:ind w:left="3480" w:hanging="420"/>
      <w:jc w:val="left"/>
      <w:outlineLvl w:val="5"/>
    </w:pPr>
    <w:rPr>
      <w:rFonts w:ascii="Arial" w:hAnsi="Arial" w:eastAsia="黑体"/>
      <w:b/>
      <w:bCs/>
      <w:kern w:val="0"/>
      <w:sz w:val="24"/>
    </w:rPr>
  </w:style>
  <w:style w:type="paragraph" w:styleId="8">
    <w:name w:val="heading 7"/>
    <w:basedOn w:val="1"/>
    <w:next w:val="1"/>
    <w:link w:val="79"/>
    <w:qFormat/>
    <w:uiPriority w:val="0"/>
    <w:pPr>
      <w:keepNext/>
      <w:keepLines/>
      <w:widowControl/>
      <w:tabs>
        <w:tab w:val="left" w:pos="1320"/>
        <w:tab w:val="left" w:pos="2520"/>
        <w:tab w:val="left" w:pos="3900"/>
      </w:tabs>
      <w:spacing w:before="240" w:after="64" w:line="320" w:lineRule="auto"/>
      <w:ind w:left="3900" w:hanging="420"/>
      <w:jc w:val="left"/>
      <w:outlineLvl w:val="6"/>
    </w:pPr>
    <w:rPr>
      <w:b/>
      <w:bCs/>
      <w:kern w:val="0"/>
      <w:sz w:val="24"/>
    </w:rPr>
  </w:style>
  <w:style w:type="paragraph" w:styleId="9">
    <w:name w:val="heading 8"/>
    <w:basedOn w:val="1"/>
    <w:next w:val="1"/>
    <w:link w:val="80"/>
    <w:qFormat/>
    <w:uiPriority w:val="0"/>
    <w:pPr>
      <w:keepNext/>
      <w:keepLines/>
      <w:widowControl/>
      <w:tabs>
        <w:tab w:val="left" w:pos="1320"/>
        <w:tab w:val="left" w:pos="1440"/>
        <w:tab w:val="left" w:pos="4320"/>
      </w:tabs>
      <w:spacing w:before="240" w:after="64" w:line="320" w:lineRule="auto"/>
      <w:ind w:left="4320" w:hanging="420"/>
      <w:jc w:val="left"/>
      <w:outlineLvl w:val="7"/>
    </w:pPr>
    <w:rPr>
      <w:rFonts w:ascii="Arial" w:hAnsi="Arial" w:eastAsia="黑体"/>
      <w:kern w:val="0"/>
      <w:sz w:val="24"/>
    </w:rPr>
  </w:style>
  <w:style w:type="paragraph" w:styleId="10">
    <w:name w:val="heading 9"/>
    <w:basedOn w:val="1"/>
    <w:next w:val="1"/>
    <w:link w:val="81"/>
    <w:qFormat/>
    <w:uiPriority w:val="0"/>
    <w:pPr>
      <w:keepNext/>
      <w:keepLines/>
      <w:widowControl/>
      <w:tabs>
        <w:tab w:val="left" w:pos="1320"/>
        <w:tab w:val="left" w:pos="1584"/>
        <w:tab w:val="left" w:pos="4740"/>
      </w:tabs>
      <w:spacing w:before="240" w:after="64" w:line="320" w:lineRule="auto"/>
      <w:ind w:left="4740" w:hanging="420"/>
      <w:jc w:val="left"/>
      <w:outlineLvl w:val="8"/>
    </w:pPr>
    <w:rPr>
      <w:rFonts w:ascii="Arial" w:hAnsi="Arial" w:eastAsia="黑体"/>
      <w:kern w:val="0"/>
      <w:szCs w:val="21"/>
    </w:rPr>
  </w:style>
  <w:style w:type="character" w:default="1" w:styleId="63">
    <w:name w:val="Default Paragraph Font"/>
    <w:semiHidden/>
    <w:unhideWhenUsed/>
    <w:qFormat/>
    <w:uiPriority w:val="1"/>
  </w:style>
  <w:style w:type="table" w:default="1" w:styleId="61">
    <w:name w:val="Normal Table"/>
    <w:semiHidden/>
    <w:unhideWhenUsed/>
    <w:qFormat/>
    <w:uiPriority w:val="99"/>
    <w:tblPr>
      <w:tblCellMar>
        <w:top w:w="0" w:type="dxa"/>
        <w:left w:w="108" w:type="dxa"/>
        <w:bottom w:w="0" w:type="dxa"/>
        <w:right w:w="108" w:type="dxa"/>
      </w:tblCellMar>
    </w:tblPr>
  </w:style>
  <w:style w:type="paragraph" w:styleId="11">
    <w:name w:val="List 3"/>
    <w:basedOn w:val="1"/>
    <w:qFormat/>
    <w:uiPriority w:val="0"/>
    <w:pPr>
      <w:ind w:left="100" w:leftChars="400" w:hanging="200" w:hangingChars="200"/>
    </w:pPr>
  </w:style>
  <w:style w:type="paragraph" w:styleId="12">
    <w:name w:val="toc 7"/>
    <w:basedOn w:val="1"/>
    <w:next w:val="1"/>
    <w:semiHidden/>
    <w:qFormat/>
    <w:uiPriority w:val="0"/>
    <w:pPr>
      <w:ind w:left="1260"/>
      <w:jc w:val="left"/>
    </w:pPr>
    <w:rPr>
      <w:sz w:val="18"/>
      <w:szCs w:val="18"/>
    </w:rPr>
  </w:style>
  <w:style w:type="paragraph" w:styleId="13">
    <w:name w:val="table of authorities"/>
    <w:basedOn w:val="1"/>
    <w:next w:val="1"/>
    <w:semiHidden/>
    <w:qFormat/>
    <w:uiPriority w:val="0"/>
    <w:pPr>
      <w:ind w:left="420" w:leftChars="200"/>
    </w:pPr>
    <w:rPr>
      <w:szCs w:val="20"/>
    </w:rPr>
  </w:style>
  <w:style w:type="paragraph" w:styleId="14">
    <w:name w:val="List Bullet 4"/>
    <w:basedOn w:val="1"/>
    <w:qFormat/>
    <w:uiPriority w:val="0"/>
    <w:pPr>
      <w:tabs>
        <w:tab w:val="left" w:pos="980"/>
      </w:tabs>
      <w:spacing w:beforeLines="50" w:afterLines="50" w:line="360" w:lineRule="auto"/>
      <w:ind w:left="980" w:hanging="420"/>
    </w:pPr>
    <w:rPr>
      <w:sz w:val="24"/>
    </w:rPr>
  </w:style>
  <w:style w:type="paragraph" w:styleId="15">
    <w:name w:val="List Number"/>
    <w:basedOn w:val="1"/>
    <w:qFormat/>
    <w:uiPriority w:val="0"/>
    <w:pPr>
      <w:numPr>
        <w:ilvl w:val="0"/>
        <w:numId w:val="1"/>
      </w:numPr>
      <w:tabs>
        <w:tab w:val="left" w:pos="840"/>
      </w:tabs>
    </w:pPr>
    <w:rPr>
      <w:rFonts w:ascii="Calibri" w:hAnsi="Calibri"/>
      <w:sz w:val="28"/>
      <w:szCs w:val="22"/>
    </w:rPr>
  </w:style>
  <w:style w:type="paragraph" w:styleId="16">
    <w:name w:val="Normal Indent"/>
    <w:basedOn w:val="1"/>
    <w:link w:val="82"/>
    <w:qFormat/>
    <w:uiPriority w:val="0"/>
    <w:pPr>
      <w:ind w:firstLine="420" w:firstLineChars="200"/>
    </w:pPr>
    <w:rPr>
      <w:kern w:val="0"/>
      <w:sz w:val="24"/>
      <w:szCs w:val="20"/>
    </w:rPr>
  </w:style>
  <w:style w:type="paragraph" w:styleId="17">
    <w:name w:val="caption"/>
    <w:basedOn w:val="1"/>
    <w:next w:val="1"/>
    <w:link w:val="83"/>
    <w:qFormat/>
    <w:uiPriority w:val="0"/>
    <w:pPr>
      <w:widowControl/>
      <w:jc w:val="left"/>
    </w:pPr>
    <w:rPr>
      <w:rFonts w:ascii="Arial" w:hAnsi="Arial" w:eastAsia="黑体"/>
      <w:kern w:val="0"/>
      <w:sz w:val="20"/>
      <w:szCs w:val="20"/>
    </w:rPr>
  </w:style>
  <w:style w:type="paragraph" w:styleId="18">
    <w:name w:val="List Bullet"/>
    <w:basedOn w:val="1"/>
    <w:qFormat/>
    <w:uiPriority w:val="0"/>
    <w:pPr>
      <w:spacing w:beforeLines="50" w:afterLines="50" w:line="360" w:lineRule="auto"/>
      <w:ind w:firstLine="482" w:firstLineChars="200"/>
    </w:pPr>
    <w:rPr>
      <w:rFonts w:ascii="宋体" w:hAnsi="宋体"/>
      <w:b/>
      <w:kern w:val="0"/>
      <w:sz w:val="24"/>
    </w:rPr>
  </w:style>
  <w:style w:type="paragraph" w:styleId="19">
    <w:name w:val="envelope address"/>
    <w:basedOn w:val="1"/>
    <w:qFormat/>
    <w:uiPriority w:val="0"/>
    <w:pPr>
      <w:framePr w:w="7920" w:h="1980" w:hRule="exact" w:hSpace="180" w:wrap="around" w:vAnchor="margin" w:hAnchor="page" w:xAlign="center" w:yAlign="bottom"/>
      <w:adjustRightInd w:val="0"/>
      <w:spacing w:line="480" w:lineRule="atLeast"/>
      <w:ind w:left="2880"/>
      <w:textAlignment w:val="baseline"/>
    </w:pPr>
    <w:rPr>
      <w:rFonts w:eastAsia="魏碑体"/>
      <w:spacing w:val="10"/>
      <w:kern w:val="0"/>
      <w:sz w:val="32"/>
      <w:szCs w:val="20"/>
    </w:rPr>
  </w:style>
  <w:style w:type="paragraph" w:styleId="20">
    <w:name w:val="Document Map"/>
    <w:basedOn w:val="1"/>
    <w:link w:val="84"/>
    <w:semiHidden/>
    <w:qFormat/>
    <w:uiPriority w:val="0"/>
    <w:pPr>
      <w:shd w:val="clear" w:color="auto" w:fill="000080"/>
    </w:pPr>
    <w:rPr>
      <w:rFonts w:ascii="Calibri" w:hAnsi="Calibri"/>
    </w:rPr>
  </w:style>
  <w:style w:type="paragraph" w:styleId="21">
    <w:name w:val="toa heading"/>
    <w:basedOn w:val="1"/>
    <w:next w:val="1"/>
    <w:qFormat/>
    <w:locked/>
    <w:uiPriority w:val="0"/>
    <w:pPr>
      <w:spacing w:before="120"/>
    </w:pPr>
    <w:rPr>
      <w:rFonts w:ascii="Cambria" w:hAnsi="Cambria"/>
      <w:sz w:val="24"/>
    </w:rPr>
  </w:style>
  <w:style w:type="paragraph" w:styleId="22">
    <w:name w:val="annotation text"/>
    <w:basedOn w:val="1"/>
    <w:link w:val="85"/>
    <w:semiHidden/>
    <w:qFormat/>
    <w:uiPriority w:val="0"/>
    <w:pPr>
      <w:jc w:val="left"/>
    </w:pPr>
  </w:style>
  <w:style w:type="paragraph" w:styleId="23">
    <w:name w:val="Salutation"/>
    <w:basedOn w:val="1"/>
    <w:next w:val="1"/>
    <w:link w:val="86"/>
    <w:qFormat/>
    <w:uiPriority w:val="0"/>
    <w:rPr>
      <w:rFonts w:ascii="Calibri" w:hAnsi="Calibri"/>
    </w:rPr>
  </w:style>
  <w:style w:type="paragraph" w:styleId="24">
    <w:name w:val="Body Text 3"/>
    <w:basedOn w:val="1"/>
    <w:link w:val="87"/>
    <w:qFormat/>
    <w:uiPriority w:val="0"/>
    <w:pPr>
      <w:spacing w:beforeLines="50" w:afterLines="50" w:line="360" w:lineRule="auto"/>
    </w:pPr>
    <w:rPr>
      <w:rFonts w:ascii="Calibri" w:hAnsi="Calibri"/>
      <w:sz w:val="16"/>
      <w:szCs w:val="16"/>
    </w:rPr>
  </w:style>
  <w:style w:type="paragraph" w:styleId="25">
    <w:name w:val="Closing"/>
    <w:basedOn w:val="1"/>
    <w:link w:val="88"/>
    <w:qFormat/>
    <w:uiPriority w:val="0"/>
    <w:pPr>
      <w:ind w:left="100" w:leftChars="2100"/>
    </w:pPr>
    <w:rPr>
      <w:rFonts w:ascii="宋体" w:hAnsi="宋体"/>
      <w:b/>
      <w:sz w:val="24"/>
    </w:rPr>
  </w:style>
  <w:style w:type="paragraph" w:styleId="26">
    <w:name w:val="List Bullet 3"/>
    <w:basedOn w:val="1"/>
    <w:qFormat/>
    <w:uiPriority w:val="0"/>
    <w:pPr>
      <w:tabs>
        <w:tab w:val="left" w:pos="1200"/>
      </w:tabs>
      <w:ind w:left="1200" w:leftChars="400" w:hanging="360" w:hangingChars="200"/>
    </w:pPr>
    <w:rPr>
      <w:szCs w:val="20"/>
    </w:rPr>
  </w:style>
  <w:style w:type="paragraph" w:styleId="27">
    <w:name w:val="Body Text"/>
    <w:basedOn w:val="1"/>
    <w:next w:val="28"/>
    <w:link w:val="89"/>
    <w:qFormat/>
    <w:uiPriority w:val="0"/>
    <w:pPr>
      <w:autoSpaceDE w:val="0"/>
      <w:autoSpaceDN w:val="0"/>
      <w:adjustRightInd w:val="0"/>
      <w:spacing w:line="360" w:lineRule="auto"/>
      <w:jc w:val="left"/>
    </w:pPr>
    <w:rPr>
      <w:rFonts w:ascii="宋体" w:hAnsi="Calibri"/>
      <w:color w:val="000000"/>
      <w:sz w:val="28"/>
      <w:szCs w:val="32"/>
    </w:rPr>
  </w:style>
  <w:style w:type="paragraph" w:customStyle="1" w:styleId="28">
    <w:name w:val="Default"/>
    <w:next w:val="29"/>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29">
    <w:name w:val="Char Char10 Char Char Char Char"/>
    <w:basedOn w:val="1"/>
    <w:next w:val="1"/>
    <w:qFormat/>
    <w:uiPriority w:val="0"/>
    <w:rPr>
      <w:rFonts w:ascii="Calibri" w:hAnsi="Calibri"/>
      <w:kern w:val="0"/>
    </w:rPr>
  </w:style>
  <w:style w:type="paragraph" w:styleId="30">
    <w:name w:val="Body Text Indent"/>
    <w:basedOn w:val="1"/>
    <w:next w:val="31"/>
    <w:link w:val="90"/>
    <w:qFormat/>
    <w:uiPriority w:val="0"/>
    <w:pPr>
      <w:autoSpaceDE w:val="0"/>
      <w:autoSpaceDN w:val="0"/>
      <w:adjustRightInd w:val="0"/>
      <w:spacing w:line="360" w:lineRule="auto"/>
      <w:ind w:left="567" w:leftChars="270"/>
    </w:pPr>
    <w:rPr>
      <w:rFonts w:ascii="宋体" w:hAnsi="Calibri"/>
      <w:color w:val="000000"/>
      <w:sz w:val="32"/>
      <w:szCs w:val="32"/>
    </w:rPr>
  </w:style>
  <w:style w:type="paragraph" w:styleId="31">
    <w:name w:val="Body Text Indent 2"/>
    <w:basedOn w:val="1"/>
    <w:link w:val="93"/>
    <w:qFormat/>
    <w:uiPriority w:val="0"/>
    <w:pPr>
      <w:autoSpaceDE w:val="0"/>
      <w:autoSpaceDN w:val="0"/>
      <w:adjustRightInd w:val="0"/>
      <w:spacing w:line="360" w:lineRule="auto"/>
      <w:ind w:left="1415" w:leftChars="674" w:firstLine="1"/>
      <w:jc w:val="left"/>
    </w:pPr>
    <w:rPr>
      <w:rFonts w:ascii="幼圆" w:hAnsi="Calibri" w:eastAsia="幼圆"/>
      <w:color w:val="000000"/>
      <w:sz w:val="30"/>
      <w:szCs w:val="32"/>
    </w:rPr>
  </w:style>
  <w:style w:type="paragraph" w:styleId="32">
    <w:name w:val="List 2"/>
    <w:basedOn w:val="1"/>
    <w:qFormat/>
    <w:uiPriority w:val="0"/>
    <w:pPr>
      <w:spacing w:beforeLines="50" w:afterLines="50" w:line="360" w:lineRule="auto"/>
      <w:ind w:left="100" w:leftChars="200" w:hanging="200" w:hangingChars="200"/>
    </w:pPr>
    <w:rPr>
      <w:sz w:val="24"/>
    </w:rPr>
  </w:style>
  <w:style w:type="paragraph" w:styleId="33">
    <w:name w:val="Block Text"/>
    <w:basedOn w:val="1"/>
    <w:qFormat/>
    <w:uiPriority w:val="0"/>
    <w:pPr>
      <w:spacing w:beforeLines="50" w:afterLines="50" w:line="360" w:lineRule="auto"/>
      <w:ind w:left="1440" w:leftChars="700" w:right="1440" w:rightChars="700"/>
    </w:pPr>
    <w:rPr>
      <w:sz w:val="24"/>
    </w:rPr>
  </w:style>
  <w:style w:type="paragraph" w:styleId="34">
    <w:name w:val="toc 5"/>
    <w:basedOn w:val="1"/>
    <w:next w:val="1"/>
    <w:semiHidden/>
    <w:qFormat/>
    <w:uiPriority w:val="0"/>
    <w:pPr>
      <w:ind w:left="840"/>
      <w:jc w:val="left"/>
    </w:pPr>
    <w:rPr>
      <w:sz w:val="18"/>
      <w:szCs w:val="18"/>
    </w:rPr>
  </w:style>
  <w:style w:type="paragraph" w:styleId="35">
    <w:name w:val="toc 3"/>
    <w:basedOn w:val="1"/>
    <w:next w:val="1"/>
    <w:qFormat/>
    <w:uiPriority w:val="39"/>
    <w:pPr>
      <w:ind w:left="420"/>
      <w:jc w:val="left"/>
    </w:pPr>
    <w:rPr>
      <w:i/>
      <w:iCs/>
      <w:sz w:val="20"/>
      <w:szCs w:val="20"/>
    </w:rPr>
  </w:style>
  <w:style w:type="paragraph" w:styleId="36">
    <w:name w:val="Plain Text"/>
    <w:basedOn w:val="1"/>
    <w:link w:val="91"/>
    <w:qFormat/>
    <w:uiPriority w:val="0"/>
    <w:rPr>
      <w:rFonts w:ascii="宋体" w:hAnsi="Courier New" w:cs="Courier New"/>
      <w:szCs w:val="21"/>
    </w:rPr>
  </w:style>
  <w:style w:type="paragraph" w:styleId="37">
    <w:name w:val="toc 8"/>
    <w:basedOn w:val="1"/>
    <w:next w:val="1"/>
    <w:semiHidden/>
    <w:qFormat/>
    <w:uiPriority w:val="0"/>
    <w:pPr>
      <w:ind w:left="1470"/>
      <w:jc w:val="left"/>
    </w:pPr>
    <w:rPr>
      <w:sz w:val="18"/>
      <w:szCs w:val="18"/>
    </w:rPr>
  </w:style>
  <w:style w:type="paragraph" w:styleId="38">
    <w:name w:val="Date"/>
    <w:basedOn w:val="1"/>
    <w:next w:val="1"/>
    <w:link w:val="92"/>
    <w:qFormat/>
    <w:uiPriority w:val="0"/>
    <w:pPr>
      <w:ind w:left="100" w:leftChars="2500"/>
    </w:pPr>
    <w:rPr>
      <w:rFonts w:ascii="Calibri" w:hAnsi="Calibri" w:eastAsia="Times New Roman"/>
      <w:color w:val="000000"/>
      <w:sz w:val="28"/>
    </w:rPr>
  </w:style>
  <w:style w:type="paragraph" w:styleId="39">
    <w:name w:val="endnote text"/>
    <w:basedOn w:val="1"/>
    <w:link w:val="94"/>
    <w:semiHidden/>
    <w:qFormat/>
    <w:uiPriority w:val="0"/>
    <w:pPr>
      <w:snapToGrid w:val="0"/>
      <w:jc w:val="left"/>
    </w:pPr>
    <w:rPr>
      <w:rFonts w:ascii="Calibri" w:hAnsi="Calibri"/>
      <w:szCs w:val="22"/>
    </w:rPr>
  </w:style>
  <w:style w:type="paragraph" w:styleId="40">
    <w:name w:val="Balloon Text"/>
    <w:basedOn w:val="1"/>
    <w:link w:val="95"/>
    <w:semiHidden/>
    <w:qFormat/>
    <w:uiPriority w:val="0"/>
    <w:rPr>
      <w:rFonts w:ascii="Calibri" w:hAnsi="Calibri"/>
      <w:sz w:val="18"/>
      <w:szCs w:val="18"/>
    </w:rPr>
  </w:style>
  <w:style w:type="paragraph" w:styleId="41">
    <w:name w:val="footer"/>
    <w:basedOn w:val="1"/>
    <w:link w:val="96"/>
    <w:qFormat/>
    <w:uiPriority w:val="0"/>
    <w:pPr>
      <w:tabs>
        <w:tab w:val="center" w:pos="4153"/>
        <w:tab w:val="right" w:pos="8306"/>
      </w:tabs>
      <w:snapToGrid w:val="0"/>
      <w:jc w:val="left"/>
    </w:pPr>
    <w:rPr>
      <w:sz w:val="18"/>
      <w:szCs w:val="18"/>
    </w:rPr>
  </w:style>
  <w:style w:type="paragraph" w:styleId="42">
    <w:name w:val="header"/>
    <w:basedOn w:val="1"/>
    <w:link w:val="97"/>
    <w:qFormat/>
    <w:uiPriority w:val="0"/>
    <w:pPr>
      <w:pBdr>
        <w:bottom w:val="single" w:color="auto" w:sz="6" w:space="1"/>
      </w:pBdr>
      <w:tabs>
        <w:tab w:val="center" w:pos="4153"/>
        <w:tab w:val="right" w:pos="8306"/>
      </w:tabs>
      <w:snapToGrid w:val="0"/>
      <w:jc w:val="center"/>
    </w:pPr>
    <w:rPr>
      <w:sz w:val="18"/>
      <w:szCs w:val="18"/>
    </w:rPr>
  </w:style>
  <w:style w:type="paragraph" w:styleId="43">
    <w:name w:val="Signature"/>
    <w:basedOn w:val="27"/>
    <w:qFormat/>
    <w:locked/>
    <w:uiPriority w:val="0"/>
    <w:pPr>
      <w:keepNext/>
      <w:widowControl/>
      <w:overflowPunct w:val="0"/>
      <w:autoSpaceDE w:val="0"/>
      <w:autoSpaceDN w:val="0"/>
      <w:spacing w:before="660" w:after="0" w:line="240" w:lineRule="atLeast"/>
      <w:ind w:left="4560"/>
      <w:jc w:val="left"/>
      <w:textAlignment w:val="baseline"/>
    </w:pPr>
    <w:rPr>
      <w:rFonts w:ascii="Garamond" w:hAnsi="Garamond"/>
      <w:kern w:val="18"/>
      <w:sz w:val="20"/>
    </w:rPr>
  </w:style>
  <w:style w:type="paragraph" w:styleId="44">
    <w:name w:val="toc 1"/>
    <w:basedOn w:val="1"/>
    <w:next w:val="1"/>
    <w:qFormat/>
    <w:uiPriority w:val="39"/>
    <w:pPr>
      <w:tabs>
        <w:tab w:val="left" w:pos="420"/>
        <w:tab w:val="left" w:pos="1050"/>
        <w:tab w:val="right" w:leader="dot" w:pos="8302"/>
      </w:tabs>
      <w:spacing w:before="120" w:after="120" w:line="220" w:lineRule="exact"/>
      <w:ind w:firstLine="420"/>
      <w:jc w:val="center"/>
    </w:pPr>
    <w:rPr>
      <w:b/>
      <w:bCs/>
      <w:caps/>
      <w:sz w:val="20"/>
      <w:szCs w:val="20"/>
    </w:rPr>
  </w:style>
  <w:style w:type="paragraph" w:styleId="45">
    <w:name w:val="toc 4"/>
    <w:basedOn w:val="1"/>
    <w:next w:val="1"/>
    <w:semiHidden/>
    <w:qFormat/>
    <w:uiPriority w:val="0"/>
    <w:pPr>
      <w:ind w:left="630"/>
      <w:jc w:val="left"/>
    </w:pPr>
    <w:rPr>
      <w:sz w:val="18"/>
      <w:szCs w:val="18"/>
    </w:rPr>
  </w:style>
  <w:style w:type="paragraph" w:styleId="46">
    <w:name w:val="Subtitle"/>
    <w:basedOn w:val="1"/>
    <w:next w:val="1"/>
    <w:link w:val="98"/>
    <w:qFormat/>
    <w:uiPriority w:val="0"/>
    <w:pPr>
      <w:spacing w:before="240" w:after="60" w:line="312" w:lineRule="auto"/>
      <w:jc w:val="center"/>
      <w:outlineLvl w:val="1"/>
    </w:pPr>
    <w:rPr>
      <w:rFonts w:ascii="Cambria" w:hAnsi="Cambria"/>
      <w:b/>
      <w:bCs/>
      <w:kern w:val="28"/>
      <w:sz w:val="32"/>
      <w:szCs w:val="32"/>
    </w:rPr>
  </w:style>
  <w:style w:type="paragraph" w:styleId="47">
    <w:name w:val="List"/>
    <w:basedOn w:val="1"/>
    <w:qFormat/>
    <w:uiPriority w:val="0"/>
    <w:pPr>
      <w:ind w:left="420" w:hanging="420"/>
    </w:pPr>
    <w:rPr>
      <w:sz w:val="24"/>
      <w:szCs w:val="20"/>
    </w:rPr>
  </w:style>
  <w:style w:type="paragraph" w:styleId="48">
    <w:name w:val="toc 6"/>
    <w:basedOn w:val="1"/>
    <w:next w:val="1"/>
    <w:semiHidden/>
    <w:qFormat/>
    <w:uiPriority w:val="0"/>
    <w:pPr>
      <w:ind w:left="1050"/>
      <w:jc w:val="left"/>
    </w:pPr>
    <w:rPr>
      <w:sz w:val="18"/>
      <w:szCs w:val="18"/>
    </w:rPr>
  </w:style>
  <w:style w:type="paragraph" w:styleId="49">
    <w:name w:val="Body Text Indent 3"/>
    <w:basedOn w:val="1"/>
    <w:link w:val="99"/>
    <w:qFormat/>
    <w:uiPriority w:val="0"/>
    <w:pPr>
      <w:ind w:firstLine="480" w:firstLineChars="200"/>
    </w:pPr>
    <w:rPr>
      <w:rFonts w:ascii="幼圆" w:hAnsi="Calibri" w:eastAsia="幼圆"/>
      <w:sz w:val="24"/>
      <w:szCs w:val="32"/>
    </w:rPr>
  </w:style>
  <w:style w:type="paragraph" w:styleId="50">
    <w:name w:val="table of figures"/>
    <w:basedOn w:val="1"/>
    <w:next w:val="1"/>
    <w:semiHidden/>
    <w:qFormat/>
    <w:uiPriority w:val="0"/>
    <w:pPr>
      <w:ind w:left="200" w:leftChars="200" w:hanging="200" w:hangingChars="200"/>
    </w:pPr>
  </w:style>
  <w:style w:type="paragraph" w:styleId="51">
    <w:name w:val="toc 2"/>
    <w:basedOn w:val="1"/>
    <w:next w:val="1"/>
    <w:semiHidden/>
    <w:qFormat/>
    <w:uiPriority w:val="39"/>
    <w:pPr>
      <w:ind w:left="210"/>
      <w:jc w:val="left"/>
    </w:pPr>
    <w:rPr>
      <w:smallCaps/>
      <w:sz w:val="20"/>
      <w:szCs w:val="20"/>
    </w:rPr>
  </w:style>
  <w:style w:type="paragraph" w:styleId="52">
    <w:name w:val="toc 9"/>
    <w:basedOn w:val="1"/>
    <w:next w:val="1"/>
    <w:semiHidden/>
    <w:qFormat/>
    <w:uiPriority w:val="0"/>
    <w:pPr>
      <w:ind w:left="1680"/>
      <w:jc w:val="left"/>
    </w:pPr>
    <w:rPr>
      <w:sz w:val="18"/>
      <w:szCs w:val="18"/>
    </w:rPr>
  </w:style>
  <w:style w:type="paragraph" w:styleId="53">
    <w:name w:val="Body Text 2"/>
    <w:basedOn w:val="1"/>
    <w:link w:val="100"/>
    <w:qFormat/>
    <w:uiPriority w:val="0"/>
    <w:pPr>
      <w:jc w:val="center"/>
    </w:pPr>
    <w:rPr>
      <w:rFonts w:ascii="宋体" w:hAnsi="宋体"/>
      <w:sz w:val="24"/>
    </w:rPr>
  </w:style>
  <w:style w:type="paragraph" w:styleId="54">
    <w:name w:val="HTML Preformatted"/>
    <w:basedOn w:val="1"/>
    <w:link w:val="10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sz w:val="24"/>
    </w:rPr>
  </w:style>
  <w:style w:type="paragraph" w:styleId="55">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56">
    <w:name w:val="index 1"/>
    <w:basedOn w:val="1"/>
    <w:next w:val="1"/>
    <w:semiHidden/>
    <w:qFormat/>
    <w:uiPriority w:val="0"/>
    <w:rPr>
      <w:kern w:val="0"/>
      <w:sz w:val="24"/>
      <w:szCs w:val="21"/>
    </w:rPr>
  </w:style>
  <w:style w:type="paragraph" w:styleId="57">
    <w:name w:val="Title"/>
    <w:basedOn w:val="1"/>
    <w:next w:val="1"/>
    <w:link w:val="102"/>
    <w:qFormat/>
    <w:uiPriority w:val="0"/>
    <w:pPr>
      <w:spacing w:before="240" w:after="60"/>
      <w:jc w:val="center"/>
      <w:outlineLvl w:val="0"/>
    </w:pPr>
    <w:rPr>
      <w:rFonts w:ascii="Arial" w:hAnsi="Arial"/>
      <w:b/>
      <w:bCs/>
      <w:sz w:val="32"/>
      <w:szCs w:val="32"/>
    </w:rPr>
  </w:style>
  <w:style w:type="paragraph" w:styleId="58">
    <w:name w:val="annotation subject"/>
    <w:basedOn w:val="22"/>
    <w:next w:val="22"/>
    <w:link w:val="103"/>
    <w:semiHidden/>
    <w:qFormat/>
    <w:uiPriority w:val="0"/>
    <w:rPr>
      <w:rFonts w:ascii="Calibri" w:hAnsi="Calibri"/>
      <w:b/>
    </w:rPr>
  </w:style>
  <w:style w:type="paragraph" w:styleId="59">
    <w:name w:val="Body Text First Indent"/>
    <w:basedOn w:val="27"/>
    <w:next w:val="1"/>
    <w:link w:val="104"/>
    <w:qFormat/>
    <w:uiPriority w:val="0"/>
    <w:pPr>
      <w:autoSpaceDE/>
      <w:autoSpaceDN/>
      <w:adjustRightInd/>
      <w:spacing w:after="120" w:line="240" w:lineRule="auto"/>
      <w:ind w:firstLine="420" w:firstLineChars="100"/>
      <w:jc w:val="both"/>
    </w:pPr>
    <w:rPr>
      <w:sz w:val="21"/>
    </w:rPr>
  </w:style>
  <w:style w:type="paragraph" w:styleId="60">
    <w:name w:val="Body Text First Indent 2"/>
    <w:basedOn w:val="30"/>
    <w:next w:val="1"/>
    <w:link w:val="105"/>
    <w:qFormat/>
    <w:uiPriority w:val="0"/>
    <w:pPr>
      <w:autoSpaceDE/>
      <w:autoSpaceDN/>
      <w:adjustRightInd/>
      <w:spacing w:after="120" w:line="240" w:lineRule="auto"/>
      <w:ind w:left="420" w:leftChars="200" w:firstLine="420" w:firstLineChars="200"/>
    </w:pPr>
    <w:rPr>
      <w:rFonts w:ascii="Times New Roman" w:hAnsi="Times New Roman"/>
      <w:color w:val="auto"/>
      <w:kern w:val="0"/>
      <w:sz w:val="24"/>
      <w:szCs w:val="24"/>
    </w:rPr>
  </w:style>
  <w:style w:type="table" w:styleId="62">
    <w:name w:val="Table Grid"/>
    <w:basedOn w:val="61"/>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64">
    <w:name w:val="Strong"/>
    <w:qFormat/>
    <w:uiPriority w:val="0"/>
    <w:rPr>
      <w:b/>
    </w:rPr>
  </w:style>
  <w:style w:type="character" w:styleId="65">
    <w:name w:val="endnote reference"/>
    <w:semiHidden/>
    <w:qFormat/>
    <w:uiPriority w:val="0"/>
    <w:rPr>
      <w:vertAlign w:val="superscript"/>
    </w:rPr>
  </w:style>
  <w:style w:type="character" w:styleId="66">
    <w:name w:val="page number"/>
    <w:qFormat/>
    <w:uiPriority w:val="0"/>
    <w:rPr>
      <w:rFonts w:cs="Times New Roman"/>
    </w:rPr>
  </w:style>
  <w:style w:type="character" w:styleId="67">
    <w:name w:val="FollowedHyperlink"/>
    <w:qFormat/>
    <w:uiPriority w:val="0"/>
    <w:rPr>
      <w:color w:val="800080"/>
      <w:u w:val="single"/>
    </w:rPr>
  </w:style>
  <w:style w:type="character" w:styleId="68">
    <w:name w:val="Emphasis"/>
    <w:qFormat/>
    <w:uiPriority w:val="0"/>
    <w:rPr>
      <w:i/>
    </w:rPr>
  </w:style>
  <w:style w:type="character" w:styleId="69">
    <w:name w:val="Hyperlink"/>
    <w:qFormat/>
    <w:uiPriority w:val="99"/>
    <w:rPr>
      <w:color w:val="0000FF"/>
      <w:u w:val="single"/>
    </w:rPr>
  </w:style>
  <w:style w:type="character" w:styleId="70">
    <w:name w:val="annotation reference"/>
    <w:basedOn w:val="63"/>
    <w:semiHidden/>
    <w:qFormat/>
    <w:uiPriority w:val="0"/>
    <w:rPr>
      <w:sz w:val="21"/>
    </w:rPr>
  </w:style>
  <w:style w:type="paragraph" w:customStyle="1" w:styleId="71">
    <w:name w:val="正"/>
    <w:basedOn w:val="72"/>
    <w:qFormat/>
    <w:uiPriority w:val="0"/>
    <w:pPr>
      <w:ind w:firstLine="525"/>
    </w:pPr>
    <w:rPr>
      <w:spacing w:val="20"/>
      <w:szCs w:val="20"/>
    </w:rPr>
  </w:style>
  <w:style w:type="paragraph" w:customStyle="1" w:styleId="72">
    <w:name w:val="正文_1"/>
    <w:next w:val="71"/>
    <w:qFormat/>
    <w:uiPriority w:val="0"/>
    <w:pPr>
      <w:widowControl w:val="0"/>
      <w:suppressAutoHyphens/>
      <w:jc w:val="both"/>
    </w:pPr>
    <w:rPr>
      <w:rFonts w:ascii="Calibri" w:hAnsi="Calibri" w:eastAsia="宋体;SimSun" w:cs="Calibri"/>
      <w:kern w:val="2"/>
      <w:sz w:val="21"/>
      <w:szCs w:val="21"/>
      <w:lang w:val="en-US" w:eastAsia="zh-CN" w:bidi="ar-SA"/>
    </w:rPr>
  </w:style>
  <w:style w:type="character" w:customStyle="1" w:styleId="73">
    <w:name w:val="标题 1 字符"/>
    <w:link w:val="3"/>
    <w:qFormat/>
    <w:locked/>
    <w:uiPriority w:val="0"/>
    <w:rPr>
      <w:rFonts w:ascii="Times New Roman" w:hAnsi="Times New Roman" w:eastAsia="宋体" w:cs="Times New Roman"/>
      <w:b/>
      <w:kern w:val="44"/>
      <w:sz w:val="20"/>
      <w:szCs w:val="20"/>
    </w:rPr>
  </w:style>
  <w:style w:type="character" w:customStyle="1" w:styleId="74">
    <w:name w:val="标题 2 字符"/>
    <w:link w:val="4"/>
    <w:qFormat/>
    <w:locked/>
    <w:uiPriority w:val="0"/>
    <w:rPr>
      <w:rFonts w:ascii="Arial" w:hAnsi="Arial" w:eastAsia="黑体" w:cs="Times New Roman"/>
      <w:b/>
      <w:bCs/>
      <w:sz w:val="32"/>
      <w:szCs w:val="32"/>
    </w:rPr>
  </w:style>
  <w:style w:type="character" w:customStyle="1" w:styleId="75">
    <w:name w:val="标题 3 字符"/>
    <w:basedOn w:val="63"/>
    <w:link w:val="2"/>
    <w:qFormat/>
    <w:locked/>
    <w:uiPriority w:val="0"/>
    <w:rPr>
      <w:rFonts w:ascii="Times New Roman" w:hAnsi="Times New Roman" w:eastAsia="Times New Roman" w:cs="Times New Roman"/>
      <w:b/>
      <w:sz w:val="20"/>
      <w:szCs w:val="20"/>
    </w:rPr>
  </w:style>
  <w:style w:type="character" w:customStyle="1" w:styleId="76">
    <w:name w:val="标题 4 字符"/>
    <w:link w:val="5"/>
    <w:qFormat/>
    <w:locked/>
    <w:uiPriority w:val="0"/>
    <w:rPr>
      <w:rFonts w:ascii="Cambria" w:hAnsi="Cambria" w:eastAsia="宋体" w:cs="Times New Roman"/>
      <w:b/>
      <w:bCs/>
      <w:sz w:val="28"/>
      <w:szCs w:val="28"/>
    </w:rPr>
  </w:style>
  <w:style w:type="character" w:customStyle="1" w:styleId="77">
    <w:name w:val="标题 5 字符"/>
    <w:link w:val="6"/>
    <w:qFormat/>
    <w:locked/>
    <w:uiPriority w:val="0"/>
    <w:rPr>
      <w:rFonts w:ascii="Calibri" w:hAnsi="Calibri" w:eastAsia="宋体" w:cs="Times New Roman"/>
      <w:b/>
      <w:bCs/>
      <w:sz w:val="28"/>
      <w:szCs w:val="28"/>
    </w:rPr>
  </w:style>
  <w:style w:type="character" w:customStyle="1" w:styleId="78">
    <w:name w:val="标题 6 字符"/>
    <w:link w:val="7"/>
    <w:qFormat/>
    <w:locked/>
    <w:uiPriority w:val="0"/>
    <w:rPr>
      <w:rFonts w:ascii="Arial" w:hAnsi="Arial" w:eastAsia="黑体" w:cs="Times New Roman"/>
      <w:b/>
      <w:bCs/>
      <w:kern w:val="0"/>
      <w:sz w:val="24"/>
      <w:szCs w:val="24"/>
    </w:rPr>
  </w:style>
  <w:style w:type="character" w:customStyle="1" w:styleId="79">
    <w:name w:val="标题 7 字符"/>
    <w:link w:val="8"/>
    <w:qFormat/>
    <w:locked/>
    <w:uiPriority w:val="0"/>
    <w:rPr>
      <w:rFonts w:ascii="Times New Roman" w:hAnsi="Times New Roman" w:eastAsia="宋体" w:cs="Times New Roman"/>
      <w:b/>
      <w:bCs/>
      <w:kern w:val="0"/>
      <w:sz w:val="24"/>
      <w:szCs w:val="24"/>
    </w:rPr>
  </w:style>
  <w:style w:type="character" w:customStyle="1" w:styleId="80">
    <w:name w:val="标题 8 字符"/>
    <w:link w:val="9"/>
    <w:qFormat/>
    <w:locked/>
    <w:uiPriority w:val="0"/>
    <w:rPr>
      <w:rFonts w:ascii="Arial" w:hAnsi="Arial" w:eastAsia="黑体" w:cs="Times New Roman"/>
      <w:kern w:val="0"/>
      <w:sz w:val="24"/>
      <w:szCs w:val="24"/>
    </w:rPr>
  </w:style>
  <w:style w:type="character" w:customStyle="1" w:styleId="81">
    <w:name w:val="标题 9 字符"/>
    <w:link w:val="10"/>
    <w:qFormat/>
    <w:locked/>
    <w:uiPriority w:val="0"/>
    <w:rPr>
      <w:rFonts w:ascii="Arial" w:hAnsi="Arial" w:eastAsia="黑体" w:cs="Times New Roman"/>
      <w:kern w:val="0"/>
      <w:sz w:val="21"/>
      <w:szCs w:val="21"/>
    </w:rPr>
  </w:style>
  <w:style w:type="character" w:customStyle="1" w:styleId="82">
    <w:name w:val="正文缩进 字符"/>
    <w:link w:val="16"/>
    <w:qFormat/>
    <w:locked/>
    <w:uiPriority w:val="0"/>
    <w:rPr>
      <w:sz w:val="24"/>
    </w:rPr>
  </w:style>
  <w:style w:type="character" w:customStyle="1" w:styleId="83">
    <w:name w:val="题注 字符"/>
    <w:link w:val="17"/>
    <w:qFormat/>
    <w:locked/>
    <w:uiPriority w:val="0"/>
    <w:rPr>
      <w:rFonts w:ascii="Arial" w:hAnsi="Arial" w:eastAsia="黑体"/>
    </w:rPr>
  </w:style>
  <w:style w:type="character" w:customStyle="1" w:styleId="84">
    <w:name w:val="文档结构图 字符"/>
    <w:link w:val="20"/>
    <w:semiHidden/>
    <w:qFormat/>
    <w:locked/>
    <w:uiPriority w:val="0"/>
    <w:rPr>
      <w:rFonts w:ascii="宋体" w:hAnsi="Times New Roman" w:eastAsia="宋体" w:cs="Times New Roman"/>
      <w:sz w:val="18"/>
      <w:szCs w:val="18"/>
    </w:rPr>
  </w:style>
  <w:style w:type="character" w:customStyle="1" w:styleId="85">
    <w:name w:val="批注文字 字符"/>
    <w:link w:val="22"/>
    <w:qFormat/>
    <w:locked/>
    <w:uiPriority w:val="0"/>
    <w:rPr>
      <w:rFonts w:ascii="Times New Roman" w:hAnsi="Times New Roman" w:eastAsia="宋体" w:cs="Times New Roman"/>
      <w:sz w:val="24"/>
      <w:szCs w:val="24"/>
    </w:rPr>
  </w:style>
  <w:style w:type="character" w:customStyle="1" w:styleId="86">
    <w:name w:val="称呼 字符"/>
    <w:link w:val="23"/>
    <w:semiHidden/>
    <w:qFormat/>
    <w:locked/>
    <w:uiPriority w:val="0"/>
    <w:rPr>
      <w:rFonts w:ascii="Times New Roman" w:hAnsi="Times New Roman" w:eastAsia="宋体" w:cs="Times New Roman"/>
      <w:sz w:val="24"/>
      <w:szCs w:val="24"/>
    </w:rPr>
  </w:style>
  <w:style w:type="character" w:customStyle="1" w:styleId="87">
    <w:name w:val="正文文本 3 字符"/>
    <w:link w:val="24"/>
    <w:semiHidden/>
    <w:qFormat/>
    <w:locked/>
    <w:uiPriority w:val="0"/>
    <w:rPr>
      <w:rFonts w:ascii="Times New Roman" w:hAnsi="Times New Roman" w:eastAsia="宋体" w:cs="Times New Roman"/>
      <w:sz w:val="16"/>
      <w:szCs w:val="16"/>
    </w:rPr>
  </w:style>
  <w:style w:type="character" w:customStyle="1" w:styleId="88">
    <w:name w:val="结束语 字符"/>
    <w:link w:val="25"/>
    <w:semiHidden/>
    <w:qFormat/>
    <w:locked/>
    <w:uiPriority w:val="0"/>
    <w:rPr>
      <w:rFonts w:ascii="Times New Roman" w:hAnsi="Times New Roman" w:eastAsia="宋体" w:cs="Times New Roman"/>
      <w:sz w:val="24"/>
      <w:szCs w:val="24"/>
    </w:rPr>
  </w:style>
  <w:style w:type="character" w:customStyle="1" w:styleId="89">
    <w:name w:val="正文文本 字符"/>
    <w:link w:val="27"/>
    <w:semiHidden/>
    <w:qFormat/>
    <w:locked/>
    <w:uiPriority w:val="0"/>
    <w:rPr>
      <w:rFonts w:ascii="Times New Roman" w:hAnsi="Times New Roman" w:eastAsia="宋体" w:cs="Times New Roman"/>
      <w:sz w:val="24"/>
      <w:szCs w:val="24"/>
    </w:rPr>
  </w:style>
  <w:style w:type="character" w:customStyle="1" w:styleId="90">
    <w:name w:val="正文文本缩进 字符"/>
    <w:link w:val="30"/>
    <w:semiHidden/>
    <w:qFormat/>
    <w:locked/>
    <w:uiPriority w:val="0"/>
    <w:rPr>
      <w:rFonts w:ascii="Times New Roman" w:hAnsi="Times New Roman" w:eastAsia="宋体" w:cs="Times New Roman"/>
      <w:sz w:val="24"/>
      <w:szCs w:val="24"/>
    </w:rPr>
  </w:style>
  <w:style w:type="character" w:customStyle="1" w:styleId="91">
    <w:name w:val="纯文本 字符"/>
    <w:link w:val="36"/>
    <w:semiHidden/>
    <w:qFormat/>
    <w:locked/>
    <w:uiPriority w:val="0"/>
    <w:rPr>
      <w:rFonts w:ascii="宋体" w:hAnsi="Courier New" w:eastAsia="宋体" w:cs="Courier New"/>
      <w:sz w:val="21"/>
      <w:szCs w:val="21"/>
    </w:rPr>
  </w:style>
  <w:style w:type="character" w:customStyle="1" w:styleId="92">
    <w:name w:val="日期 字符"/>
    <w:link w:val="38"/>
    <w:semiHidden/>
    <w:qFormat/>
    <w:locked/>
    <w:uiPriority w:val="0"/>
    <w:rPr>
      <w:rFonts w:ascii="Times New Roman" w:hAnsi="Times New Roman" w:eastAsia="宋体" w:cs="Times New Roman"/>
      <w:sz w:val="24"/>
      <w:szCs w:val="24"/>
    </w:rPr>
  </w:style>
  <w:style w:type="character" w:customStyle="1" w:styleId="93">
    <w:name w:val="正文文本缩进 2 字符"/>
    <w:link w:val="31"/>
    <w:semiHidden/>
    <w:qFormat/>
    <w:locked/>
    <w:uiPriority w:val="0"/>
    <w:rPr>
      <w:rFonts w:ascii="Times New Roman" w:hAnsi="Times New Roman" w:eastAsia="宋体" w:cs="Times New Roman"/>
      <w:sz w:val="24"/>
      <w:szCs w:val="24"/>
    </w:rPr>
  </w:style>
  <w:style w:type="character" w:customStyle="1" w:styleId="94">
    <w:name w:val="尾注文本 字符"/>
    <w:link w:val="39"/>
    <w:semiHidden/>
    <w:qFormat/>
    <w:locked/>
    <w:uiPriority w:val="0"/>
    <w:rPr>
      <w:rFonts w:ascii="Times New Roman" w:hAnsi="Times New Roman" w:eastAsia="宋体" w:cs="Times New Roman"/>
      <w:sz w:val="24"/>
      <w:szCs w:val="24"/>
    </w:rPr>
  </w:style>
  <w:style w:type="character" w:customStyle="1" w:styleId="95">
    <w:name w:val="批注框文本 字符"/>
    <w:link w:val="40"/>
    <w:semiHidden/>
    <w:qFormat/>
    <w:locked/>
    <w:uiPriority w:val="0"/>
    <w:rPr>
      <w:rFonts w:ascii="Times New Roman" w:hAnsi="Times New Roman" w:eastAsia="宋体" w:cs="Times New Roman"/>
      <w:sz w:val="18"/>
      <w:szCs w:val="18"/>
    </w:rPr>
  </w:style>
  <w:style w:type="character" w:customStyle="1" w:styleId="96">
    <w:name w:val="页脚 字符"/>
    <w:link w:val="41"/>
    <w:qFormat/>
    <w:locked/>
    <w:uiPriority w:val="0"/>
    <w:rPr>
      <w:rFonts w:cs="Times New Roman"/>
      <w:sz w:val="18"/>
      <w:szCs w:val="18"/>
    </w:rPr>
  </w:style>
  <w:style w:type="character" w:customStyle="1" w:styleId="97">
    <w:name w:val="页眉 字符"/>
    <w:link w:val="42"/>
    <w:qFormat/>
    <w:locked/>
    <w:uiPriority w:val="0"/>
    <w:rPr>
      <w:rFonts w:cs="Times New Roman"/>
      <w:sz w:val="18"/>
      <w:szCs w:val="18"/>
    </w:rPr>
  </w:style>
  <w:style w:type="character" w:customStyle="1" w:styleId="98">
    <w:name w:val="副标题 字符"/>
    <w:link w:val="46"/>
    <w:qFormat/>
    <w:locked/>
    <w:uiPriority w:val="0"/>
    <w:rPr>
      <w:rFonts w:ascii="Cambria" w:hAnsi="Cambria" w:eastAsia="宋体" w:cs="Times New Roman"/>
      <w:b/>
      <w:bCs/>
      <w:kern w:val="28"/>
      <w:sz w:val="32"/>
      <w:szCs w:val="32"/>
    </w:rPr>
  </w:style>
  <w:style w:type="character" w:customStyle="1" w:styleId="99">
    <w:name w:val="正文文本缩进 3 字符"/>
    <w:link w:val="49"/>
    <w:semiHidden/>
    <w:qFormat/>
    <w:locked/>
    <w:uiPriority w:val="0"/>
    <w:rPr>
      <w:rFonts w:ascii="Times New Roman" w:hAnsi="Times New Roman" w:eastAsia="宋体" w:cs="Times New Roman"/>
      <w:sz w:val="16"/>
      <w:szCs w:val="16"/>
    </w:rPr>
  </w:style>
  <w:style w:type="character" w:customStyle="1" w:styleId="100">
    <w:name w:val="正文文本 2 字符"/>
    <w:link w:val="53"/>
    <w:semiHidden/>
    <w:qFormat/>
    <w:locked/>
    <w:uiPriority w:val="0"/>
    <w:rPr>
      <w:rFonts w:ascii="Times New Roman" w:hAnsi="Times New Roman" w:eastAsia="宋体" w:cs="Times New Roman"/>
      <w:sz w:val="24"/>
      <w:szCs w:val="24"/>
    </w:rPr>
  </w:style>
  <w:style w:type="character" w:customStyle="1" w:styleId="101">
    <w:name w:val="HTML 预设格式 字符"/>
    <w:link w:val="54"/>
    <w:semiHidden/>
    <w:qFormat/>
    <w:locked/>
    <w:uiPriority w:val="0"/>
    <w:rPr>
      <w:rFonts w:ascii="Courier New" w:hAnsi="Courier New" w:eastAsia="宋体" w:cs="Courier New"/>
      <w:sz w:val="20"/>
      <w:szCs w:val="20"/>
    </w:rPr>
  </w:style>
  <w:style w:type="character" w:customStyle="1" w:styleId="102">
    <w:name w:val="标题 字符"/>
    <w:link w:val="57"/>
    <w:qFormat/>
    <w:locked/>
    <w:uiPriority w:val="0"/>
    <w:rPr>
      <w:rFonts w:ascii="Cambria" w:hAnsi="Cambria" w:eastAsia="宋体" w:cs="Times New Roman"/>
      <w:b/>
      <w:bCs/>
      <w:sz w:val="32"/>
      <w:szCs w:val="32"/>
    </w:rPr>
  </w:style>
  <w:style w:type="character" w:customStyle="1" w:styleId="103">
    <w:name w:val="批注主题 字符"/>
    <w:link w:val="58"/>
    <w:semiHidden/>
    <w:qFormat/>
    <w:locked/>
    <w:uiPriority w:val="0"/>
    <w:rPr>
      <w:b/>
      <w:bCs/>
    </w:rPr>
  </w:style>
  <w:style w:type="character" w:customStyle="1" w:styleId="104">
    <w:name w:val="正文文本首行缩进 字符"/>
    <w:link w:val="59"/>
    <w:semiHidden/>
    <w:qFormat/>
    <w:locked/>
    <w:uiPriority w:val="0"/>
  </w:style>
  <w:style w:type="character" w:customStyle="1" w:styleId="105">
    <w:name w:val="正文文本首行缩进 2 字符"/>
    <w:link w:val="60"/>
    <w:semiHidden/>
    <w:qFormat/>
    <w:locked/>
    <w:uiPriority w:val="0"/>
    <w:rPr>
      <w:rFonts w:ascii="Times New Roman" w:hAnsi="Times New Roman" w:eastAsia="宋体" w:cs="Times New Roman"/>
      <w:sz w:val="24"/>
      <w:szCs w:val="24"/>
    </w:rPr>
  </w:style>
  <w:style w:type="character" w:customStyle="1" w:styleId="106">
    <w:name w:val="NormalCharacter"/>
    <w:semiHidden/>
    <w:qFormat/>
    <w:uiPriority w:val="0"/>
    <w:rPr>
      <w:kern w:val="2"/>
      <w:sz w:val="21"/>
      <w:szCs w:val="24"/>
      <w:lang w:val="en-US" w:eastAsia="zh-CN" w:bidi="ar-SA"/>
    </w:rPr>
  </w:style>
  <w:style w:type="character" w:customStyle="1" w:styleId="107">
    <w:name w:val="常规 Char"/>
    <w:link w:val="108"/>
    <w:qFormat/>
    <w:locked/>
    <w:uiPriority w:val="0"/>
    <w:rPr>
      <w:rFonts w:ascii="Tahoma" w:hAnsi="Tahoma"/>
      <w:color w:val="000000"/>
      <w:sz w:val="21"/>
    </w:rPr>
  </w:style>
  <w:style w:type="paragraph" w:customStyle="1" w:styleId="108">
    <w:name w:val="常规"/>
    <w:basedOn w:val="1"/>
    <w:link w:val="107"/>
    <w:qFormat/>
    <w:uiPriority w:val="0"/>
    <w:pPr>
      <w:spacing w:beforeLines="100" w:afterLines="100" w:line="360" w:lineRule="auto"/>
      <w:ind w:firstLine="560" w:firstLineChars="200"/>
      <w:jc w:val="center"/>
    </w:pPr>
    <w:rPr>
      <w:rFonts w:ascii="Tahoma" w:hAnsi="Tahoma"/>
      <w:color w:val="000000"/>
      <w:kern w:val="0"/>
      <w:szCs w:val="20"/>
    </w:rPr>
  </w:style>
  <w:style w:type="character" w:customStyle="1" w:styleId="109">
    <w:name w:val="apple-converted-space"/>
    <w:qFormat/>
    <w:uiPriority w:val="0"/>
    <w:rPr>
      <w:rFonts w:cs="Times New Roman"/>
    </w:rPr>
  </w:style>
  <w:style w:type="character" w:customStyle="1" w:styleId="110">
    <w:name w:val="chanpinname"/>
    <w:qFormat/>
    <w:uiPriority w:val="0"/>
    <w:rPr>
      <w:rFonts w:cs="Times New Roman"/>
    </w:rPr>
  </w:style>
  <w:style w:type="character" w:customStyle="1" w:styleId="111">
    <w:name w:val="txt"/>
    <w:qFormat/>
    <w:uiPriority w:val="0"/>
    <w:rPr>
      <w:rFonts w:cs="Times New Roman"/>
    </w:rPr>
  </w:style>
  <w:style w:type="character" w:customStyle="1" w:styleId="112">
    <w:name w:val="正文缩进 Char1"/>
    <w:qFormat/>
    <w:uiPriority w:val="0"/>
    <w:rPr>
      <w:rFonts w:eastAsia="宋体"/>
      <w:kern w:val="2"/>
      <w:sz w:val="24"/>
      <w:lang w:val="en-US" w:eastAsia="zh-CN"/>
    </w:rPr>
  </w:style>
  <w:style w:type="character" w:customStyle="1" w:styleId="113">
    <w:name w:val="unnamed11"/>
    <w:qFormat/>
    <w:uiPriority w:val="0"/>
    <w:rPr>
      <w:sz w:val="20"/>
    </w:rPr>
  </w:style>
  <w:style w:type="character" w:customStyle="1" w:styleId="114">
    <w:name w:val="正文首行缩进 2 Char1"/>
    <w:qFormat/>
    <w:uiPriority w:val="0"/>
    <w:rPr>
      <w:rFonts w:cs="Times New Roman"/>
      <w:szCs w:val="31"/>
    </w:rPr>
  </w:style>
  <w:style w:type="character" w:customStyle="1" w:styleId="115">
    <w:name w:val="正文文本缩进 Char1"/>
    <w:qFormat/>
    <w:uiPriority w:val="0"/>
    <w:rPr>
      <w:rFonts w:ascii="楷体_GB2312" w:eastAsia="楷体_GB2312"/>
      <w:kern w:val="2"/>
      <w:sz w:val="31"/>
    </w:rPr>
  </w:style>
  <w:style w:type="character" w:customStyle="1" w:styleId="116">
    <w:name w:val="font51"/>
    <w:qFormat/>
    <w:uiPriority w:val="0"/>
    <w:rPr>
      <w:rFonts w:ascii="宋体" w:hAnsi="宋体" w:eastAsia="宋体"/>
      <w:color w:val="000000"/>
      <w:sz w:val="20"/>
      <w:u w:val="none"/>
    </w:rPr>
  </w:style>
  <w:style w:type="character" w:customStyle="1" w:styleId="117">
    <w:name w:val="页眉 Char1"/>
    <w:semiHidden/>
    <w:qFormat/>
    <w:uiPriority w:val="0"/>
    <w:rPr>
      <w:rFonts w:ascii="Times New Roman" w:hAnsi="Times New Roman" w:eastAsia="宋体"/>
      <w:sz w:val="18"/>
    </w:rPr>
  </w:style>
  <w:style w:type="character" w:customStyle="1" w:styleId="118">
    <w:name w:val="text_12_black1"/>
    <w:qFormat/>
    <w:uiPriority w:val="0"/>
    <w:rPr>
      <w:rFonts w:ascii="??" w:hAnsi="??"/>
      <w:color w:val="333333"/>
      <w:sz w:val="18"/>
      <w:u w:val="none"/>
    </w:rPr>
  </w:style>
  <w:style w:type="character" w:customStyle="1" w:styleId="119">
    <w:name w:val="未处理的提及2"/>
    <w:semiHidden/>
    <w:qFormat/>
    <w:uiPriority w:val="0"/>
    <w:rPr>
      <w:rFonts w:cs="Times New Roman"/>
      <w:color w:val="605E5C"/>
      <w:shd w:val="clear" w:color="auto" w:fill="E1DFDD"/>
    </w:rPr>
  </w:style>
  <w:style w:type="character" w:customStyle="1" w:styleId="120">
    <w:name w:val="批注主题 Char"/>
    <w:qFormat/>
    <w:uiPriority w:val="0"/>
    <w:rPr>
      <w:b/>
      <w:sz w:val="24"/>
    </w:rPr>
  </w:style>
  <w:style w:type="character" w:customStyle="1" w:styleId="121">
    <w:name w:val="日期 Char"/>
    <w:qFormat/>
    <w:locked/>
    <w:uiPriority w:val="0"/>
    <w:rPr>
      <w:rFonts w:eastAsia="Times New Roman"/>
      <w:color w:val="000000"/>
      <w:sz w:val="24"/>
    </w:rPr>
  </w:style>
  <w:style w:type="character" w:customStyle="1" w:styleId="122">
    <w:name w:val="z-窗体底端 Char"/>
    <w:qFormat/>
    <w:uiPriority w:val="0"/>
    <w:rPr>
      <w:rFonts w:ascii="Arial" w:hAnsi="Arial"/>
      <w:vanish/>
      <w:sz w:val="16"/>
    </w:rPr>
  </w:style>
  <w:style w:type="character" w:customStyle="1" w:styleId="123">
    <w:name w:val="未处理的提及1"/>
    <w:semiHidden/>
    <w:qFormat/>
    <w:uiPriority w:val="0"/>
    <w:rPr>
      <w:rFonts w:cs="Times New Roman"/>
      <w:color w:val="605E5C"/>
      <w:shd w:val="clear" w:color="auto" w:fill="E1DFDD"/>
    </w:rPr>
  </w:style>
  <w:style w:type="character" w:customStyle="1" w:styleId="124">
    <w:name w:val="表中左小5 Char"/>
    <w:link w:val="125"/>
    <w:qFormat/>
    <w:locked/>
    <w:uiPriority w:val="0"/>
    <w:rPr>
      <w:rFonts w:ascii="Calibri" w:hAnsi="Calibri"/>
      <w:color w:val="0000FF"/>
      <w:kern w:val="2"/>
      <w:sz w:val="18"/>
      <w:szCs w:val="18"/>
      <w:lang w:val="en-US" w:eastAsia="zh-CN" w:bidi="ar-SA"/>
    </w:rPr>
  </w:style>
  <w:style w:type="paragraph" w:customStyle="1" w:styleId="125">
    <w:name w:val="表中左小5"/>
    <w:link w:val="124"/>
    <w:qFormat/>
    <w:uiPriority w:val="0"/>
    <w:pPr>
      <w:adjustRightInd w:val="0"/>
      <w:snapToGrid w:val="0"/>
      <w:spacing w:line="320" w:lineRule="exact"/>
    </w:pPr>
    <w:rPr>
      <w:rFonts w:ascii="Calibri" w:hAnsi="Calibri" w:eastAsia="宋体" w:cs="Times New Roman"/>
      <w:color w:val="0000FF"/>
      <w:kern w:val="2"/>
      <w:sz w:val="18"/>
      <w:szCs w:val="18"/>
      <w:lang w:val="en-US" w:eastAsia="zh-CN" w:bidi="ar-SA"/>
    </w:rPr>
  </w:style>
  <w:style w:type="character" w:customStyle="1" w:styleId="126">
    <w:name w:val="Table Description Char Char"/>
    <w:link w:val="127"/>
    <w:qFormat/>
    <w:locked/>
    <w:uiPriority w:val="0"/>
    <w:rPr>
      <w:rFonts w:ascii="Arial" w:hAnsi="Arial" w:eastAsia="黑体"/>
      <w:kern w:val="2"/>
      <w:sz w:val="18"/>
      <w:szCs w:val="22"/>
      <w:lang w:val="en-US" w:eastAsia="zh-CN" w:bidi="ar-SA"/>
    </w:rPr>
  </w:style>
  <w:style w:type="paragraph" w:customStyle="1" w:styleId="127">
    <w:name w:val="Table Description"/>
    <w:next w:val="1"/>
    <w:link w:val="126"/>
    <w:qFormat/>
    <w:uiPriority w:val="0"/>
    <w:pPr>
      <w:keepNext/>
      <w:snapToGrid w:val="0"/>
      <w:spacing w:before="160" w:after="80"/>
      <w:ind w:left="1038"/>
      <w:jc w:val="center"/>
    </w:pPr>
    <w:rPr>
      <w:rFonts w:ascii="Arial" w:hAnsi="Arial" w:eastAsia="黑体" w:cs="Times New Roman"/>
      <w:kern w:val="2"/>
      <w:sz w:val="18"/>
      <w:szCs w:val="22"/>
      <w:lang w:val="en-US" w:eastAsia="zh-CN" w:bidi="ar-SA"/>
    </w:rPr>
  </w:style>
  <w:style w:type="character" w:customStyle="1" w:styleId="128">
    <w:name w:val="首行缩进 Char Char1"/>
    <w:link w:val="129"/>
    <w:qFormat/>
    <w:locked/>
    <w:uiPriority w:val="0"/>
    <w:rPr>
      <w:sz w:val="24"/>
    </w:rPr>
  </w:style>
  <w:style w:type="paragraph" w:customStyle="1" w:styleId="129">
    <w:name w:val="首行缩进 Char"/>
    <w:basedOn w:val="1"/>
    <w:next w:val="16"/>
    <w:link w:val="128"/>
    <w:qFormat/>
    <w:uiPriority w:val="0"/>
    <w:pPr>
      <w:spacing w:line="300" w:lineRule="auto"/>
      <w:ind w:firstLine="420"/>
    </w:pPr>
    <w:rPr>
      <w:kern w:val="0"/>
      <w:sz w:val="24"/>
      <w:szCs w:val="20"/>
    </w:rPr>
  </w:style>
  <w:style w:type="character" w:customStyle="1" w:styleId="130">
    <w:name w:val="批注文字 Char"/>
    <w:qFormat/>
    <w:uiPriority w:val="0"/>
    <w:rPr>
      <w:kern w:val="2"/>
      <w:sz w:val="24"/>
    </w:rPr>
  </w:style>
  <w:style w:type="character" w:customStyle="1" w:styleId="131">
    <w:name w:val="标题 2 Char"/>
    <w:qFormat/>
    <w:uiPriority w:val="0"/>
    <w:rPr>
      <w:rFonts w:ascii="Arial" w:hAnsi="Arial" w:eastAsia="黑体"/>
      <w:b/>
      <w:sz w:val="32"/>
    </w:rPr>
  </w:style>
  <w:style w:type="character" w:customStyle="1" w:styleId="132">
    <w:name w:val="尾注文本 Char1"/>
    <w:qFormat/>
    <w:uiPriority w:val="0"/>
    <w:rPr>
      <w:kern w:val="2"/>
      <w:sz w:val="24"/>
    </w:rPr>
  </w:style>
  <w:style w:type="character" w:customStyle="1" w:styleId="133">
    <w:name w:val="普通 (Web) Char"/>
    <w:link w:val="134"/>
    <w:qFormat/>
    <w:locked/>
    <w:uiPriority w:val="0"/>
    <w:rPr>
      <w:rFonts w:ascii="宋体" w:eastAsia="宋体"/>
      <w:sz w:val="24"/>
    </w:rPr>
  </w:style>
  <w:style w:type="paragraph" w:customStyle="1" w:styleId="134">
    <w:name w:val="普通 (Web)"/>
    <w:basedOn w:val="1"/>
    <w:link w:val="133"/>
    <w:qFormat/>
    <w:uiPriority w:val="0"/>
    <w:pPr>
      <w:widowControl/>
      <w:spacing w:before="100" w:beforeAutospacing="1" w:after="100" w:afterAutospacing="1"/>
      <w:jc w:val="left"/>
    </w:pPr>
    <w:rPr>
      <w:rFonts w:ascii="宋体"/>
      <w:kern w:val="0"/>
      <w:sz w:val="24"/>
      <w:szCs w:val="20"/>
    </w:rPr>
  </w:style>
  <w:style w:type="character" w:customStyle="1" w:styleId="135">
    <w:name w:val="悬挂22 Char"/>
    <w:link w:val="136"/>
    <w:qFormat/>
    <w:locked/>
    <w:uiPriority w:val="0"/>
    <w:rPr>
      <w:rFonts w:ascii="Calibri" w:hAnsi="Calibri"/>
      <w:color w:val="FF0000"/>
      <w:kern w:val="2"/>
      <w:sz w:val="21"/>
      <w:szCs w:val="28"/>
      <w:lang w:val="en-US" w:eastAsia="zh-CN" w:bidi="ar-SA"/>
    </w:rPr>
  </w:style>
  <w:style w:type="paragraph" w:customStyle="1" w:styleId="136">
    <w:name w:val="悬挂22"/>
    <w:link w:val="135"/>
    <w:qFormat/>
    <w:uiPriority w:val="0"/>
    <w:pPr>
      <w:spacing w:beforeLines="50" w:afterLines="50" w:line="320" w:lineRule="exact"/>
      <w:ind w:left="988" w:hanging="420"/>
      <w:jc w:val="both"/>
    </w:pPr>
    <w:rPr>
      <w:rFonts w:ascii="Calibri" w:hAnsi="Calibri" w:eastAsia="宋体" w:cs="Times New Roman"/>
      <w:color w:val="FF0000"/>
      <w:kern w:val="2"/>
      <w:sz w:val="21"/>
      <w:szCs w:val="28"/>
      <w:lang w:val="en-US" w:eastAsia="zh-CN" w:bidi="ar-SA"/>
    </w:rPr>
  </w:style>
  <w:style w:type="character" w:customStyle="1" w:styleId="137">
    <w:name w:val="B正文 Char"/>
    <w:link w:val="138"/>
    <w:qFormat/>
    <w:locked/>
    <w:uiPriority w:val="0"/>
    <w:rPr>
      <w:rFonts w:ascii="宋体" w:eastAsia="宋体"/>
      <w:sz w:val="24"/>
    </w:rPr>
  </w:style>
  <w:style w:type="paragraph" w:customStyle="1" w:styleId="138">
    <w:name w:val="B正文"/>
    <w:basedOn w:val="1"/>
    <w:link w:val="137"/>
    <w:qFormat/>
    <w:uiPriority w:val="0"/>
    <w:pPr>
      <w:widowControl/>
      <w:spacing w:line="360" w:lineRule="auto"/>
      <w:ind w:firstLine="200" w:firstLineChars="200"/>
    </w:pPr>
    <w:rPr>
      <w:rFonts w:ascii="宋体"/>
      <w:kern w:val="0"/>
      <w:sz w:val="24"/>
      <w:szCs w:val="20"/>
    </w:rPr>
  </w:style>
  <w:style w:type="character" w:customStyle="1" w:styleId="139">
    <w:name w:val="ca-131"/>
    <w:qFormat/>
    <w:uiPriority w:val="0"/>
    <w:rPr>
      <w:rFonts w:ascii="Times New Roman" w:hAnsi="Times New Roman"/>
      <w:sz w:val="21"/>
    </w:rPr>
  </w:style>
  <w:style w:type="character" w:customStyle="1" w:styleId="140">
    <w:name w:val="hei12"/>
    <w:qFormat/>
    <w:uiPriority w:val="0"/>
    <w:rPr>
      <w:rFonts w:cs="Times New Roman"/>
    </w:rPr>
  </w:style>
  <w:style w:type="character" w:customStyle="1" w:styleId="141">
    <w:name w:val="正文小四 Char"/>
    <w:link w:val="142"/>
    <w:qFormat/>
    <w:locked/>
    <w:uiPriority w:val="0"/>
    <w:rPr>
      <w:rFonts w:ascii="宋体" w:hAnsi="宋体"/>
      <w:kern w:val="2"/>
      <w:sz w:val="24"/>
      <w:szCs w:val="22"/>
      <w:lang w:val="en-US" w:eastAsia="zh-CN" w:bidi="ar-SA"/>
    </w:rPr>
  </w:style>
  <w:style w:type="paragraph" w:customStyle="1" w:styleId="142">
    <w:name w:val="正文小四"/>
    <w:link w:val="141"/>
    <w:qFormat/>
    <w:uiPriority w:val="0"/>
    <w:pPr>
      <w:spacing w:line="360" w:lineRule="auto"/>
      <w:ind w:firstLine="480" w:firstLineChars="200"/>
      <w:jc w:val="both"/>
    </w:pPr>
    <w:rPr>
      <w:rFonts w:ascii="宋体" w:hAnsi="宋体" w:eastAsia="宋体" w:cs="Times New Roman"/>
      <w:kern w:val="2"/>
      <w:sz w:val="24"/>
      <w:szCs w:val="22"/>
      <w:lang w:val="en-US" w:eastAsia="zh-CN" w:bidi="ar-SA"/>
    </w:rPr>
  </w:style>
  <w:style w:type="character" w:customStyle="1" w:styleId="143">
    <w:name w:val="content021"/>
    <w:qFormat/>
    <w:uiPriority w:val="0"/>
    <w:rPr>
      <w:color w:val="444444"/>
      <w:spacing w:val="330"/>
      <w:sz w:val="21"/>
      <w:u w:val="none"/>
    </w:rPr>
  </w:style>
  <w:style w:type="character" w:customStyle="1" w:styleId="144">
    <w:name w:val="页脚 Char2"/>
    <w:semiHidden/>
    <w:qFormat/>
    <w:uiPriority w:val="0"/>
    <w:rPr>
      <w:rFonts w:ascii="Times New Roman" w:hAnsi="Times New Roman" w:eastAsia="宋体" w:cs="Times New Roman"/>
      <w:sz w:val="18"/>
      <w:szCs w:val="18"/>
    </w:rPr>
  </w:style>
  <w:style w:type="character" w:customStyle="1" w:styleId="145">
    <w:name w:val="15"/>
    <w:qFormat/>
    <w:uiPriority w:val="0"/>
    <w:rPr>
      <w:rFonts w:ascii="Times New Roman" w:hAnsi="Times New Roman"/>
      <w:color w:val="0000FF"/>
      <w:u w:val="single"/>
    </w:rPr>
  </w:style>
  <w:style w:type="character" w:customStyle="1" w:styleId="146">
    <w:name w:val="段 Char Char"/>
    <w:qFormat/>
    <w:uiPriority w:val="0"/>
    <w:rPr>
      <w:rFonts w:ascii="宋体"/>
      <w:sz w:val="21"/>
      <w:lang w:val="en-US" w:eastAsia="zh-CN"/>
    </w:rPr>
  </w:style>
  <w:style w:type="character" w:customStyle="1" w:styleId="147">
    <w:name w:val="正文文本 Char2"/>
    <w:qFormat/>
    <w:uiPriority w:val="0"/>
    <w:rPr>
      <w:rFonts w:ascii="宋体"/>
      <w:color w:val="000000"/>
      <w:sz w:val="32"/>
    </w:rPr>
  </w:style>
  <w:style w:type="character" w:customStyle="1" w:styleId="148">
    <w:name w:val="contentheaderrev1"/>
    <w:qFormat/>
    <w:uiPriority w:val="0"/>
    <w:rPr>
      <w:rFonts w:ascii="Arial" w:hAnsi="Arial"/>
      <w:b/>
      <w:color w:val="FFFFFF"/>
      <w:sz w:val="18"/>
      <w:u w:val="none"/>
    </w:rPr>
  </w:style>
  <w:style w:type="character" w:customStyle="1" w:styleId="149">
    <w:name w:val="Table Heading Char"/>
    <w:link w:val="150"/>
    <w:qFormat/>
    <w:locked/>
    <w:uiPriority w:val="0"/>
    <w:rPr>
      <w:rFonts w:ascii="Arial" w:hAnsi="Arial" w:eastAsia="黑体"/>
      <w:snapToGrid w:val="0"/>
      <w:sz w:val="21"/>
    </w:rPr>
  </w:style>
  <w:style w:type="paragraph" w:customStyle="1" w:styleId="150">
    <w:name w:val="Table Heading"/>
    <w:basedOn w:val="1"/>
    <w:link w:val="149"/>
    <w:qFormat/>
    <w:uiPriority w:val="0"/>
    <w:pPr>
      <w:keepNext/>
      <w:topLinePunct/>
      <w:adjustRightInd w:val="0"/>
      <w:snapToGrid w:val="0"/>
      <w:spacing w:before="80" w:after="80" w:line="240" w:lineRule="atLeast"/>
      <w:jc w:val="left"/>
    </w:pPr>
    <w:rPr>
      <w:rFonts w:ascii="Arial" w:hAnsi="Arial" w:eastAsia="黑体"/>
      <w:snapToGrid w:val="0"/>
      <w:kern w:val="0"/>
      <w:szCs w:val="20"/>
    </w:rPr>
  </w:style>
  <w:style w:type="character" w:customStyle="1" w:styleId="151">
    <w:name w:val="正文文本 2 Char"/>
    <w:qFormat/>
    <w:uiPriority w:val="0"/>
    <w:rPr>
      <w:rFonts w:ascii="宋体" w:eastAsia="宋体"/>
      <w:sz w:val="24"/>
    </w:rPr>
  </w:style>
  <w:style w:type="character" w:customStyle="1" w:styleId="152">
    <w:name w:val="纯文本 Char"/>
    <w:qFormat/>
    <w:uiPriority w:val="0"/>
    <w:rPr>
      <w:rFonts w:ascii="宋体" w:hAnsi="Courier New"/>
      <w:sz w:val="21"/>
    </w:rPr>
  </w:style>
  <w:style w:type="character" w:customStyle="1" w:styleId="153">
    <w:name w:val="short_text"/>
    <w:qFormat/>
    <w:uiPriority w:val="0"/>
    <w:rPr>
      <w:rFonts w:cs="Times New Roman"/>
    </w:rPr>
  </w:style>
  <w:style w:type="character" w:customStyle="1" w:styleId="154">
    <w:name w:val="No Spacing Char"/>
    <w:link w:val="155"/>
    <w:qFormat/>
    <w:locked/>
    <w:uiPriority w:val="0"/>
    <w:rPr>
      <w:rFonts w:ascii="Calibri" w:hAnsi="Calibri" w:eastAsia="宋体" w:cs="Times New Roman"/>
    </w:rPr>
  </w:style>
  <w:style w:type="paragraph" w:customStyle="1" w:styleId="155">
    <w:name w:val="无间隔1"/>
    <w:basedOn w:val="1"/>
    <w:link w:val="154"/>
    <w:qFormat/>
    <w:uiPriority w:val="0"/>
    <w:rPr>
      <w:rFonts w:ascii="Calibri" w:hAnsi="Calibri"/>
      <w:szCs w:val="22"/>
    </w:rPr>
  </w:style>
  <w:style w:type="character" w:customStyle="1" w:styleId="156">
    <w:name w:val="text_12_subject1"/>
    <w:qFormat/>
    <w:uiPriority w:val="0"/>
    <w:rPr>
      <w:rFonts w:ascii="??" w:hAnsi="??"/>
      <w:b/>
      <w:color w:val="006699"/>
      <w:sz w:val="18"/>
      <w:u w:val="none"/>
    </w:rPr>
  </w:style>
  <w:style w:type="character" w:customStyle="1" w:styleId="157">
    <w:name w:val="ca-121"/>
    <w:qFormat/>
    <w:uiPriority w:val="0"/>
    <w:rPr>
      <w:rFonts w:ascii="宋体" w:hAnsi="宋体" w:eastAsia="宋体"/>
      <w:sz w:val="21"/>
    </w:rPr>
  </w:style>
  <w:style w:type="character" w:customStyle="1" w:styleId="158">
    <w:name w:val="abcde1"/>
    <w:qFormat/>
    <w:uiPriority w:val="0"/>
    <w:rPr>
      <w:spacing w:val="400"/>
      <w:sz w:val="26"/>
    </w:rPr>
  </w:style>
  <w:style w:type="character" w:customStyle="1" w:styleId="159">
    <w:name w:val="font41"/>
    <w:qFormat/>
    <w:uiPriority w:val="0"/>
    <w:rPr>
      <w:rFonts w:ascii="宋体" w:hAnsi="宋体" w:eastAsia="宋体"/>
      <w:color w:val="000000"/>
      <w:sz w:val="20"/>
      <w:u w:val="none"/>
    </w:rPr>
  </w:style>
  <w:style w:type="character" w:customStyle="1" w:styleId="160">
    <w:name w:val="正文文本缩进 Char"/>
    <w:qFormat/>
    <w:uiPriority w:val="0"/>
    <w:rPr>
      <w:rFonts w:ascii="宋体"/>
      <w:color w:val="000000"/>
      <w:sz w:val="32"/>
    </w:rPr>
  </w:style>
  <w:style w:type="character" w:customStyle="1" w:styleId="161">
    <w:name w:val="font31"/>
    <w:qFormat/>
    <w:uiPriority w:val="0"/>
    <w:rPr>
      <w:rFonts w:ascii="Times New Roman" w:hAnsi="Times New Roman"/>
      <w:color w:val="000000"/>
      <w:sz w:val="20"/>
      <w:u w:val="none"/>
    </w:rPr>
  </w:style>
  <w:style w:type="character" w:customStyle="1" w:styleId="162">
    <w:name w:val="悬挂2 Char"/>
    <w:link w:val="163"/>
    <w:qFormat/>
    <w:locked/>
    <w:uiPriority w:val="0"/>
    <w:rPr>
      <w:rFonts w:ascii="Calibri" w:hAnsi="Calibri"/>
      <w:kern w:val="2"/>
      <w:sz w:val="21"/>
      <w:szCs w:val="21"/>
      <w:lang w:val="en-US" w:eastAsia="zh-CN" w:bidi="ar-SA"/>
    </w:rPr>
  </w:style>
  <w:style w:type="paragraph" w:customStyle="1" w:styleId="163">
    <w:name w:val="悬挂2"/>
    <w:link w:val="162"/>
    <w:qFormat/>
    <w:uiPriority w:val="0"/>
    <w:pPr>
      <w:numPr>
        <w:ilvl w:val="0"/>
        <w:numId w:val="2"/>
      </w:numPr>
      <w:spacing w:beforeLines="50" w:afterLines="50" w:line="320" w:lineRule="exact"/>
      <w:jc w:val="both"/>
    </w:pPr>
    <w:rPr>
      <w:rFonts w:ascii="Calibri" w:hAnsi="Calibri" w:eastAsia="宋体" w:cs="Times New Roman"/>
      <w:kern w:val="2"/>
      <w:sz w:val="21"/>
      <w:szCs w:val="21"/>
      <w:lang w:val="en-US" w:eastAsia="zh-CN" w:bidi="ar-SA"/>
    </w:rPr>
  </w:style>
  <w:style w:type="character" w:customStyle="1" w:styleId="164">
    <w:name w:val="正文文本 Char"/>
    <w:qFormat/>
    <w:uiPriority w:val="0"/>
    <w:rPr>
      <w:rFonts w:ascii="宋体"/>
      <w:color w:val="000000"/>
      <w:sz w:val="32"/>
    </w:rPr>
  </w:style>
  <w:style w:type="character" w:customStyle="1" w:styleId="165">
    <w:name w:val="Char Char5"/>
    <w:qFormat/>
    <w:uiPriority w:val="0"/>
    <w:rPr>
      <w:rFonts w:ascii="Times New Roman" w:hAnsi="Times New Roman" w:eastAsia="宋体"/>
      <w:sz w:val="18"/>
    </w:rPr>
  </w:style>
  <w:style w:type="character" w:customStyle="1" w:styleId="166">
    <w:name w:val="表格非标题文字 Char"/>
    <w:link w:val="167"/>
    <w:qFormat/>
    <w:locked/>
    <w:uiPriority w:val="0"/>
    <w:rPr>
      <w:rFonts w:ascii="Arial" w:hAnsi="Arial"/>
      <w:kern w:val="2"/>
      <w:sz w:val="18"/>
      <w:szCs w:val="21"/>
      <w:lang w:val="en-US" w:eastAsia="zh-CN" w:bidi="ar-SA"/>
    </w:rPr>
  </w:style>
  <w:style w:type="paragraph" w:customStyle="1" w:styleId="167">
    <w:name w:val="表格非标题文字"/>
    <w:link w:val="166"/>
    <w:qFormat/>
    <w:uiPriority w:val="0"/>
    <w:pPr>
      <w:snapToGrid w:val="0"/>
      <w:spacing w:before="80" w:after="40"/>
    </w:pPr>
    <w:rPr>
      <w:rFonts w:ascii="Arial" w:hAnsi="Arial" w:eastAsia="宋体" w:cs="Times New Roman"/>
      <w:kern w:val="2"/>
      <w:sz w:val="18"/>
      <w:szCs w:val="21"/>
      <w:lang w:val="en-US" w:eastAsia="zh-CN" w:bidi="ar-SA"/>
    </w:rPr>
  </w:style>
  <w:style w:type="character" w:customStyle="1" w:styleId="168">
    <w:name w:val="缩进 Char"/>
    <w:link w:val="169"/>
    <w:qFormat/>
    <w:locked/>
    <w:uiPriority w:val="0"/>
    <w:rPr>
      <w:rFonts w:ascii="Calibri" w:hAnsi="Calibri"/>
      <w:color w:val="0000FF"/>
      <w:kern w:val="2"/>
      <w:sz w:val="21"/>
      <w:szCs w:val="18"/>
      <w:lang w:val="en-US" w:eastAsia="zh-CN" w:bidi="ar-SA"/>
    </w:rPr>
  </w:style>
  <w:style w:type="paragraph" w:customStyle="1" w:styleId="169">
    <w:name w:val="缩进"/>
    <w:link w:val="168"/>
    <w:qFormat/>
    <w:uiPriority w:val="0"/>
    <w:pPr>
      <w:spacing w:beforeLines="50" w:afterLines="50" w:line="320" w:lineRule="exact"/>
      <w:ind w:left="630" w:leftChars="300" w:firstLine="420" w:firstLineChars="200"/>
      <w:jc w:val="both"/>
    </w:pPr>
    <w:rPr>
      <w:rFonts w:ascii="Calibri" w:hAnsi="Calibri" w:eastAsia="宋体" w:cs="Times New Roman"/>
      <w:color w:val="0000FF"/>
      <w:kern w:val="2"/>
      <w:sz w:val="21"/>
      <w:szCs w:val="18"/>
      <w:lang w:val="en-US" w:eastAsia="zh-CN" w:bidi="ar-SA"/>
    </w:rPr>
  </w:style>
  <w:style w:type="character" w:customStyle="1" w:styleId="170">
    <w:name w:val="正文文本缩进 Char2"/>
    <w:qFormat/>
    <w:uiPriority w:val="0"/>
    <w:rPr>
      <w:rFonts w:ascii="宋体"/>
      <w:color w:val="000000"/>
      <w:sz w:val="32"/>
    </w:rPr>
  </w:style>
  <w:style w:type="character" w:customStyle="1" w:styleId="171">
    <w:name w:val="正文文本 3 Char1"/>
    <w:qFormat/>
    <w:uiPriority w:val="0"/>
    <w:rPr>
      <w:kern w:val="2"/>
      <w:sz w:val="16"/>
    </w:rPr>
  </w:style>
  <w:style w:type="character" w:customStyle="1" w:styleId="172">
    <w:name w:val="z-窗体底端 Char2"/>
    <w:link w:val="173"/>
    <w:semiHidden/>
    <w:qFormat/>
    <w:locked/>
    <w:uiPriority w:val="0"/>
    <w:rPr>
      <w:rFonts w:ascii="Arial" w:hAnsi="Arial" w:eastAsia="宋体" w:cs="Arial"/>
      <w:vanish/>
      <w:sz w:val="16"/>
      <w:szCs w:val="16"/>
    </w:rPr>
  </w:style>
  <w:style w:type="paragraph" w:customStyle="1" w:styleId="173">
    <w:name w:val="z-窗体底端1"/>
    <w:basedOn w:val="1"/>
    <w:next w:val="1"/>
    <w:link w:val="172"/>
    <w:qFormat/>
    <w:uiPriority w:val="0"/>
    <w:pPr>
      <w:widowControl/>
      <w:pBdr>
        <w:top w:val="single" w:color="auto" w:sz="6" w:space="1"/>
      </w:pBdr>
      <w:jc w:val="center"/>
    </w:pPr>
    <w:rPr>
      <w:rFonts w:ascii="Arial" w:hAnsi="Arial" w:cs="Arial"/>
      <w:vanish/>
      <w:sz w:val="16"/>
      <w:szCs w:val="16"/>
    </w:rPr>
  </w:style>
  <w:style w:type="character" w:customStyle="1" w:styleId="174">
    <w:name w:val="Table Text Char"/>
    <w:link w:val="175"/>
    <w:qFormat/>
    <w:locked/>
    <w:uiPriority w:val="0"/>
    <w:rPr>
      <w:rFonts w:ascii="Arial" w:hAnsi="Arial"/>
      <w:kern w:val="2"/>
      <w:sz w:val="18"/>
      <w:szCs w:val="22"/>
      <w:lang w:val="en-US" w:eastAsia="zh-CN" w:bidi="ar-SA"/>
    </w:rPr>
  </w:style>
  <w:style w:type="paragraph" w:customStyle="1" w:styleId="175">
    <w:name w:val="Table Text"/>
    <w:link w:val="174"/>
    <w:qFormat/>
    <w:uiPriority w:val="0"/>
    <w:pPr>
      <w:snapToGrid w:val="0"/>
      <w:spacing w:before="80" w:after="80"/>
    </w:pPr>
    <w:rPr>
      <w:rFonts w:ascii="Arial" w:hAnsi="Arial" w:eastAsia="宋体" w:cs="Times New Roman"/>
      <w:kern w:val="2"/>
      <w:sz w:val="18"/>
      <w:szCs w:val="22"/>
      <w:lang w:val="en-US" w:eastAsia="zh-CN" w:bidi="ar-SA"/>
    </w:rPr>
  </w:style>
  <w:style w:type="character" w:customStyle="1" w:styleId="176">
    <w:name w:val="7）页眉页脚"/>
    <w:qFormat/>
    <w:uiPriority w:val="0"/>
    <w:rPr>
      <w:rFonts w:ascii="??_GB2312" w:eastAsia="Times New Roman"/>
      <w:b/>
      <w:i/>
      <w:sz w:val="18"/>
      <w:vertAlign w:val="baseline"/>
    </w:rPr>
  </w:style>
  <w:style w:type="character" w:customStyle="1" w:styleId="177">
    <w:name w:val="z21"/>
    <w:qFormat/>
    <w:uiPriority w:val="0"/>
    <w:rPr>
      <w:color w:val="000000"/>
      <w:spacing w:val="255"/>
      <w:sz w:val="18"/>
    </w:rPr>
  </w:style>
  <w:style w:type="character" w:customStyle="1" w:styleId="178">
    <w:name w:val="称呼 Char"/>
    <w:qFormat/>
    <w:uiPriority w:val="0"/>
    <w:rPr>
      <w:sz w:val="24"/>
    </w:rPr>
  </w:style>
  <w:style w:type="character" w:customStyle="1" w:styleId="179">
    <w:name w:val="正文文本 3 Char"/>
    <w:qFormat/>
    <w:uiPriority w:val="0"/>
    <w:rPr>
      <w:sz w:val="16"/>
    </w:rPr>
  </w:style>
  <w:style w:type="character" w:customStyle="1" w:styleId="180">
    <w:name w:val="font11"/>
    <w:qFormat/>
    <w:uiPriority w:val="0"/>
    <w:rPr>
      <w:rFonts w:ascii="宋体" w:hAnsi="宋体" w:eastAsia="宋体"/>
      <w:color w:val="000000"/>
      <w:sz w:val="20"/>
      <w:u w:val="none"/>
    </w:rPr>
  </w:style>
  <w:style w:type="character" w:customStyle="1" w:styleId="181">
    <w:name w:val="font71"/>
    <w:qFormat/>
    <w:uiPriority w:val="0"/>
    <w:rPr>
      <w:rFonts w:ascii="宋体" w:hAnsi="宋体" w:eastAsia="宋体"/>
      <w:color w:val="000000"/>
      <w:sz w:val="20"/>
      <w:u w:val="none"/>
    </w:rPr>
  </w:style>
  <w:style w:type="character" w:customStyle="1" w:styleId="182">
    <w:name w:val="line14pj"/>
    <w:qFormat/>
    <w:uiPriority w:val="0"/>
    <w:rPr>
      <w:rFonts w:cs="Times New Roman"/>
    </w:rPr>
  </w:style>
  <w:style w:type="character" w:customStyle="1" w:styleId="183">
    <w:name w:val="正文2级 Char"/>
    <w:link w:val="184"/>
    <w:qFormat/>
    <w:locked/>
    <w:uiPriority w:val="0"/>
    <w:rPr>
      <w:rFonts w:ascii="Calibri" w:hAnsi="Calibri"/>
      <w:bCs/>
      <w:kern w:val="44"/>
      <w:sz w:val="24"/>
      <w:szCs w:val="44"/>
      <w:lang w:val="en-US" w:eastAsia="zh-CN" w:bidi="ar-SA"/>
    </w:rPr>
  </w:style>
  <w:style w:type="paragraph" w:customStyle="1" w:styleId="184">
    <w:name w:val="正文2级"/>
    <w:link w:val="183"/>
    <w:qFormat/>
    <w:uiPriority w:val="0"/>
    <w:pPr>
      <w:widowControl w:val="0"/>
      <w:spacing w:after="60" w:line="400" w:lineRule="exact"/>
      <w:jc w:val="both"/>
    </w:pPr>
    <w:rPr>
      <w:rFonts w:ascii="Calibri" w:hAnsi="Calibri" w:eastAsia="宋体" w:cs="Times New Roman"/>
      <w:bCs/>
      <w:kern w:val="44"/>
      <w:sz w:val="24"/>
      <w:szCs w:val="44"/>
      <w:lang w:val="en-US" w:eastAsia="zh-CN" w:bidi="ar-SA"/>
    </w:rPr>
  </w:style>
  <w:style w:type="character" w:customStyle="1" w:styleId="185">
    <w:name w:val="标题 Char1"/>
    <w:qFormat/>
    <w:uiPriority w:val="0"/>
    <w:rPr>
      <w:rFonts w:ascii="Cambria" w:hAnsi="Cambria"/>
      <w:b/>
      <w:kern w:val="2"/>
      <w:sz w:val="32"/>
    </w:rPr>
  </w:style>
  <w:style w:type="character" w:customStyle="1" w:styleId="186">
    <w:name w:val="正文文本缩进 3 Char"/>
    <w:qFormat/>
    <w:locked/>
    <w:uiPriority w:val="0"/>
    <w:rPr>
      <w:rFonts w:ascii="幼圆" w:eastAsia="幼圆"/>
      <w:sz w:val="32"/>
    </w:rPr>
  </w:style>
  <w:style w:type="character" w:customStyle="1" w:styleId="187">
    <w:name w:val="四级大纲 Char"/>
    <w:link w:val="188"/>
    <w:qFormat/>
    <w:locked/>
    <w:uiPriority w:val="0"/>
    <w:rPr>
      <w:rFonts w:ascii="Calibri" w:hAnsi="Calibri"/>
      <w:b/>
      <w:kern w:val="2"/>
      <w:sz w:val="30"/>
      <w:szCs w:val="22"/>
      <w:lang w:val="en-US" w:eastAsia="zh-CN" w:bidi="ar-SA"/>
    </w:rPr>
  </w:style>
  <w:style w:type="paragraph" w:customStyle="1" w:styleId="188">
    <w:name w:val="四级大纲"/>
    <w:next w:val="142"/>
    <w:link w:val="187"/>
    <w:qFormat/>
    <w:uiPriority w:val="0"/>
    <w:pPr>
      <w:numPr>
        <w:ilvl w:val="3"/>
        <w:numId w:val="3"/>
      </w:numPr>
      <w:outlineLvl w:val="3"/>
    </w:pPr>
    <w:rPr>
      <w:rFonts w:ascii="Calibri" w:hAnsi="Calibri" w:eastAsia="宋体" w:cs="Times New Roman"/>
      <w:b/>
      <w:kern w:val="2"/>
      <w:sz w:val="30"/>
      <w:szCs w:val="22"/>
      <w:lang w:val="en-US" w:eastAsia="zh-CN" w:bidi="ar-SA"/>
    </w:rPr>
  </w:style>
  <w:style w:type="character" w:customStyle="1" w:styleId="189">
    <w:name w:val="页眉 Char2"/>
    <w:semiHidden/>
    <w:qFormat/>
    <w:uiPriority w:val="0"/>
    <w:rPr>
      <w:rFonts w:ascii="Times New Roman" w:hAnsi="Times New Roman" w:eastAsia="宋体" w:cs="Times New Roman"/>
      <w:sz w:val="18"/>
      <w:szCs w:val="18"/>
    </w:rPr>
  </w:style>
  <w:style w:type="character" w:customStyle="1" w:styleId="190">
    <w:name w:val="z71"/>
    <w:qFormat/>
    <w:uiPriority w:val="0"/>
    <w:rPr>
      <w:spacing w:val="300"/>
      <w:sz w:val="18"/>
    </w:rPr>
  </w:style>
  <w:style w:type="character" w:customStyle="1" w:styleId="191">
    <w:name w:val="段 Char"/>
    <w:link w:val="192"/>
    <w:qFormat/>
    <w:locked/>
    <w:uiPriority w:val="0"/>
    <w:rPr>
      <w:rFonts w:ascii="宋体" w:hAnsi="宋体"/>
      <w:kern w:val="2"/>
      <w:sz w:val="21"/>
      <w:szCs w:val="22"/>
      <w:lang w:val="en-US" w:eastAsia="zh-CN" w:bidi="ar-SA"/>
    </w:rPr>
  </w:style>
  <w:style w:type="paragraph" w:customStyle="1" w:styleId="192">
    <w:name w:val="段"/>
    <w:link w:val="191"/>
    <w:qFormat/>
    <w:uiPriority w:val="0"/>
    <w:pPr>
      <w:tabs>
        <w:tab w:val="center" w:pos="4201"/>
        <w:tab w:val="right" w:leader="dot" w:pos="9298"/>
      </w:tabs>
      <w:autoSpaceDE w:val="0"/>
      <w:autoSpaceDN w:val="0"/>
      <w:ind w:firstLine="420" w:firstLineChars="200"/>
      <w:jc w:val="both"/>
    </w:pPr>
    <w:rPr>
      <w:rFonts w:ascii="宋体" w:hAnsi="宋体" w:eastAsia="宋体" w:cs="Times New Roman"/>
      <w:kern w:val="2"/>
      <w:sz w:val="21"/>
      <w:szCs w:val="22"/>
      <w:lang w:val="en-US" w:eastAsia="zh-CN" w:bidi="ar-SA"/>
    </w:rPr>
  </w:style>
  <w:style w:type="character" w:customStyle="1" w:styleId="193">
    <w:name w:val="表格标题(居中) Char"/>
    <w:link w:val="194"/>
    <w:qFormat/>
    <w:locked/>
    <w:uiPriority w:val="0"/>
    <w:rPr>
      <w:rFonts w:eastAsia="黑体"/>
      <w:sz w:val="24"/>
    </w:rPr>
  </w:style>
  <w:style w:type="paragraph" w:customStyle="1" w:styleId="194">
    <w:name w:val="表格标题(居中)"/>
    <w:basedOn w:val="1"/>
    <w:link w:val="193"/>
    <w:qFormat/>
    <w:uiPriority w:val="0"/>
    <w:pPr>
      <w:snapToGrid w:val="0"/>
      <w:spacing w:line="300" w:lineRule="auto"/>
      <w:jc w:val="center"/>
    </w:pPr>
    <w:rPr>
      <w:rFonts w:eastAsia="黑体"/>
      <w:kern w:val="0"/>
      <w:sz w:val="24"/>
      <w:szCs w:val="20"/>
    </w:rPr>
  </w:style>
  <w:style w:type="character" w:customStyle="1" w:styleId="195">
    <w:name w:val="悬挂1 Char"/>
    <w:link w:val="196"/>
    <w:qFormat/>
    <w:locked/>
    <w:uiPriority w:val="0"/>
    <w:rPr>
      <w:rFonts w:ascii="Calibri" w:hAnsi="Calibri"/>
      <w:kern w:val="2"/>
      <w:sz w:val="21"/>
      <w:szCs w:val="21"/>
      <w:lang w:val="en-US" w:eastAsia="zh-CN" w:bidi="ar-SA"/>
    </w:rPr>
  </w:style>
  <w:style w:type="paragraph" w:customStyle="1" w:styleId="196">
    <w:name w:val="悬挂1"/>
    <w:link w:val="195"/>
    <w:qFormat/>
    <w:uiPriority w:val="0"/>
    <w:pPr>
      <w:spacing w:beforeLines="50" w:afterLines="50" w:line="360" w:lineRule="auto"/>
      <w:ind w:left="420" w:hanging="420"/>
      <w:jc w:val="both"/>
    </w:pPr>
    <w:rPr>
      <w:rFonts w:ascii="Calibri" w:hAnsi="Calibri" w:eastAsia="宋体" w:cs="Times New Roman"/>
      <w:kern w:val="2"/>
      <w:sz w:val="21"/>
      <w:szCs w:val="21"/>
      <w:lang w:val="en-US" w:eastAsia="zh-CN" w:bidi="ar-SA"/>
    </w:rPr>
  </w:style>
  <w:style w:type="character" w:customStyle="1" w:styleId="197">
    <w:name w:val="页脚 Char1"/>
    <w:semiHidden/>
    <w:qFormat/>
    <w:uiPriority w:val="0"/>
    <w:rPr>
      <w:rFonts w:ascii="Times New Roman" w:hAnsi="Times New Roman" w:eastAsia="宋体"/>
      <w:sz w:val="18"/>
    </w:rPr>
  </w:style>
  <w:style w:type="character" w:customStyle="1" w:styleId="198">
    <w:name w:val="结束语 Char"/>
    <w:qFormat/>
    <w:uiPriority w:val="0"/>
    <w:rPr>
      <w:rFonts w:ascii="宋体" w:eastAsia="宋体"/>
      <w:b/>
      <w:sz w:val="24"/>
    </w:rPr>
  </w:style>
  <w:style w:type="character" w:customStyle="1" w:styleId="199">
    <w:name w:val="标题 3 Char1"/>
    <w:qFormat/>
    <w:uiPriority w:val="0"/>
    <w:rPr>
      <w:b/>
      <w:kern w:val="2"/>
      <w:sz w:val="32"/>
    </w:rPr>
  </w:style>
  <w:style w:type="character" w:customStyle="1" w:styleId="200">
    <w:name w:val="副标题 Char1"/>
    <w:qFormat/>
    <w:uiPriority w:val="0"/>
    <w:rPr>
      <w:rFonts w:ascii="Cambria" w:hAnsi="Cambria"/>
      <w:b/>
      <w:kern w:val="28"/>
      <w:sz w:val="32"/>
    </w:rPr>
  </w:style>
  <w:style w:type="character" w:customStyle="1" w:styleId="201">
    <w:name w:val="font91"/>
    <w:qFormat/>
    <w:uiPriority w:val="0"/>
    <w:rPr>
      <w:rFonts w:ascii="宋体" w:hAnsi="宋体" w:eastAsia="宋体"/>
      <w:color w:val="000000"/>
      <w:sz w:val="20"/>
      <w:u w:val="none"/>
    </w:rPr>
  </w:style>
  <w:style w:type="character" w:customStyle="1" w:styleId="202">
    <w:name w:val="正文首行缩进 2 Char"/>
    <w:qFormat/>
    <w:uiPriority w:val="0"/>
    <w:rPr>
      <w:rFonts w:ascii="??_GB2312" w:eastAsia="Times New Roman"/>
      <w:color w:val="000000"/>
      <w:sz w:val="24"/>
    </w:rPr>
  </w:style>
  <w:style w:type="character" w:customStyle="1" w:styleId="203">
    <w:name w:val="尾注文本 Char"/>
    <w:qFormat/>
    <w:uiPriority w:val="0"/>
    <w:rPr>
      <w:rFonts w:cs="Times New Roman"/>
    </w:rPr>
  </w:style>
  <w:style w:type="character" w:customStyle="1" w:styleId="204">
    <w:name w:val="正文文本缩进 2 Char"/>
    <w:qFormat/>
    <w:locked/>
    <w:uiPriority w:val="0"/>
    <w:rPr>
      <w:rFonts w:ascii="幼圆" w:eastAsia="幼圆"/>
      <w:color w:val="000000"/>
      <w:sz w:val="32"/>
    </w:rPr>
  </w:style>
  <w:style w:type="character" w:customStyle="1" w:styleId="205">
    <w:name w:val="结束语 Char1"/>
    <w:qFormat/>
    <w:uiPriority w:val="0"/>
    <w:rPr>
      <w:kern w:val="2"/>
      <w:sz w:val="24"/>
    </w:rPr>
  </w:style>
  <w:style w:type="character" w:customStyle="1" w:styleId="206">
    <w:name w:val="Default Text Char"/>
    <w:link w:val="207"/>
    <w:qFormat/>
    <w:locked/>
    <w:uiPriority w:val="0"/>
    <w:rPr>
      <w:color w:val="000000"/>
      <w:sz w:val="24"/>
      <w:szCs w:val="24"/>
      <w:lang w:val="en-US" w:eastAsia="zh-CN" w:bidi="ar-SA"/>
    </w:rPr>
  </w:style>
  <w:style w:type="paragraph" w:customStyle="1" w:styleId="207">
    <w:name w:val="Default Text"/>
    <w:link w:val="206"/>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208">
    <w:name w:val="ca-251"/>
    <w:qFormat/>
    <w:uiPriority w:val="0"/>
    <w:rPr>
      <w:rFonts w:ascii="Times New Roman" w:hAnsi="Times New Roman"/>
      <w:sz w:val="24"/>
    </w:rPr>
  </w:style>
  <w:style w:type="character" w:customStyle="1" w:styleId="209">
    <w:name w:val="文档正文 Char"/>
    <w:link w:val="210"/>
    <w:qFormat/>
    <w:locked/>
    <w:uiPriority w:val="0"/>
    <w:rPr>
      <w:rFonts w:ascii="Arial" w:eastAsia="长城仿宋"/>
      <w:sz w:val="28"/>
    </w:rPr>
  </w:style>
  <w:style w:type="paragraph" w:customStyle="1" w:styleId="210">
    <w:name w:val="文档正文"/>
    <w:basedOn w:val="1"/>
    <w:link w:val="209"/>
    <w:qFormat/>
    <w:uiPriority w:val="0"/>
    <w:pPr>
      <w:adjustRightInd w:val="0"/>
      <w:spacing w:line="312" w:lineRule="atLeast"/>
      <w:ind w:firstLine="567"/>
      <w:textAlignment w:val="baseline"/>
    </w:pPr>
    <w:rPr>
      <w:rFonts w:ascii="Arial" w:eastAsia="长城仿宋"/>
      <w:kern w:val="0"/>
      <w:sz w:val="28"/>
      <w:szCs w:val="20"/>
    </w:rPr>
  </w:style>
  <w:style w:type="character" w:customStyle="1" w:styleId="211">
    <w:name w:val="正文文本 Char1"/>
    <w:qFormat/>
    <w:uiPriority w:val="0"/>
    <w:rPr>
      <w:rFonts w:ascii="楷体_GB2312" w:eastAsia="楷体_GB2312"/>
      <w:kern w:val="2"/>
      <w:sz w:val="28"/>
    </w:rPr>
  </w:style>
  <w:style w:type="character" w:customStyle="1" w:styleId="212">
    <w:name w:val="HTML 预设格式 Char"/>
    <w:qFormat/>
    <w:uiPriority w:val="0"/>
    <w:rPr>
      <w:rFonts w:ascii="宋体" w:eastAsia="宋体"/>
      <w:sz w:val="24"/>
    </w:rPr>
  </w:style>
  <w:style w:type="character" w:customStyle="1" w:styleId="213">
    <w:name w:val="副标题 Char"/>
    <w:qFormat/>
    <w:uiPriority w:val="0"/>
    <w:rPr>
      <w:rFonts w:ascii="Cambria" w:hAnsi="Cambria"/>
      <w:b/>
      <w:kern w:val="28"/>
      <w:sz w:val="32"/>
    </w:rPr>
  </w:style>
  <w:style w:type="character" w:customStyle="1" w:styleId="214">
    <w:name w:val="正文缩进2格 Char"/>
    <w:link w:val="215"/>
    <w:qFormat/>
    <w:locked/>
    <w:uiPriority w:val="0"/>
    <w:rPr>
      <w:rFonts w:ascii="??_GB2312" w:hAnsi="宋体" w:eastAsia="Times New Roman"/>
      <w:sz w:val="31"/>
    </w:rPr>
  </w:style>
  <w:style w:type="paragraph" w:customStyle="1" w:styleId="215">
    <w:name w:val="正文缩进2格"/>
    <w:basedOn w:val="1"/>
    <w:link w:val="214"/>
    <w:qFormat/>
    <w:uiPriority w:val="0"/>
    <w:pPr>
      <w:spacing w:line="600" w:lineRule="exact"/>
      <w:ind w:firstLine="639" w:firstLineChars="206"/>
    </w:pPr>
    <w:rPr>
      <w:rFonts w:ascii="??_GB2312" w:hAnsi="宋体" w:eastAsia="Times New Roman"/>
      <w:kern w:val="0"/>
      <w:sz w:val="31"/>
      <w:szCs w:val="20"/>
    </w:rPr>
  </w:style>
  <w:style w:type="character" w:customStyle="1" w:styleId="216">
    <w:name w:val="正文文本缩进 Char_3"/>
    <w:link w:val="217"/>
    <w:qFormat/>
    <w:locked/>
    <w:uiPriority w:val="0"/>
    <w:rPr>
      <w:kern w:val="2"/>
      <w:sz w:val="24"/>
      <w:lang w:val="en-US" w:eastAsia="zh-CN"/>
    </w:rPr>
  </w:style>
  <w:style w:type="paragraph" w:customStyle="1" w:styleId="217">
    <w:name w:val="正文文本缩进_3"/>
    <w:basedOn w:val="218"/>
    <w:link w:val="216"/>
    <w:qFormat/>
    <w:uiPriority w:val="0"/>
    <w:pPr>
      <w:spacing w:line="500" w:lineRule="exact"/>
      <w:ind w:left="1588" w:leftChars="832" w:firstLine="433" w:firstLineChars="196"/>
    </w:pPr>
    <w:rPr>
      <w:sz w:val="24"/>
      <w:szCs w:val="20"/>
    </w:rPr>
  </w:style>
  <w:style w:type="paragraph" w:customStyle="1" w:styleId="218">
    <w:name w:val="正文_12"/>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219">
    <w:name w:val="正文首行缩进 Char"/>
    <w:qFormat/>
    <w:uiPriority w:val="0"/>
    <w:rPr>
      <w:rFonts w:ascii="宋体"/>
      <w:color w:val="000000"/>
      <w:sz w:val="32"/>
    </w:rPr>
  </w:style>
  <w:style w:type="character" w:customStyle="1" w:styleId="220">
    <w:name w:val="Table Text Char1"/>
    <w:qFormat/>
    <w:uiPriority w:val="0"/>
    <w:rPr>
      <w:rFonts w:ascii="Arial" w:hAnsi="Arial" w:eastAsia="宋体"/>
      <w:snapToGrid w:val="0"/>
      <w:sz w:val="21"/>
      <w:lang w:val="en-US" w:eastAsia="zh-CN"/>
    </w:rPr>
  </w:style>
  <w:style w:type="character" w:customStyle="1" w:styleId="221">
    <w:name w:val="批注框文本 Char"/>
    <w:qFormat/>
    <w:uiPriority w:val="0"/>
    <w:rPr>
      <w:rFonts w:ascii="Times New Roman" w:hAnsi="Times New Roman"/>
      <w:kern w:val="2"/>
      <w:sz w:val="18"/>
    </w:rPr>
  </w:style>
  <w:style w:type="character" w:customStyle="1" w:styleId="222">
    <w:name w:val="标题 Char"/>
    <w:qFormat/>
    <w:uiPriority w:val="0"/>
    <w:rPr>
      <w:rFonts w:ascii="Arial" w:hAnsi="Arial"/>
      <w:b/>
      <w:sz w:val="32"/>
    </w:rPr>
  </w:style>
  <w:style w:type="character" w:customStyle="1" w:styleId="223">
    <w:name w:val="Char Char3"/>
    <w:semiHidden/>
    <w:qFormat/>
    <w:uiPriority w:val="0"/>
    <w:rPr>
      <w:sz w:val="18"/>
    </w:rPr>
  </w:style>
  <w:style w:type="character" w:customStyle="1" w:styleId="224">
    <w:name w:val="prod_content_font_011"/>
    <w:qFormat/>
    <w:uiPriority w:val="0"/>
    <w:rPr>
      <w:rFonts w:ascii="Verdana" w:hAnsi="Verdana"/>
      <w:color w:val="5E5E5E"/>
      <w:sz w:val="17"/>
    </w:rPr>
  </w:style>
  <w:style w:type="character" w:customStyle="1" w:styleId="225">
    <w:name w:val="hang1"/>
    <w:qFormat/>
    <w:uiPriority w:val="0"/>
    <w:rPr>
      <w:rFonts w:cs="Times New Roman"/>
    </w:rPr>
  </w:style>
  <w:style w:type="character" w:customStyle="1" w:styleId="226">
    <w:name w:val="Figure Text Char"/>
    <w:link w:val="227"/>
    <w:qFormat/>
    <w:locked/>
    <w:uiPriority w:val="0"/>
    <w:rPr>
      <w:rFonts w:ascii="Arial" w:hAnsi="Arial" w:cs="Arial"/>
      <w:kern w:val="2"/>
      <w:sz w:val="18"/>
      <w:szCs w:val="18"/>
      <w:lang w:val="en-US" w:eastAsia="en-US" w:bidi="ar-SA"/>
    </w:rPr>
  </w:style>
  <w:style w:type="paragraph" w:customStyle="1" w:styleId="227">
    <w:name w:val="Figure Text"/>
    <w:link w:val="226"/>
    <w:qFormat/>
    <w:uiPriority w:val="0"/>
    <w:pPr>
      <w:widowControl w:val="0"/>
      <w:adjustRightInd w:val="0"/>
      <w:snapToGrid w:val="0"/>
      <w:spacing w:line="240" w:lineRule="atLeast"/>
    </w:pPr>
    <w:rPr>
      <w:rFonts w:ascii="Arial" w:hAnsi="Arial" w:eastAsia="宋体" w:cs="Arial"/>
      <w:kern w:val="2"/>
      <w:sz w:val="18"/>
      <w:szCs w:val="18"/>
      <w:lang w:val="en-US" w:eastAsia="en-US" w:bidi="ar-SA"/>
    </w:rPr>
  </w:style>
  <w:style w:type="character" w:customStyle="1" w:styleId="228">
    <w:name w:val="font81"/>
    <w:qFormat/>
    <w:uiPriority w:val="0"/>
    <w:rPr>
      <w:rFonts w:ascii="宋体" w:hAnsi="宋体" w:eastAsia="宋体"/>
      <w:color w:val="000000"/>
      <w:sz w:val="20"/>
      <w:u w:val="none"/>
    </w:rPr>
  </w:style>
  <w:style w:type="character" w:customStyle="1" w:styleId="229">
    <w:name w:val="文档结构图 Char"/>
    <w:qFormat/>
    <w:uiPriority w:val="0"/>
    <w:rPr>
      <w:sz w:val="24"/>
      <w:shd w:val="clear" w:color="auto" w:fill="000080"/>
    </w:rPr>
  </w:style>
  <w:style w:type="character" w:customStyle="1" w:styleId="230">
    <w:name w:val="z-窗体底端 Char1"/>
    <w:qFormat/>
    <w:uiPriority w:val="0"/>
    <w:rPr>
      <w:rFonts w:ascii="Arial" w:hAnsi="Arial"/>
      <w:vanish/>
      <w:kern w:val="2"/>
      <w:sz w:val="16"/>
    </w:rPr>
  </w:style>
  <w:style w:type="character" w:customStyle="1" w:styleId="231">
    <w:name w:val="ca-231"/>
    <w:qFormat/>
    <w:uiPriority w:val="0"/>
    <w:rPr>
      <w:rFonts w:ascii="宋体" w:hAnsi="宋体" w:eastAsia="宋体"/>
      <w:sz w:val="24"/>
    </w:rPr>
  </w:style>
  <w:style w:type="character" w:customStyle="1" w:styleId="232">
    <w:name w:val="word21"/>
    <w:qFormat/>
    <w:uiPriority w:val="0"/>
    <w:rPr>
      <w:b/>
      <w:color w:val="194D7C"/>
      <w:spacing w:val="400"/>
      <w:sz w:val="24"/>
    </w:rPr>
  </w:style>
  <w:style w:type="character" w:customStyle="1" w:styleId="233">
    <w:name w:val="纯文本 Char1"/>
    <w:qFormat/>
    <w:uiPriority w:val="0"/>
    <w:rPr>
      <w:rFonts w:ascii="宋体" w:hAnsi="Courier New"/>
      <w:kern w:val="2"/>
      <w:sz w:val="21"/>
    </w:rPr>
  </w:style>
  <w:style w:type="character" w:customStyle="1" w:styleId="234">
    <w:name w:val="myp1111"/>
    <w:qFormat/>
    <w:uiPriority w:val="0"/>
    <w:rPr>
      <w:rFonts w:ascii="??" w:hAnsi="??"/>
      <w:color w:val="000000"/>
      <w:sz w:val="15"/>
      <w:u w:val="none"/>
    </w:rPr>
  </w:style>
  <w:style w:type="character" w:customStyle="1" w:styleId="235">
    <w:name w:val="HTML 预设格式 Char1"/>
    <w:semiHidden/>
    <w:qFormat/>
    <w:uiPriority w:val="0"/>
    <w:rPr>
      <w:rFonts w:ascii="Courier New" w:hAnsi="Courier New" w:eastAsia="宋体"/>
      <w:sz w:val="20"/>
    </w:rPr>
  </w:style>
  <w:style w:type="character" w:customStyle="1" w:styleId="236">
    <w:name w:val="3zw1"/>
    <w:qFormat/>
    <w:uiPriority w:val="0"/>
    <w:rPr>
      <w:color w:val="000000"/>
      <w:sz w:val="21"/>
    </w:rPr>
  </w:style>
  <w:style w:type="character" w:customStyle="1" w:styleId="237">
    <w:name w:val="font21"/>
    <w:qFormat/>
    <w:uiPriority w:val="0"/>
    <w:rPr>
      <w:rFonts w:ascii="宋体" w:hAnsi="宋体" w:eastAsia="宋体"/>
      <w:color w:val="000000"/>
      <w:sz w:val="24"/>
      <w:u w:val="none"/>
    </w:rPr>
  </w:style>
  <w:style w:type="character" w:customStyle="1" w:styleId="238">
    <w:name w:val="font01"/>
    <w:qFormat/>
    <w:uiPriority w:val="0"/>
    <w:rPr>
      <w:rFonts w:ascii="宋体" w:hAnsi="宋体" w:eastAsia="宋体" w:cs="宋体"/>
      <w:color w:val="000000"/>
      <w:sz w:val="24"/>
      <w:szCs w:val="24"/>
      <w:u w:val="none"/>
      <w:vertAlign w:val="superscript"/>
    </w:rPr>
  </w:style>
  <w:style w:type="character" w:customStyle="1" w:styleId="239">
    <w:name w:val="样式 目录 2 + 宋体 Char"/>
    <w:link w:val="240"/>
    <w:qFormat/>
    <w:locked/>
    <w:uiPriority w:val="0"/>
    <w:rPr>
      <w:rFonts w:ascii="宋体" w:eastAsia="宋体"/>
      <w:sz w:val="28"/>
    </w:rPr>
  </w:style>
  <w:style w:type="paragraph" w:customStyle="1" w:styleId="240">
    <w:name w:val="样式 目录 2 + 宋体"/>
    <w:basedOn w:val="27"/>
    <w:next w:val="27"/>
    <w:link w:val="239"/>
    <w:qFormat/>
    <w:uiPriority w:val="0"/>
    <w:pPr>
      <w:autoSpaceDE/>
      <w:autoSpaceDN/>
      <w:adjustRightInd/>
      <w:spacing w:after="120" w:line="240" w:lineRule="auto"/>
      <w:jc w:val="both"/>
    </w:pPr>
    <w:rPr>
      <w:rFonts w:hAnsi="Times New Roman"/>
      <w:color w:val="auto"/>
      <w:kern w:val="0"/>
      <w:szCs w:val="20"/>
    </w:rPr>
  </w:style>
  <w:style w:type="character" w:customStyle="1" w:styleId="241">
    <w:name w:val="font61"/>
    <w:qFormat/>
    <w:uiPriority w:val="0"/>
    <w:rPr>
      <w:rFonts w:ascii="Times New Roman" w:hAnsi="Times New Roman"/>
      <w:color w:val="000000"/>
      <w:sz w:val="20"/>
      <w:u w:val="none"/>
    </w:rPr>
  </w:style>
  <w:style w:type="character" w:customStyle="1" w:styleId="242">
    <w:name w:val="样式 宋体"/>
    <w:qFormat/>
    <w:uiPriority w:val="0"/>
    <w:rPr>
      <w:rFonts w:ascii="宋体" w:hAnsi="宋体" w:eastAsia="宋体"/>
      <w:sz w:val="24"/>
    </w:rPr>
  </w:style>
  <w:style w:type="character" w:customStyle="1" w:styleId="243">
    <w:name w:val="批注框文本 Char1"/>
    <w:qFormat/>
    <w:locked/>
    <w:uiPriority w:val="0"/>
    <w:rPr>
      <w:sz w:val="18"/>
    </w:rPr>
  </w:style>
  <w:style w:type="character" w:customStyle="1" w:styleId="244">
    <w:name w:val="正文新 Char"/>
    <w:link w:val="245"/>
    <w:qFormat/>
    <w:locked/>
    <w:uiPriority w:val="0"/>
    <w:rPr>
      <w:rFonts w:ascii="宋体" w:eastAsia="宋体"/>
      <w:sz w:val="28"/>
    </w:rPr>
  </w:style>
  <w:style w:type="paragraph" w:customStyle="1" w:styleId="245">
    <w:name w:val="正文新"/>
    <w:basedOn w:val="1"/>
    <w:link w:val="244"/>
    <w:qFormat/>
    <w:uiPriority w:val="0"/>
    <w:pPr>
      <w:spacing w:line="360" w:lineRule="auto"/>
      <w:ind w:firstLine="200" w:firstLineChars="200"/>
      <w:jc w:val="left"/>
    </w:pPr>
    <w:rPr>
      <w:rFonts w:ascii="宋体"/>
      <w:kern w:val="0"/>
      <w:sz w:val="28"/>
      <w:szCs w:val="20"/>
    </w:rPr>
  </w:style>
  <w:style w:type="character" w:customStyle="1" w:styleId="246">
    <w:name w:val="param-name"/>
    <w:qFormat/>
    <w:uiPriority w:val="0"/>
  </w:style>
  <w:style w:type="character" w:customStyle="1" w:styleId="247">
    <w:name w:val="正文缩进(ALT+Z) Char"/>
    <w:link w:val="248"/>
    <w:qFormat/>
    <w:locked/>
    <w:uiPriority w:val="0"/>
    <w:rPr>
      <w:sz w:val="24"/>
    </w:rPr>
  </w:style>
  <w:style w:type="paragraph" w:customStyle="1" w:styleId="248">
    <w:name w:val="正文缩进(ALT+Z)"/>
    <w:basedOn w:val="1"/>
    <w:link w:val="247"/>
    <w:qFormat/>
    <w:uiPriority w:val="0"/>
    <w:pPr>
      <w:spacing w:line="360" w:lineRule="auto"/>
      <w:ind w:firstLine="200" w:firstLineChars="200"/>
    </w:pPr>
    <w:rPr>
      <w:kern w:val="0"/>
      <w:sz w:val="24"/>
      <w:szCs w:val="20"/>
    </w:rPr>
  </w:style>
  <w:style w:type="paragraph" w:customStyle="1" w:styleId="249">
    <w:name w:val="xl109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b/>
      <w:bCs/>
      <w:kern w:val="0"/>
      <w:sz w:val="20"/>
      <w:szCs w:val="20"/>
    </w:rPr>
  </w:style>
  <w:style w:type="paragraph" w:customStyle="1" w:styleId="250">
    <w:name w:val="表格(五号)"/>
    <w:basedOn w:val="1"/>
    <w:qFormat/>
    <w:uiPriority w:val="0"/>
    <w:pPr>
      <w:adjustRightInd w:val="0"/>
      <w:snapToGrid w:val="0"/>
      <w:spacing w:before="60" w:after="60"/>
      <w:ind w:left="11"/>
      <w:jc w:val="center"/>
    </w:pPr>
    <w:rPr>
      <w:kern w:val="0"/>
      <w:szCs w:val="20"/>
    </w:rPr>
  </w:style>
  <w:style w:type="paragraph" w:customStyle="1" w:styleId="251">
    <w:name w:val="节标题"/>
    <w:basedOn w:val="1"/>
    <w:qFormat/>
    <w:uiPriority w:val="0"/>
    <w:pPr>
      <w:widowControl/>
      <w:spacing w:line="289" w:lineRule="atLeast"/>
      <w:jc w:val="center"/>
      <w:textAlignment w:val="baseline"/>
    </w:pPr>
    <w:rPr>
      <w:color w:val="000000"/>
      <w:kern w:val="0"/>
      <w:sz w:val="28"/>
      <w:szCs w:val="20"/>
      <w:u w:color="000000"/>
    </w:rPr>
  </w:style>
  <w:style w:type="paragraph" w:customStyle="1" w:styleId="252">
    <w:name w:val="xl10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微软雅黑" w:hAnsi="微软雅黑" w:eastAsia="微软雅黑" w:cs="宋体"/>
      <w:kern w:val="0"/>
      <w:sz w:val="20"/>
      <w:szCs w:val="20"/>
    </w:rPr>
  </w:style>
  <w:style w:type="paragraph" w:customStyle="1" w:styleId="253">
    <w:name w:val="*正文"/>
    <w:basedOn w:val="1"/>
    <w:qFormat/>
    <w:uiPriority w:val="0"/>
    <w:pPr>
      <w:widowControl/>
      <w:spacing w:line="360" w:lineRule="auto"/>
      <w:ind w:firstLine="560" w:firstLineChars="200"/>
      <w:jc w:val="left"/>
    </w:pPr>
    <w:rPr>
      <w:rFonts w:ascii="仿宋_GB2312"/>
      <w:sz w:val="24"/>
      <w:szCs w:val="28"/>
    </w:rPr>
  </w:style>
  <w:style w:type="paragraph" w:customStyle="1" w:styleId="254">
    <w:name w:val="font1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55">
    <w:name w:val="xl108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微软雅黑" w:hAnsi="微软雅黑" w:eastAsia="微软雅黑" w:cs="宋体"/>
      <w:kern w:val="0"/>
      <w:sz w:val="20"/>
      <w:szCs w:val="20"/>
    </w:rPr>
  </w:style>
  <w:style w:type="paragraph" w:customStyle="1" w:styleId="256">
    <w:name w:val="È¡ÀÊ¡ÎÄ¡À¾"/>
    <w:basedOn w:val="1"/>
    <w:qFormat/>
    <w:uiPriority w:val="0"/>
    <w:pPr>
      <w:widowControl/>
      <w:overflowPunct w:val="0"/>
      <w:autoSpaceDE w:val="0"/>
      <w:autoSpaceDN w:val="0"/>
      <w:adjustRightInd w:val="0"/>
      <w:jc w:val="left"/>
      <w:textAlignment w:val="baseline"/>
    </w:pPr>
    <w:rPr>
      <w:kern w:val="0"/>
      <w:sz w:val="24"/>
      <w:szCs w:val="20"/>
    </w:rPr>
  </w:style>
  <w:style w:type="paragraph" w:customStyle="1" w:styleId="257">
    <w:name w:val="xl78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20"/>
      <w:szCs w:val="20"/>
    </w:rPr>
  </w:style>
  <w:style w:type="paragraph" w:customStyle="1" w:styleId="258">
    <w:name w:val="xl61"/>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Arial Unicode MS" w:hAnsi="Arial Unicode MS" w:eastAsia="Times New Roman" w:cs="Arial Unicode MS"/>
      <w:b/>
      <w:bCs/>
      <w:kern w:val="0"/>
      <w:sz w:val="28"/>
      <w:szCs w:val="28"/>
    </w:rPr>
  </w:style>
  <w:style w:type="paragraph" w:customStyle="1" w:styleId="259">
    <w:name w:val="图"/>
    <w:basedOn w:val="1"/>
    <w:next w:val="1"/>
    <w:qFormat/>
    <w:uiPriority w:val="0"/>
    <w:pPr>
      <w:tabs>
        <w:tab w:val="left" w:pos="209"/>
      </w:tabs>
      <w:adjustRightInd w:val="0"/>
      <w:spacing w:before="60" w:after="60" w:line="360" w:lineRule="atLeast"/>
      <w:ind w:left="432" w:hanging="432"/>
      <w:jc w:val="center"/>
      <w:textAlignment w:val="baseline"/>
    </w:pPr>
    <w:rPr>
      <w:rFonts w:eastAsia="Times New Roman"/>
      <w:b/>
      <w:kern w:val="0"/>
      <w:szCs w:val="20"/>
    </w:rPr>
  </w:style>
  <w:style w:type="paragraph" w:customStyle="1" w:styleId="260">
    <w:name w:val="DLP正文"/>
    <w:basedOn w:val="1"/>
    <w:qFormat/>
    <w:uiPriority w:val="0"/>
    <w:pPr>
      <w:snapToGrid w:val="0"/>
      <w:spacing w:line="360" w:lineRule="auto"/>
      <w:ind w:firstLine="473"/>
    </w:pPr>
    <w:rPr>
      <w:rFonts w:hAnsi="宋体"/>
      <w:sz w:val="24"/>
      <w:szCs w:val="22"/>
    </w:rPr>
  </w:style>
  <w:style w:type="paragraph" w:customStyle="1" w:styleId="261">
    <w:name w:val="xl41"/>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Arial Unicode MS" w:hAnsi="Arial Unicode MS" w:eastAsia="Times New Roman" w:cs="Arial Unicode MS"/>
      <w:kern w:val="0"/>
      <w:sz w:val="28"/>
      <w:szCs w:val="28"/>
    </w:rPr>
  </w:style>
  <w:style w:type="paragraph" w:customStyle="1" w:styleId="262">
    <w:name w:val="一级无"/>
    <w:basedOn w:val="263"/>
    <w:qFormat/>
    <w:uiPriority w:val="0"/>
    <w:pPr>
      <w:spacing w:beforeLines="0" w:afterLines="0"/>
    </w:pPr>
    <w:rPr>
      <w:rFonts w:ascii="宋体" w:eastAsia="宋体"/>
    </w:rPr>
  </w:style>
  <w:style w:type="paragraph" w:customStyle="1" w:styleId="263">
    <w:name w:val="一级条标题"/>
    <w:next w:val="1"/>
    <w:qFormat/>
    <w:uiPriority w:val="0"/>
    <w:pPr>
      <w:spacing w:beforeLines="50" w:afterLines="50"/>
      <w:outlineLvl w:val="2"/>
    </w:pPr>
    <w:rPr>
      <w:rFonts w:ascii="黑体" w:hAnsi="Times New Roman" w:eastAsia="黑体" w:cs="Times New Roman"/>
      <w:sz w:val="21"/>
      <w:szCs w:val="21"/>
      <w:lang w:val="en-US" w:eastAsia="zh-CN" w:bidi="ar-SA"/>
    </w:rPr>
  </w:style>
  <w:style w:type="paragraph" w:customStyle="1" w:styleId="264">
    <w:name w:val="font8"/>
    <w:basedOn w:val="1"/>
    <w:qFormat/>
    <w:uiPriority w:val="0"/>
    <w:pPr>
      <w:widowControl/>
      <w:spacing w:before="100" w:beforeAutospacing="1" w:after="100" w:afterAutospacing="1"/>
      <w:jc w:val="left"/>
    </w:pPr>
    <w:rPr>
      <w:rFonts w:ascii="宋体" w:hAnsi="宋体" w:cs="Arial Unicode MS"/>
      <w:b/>
      <w:bCs/>
      <w:kern w:val="0"/>
      <w:sz w:val="32"/>
      <w:szCs w:val="32"/>
    </w:rPr>
  </w:style>
  <w:style w:type="paragraph" w:customStyle="1" w:styleId="265">
    <w:name w:val="xl1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66">
    <w:name w:val="正文2"/>
    <w:qFormat/>
    <w:uiPriority w:val="0"/>
    <w:pPr>
      <w:widowControl w:val="0"/>
      <w:autoSpaceDE w:val="0"/>
      <w:autoSpaceDN w:val="0"/>
      <w:adjustRightInd w:val="0"/>
      <w:spacing w:line="360" w:lineRule="atLeast"/>
      <w:ind w:left="425" w:hanging="425"/>
      <w:textAlignment w:val="bottom"/>
    </w:pPr>
    <w:rPr>
      <w:rFonts w:ascii="宋体" w:hAnsi="Times New Roman" w:eastAsia="宋体" w:cs="Times New Roman"/>
      <w:position w:val="-6"/>
      <w:sz w:val="32"/>
      <w:lang w:val="en-US" w:eastAsia="zh-CN" w:bidi="ar-SA"/>
    </w:rPr>
  </w:style>
  <w:style w:type="paragraph" w:customStyle="1" w:styleId="267">
    <w:name w:val="Normal_2"/>
    <w:qFormat/>
    <w:uiPriority w:val="0"/>
    <w:rPr>
      <w:rFonts w:ascii="Calibri" w:hAnsi="Calibri" w:eastAsia="宋体" w:cs="Times New Roman"/>
      <w:sz w:val="24"/>
      <w:szCs w:val="24"/>
      <w:lang w:val="en-US" w:eastAsia="zh-CN" w:bidi="ar-SA"/>
    </w:rPr>
  </w:style>
  <w:style w:type="paragraph" w:customStyle="1" w:styleId="268">
    <w:name w:val="修订2"/>
    <w:semiHidden/>
    <w:qFormat/>
    <w:uiPriority w:val="0"/>
    <w:rPr>
      <w:rFonts w:ascii="Times New Roman" w:hAnsi="Times New Roman" w:eastAsia="宋体" w:cs="Times New Roman"/>
      <w:kern w:val="2"/>
      <w:sz w:val="21"/>
      <w:szCs w:val="24"/>
      <w:lang w:val="en-US" w:eastAsia="zh-CN" w:bidi="ar-SA"/>
    </w:rPr>
  </w:style>
  <w:style w:type="paragraph" w:customStyle="1" w:styleId="269">
    <w:name w:val="标准"/>
    <w:basedOn w:val="1"/>
    <w:qFormat/>
    <w:uiPriority w:val="0"/>
    <w:pPr>
      <w:autoSpaceDE w:val="0"/>
      <w:autoSpaceDN w:val="0"/>
      <w:adjustRightInd w:val="0"/>
      <w:ind w:firstLine="600"/>
      <w:textAlignment w:val="baseline"/>
    </w:pPr>
    <w:rPr>
      <w:kern w:val="0"/>
      <w:sz w:val="28"/>
      <w:szCs w:val="20"/>
    </w:rPr>
  </w:style>
  <w:style w:type="paragraph" w:customStyle="1" w:styleId="270">
    <w:name w:val="编号3级"/>
    <w:qFormat/>
    <w:uiPriority w:val="0"/>
    <w:pPr>
      <w:tabs>
        <w:tab w:val="left" w:pos="1259"/>
      </w:tabs>
      <w:spacing w:line="400" w:lineRule="exact"/>
      <w:ind w:left="1678" w:hanging="419"/>
    </w:pPr>
    <w:rPr>
      <w:rFonts w:ascii="Times New Roman" w:hAnsi="Times New Roman" w:eastAsia="宋体" w:cs="Times New Roman"/>
      <w:kern w:val="2"/>
      <w:sz w:val="24"/>
      <w:szCs w:val="24"/>
      <w:lang w:val="en-US" w:eastAsia="zh-CN" w:bidi="ar-SA"/>
    </w:rPr>
  </w:style>
  <w:style w:type="paragraph" w:customStyle="1" w:styleId="271">
    <w:name w:val="TOC 标题2"/>
    <w:basedOn w:val="3"/>
    <w:next w:val="1"/>
    <w:qFormat/>
    <w:uiPriority w:val="0"/>
    <w:pPr>
      <w:adjustRightInd/>
      <w:spacing w:before="340" w:after="330" w:line="578" w:lineRule="auto"/>
      <w:jc w:val="both"/>
      <w:textAlignment w:val="auto"/>
      <w:outlineLvl w:val="9"/>
    </w:pPr>
    <w:rPr>
      <w:bCs/>
      <w:sz w:val="44"/>
      <w:szCs w:val="44"/>
    </w:rPr>
  </w:style>
  <w:style w:type="paragraph" w:customStyle="1" w:styleId="272">
    <w:name w:val="xl10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b/>
      <w:bCs/>
      <w:kern w:val="0"/>
      <w:sz w:val="20"/>
      <w:szCs w:val="20"/>
    </w:rPr>
  </w:style>
  <w:style w:type="paragraph" w:customStyle="1" w:styleId="273">
    <w:name w:val="正文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274">
    <w:name w:val="xl54"/>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Arial Unicode MS" w:hAnsi="Arial Unicode MS" w:eastAsia="Times New Roman" w:cs="Arial Unicode MS"/>
      <w:kern w:val="0"/>
      <w:sz w:val="28"/>
      <w:szCs w:val="28"/>
    </w:rPr>
  </w:style>
  <w:style w:type="paragraph" w:customStyle="1" w:styleId="275">
    <w:name w:val="章标题"/>
    <w:next w:val="1"/>
    <w:qFormat/>
    <w:uiPriority w:val="0"/>
    <w:pPr>
      <w:spacing w:beforeLines="100" w:afterLines="100"/>
      <w:jc w:val="both"/>
      <w:outlineLvl w:val="1"/>
    </w:pPr>
    <w:rPr>
      <w:rFonts w:ascii="黑体" w:hAnsi="Times New Roman" w:eastAsia="黑体" w:cs="Times New Roman"/>
      <w:sz w:val="21"/>
      <w:lang w:val="en-US" w:eastAsia="zh-CN" w:bidi="ar-SA"/>
    </w:rPr>
  </w:style>
  <w:style w:type="paragraph" w:customStyle="1" w:styleId="276">
    <w:name w:val="样式 标题 3 + 段前: 0.5 行 段后: 0.5 行"/>
    <w:basedOn w:val="2"/>
    <w:qFormat/>
    <w:uiPriority w:val="0"/>
    <w:pPr>
      <w:tabs>
        <w:tab w:val="left" w:pos="720"/>
      </w:tabs>
      <w:spacing w:before="100" w:beforeAutospacing="1" w:after="100" w:afterAutospacing="1"/>
      <w:ind w:left="0" w:leftChars="0"/>
    </w:pPr>
    <w:rPr>
      <w:rFonts w:ascii="Arial" w:hAnsi="Arial" w:eastAsia="黑体" w:cs="宋体"/>
      <w:b w:val="0"/>
      <w:bCs/>
      <w:kern w:val="0"/>
      <w:sz w:val="28"/>
    </w:rPr>
  </w:style>
  <w:style w:type="paragraph" w:customStyle="1" w:styleId="277">
    <w:name w:val="首行缩进:  2 字符2"/>
    <w:basedOn w:val="1"/>
    <w:qFormat/>
    <w:uiPriority w:val="0"/>
    <w:pPr>
      <w:adjustRightInd w:val="0"/>
      <w:snapToGrid w:val="0"/>
      <w:spacing w:line="360" w:lineRule="auto"/>
      <w:ind w:firstLine="480" w:firstLineChars="200"/>
    </w:pPr>
    <w:rPr>
      <w:rFonts w:ascii="宋体" w:hAnsi="宋体" w:cs="宋体"/>
      <w:sz w:val="24"/>
    </w:rPr>
  </w:style>
  <w:style w:type="paragraph" w:customStyle="1" w:styleId="278">
    <w:name w:val="Char Char2 Char"/>
    <w:basedOn w:val="1"/>
    <w:semiHidden/>
    <w:qFormat/>
    <w:uiPriority w:val="0"/>
    <w:pPr>
      <w:widowControl/>
      <w:spacing w:after="160" w:line="240" w:lineRule="exact"/>
      <w:jc w:val="left"/>
    </w:pPr>
    <w:rPr>
      <w:rFonts w:ascii="Arial" w:hAnsi="Arial"/>
      <w:kern w:val="0"/>
      <w:sz w:val="22"/>
      <w:szCs w:val="22"/>
      <w:lang w:eastAsia="en-US"/>
    </w:rPr>
  </w:style>
  <w:style w:type="paragraph" w:customStyle="1" w:styleId="279">
    <w:name w:val="_Style 56"/>
    <w:basedOn w:val="1"/>
    <w:qFormat/>
    <w:uiPriority w:val="0"/>
    <w:pPr>
      <w:ind w:firstLine="420" w:firstLineChars="200"/>
    </w:pPr>
    <w:rPr>
      <w:rFonts w:ascii="Calibri" w:hAnsi="Calibri"/>
      <w:szCs w:val="22"/>
    </w:rPr>
  </w:style>
  <w:style w:type="paragraph" w:customStyle="1" w:styleId="280">
    <w:name w:val="xl1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281">
    <w:name w:val="Notes Text List in Table"/>
    <w:qFormat/>
    <w:uiPriority w:val="0"/>
    <w:pPr>
      <w:numPr>
        <w:ilvl w:val="0"/>
        <w:numId w:val="4"/>
      </w:numPr>
      <w:spacing w:before="40" w:after="80" w:line="200" w:lineRule="atLeast"/>
      <w:jc w:val="both"/>
    </w:pPr>
    <w:rPr>
      <w:rFonts w:ascii="Arial" w:hAnsi="Arial" w:eastAsia="楷体_GB2312" w:cs="楷体_GB2312"/>
      <w:sz w:val="18"/>
      <w:szCs w:val="18"/>
      <w:lang w:val="en-US" w:eastAsia="zh-CN" w:bidi="ar-SA"/>
    </w:rPr>
  </w:style>
  <w:style w:type="paragraph" w:customStyle="1" w:styleId="282">
    <w:name w:val="小标题 1"/>
    <w:basedOn w:val="1"/>
    <w:qFormat/>
    <w:uiPriority w:val="0"/>
    <w:pPr>
      <w:autoSpaceDE w:val="0"/>
      <w:autoSpaceDN w:val="0"/>
      <w:adjustRightInd w:val="0"/>
      <w:spacing w:line="360" w:lineRule="atLeast"/>
    </w:pPr>
    <w:rPr>
      <w:rFonts w:ascii="文鼎粗黑" w:eastAsia="文鼎粗黑"/>
      <w:kern w:val="0"/>
      <w:sz w:val="22"/>
      <w:szCs w:val="20"/>
    </w:rPr>
  </w:style>
  <w:style w:type="paragraph" w:customStyle="1" w:styleId="283">
    <w:name w:val="正文 New New"/>
    <w:qFormat/>
    <w:uiPriority w:val="0"/>
    <w:pPr>
      <w:widowControl w:val="0"/>
      <w:autoSpaceDE w:val="0"/>
      <w:autoSpaceDN w:val="0"/>
      <w:adjustRightInd w:val="0"/>
    </w:pPr>
    <w:rPr>
      <w:rFonts w:ascii="Times New Roman" w:hAnsi="Times New Roman" w:eastAsia="宋体" w:cs="Times New Roman"/>
      <w:sz w:val="24"/>
      <w:szCs w:val="24"/>
      <w:lang w:val="en-US" w:eastAsia="zh-CN" w:bidi="ar-SA"/>
    </w:rPr>
  </w:style>
  <w:style w:type="paragraph" w:customStyle="1" w:styleId="284">
    <w:name w:val="xl44"/>
    <w:basedOn w:val="1"/>
    <w:qFormat/>
    <w:uiPriority w:val="0"/>
    <w:pPr>
      <w:widowControl/>
      <w:pBdr>
        <w:left w:val="single" w:color="auto" w:sz="4" w:space="0"/>
        <w:bottom w:val="single" w:color="auto" w:sz="4" w:space="0"/>
        <w:right w:val="single" w:color="auto" w:sz="8" w:space="0"/>
      </w:pBdr>
      <w:spacing w:before="100" w:beforeAutospacing="1" w:after="100" w:afterAutospacing="1"/>
      <w:jc w:val="right"/>
    </w:pPr>
    <w:rPr>
      <w:rFonts w:ascii="Arial Unicode MS" w:hAnsi="Arial Unicode MS" w:eastAsia="Times New Roman" w:cs="Arial Unicode MS"/>
      <w:kern w:val="0"/>
      <w:sz w:val="28"/>
      <w:szCs w:val="28"/>
    </w:rPr>
  </w:style>
  <w:style w:type="paragraph" w:customStyle="1" w:styleId="285">
    <w:name w:val="正文(单倍行距)"/>
    <w:basedOn w:val="1"/>
    <w:qFormat/>
    <w:uiPriority w:val="0"/>
    <w:pPr>
      <w:adjustRightInd w:val="0"/>
      <w:snapToGrid w:val="0"/>
      <w:jc w:val="center"/>
    </w:pPr>
  </w:style>
  <w:style w:type="paragraph" w:customStyle="1" w:styleId="286">
    <w:name w:val="xl151"/>
    <w:basedOn w:val="1"/>
    <w:qFormat/>
    <w:uiPriority w:val="0"/>
    <w:pPr>
      <w:widowControl/>
      <w:spacing w:before="100" w:beforeAutospacing="1" w:after="100" w:afterAutospacing="1"/>
      <w:jc w:val="left"/>
    </w:pPr>
    <w:rPr>
      <w:rFonts w:ascii="宋体" w:hAnsi="宋体" w:cs="宋体"/>
      <w:color w:val="000000"/>
      <w:kern w:val="0"/>
      <w:sz w:val="24"/>
    </w:rPr>
  </w:style>
  <w:style w:type="paragraph" w:customStyle="1" w:styleId="287">
    <w:name w:val="xl106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微软雅黑" w:hAnsi="微软雅黑" w:eastAsia="微软雅黑" w:cs="宋体"/>
      <w:b/>
      <w:bCs/>
      <w:kern w:val="0"/>
      <w:sz w:val="20"/>
      <w:szCs w:val="20"/>
    </w:rPr>
  </w:style>
  <w:style w:type="paragraph" w:customStyle="1" w:styleId="288">
    <w:name w:val="xl106"/>
    <w:basedOn w:val="1"/>
    <w:qFormat/>
    <w:uiPriority w:val="0"/>
    <w:pPr>
      <w:widowControl/>
      <w:pBdr>
        <w:left w:val="single" w:color="auto" w:sz="4" w:space="0"/>
        <w:right w:val="single" w:color="auto" w:sz="4" w:space="0"/>
      </w:pBdr>
      <w:shd w:val="clear" w:color="auto" w:fill="FFFFFF"/>
      <w:spacing w:before="100" w:beforeAutospacing="1" w:after="100" w:afterAutospacing="1"/>
      <w:jc w:val="left"/>
    </w:pPr>
    <w:rPr>
      <w:rFonts w:ascii="宋体" w:hAnsi="宋体" w:cs="宋体"/>
      <w:kern w:val="0"/>
      <w:sz w:val="24"/>
    </w:rPr>
  </w:style>
  <w:style w:type="paragraph" w:customStyle="1" w:styleId="289">
    <w:name w:val="xl130"/>
    <w:basedOn w:val="1"/>
    <w:qFormat/>
    <w:uiPriority w:val="0"/>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jc w:val="center"/>
    </w:pPr>
    <w:rPr>
      <w:b/>
      <w:bCs/>
      <w:kern w:val="0"/>
      <w:sz w:val="20"/>
      <w:szCs w:val="20"/>
    </w:rPr>
  </w:style>
  <w:style w:type="paragraph" w:customStyle="1" w:styleId="290">
    <w:name w:val="xl10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91">
    <w:name w:val="报告正文"/>
    <w:basedOn w:val="1"/>
    <w:qFormat/>
    <w:uiPriority w:val="0"/>
    <w:pPr>
      <w:widowControl/>
      <w:overflowPunct w:val="0"/>
      <w:autoSpaceDE w:val="0"/>
      <w:autoSpaceDN w:val="0"/>
      <w:adjustRightInd w:val="0"/>
      <w:spacing w:after="80" w:line="360" w:lineRule="auto"/>
      <w:ind w:left="570"/>
      <w:textAlignment w:val="baseline"/>
    </w:pPr>
    <w:rPr>
      <w:kern w:val="0"/>
      <w:sz w:val="24"/>
      <w:szCs w:val="20"/>
    </w:rPr>
  </w:style>
  <w:style w:type="paragraph" w:customStyle="1" w:styleId="292">
    <w:name w:val="Char11"/>
    <w:basedOn w:val="1"/>
    <w:qFormat/>
    <w:uiPriority w:val="0"/>
  </w:style>
  <w:style w:type="paragraph" w:customStyle="1" w:styleId="293">
    <w:name w:val="just"/>
    <w:basedOn w:val="1"/>
    <w:qFormat/>
    <w:uiPriority w:val="0"/>
    <w:pPr>
      <w:widowControl/>
      <w:spacing w:before="100" w:beforeAutospacing="1" w:after="100" w:afterAutospacing="1" w:line="360" w:lineRule="auto"/>
      <w:ind w:firstLine="510"/>
    </w:pPr>
    <w:rPr>
      <w:rFonts w:ascii="Geneva" w:hAnsi="Geneva"/>
      <w:kern w:val="0"/>
      <w:sz w:val="24"/>
    </w:rPr>
  </w:style>
  <w:style w:type="paragraph" w:customStyle="1" w:styleId="294">
    <w:name w:val="large"/>
    <w:basedOn w:val="1"/>
    <w:qFormat/>
    <w:uiPriority w:val="0"/>
    <w:pPr>
      <w:widowControl/>
      <w:spacing w:before="100" w:beforeAutospacing="1" w:after="100" w:afterAutospacing="1" w:line="360" w:lineRule="atLeast"/>
      <w:ind w:firstLine="400"/>
      <w:jc w:val="left"/>
    </w:pPr>
    <w:rPr>
      <w:rFonts w:ascii="宋体" w:hAnsi="宋体" w:cs="宋体"/>
      <w:color w:val="808080"/>
      <w:kern w:val="0"/>
      <w:sz w:val="24"/>
    </w:rPr>
  </w:style>
  <w:style w:type="paragraph" w:customStyle="1" w:styleId="295">
    <w:name w:val="样式 样式 标题 + 段前: 0.5 行 段后: 0.5 行 + 段前: 0.5 行 段后: 0.5 行"/>
    <w:basedOn w:val="296"/>
    <w:qFormat/>
    <w:uiPriority w:val="0"/>
    <w:pPr>
      <w:spacing w:beforeLines="50" w:afterLines="50" w:line="360" w:lineRule="auto"/>
    </w:pPr>
    <w:rPr>
      <w:rFonts w:eastAsia="黑体" w:cs="宋体"/>
      <w:sz w:val="72"/>
      <w:szCs w:val="20"/>
      <w:u w:val="double"/>
    </w:rPr>
  </w:style>
  <w:style w:type="paragraph" w:customStyle="1" w:styleId="296">
    <w:name w:val="样式 标题 + 段前: 0.5 行 段后: 0.5 行"/>
    <w:basedOn w:val="57"/>
    <w:qFormat/>
    <w:uiPriority w:val="0"/>
  </w:style>
  <w:style w:type="paragraph" w:customStyle="1" w:styleId="297">
    <w:name w:val="xl10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298">
    <w:name w:val="Char2"/>
    <w:basedOn w:val="1"/>
    <w:qFormat/>
    <w:uiPriority w:val="0"/>
    <w:pPr>
      <w:jc w:val="center"/>
    </w:pPr>
    <w:rPr>
      <w:rFonts w:ascii="宋体" w:hAnsi="宋体"/>
      <w:b/>
      <w:szCs w:val="21"/>
    </w:rPr>
  </w:style>
  <w:style w:type="paragraph" w:customStyle="1" w:styleId="299">
    <w:name w:val="xl14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300">
    <w:name w:val="正文_5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301">
    <w:name w:val="表身（左）"/>
    <w:qFormat/>
    <w:uiPriority w:val="0"/>
    <w:pPr>
      <w:adjustRightInd w:val="0"/>
      <w:snapToGrid w:val="0"/>
      <w:spacing w:line="300" w:lineRule="auto"/>
      <w:textAlignment w:val="center"/>
    </w:pPr>
    <w:rPr>
      <w:rFonts w:ascii="Times New Roman" w:hAnsi="Times New Roman" w:eastAsia="宋体" w:cs="Times New Roman"/>
      <w:sz w:val="16"/>
      <w:lang w:val="en-US" w:eastAsia="zh-CN" w:bidi="ar-SA"/>
    </w:rPr>
  </w:style>
  <w:style w:type="paragraph" w:customStyle="1" w:styleId="302">
    <w:name w:val="样式 标题 6 + 段前: 0.5 行 段后: 0.5 行"/>
    <w:basedOn w:val="7"/>
    <w:qFormat/>
    <w:uiPriority w:val="0"/>
    <w:pPr>
      <w:widowControl w:val="0"/>
      <w:tabs>
        <w:tab w:val="left" w:pos="3000"/>
        <w:tab w:val="clear" w:pos="1320"/>
        <w:tab w:val="clear" w:pos="1440"/>
        <w:tab w:val="clear" w:pos="3480"/>
      </w:tabs>
      <w:spacing w:beforeLines="50" w:afterLines="50" w:line="360" w:lineRule="auto"/>
      <w:jc w:val="both"/>
    </w:pPr>
    <w:rPr>
      <w:rFonts w:cs="宋体"/>
      <w:b w:val="0"/>
      <w:szCs w:val="20"/>
    </w:rPr>
  </w:style>
  <w:style w:type="paragraph" w:customStyle="1" w:styleId="303">
    <w:name w:val="xl7875"/>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304">
    <w:name w:val="四级条标题"/>
    <w:basedOn w:val="305"/>
    <w:next w:val="1"/>
    <w:qFormat/>
    <w:uiPriority w:val="0"/>
    <w:pPr>
      <w:outlineLvl w:val="5"/>
    </w:pPr>
  </w:style>
  <w:style w:type="paragraph" w:customStyle="1" w:styleId="305">
    <w:name w:val="三级条标题"/>
    <w:basedOn w:val="306"/>
    <w:next w:val="1"/>
    <w:qFormat/>
    <w:uiPriority w:val="0"/>
    <w:pPr>
      <w:outlineLvl w:val="4"/>
    </w:pPr>
  </w:style>
  <w:style w:type="paragraph" w:customStyle="1" w:styleId="306">
    <w:name w:val="二级条标题"/>
    <w:basedOn w:val="263"/>
    <w:next w:val="1"/>
    <w:qFormat/>
    <w:uiPriority w:val="0"/>
    <w:pPr>
      <w:outlineLvl w:val="3"/>
    </w:pPr>
  </w:style>
  <w:style w:type="paragraph" w:customStyle="1" w:styleId="307">
    <w:name w:val="Item List Char"/>
    <w:qFormat/>
    <w:uiPriority w:val="0"/>
    <w:pPr>
      <w:tabs>
        <w:tab w:val="left" w:pos="360"/>
        <w:tab w:val="left" w:pos="2211"/>
      </w:tabs>
      <w:spacing w:line="300" w:lineRule="auto"/>
      <w:ind w:left="340" w:hanging="340"/>
      <w:jc w:val="both"/>
    </w:pPr>
    <w:rPr>
      <w:rFonts w:ascii="Arial" w:hAnsi="Arial" w:eastAsia="宋体" w:cs="Times New Roman"/>
      <w:sz w:val="21"/>
      <w:lang w:val="en-US" w:eastAsia="zh-CN" w:bidi="ar-SA"/>
    </w:rPr>
  </w:style>
  <w:style w:type="paragraph" w:customStyle="1" w:styleId="308">
    <w:name w:val="xl9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MingLiU" w:hAnsi="MingLiU" w:eastAsia="MingLiU" w:cs="宋体"/>
      <w:kern w:val="0"/>
      <w:sz w:val="24"/>
    </w:rPr>
  </w:style>
  <w:style w:type="paragraph" w:customStyle="1" w:styleId="309">
    <w:name w:val="表项"/>
    <w:next w:val="301"/>
    <w:qFormat/>
    <w:uiPriority w:val="0"/>
    <w:pPr>
      <w:adjustRightInd w:val="0"/>
      <w:snapToGrid w:val="0"/>
      <w:spacing w:line="300" w:lineRule="auto"/>
      <w:jc w:val="center"/>
    </w:pPr>
    <w:rPr>
      <w:rFonts w:ascii="Arial" w:hAnsi="Arial" w:eastAsia="黑体" w:cs="Arial"/>
      <w:iCs/>
      <w:kern w:val="2"/>
      <w:sz w:val="16"/>
      <w:lang w:val="en-US" w:eastAsia="zh-CN" w:bidi="ar-SA"/>
    </w:rPr>
  </w:style>
  <w:style w:type="paragraph" w:customStyle="1" w:styleId="310">
    <w:name w:val="xl104"/>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311">
    <w:name w:val="pa-13"/>
    <w:basedOn w:val="1"/>
    <w:qFormat/>
    <w:uiPriority w:val="0"/>
    <w:pPr>
      <w:widowControl/>
      <w:spacing w:line="240" w:lineRule="atLeast"/>
    </w:pPr>
    <w:rPr>
      <w:rFonts w:ascii="宋体" w:hAnsi="宋体" w:cs="宋体"/>
      <w:kern w:val="0"/>
      <w:sz w:val="24"/>
    </w:rPr>
  </w:style>
  <w:style w:type="paragraph" w:customStyle="1" w:styleId="312">
    <w:name w:val="xl1090"/>
    <w:basedOn w:val="1"/>
    <w:qFormat/>
    <w:uiPriority w:val="0"/>
    <w:pPr>
      <w:widowControl/>
      <w:pBdr>
        <w:left w:val="single" w:color="auto" w:sz="4" w:space="0"/>
        <w:right w:val="single" w:color="auto" w:sz="4" w:space="0"/>
      </w:pBdr>
      <w:spacing w:before="100" w:beforeAutospacing="1" w:after="100" w:afterAutospacing="1"/>
      <w:jc w:val="center"/>
    </w:pPr>
    <w:rPr>
      <w:rFonts w:ascii="微软雅黑" w:hAnsi="微软雅黑" w:eastAsia="微软雅黑" w:cs="宋体"/>
      <w:b/>
      <w:bCs/>
      <w:kern w:val="0"/>
      <w:sz w:val="20"/>
      <w:szCs w:val="20"/>
    </w:rPr>
  </w:style>
  <w:style w:type="paragraph" w:customStyle="1" w:styleId="313">
    <w:name w:val="四级无"/>
    <w:basedOn w:val="304"/>
    <w:qFormat/>
    <w:uiPriority w:val="0"/>
    <w:pPr>
      <w:tabs>
        <w:tab w:val="left" w:pos="360"/>
      </w:tabs>
      <w:spacing w:beforeLines="0" w:afterLines="0"/>
    </w:pPr>
    <w:rPr>
      <w:rFonts w:ascii="宋体" w:eastAsia="宋体"/>
    </w:rPr>
  </w:style>
  <w:style w:type="paragraph" w:customStyle="1" w:styleId="314">
    <w:name w:val="样式 标题 3 + 四号 段前: 7.8 磅 段后: 0 磅 行距: 单倍行距"/>
    <w:basedOn w:val="2"/>
    <w:qFormat/>
    <w:uiPriority w:val="0"/>
    <w:pPr>
      <w:tabs>
        <w:tab w:val="left" w:pos="673"/>
      </w:tabs>
      <w:spacing w:before="156" w:after="0"/>
      <w:ind w:left="720" w:hanging="720"/>
    </w:pPr>
    <w:rPr>
      <w:rFonts w:ascii="宋体" w:hAnsi="宋体" w:eastAsia="宋体"/>
      <w:b w:val="0"/>
      <w:sz w:val="28"/>
    </w:rPr>
  </w:style>
  <w:style w:type="paragraph" w:customStyle="1" w:styleId="315">
    <w:name w:val="Char1 Char Char Char"/>
    <w:basedOn w:val="1"/>
    <w:qFormat/>
    <w:uiPriority w:val="0"/>
    <w:rPr>
      <w:rFonts w:ascii="Tahoma" w:hAnsi="Tahoma"/>
      <w:sz w:val="24"/>
      <w:szCs w:val="20"/>
    </w:rPr>
  </w:style>
  <w:style w:type="paragraph" w:customStyle="1" w:styleId="316">
    <w:name w:val="xl39"/>
    <w:basedOn w:val="1"/>
    <w:qFormat/>
    <w:uiPriority w:val="0"/>
    <w:pPr>
      <w:widowControl/>
      <w:pBdr>
        <w:top w:val="single" w:color="auto" w:sz="4" w:space="0"/>
        <w:left w:val="single" w:color="auto" w:sz="4" w:space="0"/>
        <w:bottom w:val="single" w:color="auto" w:sz="4" w:space="0"/>
      </w:pBdr>
      <w:spacing w:before="100" w:beforeAutospacing="1" w:after="100" w:afterAutospacing="1"/>
      <w:jc w:val="right"/>
    </w:pPr>
    <w:rPr>
      <w:rFonts w:ascii="Arial Unicode MS" w:hAnsi="Arial Unicode MS" w:eastAsia="Times New Roman" w:cs="Arial Unicode MS"/>
      <w:kern w:val="0"/>
      <w:sz w:val="28"/>
      <w:szCs w:val="28"/>
    </w:rPr>
  </w:style>
  <w:style w:type="paragraph" w:customStyle="1" w:styleId="317">
    <w:name w:val="1"/>
    <w:basedOn w:val="42"/>
    <w:qFormat/>
    <w:uiPriority w:val="0"/>
    <w:pPr>
      <w:pBdr>
        <w:bottom w:val="none" w:color="auto" w:sz="0" w:space="0"/>
      </w:pBdr>
    </w:pPr>
    <w:rPr>
      <w:rFonts w:ascii="Calibri" w:hAnsi="Calibri" w:eastAsia="华文新魏"/>
      <w:kern w:val="0"/>
      <w:sz w:val="21"/>
      <w:szCs w:val="20"/>
    </w:rPr>
  </w:style>
  <w:style w:type="paragraph" w:customStyle="1" w:styleId="318">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19">
    <w:name w:val="手动目录"/>
    <w:basedOn w:val="1"/>
    <w:qFormat/>
    <w:uiPriority w:val="0"/>
    <w:pPr>
      <w:numPr>
        <w:ilvl w:val="0"/>
        <w:numId w:val="3"/>
      </w:numPr>
      <w:spacing w:line="360" w:lineRule="auto"/>
    </w:pPr>
    <w:rPr>
      <w:sz w:val="24"/>
    </w:rPr>
  </w:style>
  <w:style w:type="paragraph" w:customStyle="1" w:styleId="320">
    <w:name w:val="正文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321">
    <w:name w:val="Char Char1 Char Char Char Char Char Char Char Char Char Char Char Char Char Char Char Char Char Char Char"/>
    <w:basedOn w:val="1"/>
    <w:qFormat/>
    <w:uiPriority w:val="0"/>
    <w:pPr>
      <w:widowControl/>
      <w:spacing w:after="160" w:line="240" w:lineRule="exact"/>
      <w:jc w:val="left"/>
    </w:pPr>
    <w:rPr>
      <w:rFonts w:ascii="Verdana" w:hAnsi="Verdana" w:eastAsia="Times New Roman"/>
      <w:kern w:val="0"/>
      <w:sz w:val="24"/>
      <w:szCs w:val="20"/>
      <w:lang w:eastAsia="en-US"/>
    </w:rPr>
  </w:style>
  <w:style w:type="paragraph" w:customStyle="1" w:styleId="322">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rPr>
  </w:style>
  <w:style w:type="paragraph" w:customStyle="1" w:styleId="323">
    <w:name w:val="正文文本_2_0"/>
    <w:basedOn w:val="324"/>
    <w:qFormat/>
    <w:uiPriority w:val="0"/>
    <w:pPr>
      <w:spacing w:after="120"/>
    </w:pPr>
  </w:style>
  <w:style w:type="paragraph" w:customStyle="1" w:styleId="324">
    <w:name w:val="正文_13_0"/>
    <w:next w:val="323"/>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25">
    <w:name w:val="编号1级"/>
    <w:qFormat/>
    <w:uiPriority w:val="0"/>
    <w:pPr>
      <w:spacing w:afterLines="30" w:line="400" w:lineRule="exact"/>
      <w:outlineLvl w:val="8"/>
    </w:pPr>
    <w:rPr>
      <w:rFonts w:ascii="Times New Roman" w:hAnsi="Times New Roman" w:eastAsia="宋体" w:cs="Times New Roman"/>
      <w:b/>
      <w:kern w:val="2"/>
      <w:sz w:val="24"/>
      <w:szCs w:val="28"/>
      <w:lang w:val="en-US" w:eastAsia="zh-CN" w:bidi="ar-SA"/>
    </w:rPr>
  </w:style>
  <w:style w:type="paragraph" w:customStyle="1" w:styleId="326">
    <w:name w:val="样式2"/>
    <w:basedOn w:val="1"/>
    <w:qFormat/>
    <w:uiPriority w:val="0"/>
    <w:pPr>
      <w:tabs>
        <w:tab w:val="left" w:pos="360"/>
      </w:tabs>
      <w:spacing w:line="360" w:lineRule="auto"/>
      <w:ind w:firstLine="174" w:firstLineChars="174"/>
      <w:jc w:val="left"/>
    </w:pPr>
    <w:rPr>
      <w:rFonts w:eastAsia="楷体_GB2312"/>
      <w:sz w:val="24"/>
      <w:szCs w:val="28"/>
    </w:rPr>
  </w:style>
  <w:style w:type="paragraph" w:customStyle="1" w:styleId="327">
    <w:name w:val="表格1"/>
    <w:basedOn w:val="1"/>
    <w:qFormat/>
    <w:uiPriority w:val="0"/>
    <w:pPr>
      <w:tabs>
        <w:tab w:val="left" w:pos="203"/>
      </w:tabs>
      <w:spacing w:before="40" w:after="40"/>
      <w:jc w:val="center"/>
    </w:pPr>
    <w:rPr>
      <w:b/>
      <w:sz w:val="28"/>
      <w:szCs w:val="20"/>
    </w:rPr>
  </w:style>
  <w:style w:type="paragraph" w:customStyle="1" w:styleId="328">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Times New Roman" w:cs="Arial Unicode MS"/>
      <w:b/>
      <w:bCs/>
      <w:kern w:val="0"/>
      <w:sz w:val="20"/>
      <w:szCs w:val="20"/>
    </w:rPr>
  </w:style>
  <w:style w:type="paragraph" w:customStyle="1" w:styleId="329">
    <w:name w:val="xl1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30">
    <w:name w:val="Char Char Char Char1"/>
    <w:basedOn w:val="1"/>
    <w:qFormat/>
    <w:uiPriority w:val="0"/>
    <w:rPr>
      <w:rFonts w:ascii="??_GB2312" w:eastAsia="Times New Roman"/>
      <w:b/>
      <w:sz w:val="32"/>
      <w:szCs w:val="32"/>
    </w:rPr>
  </w:style>
  <w:style w:type="paragraph" w:customStyle="1" w:styleId="331">
    <w:name w:val="正文_17_0"/>
    <w:qFormat/>
    <w:uiPriority w:val="0"/>
    <w:pPr>
      <w:widowControl w:val="0"/>
      <w:suppressAutoHyphens/>
      <w:jc w:val="both"/>
    </w:pPr>
    <w:rPr>
      <w:rFonts w:ascii="Calibri" w:hAnsi="Calibri" w:eastAsia="宋体;SimSun" w:cs="Calibri"/>
      <w:kern w:val="2"/>
      <w:sz w:val="21"/>
      <w:szCs w:val="21"/>
      <w:lang w:val="en-US" w:eastAsia="zh-CN" w:bidi="ar-SA"/>
    </w:rPr>
  </w:style>
  <w:style w:type="paragraph" w:customStyle="1" w:styleId="332">
    <w:name w:val="xl107"/>
    <w:basedOn w:val="1"/>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kern w:val="0"/>
      <w:sz w:val="24"/>
    </w:rPr>
  </w:style>
  <w:style w:type="paragraph" w:customStyle="1" w:styleId="333">
    <w:name w:val="样式 标题 2 + 宋体 小三 段前: 0 磅 段后: 12 磅 行距: 1.5 倍行距"/>
    <w:basedOn w:val="4"/>
    <w:qFormat/>
    <w:uiPriority w:val="0"/>
    <w:pPr>
      <w:numPr>
        <w:ilvl w:val="1"/>
        <w:numId w:val="4"/>
      </w:numPr>
      <w:spacing w:before="0" w:afterLines="100" w:line="360" w:lineRule="auto"/>
    </w:pPr>
    <w:rPr>
      <w:rFonts w:ascii="宋体" w:hAnsi="宋体" w:eastAsia="宋体" w:cs="宋体"/>
      <w:sz w:val="30"/>
    </w:rPr>
  </w:style>
  <w:style w:type="paragraph" w:customStyle="1" w:styleId="334">
    <w:name w:val="xl10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b/>
      <w:bCs/>
      <w:kern w:val="0"/>
      <w:sz w:val="20"/>
      <w:szCs w:val="20"/>
    </w:rPr>
  </w:style>
  <w:style w:type="paragraph" w:customStyle="1" w:styleId="335">
    <w:name w:val="封面中部"/>
    <w:basedOn w:val="1"/>
    <w:qFormat/>
    <w:uiPriority w:val="0"/>
    <w:pPr>
      <w:tabs>
        <w:tab w:val="left" w:pos="5040"/>
      </w:tabs>
      <w:adjustRightInd w:val="0"/>
      <w:spacing w:line="300" w:lineRule="auto"/>
      <w:ind w:firstLine="899" w:firstLineChars="281"/>
      <w:textAlignment w:val="baseline"/>
    </w:pPr>
    <w:rPr>
      <w:rFonts w:ascii="黑体" w:eastAsia="黑体"/>
      <w:kern w:val="0"/>
      <w:sz w:val="32"/>
      <w:szCs w:val="32"/>
    </w:rPr>
  </w:style>
  <w:style w:type="paragraph" w:customStyle="1" w:styleId="336">
    <w:name w:val="xl105"/>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337">
    <w:name w:val="Char"/>
    <w:basedOn w:val="1"/>
    <w:qFormat/>
    <w:uiPriority w:val="0"/>
    <w:pPr>
      <w:tabs>
        <w:tab w:val="left" w:pos="360"/>
      </w:tabs>
      <w:spacing w:line="360" w:lineRule="auto"/>
      <w:ind w:left="482" w:firstLine="200" w:firstLineChars="200"/>
    </w:pPr>
    <w:rPr>
      <w:rFonts w:eastAsia="Times New Roman"/>
      <w:kern w:val="0"/>
      <w:sz w:val="20"/>
    </w:rPr>
  </w:style>
  <w:style w:type="paragraph" w:customStyle="1" w:styleId="338">
    <w:name w:val="样式 日期 + 行距: 1.5 倍行距"/>
    <w:basedOn w:val="38"/>
    <w:qFormat/>
    <w:uiPriority w:val="0"/>
    <w:pPr>
      <w:widowControl/>
      <w:spacing w:line="360" w:lineRule="auto"/>
      <w:ind w:left="0" w:leftChars="0" w:firstLine="540"/>
    </w:pPr>
    <w:rPr>
      <w:rFonts w:ascii="宋体" w:eastAsia="宋体" w:cs="宋体"/>
      <w:color w:val="auto"/>
      <w:sz w:val="24"/>
      <w:szCs w:val="20"/>
    </w:rPr>
  </w:style>
  <w:style w:type="paragraph" w:customStyle="1" w:styleId="339">
    <w:name w:val="表格文字"/>
    <w:basedOn w:val="1"/>
    <w:qFormat/>
    <w:uiPriority w:val="0"/>
    <w:pPr>
      <w:adjustRightInd w:val="0"/>
      <w:spacing w:line="240" w:lineRule="atLeast"/>
      <w:jc w:val="center"/>
      <w:textAlignment w:val="baseline"/>
    </w:pPr>
    <w:rPr>
      <w:rFonts w:ascii="宋体"/>
      <w:kern w:val="0"/>
      <w:szCs w:val="20"/>
    </w:rPr>
  </w:style>
  <w:style w:type="paragraph" w:customStyle="1" w:styleId="340">
    <w:name w:val="纯文本1"/>
    <w:basedOn w:val="1"/>
    <w:qFormat/>
    <w:uiPriority w:val="0"/>
    <w:pPr>
      <w:autoSpaceDE w:val="0"/>
      <w:autoSpaceDN w:val="0"/>
      <w:adjustRightInd w:val="0"/>
    </w:pPr>
    <w:rPr>
      <w:rFonts w:ascii="宋体" w:hAnsi="宋体" w:cs="宋体"/>
      <w:kern w:val="0"/>
      <w:szCs w:val="20"/>
    </w:rPr>
  </w:style>
  <w:style w:type="paragraph" w:customStyle="1" w:styleId="341">
    <w:name w:val="Heading 21"/>
    <w:basedOn w:val="1"/>
    <w:next w:val="1"/>
    <w:qFormat/>
    <w:uiPriority w:val="0"/>
    <w:pPr>
      <w:widowControl/>
      <w:numPr>
        <w:ilvl w:val="1"/>
        <w:numId w:val="5"/>
      </w:numPr>
      <w:spacing w:before="280" w:after="280"/>
      <w:jc w:val="left"/>
      <w:outlineLvl w:val="1"/>
    </w:pPr>
    <w:rPr>
      <w:rFonts w:ascii="宋体;SimSun" w:hAnsi="宋体;SimSun" w:cs="宋体;SimSun"/>
      <w:b/>
      <w:bCs/>
      <w:kern w:val="0"/>
      <w:sz w:val="36"/>
      <w:szCs w:val="36"/>
    </w:rPr>
  </w:style>
  <w:style w:type="paragraph" w:customStyle="1" w:styleId="342">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43">
    <w:name w:val="表格2"/>
    <w:basedOn w:val="1"/>
    <w:qFormat/>
    <w:uiPriority w:val="0"/>
    <w:pPr>
      <w:snapToGrid w:val="0"/>
      <w:jc w:val="center"/>
    </w:pPr>
    <w:rPr>
      <w:rFonts w:ascii="Arial" w:hAnsi="Arial" w:cs="Arial"/>
      <w:kern w:val="0"/>
      <w:sz w:val="24"/>
    </w:rPr>
  </w:style>
  <w:style w:type="paragraph" w:customStyle="1" w:styleId="344">
    <w:name w:val="默认段落字体 Para Char Char Char Char Char Char Char Char Char Char Char Char Char Char"/>
    <w:basedOn w:val="20"/>
    <w:qFormat/>
    <w:uiPriority w:val="0"/>
    <w:rPr>
      <w:rFonts w:ascii="Tahoma" w:hAnsi="Tahoma"/>
      <w:sz w:val="24"/>
    </w:rPr>
  </w:style>
  <w:style w:type="paragraph" w:customStyle="1" w:styleId="345">
    <w:name w:val="表文"/>
    <w:basedOn w:val="1"/>
    <w:qFormat/>
    <w:uiPriority w:val="0"/>
    <w:pPr>
      <w:spacing w:line="300" w:lineRule="auto"/>
      <w:jc w:val="center"/>
      <w:textAlignment w:val="baseline"/>
    </w:pPr>
    <w:rPr>
      <w:kern w:val="0"/>
      <w:szCs w:val="20"/>
    </w:rPr>
  </w:style>
  <w:style w:type="paragraph" w:customStyle="1" w:styleId="346">
    <w:name w:val="xl10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微软雅黑" w:hAnsi="微软雅黑" w:eastAsia="微软雅黑" w:cs="宋体"/>
      <w:kern w:val="0"/>
      <w:sz w:val="20"/>
      <w:szCs w:val="20"/>
    </w:rPr>
  </w:style>
  <w:style w:type="paragraph" w:customStyle="1" w:styleId="347">
    <w:name w:val="xl10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微软雅黑" w:hAnsi="微软雅黑" w:eastAsia="微软雅黑" w:cs="宋体"/>
      <w:kern w:val="0"/>
      <w:sz w:val="20"/>
      <w:szCs w:val="20"/>
    </w:rPr>
  </w:style>
  <w:style w:type="paragraph" w:customStyle="1" w:styleId="348">
    <w:name w:val="xl87"/>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kern w:val="0"/>
      <w:sz w:val="28"/>
      <w:szCs w:val="28"/>
    </w:rPr>
  </w:style>
  <w:style w:type="paragraph" w:customStyle="1" w:styleId="349">
    <w:name w:val="Char12"/>
    <w:basedOn w:val="1"/>
    <w:qFormat/>
    <w:uiPriority w:val="0"/>
    <w:rPr>
      <w:rFonts w:ascii="Tahoma" w:hAnsi="Tahoma" w:cs="??_GB2312"/>
      <w:sz w:val="24"/>
      <w:szCs w:val="28"/>
    </w:rPr>
  </w:style>
  <w:style w:type="paragraph" w:customStyle="1" w:styleId="350">
    <w:name w:val="xl70"/>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Arial Unicode MS" w:hAnsi="Arial Unicode MS" w:eastAsia="Times New Roman" w:cs="Arial Unicode MS"/>
      <w:b/>
      <w:bCs/>
      <w:kern w:val="0"/>
      <w:sz w:val="20"/>
      <w:szCs w:val="20"/>
    </w:rPr>
  </w:style>
  <w:style w:type="paragraph" w:customStyle="1" w:styleId="351">
    <w:name w:val="样式 标题 4Alt+4项h4H41.1.1.1 Heading 4Heading FourHead44bul...1"/>
    <w:basedOn w:val="5"/>
    <w:qFormat/>
    <w:uiPriority w:val="0"/>
    <w:pPr>
      <w:numPr>
        <w:ilvl w:val="3"/>
        <w:numId w:val="6"/>
      </w:numPr>
      <w:tabs>
        <w:tab w:val="left" w:pos="1931"/>
        <w:tab w:val="clear" w:pos="851"/>
      </w:tabs>
      <w:spacing w:before="120" w:after="0" w:line="360" w:lineRule="auto"/>
      <w:ind w:left="1931"/>
      <w:jc w:val="left"/>
    </w:pPr>
    <w:rPr>
      <w:rFonts w:ascii="Times New Roman" w:hAnsi="Times New Roman" w:eastAsia="黑体" w:cs="宋体"/>
      <w:b w:val="0"/>
      <w:bCs w:val="0"/>
      <w:sz w:val="24"/>
      <w:szCs w:val="20"/>
    </w:rPr>
  </w:style>
  <w:style w:type="paragraph" w:customStyle="1" w:styleId="352">
    <w:name w:val="xl7863"/>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353">
    <w:name w:val="xl83"/>
    <w:basedOn w:val="1"/>
    <w:qFormat/>
    <w:uiPriority w:val="0"/>
    <w:pPr>
      <w:widowControl/>
      <w:pBdr>
        <w:left w:val="single" w:color="auto" w:sz="4" w:space="0"/>
        <w:right w:val="single" w:color="auto" w:sz="4" w:space="0"/>
      </w:pBdr>
      <w:spacing w:before="100" w:beforeAutospacing="1" w:after="100" w:afterAutospacing="1"/>
      <w:jc w:val="left"/>
      <w:textAlignment w:val="top"/>
    </w:pPr>
    <w:rPr>
      <w:rFonts w:ascii="宋体" w:hAnsi="宋体" w:cs="宋体"/>
      <w:kern w:val="0"/>
      <w:sz w:val="24"/>
    </w:rPr>
  </w:style>
  <w:style w:type="paragraph" w:customStyle="1" w:styleId="354">
    <w:name w:val="xl16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355">
    <w:name w:val="xl57"/>
    <w:basedOn w:val="1"/>
    <w:qFormat/>
    <w:uiPriority w:val="0"/>
    <w:pPr>
      <w:widowControl/>
      <w:pBdr>
        <w:top w:val="single" w:color="auto" w:sz="4" w:space="0"/>
        <w:bottom w:val="single" w:color="auto" w:sz="8" w:space="0"/>
        <w:right w:val="single" w:color="auto" w:sz="4" w:space="0"/>
      </w:pBdr>
      <w:spacing w:before="100" w:beforeAutospacing="1" w:after="100" w:afterAutospacing="1"/>
      <w:jc w:val="left"/>
    </w:pPr>
    <w:rPr>
      <w:rFonts w:ascii="Arial Unicode MS" w:hAnsi="Arial Unicode MS" w:eastAsia="Times New Roman" w:cs="Arial Unicode MS"/>
      <w:kern w:val="0"/>
      <w:sz w:val="28"/>
      <w:szCs w:val="28"/>
    </w:rPr>
  </w:style>
  <w:style w:type="paragraph" w:customStyle="1" w:styleId="356">
    <w:name w:val="xl1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b/>
      <w:bCs/>
      <w:color w:val="FF0000"/>
      <w:kern w:val="0"/>
      <w:sz w:val="20"/>
      <w:szCs w:val="20"/>
    </w:rPr>
  </w:style>
  <w:style w:type="paragraph" w:customStyle="1" w:styleId="357">
    <w:name w:val="xl150"/>
    <w:basedOn w:val="1"/>
    <w:qFormat/>
    <w:uiPriority w:val="0"/>
    <w:pPr>
      <w:widowControl/>
      <w:spacing w:before="100" w:beforeAutospacing="1" w:after="100" w:afterAutospacing="1"/>
      <w:jc w:val="left"/>
    </w:pPr>
    <w:rPr>
      <w:rFonts w:ascii="宋体" w:hAnsi="宋体" w:cs="宋体"/>
      <w:color w:val="FF0000"/>
      <w:kern w:val="0"/>
      <w:sz w:val="24"/>
    </w:rPr>
  </w:style>
  <w:style w:type="paragraph" w:customStyle="1" w:styleId="358">
    <w:name w:val="xl10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微软雅黑" w:hAnsi="微软雅黑" w:eastAsia="微软雅黑" w:cs="宋体"/>
      <w:kern w:val="0"/>
      <w:sz w:val="20"/>
      <w:szCs w:val="20"/>
    </w:rPr>
  </w:style>
  <w:style w:type="paragraph" w:customStyle="1" w:styleId="359">
    <w:name w:val="font6"/>
    <w:basedOn w:val="1"/>
    <w:qFormat/>
    <w:uiPriority w:val="0"/>
    <w:pPr>
      <w:widowControl/>
      <w:spacing w:before="100" w:beforeAutospacing="1" w:after="100" w:afterAutospacing="1"/>
      <w:jc w:val="left"/>
    </w:pPr>
    <w:rPr>
      <w:rFonts w:eastAsia="Times New Roman"/>
      <w:kern w:val="0"/>
      <w:sz w:val="24"/>
    </w:rPr>
  </w:style>
  <w:style w:type="paragraph" w:customStyle="1" w:styleId="360">
    <w:name w:val="样式 样式 标题 2 + 段前: 0.5 行 段后: 0.5 行2 + 段前: 0.5 行 段后: 0.5 行"/>
    <w:basedOn w:val="361"/>
    <w:qFormat/>
    <w:uiPriority w:val="0"/>
    <w:pPr>
      <w:tabs>
        <w:tab w:val="left" w:pos="1320"/>
      </w:tabs>
    </w:pPr>
  </w:style>
  <w:style w:type="paragraph" w:customStyle="1" w:styleId="361">
    <w:name w:val="样式 标题 2 + 段前: 0.5 行 段后: 0.5 行2"/>
    <w:basedOn w:val="4"/>
    <w:qFormat/>
    <w:uiPriority w:val="0"/>
    <w:pPr>
      <w:tabs>
        <w:tab w:val="left" w:pos="1320"/>
      </w:tabs>
      <w:spacing w:beforeLines="50" w:afterLines="50" w:line="360" w:lineRule="auto"/>
      <w:jc w:val="left"/>
    </w:pPr>
    <w:rPr>
      <w:rFonts w:cs="宋体"/>
      <w:sz w:val="36"/>
    </w:rPr>
  </w:style>
  <w:style w:type="paragraph" w:customStyle="1" w:styleId="362">
    <w:name w:val="缺省文本"/>
    <w:qFormat/>
    <w:uiPriority w:val="0"/>
    <w:pPr>
      <w:widowControl w:val="0"/>
      <w:autoSpaceDE w:val="0"/>
      <w:autoSpaceDN w:val="0"/>
      <w:adjustRightInd w:val="0"/>
    </w:pPr>
    <w:rPr>
      <w:rFonts w:ascii="Times New Roman" w:hAnsi="Times New Roman" w:eastAsia="宋体" w:cs="Times New Roman"/>
      <w:color w:val="000000"/>
      <w:szCs w:val="24"/>
      <w:lang w:val="en-US" w:eastAsia="zh-CN" w:bidi="ar-SA"/>
    </w:rPr>
  </w:style>
  <w:style w:type="paragraph" w:customStyle="1" w:styleId="363">
    <w:name w:val="xl51"/>
    <w:basedOn w:val="1"/>
    <w:qFormat/>
    <w:uiPriority w:val="0"/>
    <w:pPr>
      <w:widowControl/>
      <w:pBdr>
        <w:top w:val="single" w:color="auto" w:sz="4" w:space="0"/>
        <w:left w:val="single" w:color="auto" w:sz="8" w:space="0"/>
      </w:pBdr>
      <w:spacing w:before="100" w:beforeAutospacing="1" w:after="100" w:afterAutospacing="1"/>
      <w:jc w:val="center"/>
    </w:pPr>
    <w:rPr>
      <w:rFonts w:ascii="Arial Unicode MS" w:hAnsi="Arial Unicode MS" w:eastAsia="Times New Roman" w:cs="Arial Unicode MS"/>
      <w:kern w:val="0"/>
      <w:sz w:val="28"/>
      <w:szCs w:val="28"/>
    </w:rPr>
  </w:style>
  <w:style w:type="paragraph" w:customStyle="1" w:styleId="364">
    <w:name w:val="项目编号一级"/>
    <w:basedOn w:val="1"/>
    <w:qFormat/>
    <w:uiPriority w:val="0"/>
    <w:pPr>
      <w:tabs>
        <w:tab w:val="left" w:pos="900"/>
      </w:tabs>
      <w:spacing w:line="360" w:lineRule="auto"/>
      <w:ind w:left="900" w:hanging="420"/>
    </w:pPr>
  </w:style>
  <w:style w:type="paragraph" w:customStyle="1" w:styleId="365">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eastAsia="Times New Roman"/>
      <w:kern w:val="0"/>
      <w:sz w:val="20"/>
      <w:szCs w:val="20"/>
    </w:rPr>
  </w:style>
  <w:style w:type="paragraph" w:customStyle="1" w:styleId="366">
    <w:name w:val="xl1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367">
    <w:name w:val="样式 样式 标题 3H3h3h31Heading 3 - old3Heading 3 hidden2hh32Sect... + ..."/>
    <w:basedOn w:val="1"/>
    <w:qFormat/>
    <w:uiPriority w:val="0"/>
    <w:pPr>
      <w:keepNext/>
      <w:keepLines/>
      <w:tabs>
        <w:tab w:val="left" w:pos="1931"/>
      </w:tabs>
      <w:spacing w:before="100" w:beforeAutospacing="1" w:afterLines="100"/>
      <w:ind w:left="1418" w:hanging="567"/>
      <w:outlineLvl w:val="2"/>
    </w:pPr>
    <w:rPr>
      <w:rFonts w:ascii="Arial Unicode MS" w:hAnsi="Arial Unicode MS" w:eastAsia="楷体_GB2312" w:cs="宋体"/>
      <w:b/>
      <w:bCs/>
      <w:sz w:val="30"/>
      <w:szCs w:val="20"/>
    </w:rPr>
  </w:style>
  <w:style w:type="paragraph" w:customStyle="1" w:styleId="368">
    <w:name w:val="表格正文（5号）"/>
    <w:basedOn w:val="1"/>
    <w:qFormat/>
    <w:uiPriority w:val="0"/>
    <w:pPr>
      <w:adjustRightInd w:val="0"/>
      <w:snapToGrid w:val="0"/>
      <w:spacing w:line="264" w:lineRule="auto"/>
      <w:jc w:val="center"/>
      <w:textAlignment w:val="baseline"/>
    </w:pPr>
    <w:rPr>
      <w:kern w:val="0"/>
      <w:sz w:val="24"/>
      <w:szCs w:val="20"/>
    </w:rPr>
  </w:style>
  <w:style w:type="paragraph" w:customStyle="1" w:styleId="369">
    <w:name w:val="xl1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70">
    <w:name w:val="编号列项（三级）"/>
    <w:qFormat/>
    <w:uiPriority w:val="0"/>
    <w:pPr>
      <w:tabs>
        <w:tab w:val="left" w:pos="0"/>
      </w:tabs>
      <w:ind w:left="1679" w:hanging="420"/>
    </w:pPr>
    <w:rPr>
      <w:rFonts w:ascii="宋体" w:hAnsi="Times New Roman" w:eastAsia="宋体" w:cs="Times New Roman"/>
      <w:sz w:val="21"/>
      <w:lang w:val="en-US" w:eastAsia="zh-CN" w:bidi="ar-SA"/>
    </w:rPr>
  </w:style>
  <w:style w:type="paragraph" w:customStyle="1" w:styleId="371">
    <w:name w:val="正文_7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372">
    <w:name w:val="xl99"/>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373">
    <w:name w:val="xl168"/>
    <w:basedOn w:val="1"/>
    <w:qFormat/>
    <w:uiPriority w:val="0"/>
    <w:pPr>
      <w:widowControl/>
      <w:pBdr>
        <w:top w:val="single" w:color="auto" w:sz="4" w:space="0"/>
        <w:left w:val="single" w:color="auto" w:sz="4" w:space="0"/>
        <w:bottom w:val="single" w:color="auto" w:sz="4" w:space="0"/>
        <w:right w:val="single" w:color="auto" w:sz="4" w:space="0"/>
      </w:pBdr>
      <w:shd w:val="clear" w:color="000000" w:fill="A6A6A6"/>
      <w:spacing w:before="100" w:beforeAutospacing="1" w:after="100" w:afterAutospacing="1"/>
      <w:jc w:val="left"/>
    </w:pPr>
    <w:rPr>
      <w:rFonts w:ascii="宋体" w:hAnsi="宋体" w:cs="宋体"/>
      <w:b/>
      <w:bCs/>
      <w:kern w:val="0"/>
      <w:sz w:val="20"/>
      <w:szCs w:val="20"/>
    </w:rPr>
  </w:style>
  <w:style w:type="paragraph" w:customStyle="1" w:styleId="374">
    <w:name w:val="xl148"/>
    <w:basedOn w:val="1"/>
    <w:qFormat/>
    <w:uiPriority w:val="0"/>
    <w:pPr>
      <w:widowControl/>
      <w:spacing w:before="100" w:beforeAutospacing="1" w:after="100" w:afterAutospacing="1"/>
      <w:jc w:val="left"/>
    </w:pPr>
    <w:rPr>
      <w:rFonts w:ascii="宋体" w:hAnsi="宋体" w:cs="宋体"/>
      <w:color w:val="FF0000"/>
      <w:kern w:val="0"/>
      <w:sz w:val="24"/>
    </w:rPr>
  </w:style>
  <w:style w:type="paragraph" w:customStyle="1" w:styleId="375">
    <w:name w:val="三级无"/>
    <w:basedOn w:val="305"/>
    <w:qFormat/>
    <w:uiPriority w:val="0"/>
    <w:pPr>
      <w:spacing w:beforeLines="0" w:afterLines="0"/>
    </w:pPr>
    <w:rPr>
      <w:rFonts w:ascii="宋体" w:eastAsia="宋体"/>
    </w:rPr>
  </w:style>
  <w:style w:type="paragraph" w:customStyle="1" w:styleId="376">
    <w:name w:val="xl1076"/>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微软雅黑" w:hAnsi="微软雅黑" w:eastAsia="微软雅黑" w:cs="宋体"/>
      <w:kern w:val="0"/>
      <w:sz w:val="20"/>
      <w:szCs w:val="20"/>
    </w:rPr>
  </w:style>
  <w:style w:type="paragraph" w:customStyle="1" w:styleId="377">
    <w:name w:val="编号4级"/>
    <w:qFormat/>
    <w:uiPriority w:val="0"/>
    <w:pPr>
      <w:tabs>
        <w:tab w:val="left" w:pos="1843"/>
      </w:tabs>
      <w:spacing w:line="360" w:lineRule="auto"/>
      <w:ind w:left="1843" w:hanging="284"/>
    </w:pPr>
    <w:rPr>
      <w:rFonts w:ascii="Times New Roman" w:hAnsi="Times New Roman" w:eastAsia="宋体" w:cs="Times New Roman"/>
      <w:kern w:val="24"/>
      <w:sz w:val="24"/>
      <w:szCs w:val="18"/>
      <w:lang w:val="en-US" w:eastAsia="zh-CN" w:bidi="ar-SA"/>
    </w:rPr>
  </w:style>
  <w:style w:type="paragraph" w:customStyle="1" w:styleId="378">
    <w:name w:val="样式 标题 1 + 非加粗 段前: 0.5 行 段后: 0.5 行"/>
    <w:basedOn w:val="3"/>
    <w:qFormat/>
    <w:uiPriority w:val="0"/>
    <w:pPr>
      <w:pageBreakBefore/>
      <w:tabs>
        <w:tab w:val="left" w:pos="840"/>
      </w:tabs>
      <w:adjustRightInd/>
      <w:spacing w:beforeLines="50" w:afterLines="50" w:line="480" w:lineRule="auto"/>
      <w:ind w:left="840" w:hanging="360"/>
      <w:textAlignment w:val="auto"/>
    </w:pPr>
    <w:rPr>
      <w:rFonts w:eastAsia="黑体" w:cs="宋体"/>
      <w:b w:val="0"/>
      <w:sz w:val="44"/>
    </w:rPr>
  </w:style>
  <w:style w:type="paragraph" w:customStyle="1" w:styleId="379">
    <w:name w:val="样式6"/>
    <w:basedOn w:val="1"/>
    <w:qFormat/>
    <w:uiPriority w:val="0"/>
    <w:pPr>
      <w:widowControl/>
      <w:tabs>
        <w:tab w:val="left" w:pos="1800"/>
      </w:tabs>
      <w:spacing w:beforeLines="50" w:afterLines="50"/>
      <w:ind w:left="1800" w:firstLine="899" w:firstLineChars="428"/>
    </w:pPr>
    <w:rPr>
      <w:kern w:val="0"/>
    </w:rPr>
  </w:style>
  <w:style w:type="paragraph" w:customStyle="1" w:styleId="380">
    <w:name w:val="样式 标题 1 + 段前: 1 行 段后: 1 行1"/>
    <w:basedOn w:val="3"/>
    <w:qFormat/>
    <w:uiPriority w:val="0"/>
    <w:pPr>
      <w:numPr>
        <w:ilvl w:val="0"/>
        <w:numId w:val="7"/>
      </w:numPr>
      <w:adjustRightInd/>
      <w:snapToGrid w:val="0"/>
      <w:spacing w:beforeLines="100" w:afterLines="100" w:line="360" w:lineRule="auto"/>
      <w:ind w:hanging="432"/>
      <w:jc w:val="both"/>
      <w:textAlignment w:val="auto"/>
    </w:pPr>
    <w:rPr>
      <w:rFonts w:cs="宋体"/>
      <w:bCs/>
    </w:rPr>
  </w:style>
  <w:style w:type="paragraph" w:customStyle="1" w:styleId="381">
    <w:name w:val="xl10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b/>
      <w:bCs/>
      <w:kern w:val="0"/>
      <w:sz w:val="20"/>
      <w:szCs w:val="20"/>
    </w:rPr>
  </w:style>
  <w:style w:type="paragraph" w:customStyle="1" w:styleId="382">
    <w:name w:val="CM2"/>
    <w:basedOn w:val="28"/>
    <w:next w:val="28"/>
    <w:qFormat/>
    <w:uiPriority w:val="0"/>
    <w:pPr>
      <w:spacing w:line="623" w:lineRule="atLeast"/>
    </w:pPr>
    <w:rPr>
      <w:rFonts w:ascii=".a..DD.." w:eastAsia=".a..DD.."/>
      <w:color w:val="auto"/>
      <w:szCs w:val="24"/>
    </w:rPr>
  </w:style>
  <w:style w:type="paragraph" w:customStyle="1" w:styleId="383">
    <w:name w:val="xl10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微软雅黑" w:hAnsi="微软雅黑" w:eastAsia="微软雅黑" w:cs="宋体"/>
      <w:kern w:val="0"/>
      <w:sz w:val="20"/>
      <w:szCs w:val="20"/>
    </w:rPr>
  </w:style>
  <w:style w:type="paragraph" w:customStyle="1" w:styleId="384">
    <w:name w:val="正文居中"/>
    <w:basedOn w:val="1"/>
    <w:next w:val="31"/>
    <w:qFormat/>
    <w:uiPriority w:val="0"/>
    <w:pPr>
      <w:adjustRightInd w:val="0"/>
      <w:snapToGrid w:val="0"/>
      <w:ind w:firstLine="480" w:firstLineChars="200"/>
    </w:pPr>
    <w:rPr>
      <w:rFonts w:ascii="宋体" w:hAnsi="宋体"/>
      <w:sz w:val="24"/>
    </w:rPr>
  </w:style>
  <w:style w:type="paragraph" w:customStyle="1" w:styleId="385">
    <w:name w:val="xl65"/>
    <w:basedOn w:val="1"/>
    <w:qFormat/>
    <w:uiPriority w:val="0"/>
    <w:pPr>
      <w:widowControl/>
      <w:pBdr>
        <w:top w:val="single" w:color="auto" w:sz="4" w:space="0"/>
        <w:right w:val="single" w:color="auto" w:sz="8" w:space="0"/>
      </w:pBdr>
      <w:spacing w:before="100" w:beforeAutospacing="1" w:after="100" w:afterAutospacing="1"/>
      <w:jc w:val="right"/>
    </w:pPr>
    <w:rPr>
      <w:rFonts w:ascii="Arial Unicode MS" w:hAnsi="Arial Unicode MS" w:eastAsia="Times New Roman" w:cs="Arial Unicode MS"/>
      <w:b/>
      <w:bCs/>
      <w:kern w:val="0"/>
      <w:sz w:val="28"/>
      <w:szCs w:val="28"/>
    </w:rPr>
  </w:style>
  <w:style w:type="paragraph" w:customStyle="1" w:styleId="386">
    <w:name w:val="xl43"/>
    <w:basedOn w:val="1"/>
    <w:qFormat/>
    <w:uiPriority w:val="0"/>
    <w:pPr>
      <w:widowControl/>
      <w:pBdr>
        <w:top w:val="single" w:color="auto" w:sz="4" w:space="0"/>
        <w:left w:val="single" w:color="auto" w:sz="4" w:space="0"/>
        <w:right w:val="single" w:color="auto" w:sz="8" w:space="0"/>
      </w:pBdr>
      <w:spacing w:before="100" w:beforeAutospacing="1" w:after="100" w:afterAutospacing="1"/>
      <w:jc w:val="right"/>
    </w:pPr>
    <w:rPr>
      <w:rFonts w:ascii="Arial Unicode MS" w:hAnsi="Arial Unicode MS" w:eastAsia="Times New Roman" w:cs="Arial Unicode MS"/>
      <w:kern w:val="0"/>
      <w:sz w:val="28"/>
      <w:szCs w:val="28"/>
    </w:rPr>
  </w:style>
  <w:style w:type="paragraph" w:customStyle="1" w:styleId="387">
    <w:name w:val="(1)"/>
    <w:basedOn w:val="1"/>
    <w:qFormat/>
    <w:uiPriority w:val="0"/>
    <w:pPr>
      <w:tabs>
        <w:tab w:val="left" w:pos="573"/>
      </w:tabs>
      <w:adjustRightInd w:val="0"/>
      <w:snapToGrid w:val="0"/>
      <w:spacing w:before="80" w:after="100" w:line="240" w:lineRule="atLeast"/>
      <w:textAlignment w:val="baseline"/>
    </w:pPr>
    <w:rPr>
      <w:rFonts w:ascii="Arial" w:hAnsi="Arial"/>
      <w:kern w:val="44"/>
      <w:sz w:val="24"/>
    </w:rPr>
  </w:style>
  <w:style w:type="paragraph" w:customStyle="1" w:styleId="388">
    <w:name w:val="表格正文2"/>
    <w:basedOn w:val="1"/>
    <w:qFormat/>
    <w:uiPriority w:val="0"/>
    <w:pPr>
      <w:adjustRightInd w:val="0"/>
      <w:snapToGrid w:val="0"/>
      <w:spacing w:line="400" w:lineRule="atLeast"/>
      <w:jc w:val="left"/>
    </w:pPr>
    <w:rPr>
      <w:sz w:val="24"/>
      <w:szCs w:val="20"/>
    </w:rPr>
  </w:style>
  <w:style w:type="paragraph" w:customStyle="1" w:styleId="389">
    <w:name w:val="5）标书正文 首行缩进2字符"/>
    <w:basedOn w:val="1"/>
    <w:qFormat/>
    <w:uiPriority w:val="0"/>
    <w:pPr>
      <w:spacing w:line="480" w:lineRule="exact"/>
      <w:ind w:firstLine="200" w:firstLineChars="200"/>
    </w:pPr>
    <w:rPr>
      <w:rFonts w:ascii="??_GB2312" w:eastAsia="Times New Roman"/>
      <w:sz w:val="28"/>
      <w:szCs w:val="20"/>
    </w:rPr>
  </w:style>
  <w:style w:type="paragraph" w:customStyle="1" w:styleId="390">
    <w:name w:val="xl149"/>
    <w:basedOn w:val="1"/>
    <w:qFormat/>
    <w:uiPriority w:val="0"/>
    <w:pPr>
      <w:widowControl/>
      <w:spacing w:before="100" w:beforeAutospacing="1" w:after="100" w:afterAutospacing="1"/>
      <w:jc w:val="center"/>
    </w:pPr>
    <w:rPr>
      <w:rFonts w:ascii="宋体" w:hAnsi="宋体" w:cs="宋体"/>
      <w:color w:val="FF0000"/>
      <w:kern w:val="0"/>
      <w:sz w:val="20"/>
      <w:szCs w:val="20"/>
    </w:rPr>
  </w:style>
  <w:style w:type="paragraph" w:customStyle="1" w:styleId="391">
    <w:name w:val="标题2"/>
    <w:basedOn w:val="1"/>
    <w:qFormat/>
    <w:uiPriority w:val="0"/>
    <w:pPr>
      <w:spacing w:beforeLines="50" w:afterLines="50" w:line="300" w:lineRule="exact"/>
    </w:pPr>
    <w:rPr>
      <w:b/>
      <w:bCs/>
    </w:rPr>
  </w:style>
  <w:style w:type="paragraph" w:customStyle="1" w:styleId="392">
    <w:name w:val="xl80"/>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393">
    <w:name w:val="xl10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微软雅黑" w:hAnsi="微软雅黑" w:eastAsia="微软雅黑" w:cs="宋体"/>
      <w:kern w:val="0"/>
      <w:sz w:val="20"/>
      <w:szCs w:val="20"/>
    </w:rPr>
  </w:style>
  <w:style w:type="paragraph" w:customStyle="1" w:styleId="394">
    <w:name w:val="four"/>
    <w:basedOn w:val="1"/>
    <w:qFormat/>
    <w:uiPriority w:val="0"/>
    <w:pPr>
      <w:widowControl/>
      <w:spacing w:before="100" w:beforeAutospacing="1" w:after="100" w:afterAutospacing="1"/>
      <w:jc w:val="left"/>
    </w:pPr>
    <w:rPr>
      <w:rFonts w:ascii="宋体" w:hAnsi="宋体" w:cs="宋体"/>
      <w:kern w:val="0"/>
      <w:sz w:val="24"/>
    </w:rPr>
  </w:style>
  <w:style w:type="paragraph" w:customStyle="1" w:styleId="395">
    <w:name w:val="正文1级"/>
    <w:qFormat/>
    <w:uiPriority w:val="0"/>
    <w:pPr>
      <w:widowControl w:val="0"/>
      <w:tabs>
        <w:tab w:val="left" w:pos="420"/>
      </w:tabs>
      <w:spacing w:after="60" w:line="400" w:lineRule="exact"/>
      <w:ind w:left="839" w:hanging="419"/>
      <w:jc w:val="both"/>
    </w:pPr>
    <w:rPr>
      <w:rFonts w:ascii="Times New Roman" w:hAnsi="Times New Roman" w:eastAsia="宋体" w:cs="Times New Roman"/>
      <w:bCs/>
      <w:kern w:val="44"/>
      <w:sz w:val="24"/>
      <w:szCs w:val="44"/>
      <w:lang w:val="en-US" w:eastAsia="zh-CN" w:bidi="ar-SA"/>
    </w:rPr>
  </w:style>
  <w:style w:type="paragraph" w:customStyle="1" w:styleId="396">
    <w:name w:val="_Style 393"/>
    <w:basedOn w:val="3"/>
    <w:next w:val="1"/>
    <w:qFormat/>
    <w:uiPriority w:val="39"/>
    <w:pPr>
      <w:widowControl/>
      <w:adjustRightInd/>
      <w:spacing w:before="480" w:line="276" w:lineRule="auto"/>
      <w:textAlignment w:val="auto"/>
      <w:outlineLvl w:val="9"/>
    </w:pPr>
    <w:rPr>
      <w:rFonts w:ascii="Cambria" w:hAnsi="Cambria"/>
      <w:bCs/>
      <w:color w:val="365F91"/>
      <w:kern w:val="0"/>
      <w:sz w:val="28"/>
      <w:szCs w:val="28"/>
    </w:rPr>
  </w:style>
  <w:style w:type="paragraph" w:customStyle="1" w:styleId="397">
    <w:name w:val="Block"/>
    <w:basedOn w:val="1"/>
    <w:next w:val="108"/>
    <w:qFormat/>
    <w:uiPriority w:val="0"/>
    <w:pPr>
      <w:tabs>
        <w:tab w:val="left" w:pos="0"/>
      </w:tabs>
    </w:pPr>
    <w:rPr>
      <w:rFonts w:ascii="Arial" w:hAnsi="Arial" w:eastAsia="楷体_GB2312"/>
      <w:color w:val="000080"/>
      <w:sz w:val="28"/>
      <w:szCs w:val="28"/>
    </w:rPr>
  </w:style>
  <w:style w:type="paragraph" w:customStyle="1" w:styleId="398">
    <w:name w:val="xl7864"/>
    <w:basedOn w:val="1"/>
    <w:qFormat/>
    <w:uiPriority w:val="0"/>
    <w:pPr>
      <w:widowControl/>
      <w:pBdr>
        <w:top w:val="single" w:color="auto" w:sz="4" w:space="0"/>
        <w:left w:val="single" w:color="auto" w:sz="4" w:space="0"/>
        <w:bottom w:val="single" w:color="auto" w:sz="4" w:space="0"/>
        <w:right w:val="single" w:color="auto" w:sz="4" w:space="0"/>
      </w:pBdr>
      <w:shd w:val="clear" w:color="000000" w:fill="A5A5A5"/>
      <w:spacing w:before="100" w:beforeAutospacing="1" w:after="100" w:afterAutospacing="1"/>
      <w:jc w:val="center"/>
    </w:pPr>
    <w:rPr>
      <w:rFonts w:ascii="宋体" w:hAnsi="宋体" w:cs="宋体"/>
      <w:b/>
      <w:bCs/>
      <w:color w:val="000000"/>
      <w:kern w:val="0"/>
      <w:sz w:val="20"/>
      <w:szCs w:val="20"/>
    </w:rPr>
  </w:style>
  <w:style w:type="paragraph" w:customStyle="1" w:styleId="399">
    <w:name w:val="我的正文格式"/>
    <w:basedOn w:val="1"/>
    <w:next w:val="1"/>
    <w:qFormat/>
    <w:uiPriority w:val="0"/>
    <w:pPr>
      <w:snapToGrid w:val="0"/>
      <w:spacing w:line="288" w:lineRule="auto"/>
      <w:ind w:left="540" w:hanging="540" w:hangingChars="225"/>
    </w:pPr>
    <w:rPr>
      <w:sz w:val="24"/>
    </w:rPr>
  </w:style>
  <w:style w:type="paragraph" w:customStyle="1" w:styleId="400">
    <w:name w:val="注×："/>
    <w:qFormat/>
    <w:uiPriority w:val="0"/>
    <w:pPr>
      <w:widowControl w:val="0"/>
      <w:autoSpaceDE w:val="0"/>
      <w:autoSpaceDN w:val="0"/>
      <w:ind w:left="811" w:hanging="448"/>
      <w:jc w:val="both"/>
    </w:pPr>
    <w:rPr>
      <w:rFonts w:ascii="宋体" w:hAnsi="Times New Roman" w:eastAsia="宋体" w:cs="Times New Roman"/>
      <w:sz w:val="18"/>
      <w:szCs w:val="18"/>
      <w:lang w:val="en-US" w:eastAsia="zh-CN" w:bidi="ar-SA"/>
    </w:rPr>
  </w:style>
  <w:style w:type="paragraph" w:customStyle="1" w:styleId="401">
    <w:name w:val="样式 标题 2（x.x）节二级标题H2h2h212Header 2l2Level 2 HeadH2norm..."/>
    <w:basedOn w:val="4"/>
    <w:qFormat/>
    <w:uiPriority w:val="0"/>
    <w:pPr>
      <w:tabs>
        <w:tab w:val="left" w:pos="992"/>
      </w:tabs>
      <w:spacing w:before="100" w:beforeAutospacing="1" w:line="415" w:lineRule="auto"/>
      <w:ind w:left="992" w:hanging="567"/>
      <w:jc w:val="left"/>
    </w:pPr>
    <w:rPr>
      <w:rFonts w:eastAsia="楷体_GB2312" w:cs="宋体"/>
      <w:sz w:val="36"/>
    </w:rPr>
  </w:style>
  <w:style w:type="paragraph" w:customStyle="1" w:styleId="402">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Arial Unicode MS" w:hAnsi="Arial Unicode MS" w:eastAsia="Times New Roman" w:cs="Arial Unicode MS"/>
      <w:kern w:val="0"/>
      <w:sz w:val="28"/>
      <w:szCs w:val="28"/>
    </w:rPr>
  </w:style>
  <w:style w:type="paragraph" w:customStyle="1" w:styleId="403">
    <w:name w:val="英文标号正文"/>
    <w:basedOn w:val="1"/>
    <w:qFormat/>
    <w:uiPriority w:val="0"/>
    <w:pPr>
      <w:widowControl/>
      <w:tabs>
        <w:tab w:val="left" w:pos="425"/>
        <w:tab w:val="left" w:pos="1620"/>
      </w:tabs>
      <w:autoSpaceDE w:val="0"/>
      <w:autoSpaceDN w:val="0"/>
      <w:ind w:left="1620" w:leftChars="600" w:hanging="360" w:hangingChars="200"/>
    </w:pPr>
    <w:rPr>
      <w:kern w:val="0"/>
      <w:sz w:val="24"/>
      <w:szCs w:val="20"/>
    </w:rPr>
  </w:style>
  <w:style w:type="paragraph" w:customStyle="1" w:styleId="404">
    <w:name w:val="xl63"/>
    <w:basedOn w:val="1"/>
    <w:qFormat/>
    <w:uiPriority w:val="0"/>
    <w:pPr>
      <w:widowControl/>
      <w:pBdr>
        <w:top w:val="single" w:color="auto" w:sz="4" w:space="0"/>
      </w:pBdr>
      <w:spacing w:before="100" w:beforeAutospacing="1" w:after="100" w:afterAutospacing="1"/>
      <w:jc w:val="center"/>
    </w:pPr>
    <w:rPr>
      <w:rFonts w:ascii="Arial Unicode MS" w:hAnsi="Arial Unicode MS" w:eastAsia="Times New Roman" w:cs="Arial Unicode MS"/>
      <w:b/>
      <w:bCs/>
      <w:kern w:val="0"/>
      <w:sz w:val="28"/>
      <w:szCs w:val="28"/>
    </w:rPr>
  </w:style>
  <w:style w:type="paragraph" w:customStyle="1" w:styleId="405">
    <w:name w:val="样式 标题 5 + 段前: 0.5 行 段后: 0.5 行"/>
    <w:basedOn w:val="6"/>
    <w:qFormat/>
    <w:uiPriority w:val="0"/>
    <w:pPr>
      <w:tabs>
        <w:tab w:val="left" w:pos="2580"/>
      </w:tabs>
      <w:spacing w:beforeLines="50" w:afterLines="50" w:line="360" w:lineRule="auto"/>
      <w:ind w:left="2580" w:hanging="420"/>
    </w:pPr>
    <w:rPr>
      <w:rFonts w:ascii="Times New Roman" w:hAnsi="Times New Roman" w:eastAsia="黑体" w:cs="宋体"/>
      <w:b w:val="0"/>
      <w:kern w:val="0"/>
      <w:szCs w:val="20"/>
    </w:rPr>
  </w:style>
  <w:style w:type="paragraph" w:customStyle="1" w:styleId="406">
    <w:name w:val="样式 标题 3标题 3 Char Char Char Char(A-3)sect1.2.3h3H3 + 加粗 段前:..."/>
    <w:basedOn w:val="2"/>
    <w:qFormat/>
    <w:uiPriority w:val="0"/>
    <w:pPr>
      <w:keepNext w:val="0"/>
      <w:tabs>
        <w:tab w:val="left" w:pos="1080"/>
      </w:tabs>
      <w:spacing w:before="120" w:after="0" w:line="415" w:lineRule="auto"/>
    </w:pPr>
    <w:rPr>
      <w:rFonts w:eastAsia="黑体" w:cs="宋体"/>
      <w:b w:val="0"/>
      <w:bCs/>
      <w:sz w:val="24"/>
    </w:rPr>
  </w:style>
  <w:style w:type="paragraph" w:customStyle="1" w:styleId="407">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408">
    <w:name w:val="±í??¸ñÎÄ¡"/>
    <w:basedOn w:val="1"/>
    <w:qFormat/>
    <w:uiPriority w:val="0"/>
    <w:pPr>
      <w:widowControl/>
      <w:tabs>
        <w:tab w:val="decimal" w:pos="0"/>
      </w:tabs>
      <w:overflowPunct w:val="0"/>
      <w:autoSpaceDE w:val="0"/>
      <w:autoSpaceDN w:val="0"/>
      <w:adjustRightInd w:val="0"/>
      <w:textAlignment w:val="baseline"/>
    </w:pPr>
    <w:rPr>
      <w:kern w:val="0"/>
      <w:sz w:val="24"/>
      <w:szCs w:val="20"/>
    </w:rPr>
  </w:style>
  <w:style w:type="paragraph" w:customStyle="1" w:styleId="409">
    <w:name w:val="xl8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top"/>
    </w:pPr>
    <w:rPr>
      <w:rFonts w:ascii="宋体" w:hAnsi="宋体" w:cs="宋体"/>
      <w:kern w:val="0"/>
      <w:sz w:val="24"/>
    </w:rPr>
  </w:style>
  <w:style w:type="paragraph" w:customStyle="1" w:styleId="410">
    <w:name w:val="xl92"/>
    <w:basedOn w:val="1"/>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kern w:val="0"/>
      <w:sz w:val="24"/>
    </w:rPr>
  </w:style>
  <w:style w:type="paragraph" w:customStyle="1" w:styleId="411">
    <w:name w:val="Paragraphe 3"/>
    <w:qFormat/>
    <w:uiPriority w:val="0"/>
    <w:pPr>
      <w:keepLines/>
      <w:overflowPunct w:val="0"/>
      <w:autoSpaceDE w:val="0"/>
      <w:autoSpaceDN w:val="0"/>
      <w:adjustRightInd w:val="0"/>
      <w:spacing w:before="141"/>
      <w:ind w:left="980"/>
    </w:pPr>
    <w:rPr>
      <w:rFonts w:ascii="Tms Rmn" w:hAnsi="Tms Rmn" w:eastAsia="宋体" w:cs="Times New Roman"/>
      <w:b/>
      <w:color w:val="000000"/>
      <w:sz w:val="24"/>
      <w:u w:val="single"/>
      <w:lang w:val="en-US" w:eastAsia="en-US" w:bidi="ar-SA"/>
    </w:rPr>
  </w:style>
  <w:style w:type="paragraph" w:customStyle="1" w:styleId="412">
    <w:name w:val="标题3"/>
    <w:basedOn w:val="1"/>
    <w:qFormat/>
    <w:uiPriority w:val="0"/>
    <w:pPr>
      <w:spacing w:beforeLines="50" w:afterLines="50" w:line="300" w:lineRule="exact"/>
    </w:pPr>
    <w:rPr>
      <w:b/>
      <w:bCs/>
    </w:rPr>
  </w:style>
  <w:style w:type="paragraph" w:customStyle="1" w:styleId="413">
    <w:name w:val="Table Paragraph"/>
    <w:basedOn w:val="1"/>
    <w:qFormat/>
    <w:uiPriority w:val="1"/>
    <w:pPr>
      <w:jc w:val="left"/>
    </w:pPr>
    <w:rPr>
      <w:kern w:val="0"/>
      <w:sz w:val="22"/>
      <w:lang w:eastAsia="en-US"/>
    </w:rPr>
  </w:style>
  <w:style w:type="paragraph" w:customStyle="1" w:styleId="414">
    <w:name w:val="xl58"/>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eastAsia="Times New Roman"/>
      <w:kern w:val="0"/>
      <w:sz w:val="28"/>
      <w:szCs w:val="28"/>
    </w:rPr>
  </w:style>
  <w:style w:type="paragraph" w:customStyle="1" w:styleId="415">
    <w:name w:val="Normal2"/>
    <w:qFormat/>
    <w:uiPriority w:val="0"/>
    <w:rPr>
      <w:rFonts w:ascii="Times New Roman" w:hAnsi="Times New Roman" w:eastAsia="宋体" w:cs="Times New Roman"/>
      <w:sz w:val="24"/>
      <w:szCs w:val="24"/>
      <w:lang w:val="en-US" w:eastAsia="zh-CN" w:bidi="ar-SA"/>
    </w:rPr>
  </w:style>
  <w:style w:type="paragraph" w:customStyle="1" w:styleId="416">
    <w:name w:val="font16"/>
    <w:basedOn w:val="1"/>
    <w:qFormat/>
    <w:uiPriority w:val="0"/>
    <w:pPr>
      <w:widowControl/>
      <w:spacing w:before="100" w:beforeAutospacing="1" w:after="100" w:afterAutospacing="1"/>
      <w:jc w:val="left"/>
    </w:pPr>
    <w:rPr>
      <w:rFonts w:ascii="宋体" w:hAnsi="宋体" w:cs="宋体"/>
      <w:b/>
      <w:bCs/>
      <w:kern w:val="0"/>
      <w:sz w:val="20"/>
      <w:szCs w:val="20"/>
    </w:rPr>
  </w:style>
  <w:style w:type="paragraph" w:customStyle="1" w:styleId="417">
    <w:name w:val="小四 段落 宋体 Char Char"/>
    <w:basedOn w:val="418"/>
    <w:qFormat/>
    <w:uiPriority w:val="0"/>
    <w:pPr>
      <w:tabs>
        <w:tab w:val="left" w:pos="360"/>
        <w:tab w:val="left" w:pos="840"/>
      </w:tabs>
    </w:pPr>
  </w:style>
  <w:style w:type="paragraph" w:customStyle="1" w:styleId="418">
    <w:name w:val="小四 段落 宋体 Char Char Char"/>
    <w:basedOn w:val="15"/>
    <w:qFormat/>
    <w:uiPriority w:val="0"/>
    <w:pPr>
      <w:numPr>
        <w:ilvl w:val="0"/>
        <w:numId w:val="0"/>
      </w:numPr>
      <w:spacing w:line="360" w:lineRule="auto"/>
      <w:ind w:right="-33" w:firstLine="480" w:firstLineChars="200"/>
      <w:jc w:val="left"/>
    </w:pPr>
    <w:rPr>
      <w:rFonts w:ascii="Times New Roman" w:hAnsi="Times New Roman"/>
      <w:sz w:val="24"/>
      <w:szCs w:val="20"/>
    </w:rPr>
  </w:style>
  <w:style w:type="paragraph" w:customStyle="1" w:styleId="419">
    <w:name w:val="表2"/>
    <w:basedOn w:val="420"/>
    <w:qFormat/>
    <w:uiPriority w:val="0"/>
    <w:pPr>
      <w:numPr>
        <w:ilvl w:val="0"/>
        <w:numId w:val="8"/>
      </w:numPr>
    </w:pPr>
  </w:style>
  <w:style w:type="paragraph" w:customStyle="1" w:styleId="420">
    <w:name w:val="表1"/>
    <w:basedOn w:val="421"/>
    <w:qFormat/>
    <w:uiPriority w:val="0"/>
  </w:style>
  <w:style w:type="paragraph" w:customStyle="1" w:styleId="421">
    <w:name w:val="表格样式"/>
    <w:basedOn w:val="1"/>
    <w:qFormat/>
    <w:uiPriority w:val="0"/>
    <w:pPr>
      <w:spacing w:before="156" w:after="156"/>
      <w:jc w:val="center"/>
    </w:pPr>
    <w:rPr>
      <w:rFonts w:ascii="宋体" w:hAnsi="宋体" w:cs="宋体"/>
      <w:b/>
      <w:bCs/>
      <w:kern w:val="0"/>
      <w:szCs w:val="20"/>
    </w:rPr>
  </w:style>
  <w:style w:type="paragraph" w:customStyle="1" w:styleId="422">
    <w:name w:val="xl10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b/>
      <w:bCs/>
      <w:kern w:val="0"/>
      <w:sz w:val="20"/>
      <w:szCs w:val="20"/>
    </w:rPr>
  </w:style>
  <w:style w:type="paragraph" w:customStyle="1" w:styleId="423">
    <w:name w:val="正文_1_1"/>
    <w:qFormat/>
    <w:uiPriority w:val="0"/>
    <w:pPr>
      <w:widowControl w:val="0"/>
      <w:jc w:val="both"/>
    </w:pPr>
    <w:rPr>
      <w:rFonts w:ascii="Times New Roman" w:hAnsi="Times New Roman" w:eastAsia="仿宋_GB2312" w:cs="Times New Roman"/>
      <w:kern w:val="2"/>
      <w:sz w:val="28"/>
      <w:szCs w:val="24"/>
      <w:lang w:val="en-US" w:eastAsia="zh-CN" w:bidi="ar-SA"/>
    </w:rPr>
  </w:style>
  <w:style w:type="paragraph" w:customStyle="1" w:styleId="424">
    <w:name w:val="xl35"/>
    <w:basedOn w:val="1"/>
    <w:qFormat/>
    <w:uiPriority w:val="0"/>
    <w:pPr>
      <w:widowControl/>
      <w:pBdr>
        <w:top w:val="single" w:color="auto" w:sz="4" w:space="0"/>
        <w:bottom w:val="single" w:color="auto" w:sz="8" w:space="0"/>
      </w:pBdr>
      <w:spacing w:before="100" w:beforeAutospacing="1" w:after="100" w:afterAutospacing="1"/>
      <w:jc w:val="center"/>
    </w:pPr>
    <w:rPr>
      <w:rFonts w:ascii="Arial Unicode MS" w:hAnsi="Arial Unicode MS" w:eastAsia="Times New Roman" w:cs="Arial Unicode MS"/>
      <w:kern w:val="0"/>
      <w:sz w:val="28"/>
      <w:szCs w:val="28"/>
    </w:rPr>
  </w:style>
  <w:style w:type="paragraph" w:customStyle="1" w:styleId="425">
    <w:name w:val="xl110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微软雅黑" w:hAnsi="微软雅黑" w:eastAsia="微软雅黑" w:cs="宋体"/>
      <w:b/>
      <w:bCs/>
      <w:kern w:val="0"/>
      <w:sz w:val="20"/>
      <w:szCs w:val="20"/>
    </w:rPr>
  </w:style>
  <w:style w:type="paragraph" w:customStyle="1" w:styleId="426">
    <w:name w:val="xl76"/>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427">
    <w:name w:val="yd正文"/>
    <w:basedOn w:val="1"/>
    <w:qFormat/>
    <w:uiPriority w:val="0"/>
    <w:pPr>
      <w:widowControl/>
      <w:spacing w:line="360" w:lineRule="auto"/>
      <w:ind w:firstLine="482"/>
    </w:pPr>
    <w:rPr>
      <w:rFonts w:ascii="宋体" w:hAnsi="Arial Unicode MS"/>
      <w:bCs/>
      <w:kern w:val="0"/>
      <w:sz w:val="24"/>
    </w:rPr>
  </w:style>
  <w:style w:type="paragraph" w:customStyle="1" w:styleId="428">
    <w:name w:val="样式 标题 2 + 段前: 0.5 行 段后: 0.5 行"/>
    <w:basedOn w:val="4"/>
    <w:qFormat/>
    <w:uiPriority w:val="0"/>
    <w:pPr>
      <w:tabs>
        <w:tab w:val="left" w:pos="1320"/>
      </w:tabs>
      <w:spacing w:beforeLines="50" w:afterLines="50" w:line="360" w:lineRule="auto"/>
      <w:jc w:val="left"/>
    </w:pPr>
    <w:rPr>
      <w:rFonts w:cs="宋体"/>
    </w:rPr>
  </w:style>
  <w:style w:type="paragraph" w:customStyle="1" w:styleId="429">
    <w:name w:val="xl7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430">
    <w:name w:val="xl109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微软雅黑" w:hAnsi="微软雅黑" w:eastAsia="微软雅黑" w:cs="宋体"/>
      <w:b/>
      <w:bCs/>
      <w:kern w:val="0"/>
      <w:sz w:val="20"/>
      <w:szCs w:val="20"/>
    </w:rPr>
  </w:style>
  <w:style w:type="paragraph" w:customStyle="1" w:styleId="431">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Times New Roman" w:cs="Arial Unicode MS"/>
      <w:kern w:val="0"/>
      <w:sz w:val="20"/>
      <w:szCs w:val="20"/>
    </w:rPr>
  </w:style>
  <w:style w:type="paragraph" w:customStyle="1" w:styleId="432">
    <w:name w:val="样式 标题 4 + 段前: 0.5 行 段后: 0.5 行 行距: 多倍行距 1.57 字行"/>
    <w:basedOn w:val="5"/>
    <w:qFormat/>
    <w:uiPriority w:val="0"/>
    <w:pPr>
      <w:tabs>
        <w:tab w:val="left" w:pos="2160"/>
      </w:tabs>
      <w:spacing w:beforeLines="50" w:afterLines="50" w:line="374" w:lineRule="auto"/>
      <w:ind w:left="2160" w:hanging="420"/>
    </w:pPr>
    <w:rPr>
      <w:rFonts w:ascii="Arial" w:hAnsi="Arial" w:eastAsia="黑体" w:cs="宋体"/>
      <w:b w:val="0"/>
      <w:kern w:val="0"/>
      <w:sz w:val="30"/>
      <w:szCs w:val="30"/>
    </w:rPr>
  </w:style>
  <w:style w:type="paragraph" w:customStyle="1" w:styleId="433">
    <w:name w:val="xl115"/>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top"/>
    </w:pPr>
    <w:rPr>
      <w:rFonts w:ascii="MingLiU" w:hAnsi="MingLiU" w:eastAsia="MingLiU" w:cs="宋体"/>
      <w:kern w:val="0"/>
      <w:sz w:val="24"/>
    </w:rPr>
  </w:style>
  <w:style w:type="paragraph" w:customStyle="1" w:styleId="434">
    <w:name w:val="xl1075"/>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微软雅黑" w:hAnsi="微软雅黑" w:eastAsia="微软雅黑" w:cs="宋体"/>
      <w:kern w:val="0"/>
      <w:sz w:val="20"/>
      <w:szCs w:val="20"/>
    </w:rPr>
  </w:style>
  <w:style w:type="paragraph" w:customStyle="1" w:styleId="435">
    <w:name w:val="xl1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36">
    <w:name w:val="xl1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437">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4"/>
    </w:rPr>
  </w:style>
  <w:style w:type="paragraph" w:customStyle="1" w:styleId="438">
    <w:name w:val="size12"/>
    <w:basedOn w:val="1"/>
    <w:qFormat/>
    <w:uiPriority w:val="0"/>
    <w:pPr>
      <w:widowControl/>
      <w:spacing w:before="100" w:beforeAutospacing="1" w:after="100" w:afterAutospacing="1" w:line="360" w:lineRule="auto"/>
      <w:jc w:val="left"/>
    </w:pPr>
    <w:rPr>
      <w:color w:val="000000"/>
      <w:kern w:val="0"/>
      <w:sz w:val="20"/>
      <w:szCs w:val="20"/>
    </w:rPr>
  </w:style>
  <w:style w:type="paragraph" w:customStyle="1" w:styleId="439">
    <w:name w:val="默认段落字体 Para Char"/>
    <w:basedOn w:val="1"/>
    <w:qFormat/>
    <w:uiPriority w:val="0"/>
  </w:style>
  <w:style w:type="paragraph" w:customStyle="1" w:styleId="440">
    <w:name w:val="五级条标题"/>
    <w:basedOn w:val="304"/>
    <w:next w:val="1"/>
    <w:qFormat/>
    <w:uiPriority w:val="0"/>
    <w:pPr>
      <w:outlineLvl w:val="6"/>
    </w:pPr>
  </w:style>
  <w:style w:type="paragraph" w:customStyle="1" w:styleId="441">
    <w:name w:val="TOC 标题1"/>
    <w:basedOn w:val="3"/>
    <w:next w:val="1"/>
    <w:qFormat/>
    <w:uiPriority w:val="0"/>
    <w:pPr>
      <w:widowControl/>
      <w:spacing w:before="240" w:line="259" w:lineRule="auto"/>
      <w:outlineLvl w:val="9"/>
    </w:pPr>
    <w:rPr>
      <w:rFonts w:ascii="Cambria" w:hAnsi="Cambria"/>
      <w:b w:val="0"/>
      <w:color w:val="366091"/>
      <w:kern w:val="0"/>
      <w:szCs w:val="32"/>
    </w:rPr>
  </w:style>
  <w:style w:type="paragraph" w:customStyle="1" w:styleId="442">
    <w:name w:val="xl101"/>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443">
    <w:name w:val="xl49"/>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Times New Roman" w:cs="Arial Unicode MS"/>
      <w:kern w:val="0"/>
      <w:sz w:val="28"/>
      <w:szCs w:val="28"/>
    </w:rPr>
  </w:style>
  <w:style w:type="paragraph" w:customStyle="1" w:styleId="444">
    <w:name w:val="xl97"/>
    <w:basedOn w:val="1"/>
    <w:qFormat/>
    <w:uiPriority w:val="0"/>
    <w:pPr>
      <w:widowControl/>
      <w:pBdr>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4"/>
    </w:rPr>
  </w:style>
  <w:style w:type="paragraph" w:customStyle="1" w:styleId="445">
    <w:name w:val="Document Map1"/>
    <w:basedOn w:val="1"/>
    <w:qFormat/>
    <w:uiPriority w:val="0"/>
    <w:pPr>
      <w:shd w:val="clear" w:color="auto" w:fill="000080"/>
      <w:autoSpaceDE w:val="0"/>
      <w:autoSpaceDN w:val="0"/>
      <w:adjustRightInd w:val="0"/>
      <w:spacing w:line="312" w:lineRule="atLeast"/>
      <w:textAlignment w:val="baseline"/>
    </w:pPr>
    <w:rPr>
      <w:rFonts w:ascii="宋体" w:hAnsi="Tms Rmn"/>
      <w:kern w:val="0"/>
      <w:szCs w:val="20"/>
    </w:rPr>
  </w:style>
  <w:style w:type="paragraph" w:customStyle="1" w:styleId="446">
    <w:name w:val="xl86"/>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447">
    <w:name w:val="Char Char Char Char Char Char Char1"/>
    <w:basedOn w:val="1"/>
    <w:qFormat/>
    <w:uiPriority w:val="0"/>
  </w:style>
  <w:style w:type="paragraph" w:customStyle="1" w:styleId="448">
    <w:name w:val="xl11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top"/>
    </w:pPr>
    <w:rPr>
      <w:rFonts w:ascii="MingLiU" w:hAnsi="MingLiU" w:eastAsia="MingLiU" w:cs="宋体"/>
      <w:kern w:val="0"/>
      <w:sz w:val="24"/>
    </w:rPr>
  </w:style>
  <w:style w:type="paragraph" w:customStyle="1" w:styleId="449">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450">
    <w:name w:val="xl156"/>
    <w:basedOn w:val="1"/>
    <w:qFormat/>
    <w:uiPriority w:val="0"/>
    <w:pPr>
      <w:widowControl/>
      <w:spacing w:before="100" w:beforeAutospacing="1" w:after="100" w:afterAutospacing="1"/>
      <w:jc w:val="center"/>
    </w:pPr>
    <w:rPr>
      <w:rFonts w:ascii="宋体" w:hAnsi="宋体" w:cs="宋体"/>
      <w:color w:val="FF0000"/>
      <w:kern w:val="0"/>
      <w:sz w:val="20"/>
      <w:szCs w:val="20"/>
    </w:rPr>
  </w:style>
  <w:style w:type="paragraph" w:customStyle="1" w:styleId="451">
    <w:name w:val="Char Char1 Char Char Char Char Char Char"/>
    <w:basedOn w:val="1"/>
    <w:qFormat/>
    <w:uiPriority w:val="0"/>
    <w:pPr>
      <w:widowControl/>
      <w:spacing w:after="160" w:line="240" w:lineRule="exact"/>
      <w:jc w:val="left"/>
    </w:pPr>
    <w:rPr>
      <w:rFonts w:ascii="Verdana" w:hAnsi="Verdana" w:eastAsia="Times New Roman"/>
      <w:kern w:val="0"/>
      <w:sz w:val="24"/>
      <w:szCs w:val="20"/>
      <w:lang w:eastAsia="en-US"/>
    </w:rPr>
  </w:style>
  <w:style w:type="paragraph" w:customStyle="1" w:styleId="452">
    <w:name w:val="文档结构图1"/>
    <w:basedOn w:val="1"/>
    <w:qFormat/>
    <w:uiPriority w:val="0"/>
    <w:pPr>
      <w:shd w:val="clear" w:color="auto" w:fill="000080"/>
      <w:autoSpaceDE w:val="0"/>
      <w:autoSpaceDN w:val="0"/>
      <w:adjustRightInd w:val="0"/>
      <w:spacing w:line="312" w:lineRule="atLeast"/>
      <w:textAlignment w:val="baseline"/>
    </w:pPr>
    <w:rPr>
      <w:rFonts w:ascii="宋体" w:hAnsi="Tms Rmn"/>
      <w:kern w:val="0"/>
      <w:szCs w:val="20"/>
    </w:rPr>
  </w:style>
  <w:style w:type="paragraph" w:customStyle="1" w:styleId="453">
    <w:name w:val="xl10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微软雅黑" w:hAnsi="微软雅黑" w:eastAsia="微软雅黑" w:cs="宋体"/>
      <w:b/>
      <w:bCs/>
      <w:kern w:val="0"/>
      <w:sz w:val="20"/>
      <w:szCs w:val="20"/>
    </w:rPr>
  </w:style>
  <w:style w:type="paragraph" w:customStyle="1" w:styleId="454">
    <w:name w:val="font14"/>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455">
    <w:name w:val="xl1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456">
    <w:name w:val="项目编号1级"/>
    <w:basedOn w:val="457"/>
    <w:qFormat/>
    <w:uiPriority w:val="0"/>
    <w:pPr>
      <w:tabs>
        <w:tab w:val="left" w:pos="840"/>
      </w:tabs>
      <w:ind w:left="840" w:hanging="420" w:firstLineChars="0"/>
    </w:pPr>
  </w:style>
  <w:style w:type="paragraph" w:customStyle="1" w:styleId="457">
    <w:name w:val="正文缩进2"/>
    <w:basedOn w:val="1"/>
    <w:qFormat/>
    <w:uiPriority w:val="0"/>
    <w:pPr>
      <w:spacing w:line="360" w:lineRule="auto"/>
      <w:ind w:firstLine="200" w:firstLineChars="200"/>
    </w:pPr>
  </w:style>
  <w:style w:type="paragraph" w:customStyle="1" w:styleId="458">
    <w:name w:val="正文_4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459">
    <w:name w:val="xl127"/>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460">
    <w:name w:val="xl106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微软雅黑" w:hAnsi="微软雅黑" w:eastAsia="微软雅黑" w:cs="宋体"/>
      <w:kern w:val="0"/>
      <w:sz w:val="20"/>
      <w:szCs w:val="20"/>
    </w:rPr>
  </w:style>
  <w:style w:type="paragraph" w:customStyle="1" w:styleId="461">
    <w:name w:val="书目11"/>
    <w:basedOn w:val="1"/>
    <w:next w:val="1"/>
    <w:qFormat/>
    <w:uiPriority w:val="0"/>
    <w:pPr>
      <w:spacing w:line="360" w:lineRule="auto"/>
      <w:ind w:firstLine="200" w:firstLineChars="200"/>
      <w:jc w:val="left"/>
    </w:pPr>
    <w:rPr>
      <w:sz w:val="24"/>
    </w:rPr>
  </w:style>
  <w:style w:type="paragraph" w:customStyle="1" w:styleId="462">
    <w:name w:val="Char21"/>
    <w:basedOn w:val="1"/>
    <w:qFormat/>
    <w:uiPriority w:val="0"/>
  </w:style>
  <w:style w:type="paragraph" w:customStyle="1" w:styleId="463">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Times New Roman" w:cs="Arial Unicode MS"/>
      <w:kern w:val="0"/>
      <w:sz w:val="28"/>
      <w:szCs w:val="28"/>
    </w:rPr>
  </w:style>
  <w:style w:type="paragraph" w:customStyle="1" w:styleId="464">
    <w:name w:val="xl38"/>
    <w:basedOn w:val="1"/>
    <w:qFormat/>
    <w:uiPriority w:val="0"/>
    <w:pPr>
      <w:widowControl/>
      <w:pBdr>
        <w:top w:val="single" w:color="auto" w:sz="4" w:space="0"/>
        <w:bottom w:val="single" w:color="auto" w:sz="8" w:space="0"/>
        <w:right w:val="single" w:color="auto" w:sz="4" w:space="0"/>
      </w:pBdr>
      <w:spacing w:before="100" w:beforeAutospacing="1" w:after="100" w:afterAutospacing="1"/>
      <w:jc w:val="center"/>
    </w:pPr>
    <w:rPr>
      <w:rFonts w:ascii="Arial Unicode MS" w:hAnsi="Arial Unicode MS" w:eastAsia="Times New Roman" w:cs="Arial Unicode MS"/>
      <w:kern w:val="0"/>
      <w:sz w:val="28"/>
      <w:szCs w:val="28"/>
    </w:rPr>
  </w:style>
  <w:style w:type="paragraph" w:customStyle="1" w:styleId="465">
    <w:name w:val="样式 样式 标题 2 + 段前: 0.5 行 段后: 0.5 行 + 段前: 0.5 行 段后: 0.5 行"/>
    <w:basedOn w:val="428"/>
    <w:qFormat/>
    <w:uiPriority w:val="0"/>
    <w:pPr>
      <w:spacing w:beforeLines="0" w:beforeAutospacing="1" w:afterLines="0" w:afterAutospacing="1"/>
      <w:ind w:left="576" w:hanging="576"/>
    </w:pPr>
    <w:rPr>
      <w:bCs/>
    </w:rPr>
  </w:style>
  <w:style w:type="paragraph" w:customStyle="1" w:styleId="466">
    <w:name w:val="样式 标题 3H3h3h31第二层条3Bold Headbh章标题1小标题level_3PIM 3Lev...2"/>
    <w:basedOn w:val="2"/>
    <w:qFormat/>
    <w:uiPriority w:val="0"/>
    <w:pPr>
      <w:tabs>
        <w:tab w:val="left" w:pos="1740"/>
      </w:tabs>
      <w:spacing w:beforeLines="50" w:afterLines="50" w:line="540" w:lineRule="auto"/>
      <w:ind w:left="1740" w:leftChars="0" w:hanging="420"/>
    </w:pPr>
    <w:rPr>
      <w:rFonts w:ascii="宋体" w:hAnsi="宋体" w:eastAsia="黑体" w:cs="宋体"/>
      <w:b w:val="0"/>
      <w:bCs/>
      <w:kern w:val="0"/>
      <w:sz w:val="32"/>
    </w:rPr>
  </w:style>
  <w:style w:type="paragraph" w:customStyle="1" w:styleId="467">
    <w:name w:val="xl10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b/>
      <w:bCs/>
      <w:kern w:val="0"/>
      <w:sz w:val="20"/>
      <w:szCs w:val="20"/>
    </w:rPr>
  </w:style>
  <w:style w:type="paragraph" w:customStyle="1" w:styleId="468">
    <w:name w:val="默认段落字体 Para Char Char Char Char Char Char Char Char Char Char Char Char Char"/>
    <w:basedOn w:val="20"/>
    <w:qFormat/>
    <w:uiPriority w:val="0"/>
    <w:pPr>
      <w:adjustRightInd w:val="0"/>
      <w:spacing w:line="436" w:lineRule="exact"/>
      <w:ind w:left="357"/>
      <w:jc w:val="left"/>
      <w:outlineLvl w:val="3"/>
    </w:pPr>
    <w:rPr>
      <w:rFonts w:ascii="宋体" w:hAnsi="宋体"/>
      <w:kern w:val="0"/>
      <w:szCs w:val="21"/>
    </w:rPr>
  </w:style>
  <w:style w:type="paragraph" w:customStyle="1" w:styleId="469">
    <w:name w:val="正文_4_0_0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470">
    <w:name w:val="Normal_6"/>
    <w:qFormat/>
    <w:uiPriority w:val="0"/>
    <w:rPr>
      <w:rFonts w:ascii="黑体" w:hAnsi="黑体" w:eastAsia="黑体" w:cs="Times New Roman"/>
      <w:b/>
      <w:sz w:val="32"/>
      <w:szCs w:val="24"/>
      <w:lang w:val="en-US" w:eastAsia="zh-CN" w:bidi="ar-SA"/>
    </w:rPr>
  </w:style>
  <w:style w:type="paragraph" w:customStyle="1" w:styleId="471">
    <w:name w:val="正文1"/>
    <w:qFormat/>
    <w:uiPriority w:val="0"/>
    <w:pPr>
      <w:widowControl w:val="0"/>
      <w:jc w:val="both"/>
    </w:pPr>
    <w:rPr>
      <w:rFonts w:ascii="Calibri" w:hAnsi="Calibri" w:eastAsia="宋体" w:cs="Times New Roman"/>
      <w:lang w:val="en-US" w:eastAsia="zh-CN" w:bidi="ar-SA"/>
    </w:rPr>
  </w:style>
  <w:style w:type="paragraph" w:customStyle="1" w:styleId="472">
    <w:name w:val="复选框1"/>
    <w:basedOn w:val="1"/>
    <w:qFormat/>
    <w:uiPriority w:val="0"/>
    <w:pPr>
      <w:widowControl/>
      <w:spacing w:before="360" w:after="360"/>
      <w:jc w:val="left"/>
    </w:pPr>
    <w:rPr>
      <w:kern w:val="0"/>
      <w:sz w:val="20"/>
      <w:szCs w:val="20"/>
    </w:rPr>
  </w:style>
  <w:style w:type="paragraph" w:customStyle="1" w:styleId="473">
    <w:name w:val="目录"/>
    <w:basedOn w:val="1"/>
    <w:qFormat/>
    <w:uiPriority w:val="0"/>
    <w:pPr>
      <w:widowControl/>
      <w:jc w:val="center"/>
    </w:pPr>
    <w:rPr>
      <w:rFonts w:ascii="宋体"/>
      <w:b/>
      <w:kern w:val="0"/>
      <w:sz w:val="36"/>
      <w:szCs w:val="20"/>
    </w:rPr>
  </w:style>
  <w:style w:type="paragraph" w:customStyle="1" w:styleId="474">
    <w:name w:val="表格标题3"/>
    <w:basedOn w:val="475"/>
    <w:qFormat/>
    <w:uiPriority w:val="0"/>
    <w:pPr>
      <w:tabs>
        <w:tab w:val="left" w:pos="570"/>
        <w:tab w:val="left" w:pos="720"/>
        <w:tab w:val="left" w:pos="1620"/>
      </w:tabs>
      <w:ind w:left="570" w:hanging="570"/>
    </w:pPr>
  </w:style>
  <w:style w:type="paragraph" w:customStyle="1" w:styleId="475">
    <w:name w:val="表格标题2"/>
    <w:basedOn w:val="1"/>
    <w:qFormat/>
    <w:uiPriority w:val="0"/>
    <w:pPr>
      <w:tabs>
        <w:tab w:val="left" w:pos="1620"/>
      </w:tabs>
      <w:adjustRightInd w:val="0"/>
      <w:spacing w:before="60" w:after="60"/>
      <w:ind w:left="1620" w:leftChars="600" w:hanging="360" w:hangingChars="200"/>
      <w:textAlignment w:val="bottom"/>
    </w:pPr>
    <w:rPr>
      <w:kern w:val="0"/>
      <w:szCs w:val="21"/>
    </w:rPr>
  </w:style>
  <w:style w:type="paragraph" w:customStyle="1" w:styleId="476">
    <w:name w:val="样式 标题 3H3h3h31第二层条3Bold Headbh章标题1小标题level_3PIM 3Lev..."/>
    <w:basedOn w:val="2"/>
    <w:qFormat/>
    <w:uiPriority w:val="0"/>
    <w:pPr>
      <w:tabs>
        <w:tab w:val="left" w:pos="1931"/>
      </w:tabs>
      <w:spacing w:before="156" w:after="156"/>
      <w:ind w:left="1418" w:leftChars="0" w:hanging="567"/>
    </w:pPr>
    <w:rPr>
      <w:rFonts w:eastAsia="楷体_GB2312" w:cs="宋体"/>
      <w:bCs/>
      <w:kern w:val="0"/>
      <w:sz w:val="44"/>
    </w:rPr>
  </w:style>
  <w:style w:type="paragraph" w:customStyle="1" w:styleId="477">
    <w:name w:val="_Style 385"/>
    <w:next w:val="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78">
    <w:name w:val="文档控制号等"/>
    <w:basedOn w:val="1"/>
    <w:qFormat/>
    <w:uiPriority w:val="0"/>
    <w:pPr>
      <w:spacing w:line="360" w:lineRule="auto"/>
      <w:jc w:val="left"/>
    </w:pPr>
  </w:style>
  <w:style w:type="paragraph" w:customStyle="1" w:styleId="479">
    <w:name w:val="标准小四"/>
    <w:basedOn w:val="1"/>
    <w:qFormat/>
    <w:uiPriority w:val="0"/>
    <w:pPr>
      <w:spacing w:line="360" w:lineRule="auto"/>
      <w:ind w:firstLine="480" w:firstLineChars="200"/>
    </w:pPr>
    <w:rPr>
      <w:rFonts w:ascii="Arial" w:hAnsi="Arial"/>
      <w:sz w:val="24"/>
      <w:szCs w:val="21"/>
    </w:rPr>
  </w:style>
  <w:style w:type="paragraph" w:customStyle="1" w:styleId="480">
    <w:name w:val="xl13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481">
    <w:name w:val="默认段落字体 Para Char Char Char Char Char Char Char"/>
    <w:basedOn w:val="1"/>
    <w:qFormat/>
    <w:uiPriority w:val="0"/>
    <w:pPr>
      <w:jc w:val="left"/>
    </w:pPr>
    <w:rPr>
      <w:rFonts w:ascii="Tahoma" w:hAnsi="Tahoma"/>
      <w:sz w:val="24"/>
      <w:szCs w:val="20"/>
    </w:rPr>
  </w:style>
  <w:style w:type="paragraph" w:customStyle="1" w:styleId="482">
    <w:name w:val="xl10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微软雅黑" w:hAnsi="微软雅黑" w:eastAsia="微软雅黑" w:cs="宋体"/>
      <w:kern w:val="0"/>
      <w:sz w:val="20"/>
      <w:szCs w:val="20"/>
    </w:rPr>
  </w:style>
  <w:style w:type="paragraph" w:customStyle="1" w:styleId="483">
    <w:name w:val="表格"/>
    <w:basedOn w:val="1"/>
    <w:qFormat/>
    <w:uiPriority w:val="0"/>
    <w:pPr>
      <w:adjustRightInd w:val="0"/>
      <w:spacing w:before="60" w:after="60"/>
      <w:jc w:val="center"/>
      <w:textAlignment w:val="baseline"/>
    </w:pPr>
    <w:rPr>
      <w:rFonts w:ascii="宋体"/>
      <w:kern w:val="0"/>
      <w:sz w:val="24"/>
      <w:szCs w:val="20"/>
    </w:rPr>
  </w:style>
  <w:style w:type="paragraph" w:customStyle="1" w:styleId="484">
    <w:name w:val="样式 标题 1 + 段前: 0.5 行 段后: 0.5 行"/>
    <w:basedOn w:val="3"/>
    <w:qFormat/>
    <w:uiPriority w:val="0"/>
    <w:pPr>
      <w:pageBreakBefore/>
      <w:tabs>
        <w:tab w:val="left" w:pos="840"/>
      </w:tabs>
      <w:adjustRightInd/>
      <w:spacing w:beforeLines="50" w:afterLines="50" w:line="480" w:lineRule="auto"/>
      <w:ind w:left="840" w:hanging="360"/>
      <w:textAlignment w:val="auto"/>
    </w:pPr>
    <w:rPr>
      <w:rFonts w:eastAsia="黑体" w:cs="宋体"/>
      <w:b w:val="0"/>
      <w:bCs/>
      <w:sz w:val="44"/>
    </w:rPr>
  </w:style>
  <w:style w:type="paragraph" w:customStyle="1" w:styleId="485">
    <w:name w:val="样式 首行缩进: 0.85 厘米 段前: 2.5 磅 段后: 6 磅 行距: 1.5 倍行距"/>
    <w:basedOn w:val="1"/>
    <w:qFormat/>
    <w:uiPriority w:val="0"/>
    <w:pPr>
      <w:spacing w:before="50" w:after="120" w:line="360" w:lineRule="auto"/>
      <w:ind w:firstLine="480"/>
    </w:pPr>
    <w:rPr>
      <w:sz w:val="24"/>
    </w:rPr>
  </w:style>
  <w:style w:type="paragraph" w:customStyle="1" w:styleId="486">
    <w:name w:val="Char Char Char1 Char"/>
    <w:basedOn w:val="20"/>
    <w:qFormat/>
    <w:uiPriority w:val="0"/>
    <w:pPr>
      <w:adjustRightInd w:val="0"/>
      <w:spacing w:line="436" w:lineRule="exact"/>
      <w:ind w:left="357"/>
      <w:jc w:val="left"/>
      <w:outlineLvl w:val="3"/>
    </w:pPr>
    <w:rPr>
      <w:kern w:val="0"/>
      <w:sz w:val="20"/>
      <w:szCs w:val="20"/>
    </w:rPr>
  </w:style>
  <w:style w:type="paragraph" w:customStyle="1" w:styleId="487">
    <w:name w:val="Normal1"/>
    <w:next w:val="1"/>
    <w:qFormat/>
    <w:uiPriority w:val="0"/>
    <w:pPr>
      <w:overflowPunct w:val="0"/>
      <w:autoSpaceDE w:val="0"/>
      <w:autoSpaceDN w:val="0"/>
      <w:adjustRightInd w:val="0"/>
      <w:textAlignment w:val="baseline"/>
    </w:pPr>
    <w:rPr>
      <w:rFonts w:ascii="Times" w:hAnsi="Times" w:eastAsia="宋体" w:cs="Times New Roman"/>
      <w:sz w:val="24"/>
      <w:lang w:val="en-US" w:eastAsia="zh-CN" w:bidi="ar-SA"/>
    </w:rPr>
  </w:style>
  <w:style w:type="paragraph" w:customStyle="1" w:styleId="488">
    <w:name w:val="正文文本 21"/>
    <w:basedOn w:val="1"/>
    <w:qFormat/>
    <w:uiPriority w:val="0"/>
    <w:pPr>
      <w:adjustRightInd w:val="0"/>
      <w:spacing w:line="312" w:lineRule="atLeast"/>
      <w:ind w:firstLine="600"/>
      <w:textAlignment w:val="baseline"/>
    </w:pPr>
    <w:rPr>
      <w:rFonts w:ascii="宋体"/>
      <w:kern w:val="0"/>
      <w:sz w:val="28"/>
      <w:szCs w:val="20"/>
    </w:rPr>
  </w:style>
  <w:style w:type="paragraph" w:customStyle="1" w:styleId="489">
    <w:name w:val="xl78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490">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491">
    <w:name w:val="xl1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492">
    <w:name w:val="正文悬挂缩进6"/>
    <w:basedOn w:val="493"/>
    <w:qFormat/>
    <w:uiPriority w:val="0"/>
    <w:pPr>
      <w:tabs>
        <w:tab w:val="left" w:pos="1259"/>
      </w:tabs>
      <w:ind w:left="600" w:leftChars="600"/>
    </w:pPr>
  </w:style>
  <w:style w:type="paragraph" w:customStyle="1" w:styleId="493">
    <w:name w:val="正文悬挂缩进4"/>
    <w:basedOn w:val="1"/>
    <w:qFormat/>
    <w:uiPriority w:val="0"/>
    <w:pPr>
      <w:spacing w:line="360" w:lineRule="auto"/>
      <w:ind w:left="839"/>
    </w:pPr>
  </w:style>
  <w:style w:type="paragraph" w:customStyle="1" w:styleId="494">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495">
    <w:name w:val="样式 小四 首行缩进:  2 字符"/>
    <w:basedOn w:val="1"/>
    <w:qFormat/>
    <w:uiPriority w:val="0"/>
    <w:pPr>
      <w:spacing w:line="300" w:lineRule="auto"/>
      <w:ind w:firstLine="480" w:firstLineChars="200"/>
    </w:pPr>
    <w:rPr>
      <w:sz w:val="24"/>
      <w:szCs w:val="20"/>
    </w:rPr>
  </w:style>
  <w:style w:type="paragraph" w:customStyle="1" w:styleId="496">
    <w:name w:val="正文_2_0"/>
    <w:qFormat/>
    <w:uiPriority w:val="0"/>
    <w:pPr>
      <w:widowControl w:val="0"/>
      <w:suppressAutoHyphens/>
      <w:jc w:val="both"/>
    </w:pPr>
    <w:rPr>
      <w:rFonts w:ascii="Calibri" w:hAnsi="Calibri" w:eastAsia="宋体;SimSun" w:cs="Calibri"/>
      <w:kern w:val="2"/>
      <w:sz w:val="21"/>
      <w:szCs w:val="21"/>
      <w:lang w:val="en-US" w:eastAsia="zh-CN" w:bidi="ar-SA"/>
    </w:rPr>
  </w:style>
  <w:style w:type="paragraph" w:customStyle="1" w:styleId="497">
    <w:name w:val="Body Text 21"/>
    <w:basedOn w:val="1"/>
    <w:qFormat/>
    <w:uiPriority w:val="0"/>
    <w:pPr>
      <w:adjustRightInd w:val="0"/>
      <w:spacing w:line="240" w:lineRule="exact"/>
      <w:textAlignment w:val="baseline"/>
    </w:pPr>
    <w:rPr>
      <w:rFonts w:ascii="宋体"/>
      <w:kern w:val="0"/>
      <w:sz w:val="18"/>
      <w:szCs w:val="20"/>
    </w:rPr>
  </w:style>
  <w:style w:type="paragraph" w:customStyle="1" w:styleId="498">
    <w:name w:val="xl114"/>
    <w:basedOn w:val="1"/>
    <w:qFormat/>
    <w:uiPriority w:val="0"/>
    <w:pPr>
      <w:widowControl/>
      <w:pBdr>
        <w:bottom w:val="single" w:color="auto" w:sz="4" w:space="0"/>
      </w:pBdr>
      <w:spacing w:before="100" w:beforeAutospacing="1" w:after="100" w:afterAutospacing="1"/>
      <w:jc w:val="center"/>
    </w:pPr>
    <w:rPr>
      <w:rFonts w:ascii="宋体" w:hAnsi="宋体" w:cs="宋体"/>
      <w:b/>
      <w:bCs/>
      <w:kern w:val="0"/>
      <w:sz w:val="28"/>
      <w:szCs w:val="28"/>
    </w:rPr>
  </w:style>
  <w:style w:type="paragraph" w:customStyle="1" w:styleId="499">
    <w:name w:val="xl31"/>
    <w:basedOn w:val="1"/>
    <w:qFormat/>
    <w:uiPriority w:val="0"/>
    <w:pPr>
      <w:widowControl/>
      <w:pBdr>
        <w:top w:val="single" w:color="auto" w:sz="4" w:space="0"/>
        <w:bottom w:val="single" w:color="auto" w:sz="4" w:space="0"/>
      </w:pBdr>
      <w:spacing w:before="100" w:beforeAutospacing="1" w:after="100" w:afterAutospacing="1"/>
      <w:jc w:val="left"/>
    </w:pPr>
    <w:rPr>
      <w:rFonts w:ascii="Arial Unicode MS" w:hAnsi="Arial Unicode MS" w:eastAsia="Times New Roman" w:cs="Arial Unicode MS"/>
      <w:b/>
      <w:bCs/>
      <w:kern w:val="0"/>
      <w:sz w:val="24"/>
    </w:rPr>
  </w:style>
  <w:style w:type="paragraph" w:customStyle="1" w:styleId="500">
    <w:name w:val="样式 样式 正文首行缩进 + 首行缩进:  2 字符 + 首行缩进:  2 字符"/>
    <w:basedOn w:val="1"/>
    <w:qFormat/>
    <w:uiPriority w:val="0"/>
    <w:pPr>
      <w:adjustRightInd w:val="0"/>
      <w:snapToGrid w:val="0"/>
      <w:spacing w:line="440" w:lineRule="exact"/>
      <w:ind w:firstLine="200" w:firstLineChars="200"/>
    </w:pPr>
    <w:rPr>
      <w:szCs w:val="20"/>
    </w:rPr>
  </w:style>
  <w:style w:type="paragraph" w:customStyle="1" w:styleId="501">
    <w:name w:val="修订1"/>
    <w:semiHidden/>
    <w:qFormat/>
    <w:uiPriority w:val="0"/>
    <w:rPr>
      <w:rFonts w:ascii="Times New Roman" w:hAnsi="Times New Roman" w:eastAsia="宋体" w:cs="Times New Roman"/>
      <w:kern w:val="2"/>
      <w:sz w:val="21"/>
      <w:szCs w:val="24"/>
      <w:lang w:val="en-US" w:eastAsia="zh-CN" w:bidi="ar-SA"/>
    </w:rPr>
  </w:style>
  <w:style w:type="paragraph" w:customStyle="1" w:styleId="502">
    <w:name w:val="样式 首行缩进:  2 字符2 + 居中"/>
    <w:basedOn w:val="277"/>
    <w:qFormat/>
    <w:uiPriority w:val="0"/>
    <w:pPr>
      <w:adjustRightInd/>
      <w:snapToGrid/>
      <w:ind w:firstLine="0" w:firstLineChars="0"/>
      <w:jc w:val="center"/>
    </w:pPr>
    <w:rPr>
      <w:sz w:val="28"/>
      <w:szCs w:val="20"/>
    </w:rPr>
  </w:style>
  <w:style w:type="paragraph" w:customStyle="1" w:styleId="503">
    <w:name w:val="xl8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504">
    <w:name w:val="公司名称"/>
    <w:basedOn w:val="1"/>
    <w:qFormat/>
    <w:uiPriority w:val="0"/>
    <w:pPr>
      <w:keepLines/>
      <w:widowControl/>
      <w:shd w:val="solid" w:color="auto" w:fill="auto"/>
      <w:spacing w:line="320" w:lineRule="atLeast"/>
      <w:jc w:val="left"/>
    </w:pPr>
    <w:rPr>
      <w:rFonts w:ascii="Arial Black" w:hAnsi="Arial Black" w:eastAsia="黑体"/>
      <w:color w:val="FFFFFF"/>
      <w:spacing w:val="-15"/>
      <w:kern w:val="0"/>
      <w:sz w:val="32"/>
      <w:szCs w:val="20"/>
    </w:rPr>
  </w:style>
  <w:style w:type="paragraph" w:customStyle="1" w:styleId="505">
    <w:name w:val="xl29"/>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Arial Unicode MS" w:hAnsi="Arial Unicode MS" w:eastAsia="Times New Roman" w:cs="Arial Unicode MS"/>
      <w:kern w:val="0"/>
      <w:sz w:val="28"/>
      <w:szCs w:val="28"/>
    </w:rPr>
  </w:style>
  <w:style w:type="paragraph" w:customStyle="1" w:styleId="506">
    <w:name w:val="表格标题小四"/>
    <w:basedOn w:val="1"/>
    <w:next w:val="1"/>
    <w:qFormat/>
    <w:uiPriority w:val="0"/>
    <w:pPr>
      <w:adjustRightInd w:val="0"/>
      <w:snapToGrid w:val="0"/>
      <w:spacing w:line="288" w:lineRule="auto"/>
      <w:jc w:val="center"/>
    </w:pPr>
    <w:rPr>
      <w:rFonts w:eastAsia="黑体"/>
      <w:bCs/>
      <w:sz w:val="24"/>
    </w:rPr>
  </w:style>
  <w:style w:type="paragraph" w:customStyle="1" w:styleId="507">
    <w:name w:val="无间隔11"/>
    <w:qFormat/>
    <w:uiPriority w:val="0"/>
    <w:pPr>
      <w:widowControl w:val="0"/>
      <w:ind w:firstLine="200" w:firstLineChars="200"/>
      <w:jc w:val="both"/>
    </w:pPr>
    <w:rPr>
      <w:rFonts w:ascii="Calibri" w:hAnsi="Calibri" w:eastAsia="宋体" w:cs="Times New Roman"/>
      <w:kern w:val="2"/>
      <w:sz w:val="24"/>
      <w:szCs w:val="22"/>
      <w:lang w:val="en-US" w:eastAsia="zh-CN" w:bidi="ar-SA"/>
    </w:rPr>
  </w:style>
  <w:style w:type="paragraph" w:customStyle="1" w:styleId="508">
    <w:name w:val="标题1"/>
    <w:basedOn w:val="3"/>
    <w:qFormat/>
    <w:uiPriority w:val="0"/>
    <w:pPr>
      <w:tabs>
        <w:tab w:val="left" w:pos="839"/>
      </w:tabs>
      <w:spacing w:line="360" w:lineRule="auto"/>
      <w:ind w:left="1276" w:hanging="425"/>
    </w:pPr>
    <w:rPr>
      <w:rFonts w:ascii="黑体" w:hAnsi="宋体" w:eastAsia="黑体"/>
      <w:kern w:val="11"/>
      <w:sz w:val="28"/>
    </w:rPr>
  </w:style>
  <w:style w:type="paragraph" w:customStyle="1" w:styleId="509">
    <w:name w:val="xl118"/>
    <w:basedOn w:val="1"/>
    <w:qFormat/>
    <w:uiPriority w:val="0"/>
    <w:pPr>
      <w:widowControl/>
      <w:pBdr>
        <w:left w:val="single" w:color="auto" w:sz="4" w:space="0"/>
        <w:right w:val="single" w:color="auto" w:sz="4" w:space="0"/>
      </w:pBdr>
      <w:spacing w:before="100" w:beforeAutospacing="1" w:after="100" w:afterAutospacing="1"/>
      <w:jc w:val="left"/>
      <w:textAlignment w:val="top"/>
    </w:pPr>
    <w:rPr>
      <w:rFonts w:ascii="宋体" w:hAnsi="宋体" w:cs="宋体"/>
      <w:kern w:val="0"/>
      <w:sz w:val="24"/>
    </w:rPr>
  </w:style>
  <w:style w:type="paragraph" w:customStyle="1" w:styleId="510">
    <w:name w:val="Char Char Char Char11"/>
    <w:basedOn w:val="1"/>
    <w:qFormat/>
    <w:uiPriority w:val="0"/>
    <w:pPr>
      <w:widowControl/>
      <w:spacing w:after="160" w:line="240" w:lineRule="exact"/>
      <w:jc w:val="left"/>
    </w:pPr>
    <w:rPr>
      <w:rFonts w:ascii="Verdana" w:hAnsi="Verdana" w:eastAsia="Times New Roman"/>
      <w:kern w:val="0"/>
      <w:sz w:val="24"/>
      <w:szCs w:val="20"/>
      <w:lang w:eastAsia="en-US"/>
    </w:rPr>
  </w:style>
  <w:style w:type="paragraph" w:customStyle="1" w:styleId="511">
    <w:name w:val="xl1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512">
    <w:name w:val="Normal_5"/>
    <w:qFormat/>
    <w:uiPriority w:val="0"/>
    <w:rPr>
      <w:rFonts w:ascii="黑体" w:hAnsi="黑体" w:eastAsia="黑体" w:cs="Times New Roman"/>
      <w:b/>
      <w:sz w:val="32"/>
      <w:szCs w:val="24"/>
      <w:lang w:val="en-US" w:eastAsia="zh-CN" w:bidi="ar-SA"/>
    </w:rPr>
  </w:style>
  <w:style w:type="paragraph" w:customStyle="1" w:styleId="513">
    <w:name w:val="默认段落字体 Para Char Char Char Char"/>
    <w:basedOn w:val="1"/>
    <w:qFormat/>
    <w:uiPriority w:val="0"/>
    <w:rPr>
      <w:szCs w:val="20"/>
    </w:rPr>
  </w:style>
  <w:style w:type="paragraph" w:customStyle="1" w:styleId="514">
    <w:name w:val="字母编号列项（一级）"/>
    <w:qFormat/>
    <w:uiPriority w:val="0"/>
    <w:pPr>
      <w:tabs>
        <w:tab w:val="left" w:pos="840"/>
      </w:tabs>
      <w:ind w:left="839" w:hanging="419"/>
      <w:jc w:val="both"/>
    </w:pPr>
    <w:rPr>
      <w:rFonts w:ascii="宋体" w:hAnsi="Times New Roman" w:eastAsia="宋体" w:cs="Times New Roman"/>
      <w:sz w:val="21"/>
      <w:lang w:val="en-US" w:eastAsia="zh-CN" w:bidi="ar-SA"/>
    </w:rPr>
  </w:style>
  <w:style w:type="paragraph" w:customStyle="1" w:styleId="515">
    <w:name w:val="lgh排序1"/>
    <w:basedOn w:val="36"/>
    <w:qFormat/>
    <w:uiPriority w:val="0"/>
    <w:pPr>
      <w:tabs>
        <w:tab w:val="left" w:pos="360"/>
      </w:tabs>
      <w:spacing w:line="360" w:lineRule="auto"/>
      <w:ind w:firstLine="480" w:firstLineChars="200"/>
    </w:pPr>
    <w:rPr>
      <w:rFonts w:hAnsi="宋体" w:cs="Times New Roman"/>
      <w:kern w:val="0"/>
      <w:sz w:val="24"/>
      <w:szCs w:val="20"/>
    </w:rPr>
  </w:style>
  <w:style w:type="paragraph" w:customStyle="1" w:styleId="516">
    <w:name w:val="正文居中小5"/>
    <w:basedOn w:val="1"/>
    <w:qFormat/>
    <w:uiPriority w:val="0"/>
    <w:pPr>
      <w:spacing w:line="360" w:lineRule="auto"/>
      <w:jc w:val="center"/>
    </w:pPr>
    <w:rPr>
      <w:rFonts w:ascii="Arial" w:hAnsi="Arial"/>
      <w:sz w:val="18"/>
    </w:rPr>
  </w:style>
  <w:style w:type="paragraph" w:customStyle="1" w:styleId="517">
    <w:name w:val="font0"/>
    <w:basedOn w:val="1"/>
    <w:qFormat/>
    <w:uiPriority w:val="0"/>
    <w:pPr>
      <w:widowControl/>
      <w:spacing w:before="100" w:beforeAutospacing="1" w:after="100" w:afterAutospacing="1"/>
      <w:jc w:val="left"/>
    </w:pPr>
    <w:rPr>
      <w:rFonts w:ascii="宋体" w:hAnsi="宋体" w:cs="Arial Unicode MS"/>
      <w:kern w:val="0"/>
      <w:sz w:val="24"/>
    </w:rPr>
  </w:style>
  <w:style w:type="paragraph" w:customStyle="1" w:styleId="518">
    <w:name w:val="xl107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微软雅黑" w:hAnsi="微软雅黑" w:eastAsia="微软雅黑" w:cs="宋体"/>
      <w:b/>
      <w:bCs/>
      <w:kern w:val="0"/>
      <w:sz w:val="20"/>
      <w:szCs w:val="20"/>
    </w:rPr>
  </w:style>
  <w:style w:type="paragraph" w:customStyle="1" w:styleId="519">
    <w:name w:val="xl119"/>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24"/>
    </w:rPr>
  </w:style>
  <w:style w:type="paragraph" w:customStyle="1" w:styleId="520">
    <w:name w:val="xl7865"/>
    <w:basedOn w:val="1"/>
    <w:qFormat/>
    <w:uiPriority w:val="0"/>
    <w:pPr>
      <w:widowControl/>
      <w:pBdr>
        <w:top w:val="single" w:color="auto" w:sz="4" w:space="0"/>
        <w:left w:val="single" w:color="auto" w:sz="4" w:space="0"/>
        <w:bottom w:val="single" w:color="auto" w:sz="4" w:space="0"/>
        <w:right w:val="single" w:color="auto" w:sz="4" w:space="0"/>
      </w:pBdr>
      <w:shd w:val="clear" w:color="000000" w:fill="A5A5A5"/>
      <w:spacing w:before="100" w:beforeAutospacing="1" w:after="100" w:afterAutospacing="1"/>
      <w:jc w:val="center"/>
    </w:pPr>
    <w:rPr>
      <w:rFonts w:ascii="??_GB2312" w:hAnsi="宋体" w:eastAsia="Times New Roman" w:cs="宋体"/>
      <w:b/>
      <w:bCs/>
      <w:color w:val="000000"/>
      <w:kern w:val="0"/>
      <w:sz w:val="20"/>
      <w:szCs w:val="20"/>
    </w:rPr>
  </w:style>
  <w:style w:type="paragraph" w:customStyle="1" w:styleId="521">
    <w:name w:val="xl67"/>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Arial Unicode MS" w:hAnsi="Arial Unicode MS" w:eastAsia="Times New Roman" w:cs="Arial Unicode MS"/>
      <w:kern w:val="0"/>
      <w:sz w:val="20"/>
      <w:szCs w:val="20"/>
    </w:rPr>
  </w:style>
  <w:style w:type="paragraph" w:customStyle="1" w:styleId="522">
    <w:name w:val="书目1"/>
    <w:basedOn w:val="1"/>
    <w:next w:val="1"/>
    <w:qFormat/>
    <w:uiPriority w:val="0"/>
    <w:pPr>
      <w:spacing w:line="360" w:lineRule="auto"/>
      <w:ind w:firstLine="200" w:firstLineChars="200"/>
      <w:jc w:val="left"/>
    </w:pPr>
    <w:rPr>
      <w:sz w:val="24"/>
    </w:rPr>
  </w:style>
  <w:style w:type="paragraph" w:customStyle="1" w:styleId="523">
    <w:name w:val="xl47"/>
    <w:basedOn w:val="1"/>
    <w:qFormat/>
    <w:uiPriority w:val="0"/>
    <w:pPr>
      <w:widowControl/>
      <w:spacing w:before="100" w:beforeAutospacing="1" w:after="100" w:afterAutospacing="1"/>
      <w:jc w:val="left"/>
    </w:pPr>
    <w:rPr>
      <w:rFonts w:ascii="Arial Unicode MS" w:hAnsi="Arial Unicode MS" w:eastAsia="Times New Roman" w:cs="Arial Unicode MS"/>
      <w:b/>
      <w:bCs/>
      <w:kern w:val="0"/>
      <w:sz w:val="32"/>
      <w:szCs w:val="32"/>
    </w:rPr>
  </w:style>
  <w:style w:type="paragraph" w:customStyle="1" w:styleId="524">
    <w:name w:val="xl1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525">
    <w:name w:val="列出段落2"/>
    <w:basedOn w:val="1"/>
    <w:qFormat/>
    <w:uiPriority w:val="0"/>
    <w:pPr>
      <w:ind w:firstLine="420" w:firstLineChars="200"/>
    </w:pPr>
  </w:style>
  <w:style w:type="paragraph" w:customStyle="1" w:styleId="526">
    <w:name w:val="Sub Item List"/>
    <w:basedOn w:val="1"/>
    <w:qFormat/>
    <w:uiPriority w:val="0"/>
    <w:pPr>
      <w:widowControl/>
      <w:numPr>
        <w:ilvl w:val="0"/>
        <w:numId w:val="9"/>
      </w:numPr>
      <w:topLinePunct/>
      <w:adjustRightInd w:val="0"/>
      <w:snapToGrid w:val="0"/>
      <w:spacing w:before="80" w:after="80" w:line="240" w:lineRule="atLeast"/>
      <w:jc w:val="left"/>
    </w:pPr>
    <w:rPr>
      <w:rFonts w:ascii="Arial" w:hAnsi="Arial" w:cs="Arial"/>
      <w:szCs w:val="21"/>
    </w:rPr>
  </w:style>
  <w:style w:type="paragraph" w:customStyle="1" w:styleId="527">
    <w:name w:val="xl15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528">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529">
    <w:name w:val="样式4"/>
    <w:basedOn w:val="1"/>
    <w:qFormat/>
    <w:uiPriority w:val="0"/>
    <w:pPr>
      <w:tabs>
        <w:tab w:val="left" w:pos="420"/>
      </w:tabs>
      <w:spacing w:line="440" w:lineRule="exact"/>
      <w:ind w:left="420" w:hanging="420"/>
      <w:jc w:val="left"/>
    </w:pPr>
    <w:rPr>
      <w:rFonts w:eastAsia="楷体_GB2312"/>
      <w:b/>
      <w:sz w:val="24"/>
    </w:rPr>
  </w:style>
  <w:style w:type="paragraph" w:customStyle="1" w:styleId="530">
    <w:name w:val="样式 标题 1章H11. heading 1标准章Alt+1h1Huvudrubrikh11h12h13h..."/>
    <w:basedOn w:val="1"/>
    <w:qFormat/>
    <w:uiPriority w:val="0"/>
  </w:style>
  <w:style w:type="paragraph" w:customStyle="1" w:styleId="531">
    <w:name w:val="样式11"/>
    <w:basedOn w:val="1"/>
    <w:qFormat/>
    <w:uiPriority w:val="0"/>
    <w:pPr>
      <w:keepNext/>
      <w:keepLines/>
      <w:spacing w:before="100" w:beforeAutospacing="1" w:after="100" w:afterAutospacing="1" w:line="360" w:lineRule="auto"/>
      <w:outlineLvl w:val="1"/>
    </w:pPr>
    <w:rPr>
      <w:rFonts w:ascii="Arial" w:hAnsi="Arial" w:eastAsia="黑体" w:cs="宋体"/>
      <w:bCs/>
      <w:sz w:val="32"/>
      <w:szCs w:val="20"/>
    </w:rPr>
  </w:style>
  <w:style w:type="paragraph" w:customStyle="1" w:styleId="532">
    <w:name w:val="打印正文1"/>
    <w:basedOn w:val="1"/>
    <w:qFormat/>
    <w:uiPriority w:val="0"/>
    <w:pPr>
      <w:tabs>
        <w:tab w:val="left" w:pos="705"/>
        <w:tab w:val="left" w:pos="1440"/>
      </w:tabs>
      <w:spacing w:line="480" w:lineRule="atLeast"/>
      <w:ind w:left="1440" w:hanging="360"/>
    </w:pPr>
    <w:rPr>
      <w:rFonts w:ascii="宋体" w:hAnsi="宋体"/>
      <w:bCs/>
      <w:spacing w:val="10"/>
      <w:kern w:val="28"/>
      <w:szCs w:val="21"/>
    </w:rPr>
  </w:style>
  <w:style w:type="paragraph" w:customStyle="1" w:styleId="533">
    <w:name w:val="xl53"/>
    <w:basedOn w:val="1"/>
    <w:qFormat/>
    <w:uiPriority w:val="0"/>
    <w:pPr>
      <w:widowControl/>
      <w:pBdr>
        <w:left w:val="single" w:color="auto" w:sz="8" w:space="0"/>
        <w:bottom w:val="single" w:color="auto" w:sz="8" w:space="0"/>
      </w:pBdr>
      <w:spacing w:before="100" w:beforeAutospacing="1" w:after="100" w:afterAutospacing="1"/>
      <w:jc w:val="center"/>
    </w:pPr>
    <w:rPr>
      <w:rFonts w:ascii="Arial Unicode MS" w:hAnsi="Arial Unicode MS" w:eastAsia="Times New Roman" w:cs="Arial Unicode MS"/>
      <w:kern w:val="0"/>
      <w:sz w:val="28"/>
      <w:szCs w:val="28"/>
    </w:rPr>
  </w:style>
  <w:style w:type="paragraph" w:customStyle="1" w:styleId="534">
    <w:name w:val="font17"/>
    <w:basedOn w:val="1"/>
    <w:qFormat/>
    <w:uiPriority w:val="0"/>
    <w:pPr>
      <w:widowControl/>
      <w:spacing w:before="100" w:beforeAutospacing="1" w:after="100" w:afterAutospacing="1"/>
      <w:jc w:val="left"/>
    </w:pPr>
    <w:rPr>
      <w:rFonts w:ascii="宋体" w:hAnsi="宋体" w:cs="宋体"/>
      <w:color w:val="FF0000"/>
      <w:kern w:val="0"/>
      <w:sz w:val="20"/>
      <w:szCs w:val="20"/>
    </w:rPr>
  </w:style>
  <w:style w:type="paragraph" w:customStyle="1" w:styleId="535">
    <w:name w:val="xl15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536">
    <w:name w:val="Char1"/>
    <w:basedOn w:val="1"/>
    <w:qFormat/>
    <w:uiPriority w:val="0"/>
  </w:style>
  <w:style w:type="paragraph" w:customStyle="1" w:styleId="537">
    <w:name w:val="xl1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38">
    <w:name w:val="样式 标题 3h:33H3Kop 3Vl3Level 3 Headh3sect1.2.3Alt+31.1.1..."/>
    <w:basedOn w:val="2"/>
    <w:qFormat/>
    <w:uiPriority w:val="0"/>
    <w:pPr>
      <w:tabs>
        <w:tab w:val="left" w:pos="1800"/>
      </w:tabs>
      <w:spacing w:before="312" w:after="312" w:line="415" w:lineRule="auto"/>
      <w:ind w:left="1800" w:leftChars="0" w:hanging="720"/>
    </w:pPr>
    <w:rPr>
      <w:rFonts w:eastAsia="宋体" w:cs="宋体"/>
      <w:bCs/>
      <w:sz w:val="30"/>
    </w:rPr>
  </w:style>
  <w:style w:type="paragraph" w:customStyle="1" w:styleId="539">
    <w:name w:val="表格标题文字"/>
    <w:qFormat/>
    <w:uiPriority w:val="0"/>
    <w:pPr>
      <w:snapToGrid w:val="0"/>
      <w:spacing w:before="120" w:line="240" w:lineRule="exact"/>
    </w:pPr>
    <w:rPr>
      <w:rFonts w:ascii="Arial" w:hAnsi="Arial" w:eastAsia="黑体" w:cs="Times New Roman"/>
      <w:kern w:val="2"/>
      <w:sz w:val="18"/>
      <w:szCs w:val="21"/>
      <w:lang w:val="en-US" w:eastAsia="zh-CN" w:bidi="ar-SA"/>
    </w:rPr>
  </w:style>
  <w:style w:type="paragraph" w:customStyle="1" w:styleId="540">
    <w:name w:val="Step"/>
    <w:basedOn w:val="1"/>
    <w:qFormat/>
    <w:uiPriority w:val="0"/>
    <w:pPr>
      <w:widowControl/>
      <w:tabs>
        <w:tab w:val="left" w:pos="1701"/>
      </w:tabs>
      <w:topLinePunct/>
      <w:adjustRightInd w:val="0"/>
      <w:snapToGrid w:val="0"/>
      <w:spacing w:before="160" w:after="160" w:line="240" w:lineRule="atLeast"/>
      <w:ind w:left="1701" w:hanging="159"/>
      <w:jc w:val="left"/>
      <w:outlineLvl w:val="5"/>
    </w:pPr>
    <w:rPr>
      <w:rFonts w:ascii="Arial" w:hAnsi="Arial" w:cs="Arial"/>
      <w:kern w:val="0"/>
      <w:szCs w:val="21"/>
    </w:rPr>
  </w:style>
  <w:style w:type="paragraph" w:customStyle="1" w:styleId="541">
    <w:name w:val="正文_0"/>
    <w:qFormat/>
    <w:uiPriority w:val="0"/>
    <w:pPr>
      <w:widowControl w:val="0"/>
      <w:jc w:val="both"/>
    </w:pPr>
    <w:rPr>
      <w:rFonts w:ascii="Times New Roman" w:hAnsi="Times New Roman" w:eastAsia="仿宋_GB2312" w:cs="Times New Roman"/>
      <w:kern w:val="2"/>
      <w:sz w:val="28"/>
      <w:szCs w:val="24"/>
      <w:lang w:val="en-US" w:eastAsia="zh-CN" w:bidi="ar-SA"/>
    </w:rPr>
  </w:style>
  <w:style w:type="paragraph" w:customStyle="1" w:styleId="542">
    <w:name w:val="xl108"/>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543">
    <w:name w:val="LO-Normal"/>
    <w:qFormat/>
    <w:uiPriority w:val="0"/>
    <w:pPr>
      <w:suppressAutoHyphens/>
    </w:pPr>
    <w:rPr>
      <w:rFonts w:ascii="Times New Roman" w:hAnsi="Times New Roman" w:eastAsia="宋体" w:cs="Times New Roman"/>
      <w:sz w:val="24"/>
      <w:szCs w:val="24"/>
      <w:lang w:val="en-US" w:eastAsia="zh-CN" w:bidi="ar-SA"/>
    </w:rPr>
  </w:style>
  <w:style w:type="paragraph" w:customStyle="1" w:styleId="544">
    <w:name w:val="五级大纲"/>
    <w:next w:val="142"/>
    <w:qFormat/>
    <w:uiPriority w:val="0"/>
    <w:pPr>
      <w:numPr>
        <w:ilvl w:val="4"/>
        <w:numId w:val="3"/>
      </w:numPr>
      <w:tabs>
        <w:tab w:val="left" w:pos="2100"/>
      </w:tabs>
      <w:ind w:left="2100" w:hanging="420"/>
      <w:outlineLvl w:val="4"/>
    </w:pPr>
    <w:rPr>
      <w:rFonts w:ascii="Calibri" w:hAnsi="Calibri" w:eastAsia="宋体" w:cs="Times New Roman"/>
      <w:b/>
      <w:kern w:val="2"/>
      <w:sz w:val="28"/>
      <w:szCs w:val="22"/>
      <w:lang w:val="en-US" w:eastAsia="zh-CN" w:bidi="ar-SA"/>
    </w:rPr>
  </w:style>
  <w:style w:type="paragraph" w:customStyle="1" w:styleId="545">
    <w:name w:val="正文_3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6">
    <w:name w:val="xl1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547">
    <w:name w:val="Item Step"/>
    <w:basedOn w:val="1"/>
    <w:qFormat/>
    <w:uiPriority w:val="0"/>
    <w:pPr>
      <w:widowControl/>
      <w:tabs>
        <w:tab w:val="left" w:pos="567"/>
      </w:tabs>
      <w:spacing w:afterLines="50"/>
      <w:ind w:left="987" w:hanging="420"/>
      <w:jc w:val="left"/>
    </w:pPr>
    <w:rPr>
      <w:rFonts w:ascii="Tahoma" w:hAnsi="Tahoma"/>
      <w:sz w:val="28"/>
      <w:szCs w:val="21"/>
    </w:rPr>
  </w:style>
  <w:style w:type="paragraph" w:customStyle="1" w:styleId="548">
    <w:name w:val="样式 小四 行距: 1.5 倍行距"/>
    <w:basedOn w:val="1"/>
    <w:qFormat/>
    <w:uiPriority w:val="0"/>
    <w:pPr>
      <w:tabs>
        <w:tab w:val="left" w:pos="740"/>
      </w:tabs>
      <w:ind w:left="1081" w:hanging="1081"/>
    </w:pPr>
  </w:style>
  <w:style w:type="paragraph" w:customStyle="1" w:styleId="549">
    <w:name w:val="xl60"/>
    <w:basedOn w:val="1"/>
    <w:qFormat/>
    <w:uiPriority w:val="0"/>
    <w:pPr>
      <w:widowControl/>
      <w:pBdr>
        <w:top w:val="single" w:color="auto" w:sz="4" w:space="0"/>
        <w:bottom w:val="single" w:color="auto" w:sz="4" w:space="0"/>
        <w:right w:val="single" w:color="auto" w:sz="4" w:space="0"/>
      </w:pBdr>
      <w:spacing w:before="100" w:beforeAutospacing="1" w:after="100" w:afterAutospacing="1"/>
    </w:pPr>
    <w:rPr>
      <w:rFonts w:ascii="Arial Unicode MS" w:hAnsi="Arial Unicode MS" w:eastAsia="Times New Roman" w:cs="Arial Unicode MS"/>
      <w:kern w:val="0"/>
      <w:sz w:val="24"/>
    </w:rPr>
  </w:style>
  <w:style w:type="paragraph" w:customStyle="1" w:styleId="550">
    <w:name w:val="xl1097"/>
    <w:basedOn w:val="1"/>
    <w:qFormat/>
    <w:uiPriority w:val="0"/>
    <w:pPr>
      <w:widowControl/>
      <w:pBdr>
        <w:left w:val="single" w:color="auto" w:sz="4" w:space="0"/>
        <w:right w:val="single" w:color="auto" w:sz="4" w:space="0"/>
      </w:pBdr>
      <w:spacing w:before="100" w:beforeAutospacing="1" w:after="100" w:afterAutospacing="1"/>
      <w:jc w:val="center"/>
    </w:pPr>
    <w:rPr>
      <w:rFonts w:ascii="微软雅黑" w:hAnsi="微软雅黑" w:eastAsia="微软雅黑" w:cs="宋体"/>
      <w:b/>
      <w:bCs/>
      <w:kern w:val="0"/>
      <w:sz w:val="20"/>
      <w:szCs w:val="20"/>
    </w:rPr>
  </w:style>
  <w:style w:type="paragraph" w:customStyle="1" w:styleId="551">
    <w:name w:val="Bullet 1"/>
    <w:qFormat/>
    <w:uiPriority w:val="0"/>
    <w:pPr>
      <w:widowControl w:val="0"/>
      <w:autoSpaceDE w:val="0"/>
      <w:autoSpaceDN w:val="0"/>
      <w:adjustRightInd w:val="0"/>
      <w:spacing w:line="288" w:lineRule="auto"/>
      <w:ind w:left="1026" w:hanging="425"/>
      <w:textAlignment w:val="baseline"/>
    </w:pPr>
    <w:rPr>
      <w:rFonts w:ascii="楷体" w:hAnsi="Times New Roman" w:eastAsia="楷体" w:cs="Times New Roman"/>
      <w:color w:val="000000"/>
      <w:spacing w:val="20"/>
      <w:sz w:val="24"/>
      <w:lang w:val="en-US" w:eastAsia="zh-CN" w:bidi="ar-SA"/>
    </w:rPr>
  </w:style>
  <w:style w:type="paragraph" w:customStyle="1" w:styleId="552">
    <w:name w:val="font10"/>
    <w:basedOn w:val="1"/>
    <w:qFormat/>
    <w:uiPriority w:val="0"/>
    <w:pPr>
      <w:widowControl/>
      <w:spacing w:before="100" w:beforeAutospacing="1" w:after="100" w:afterAutospacing="1"/>
      <w:jc w:val="left"/>
    </w:pPr>
    <w:rPr>
      <w:rFonts w:eastAsia="Times New Roman"/>
      <w:kern w:val="0"/>
      <w:sz w:val="28"/>
      <w:szCs w:val="28"/>
    </w:rPr>
  </w:style>
  <w:style w:type="paragraph" w:customStyle="1" w:styleId="553">
    <w:name w:val="xl77"/>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554">
    <w:name w:val="xl10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微软雅黑" w:hAnsi="微软雅黑" w:eastAsia="微软雅黑" w:cs="宋体"/>
      <w:kern w:val="0"/>
      <w:sz w:val="20"/>
      <w:szCs w:val="20"/>
    </w:rPr>
  </w:style>
  <w:style w:type="paragraph" w:customStyle="1" w:styleId="555">
    <w:name w:val="Figure"/>
    <w:basedOn w:val="1"/>
    <w:next w:val="556"/>
    <w:qFormat/>
    <w:uiPriority w:val="0"/>
    <w:pPr>
      <w:keepNext/>
      <w:ind w:left="1701"/>
    </w:pPr>
  </w:style>
  <w:style w:type="paragraph" w:customStyle="1" w:styleId="556">
    <w:name w:val="Figure Description"/>
    <w:basedOn w:val="1"/>
    <w:next w:val="108"/>
    <w:qFormat/>
    <w:uiPriority w:val="0"/>
    <w:pPr>
      <w:keepNext/>
      <w:keepLines/>
      <w:spacing w:afterLines="100" w:line="360" w:lineRule="auto"/>
      <w:jc w:val="center"/>
    </w:pPr>
    <w:rPr>
      <w:rFonts w:ascii="Tahoma" w:hAnsi="Tahoma"/>
      <w:sz w:val="24"/>
    </w:rPr>
  </w:style>
  <w:style w:type="paragraph" w:customStyle="1" w:styleId="557">
    <w:name w:val="xl1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558">
    <w:name w:val="标书正文"/>
    <w:basedOn w:val="1"/>
    <w:qFormat/>
    <w:uiPriority w:val="0"/>
    <w:pPr>
      <w:spacing w:line="360" w:lineRule="auto"/>
      <w:ind w:firstLine="497" w:firstLineChars="207"/>
    </w:pPr>
    <w:rPr>
      <w:sz w:val="24"/>
      <w:szCs w:val="20"/>
    </w:rPr>
  </w:style>
  <w:style w:type="paragraph" w:customStyle="1" w:styleId="559">
    <w:name w:val="样式 标题 1l1I1heading 1h11st levell1+toc 1Chapter title1He..."/>
    <w:basedOn w:val="3"/>
    <w:qFormat/>
    <w:uiPriority w:val="0"/>
    <w:pPr>
      <w:tabs>
        <w:tab w:val="left" w:pos="525"/>
      </w:tabs>
      <w:adjustRightInd/>
      <w:spacing w:before="340" w:after="330" w:line="360" w:lineRule="auto"/>
      <w:jc w:val="both"/>
      <w:textAlignment w:val="auto"/>
    </w:pPr>
    <w:rPr>
      <w:rFonts w:eastAsia="黑体"/>
      <w:bCs/>
      <w:sz w:val="28"/>
      <w:szCs w:val="32"/>
    </w:rPr>
  </w:style>
  <w:style w:type="paragraph" w:customStyle="1" w:styleId="560">
    <w:name w:val="Notes Heading in Table"/>
    <w:next w:val="1"/>
    <w:qFormat/>
    <w:uiPriority w:val="0"/>
    <w:pPr>
      <w:keepNext/>
      <w:adjustRightInd w:val="0"/>
      <w:snapToGrid w:val="0"/>
      <w:spacing w:before="80" w:after="40" w:line="240" w:lineRule="atLeast"/>
    </w:pPr>
    <w:rPr>
      <w:rFonts w:ascii="Arial" w:hAnsi="Arial" w:eastAsia="黑体" w:cs="Arial"/>
      <w:bCs/>
      <w:kern w:val="2"/>
      <w:sz w:val="18"/>
      <w:szCs w:val="18"/>
      <w:lang w:val="en-US" w:eastAsia="zh-CN" w:bidi="ar-SA"/>
    </w:rPr>
  </w:style>
  <w:style w:type="paragraph" w:customStyle="1" w:styleId="561">
    <w:name w:val="表格内容五号(V1)"/>
    <w:basedOn w:val="1"/>
    <w:qFormat/>
    <w:uiPriority w:val="0"/>
    <w:pPr>
      <w:jc w:val="center"/>
    </w:pPr>
    <w:rPr>
      <w:rFonts w:cs="Arial Unicode MS"/>
      <w:kern w:val="0"/>
      <w:szCs w:val="21"/>
    </w:rPr>
  </w:style>
  <w:style w:type="paragraph" w:customStyle="1" w:styleId="562">
    <w:name w:val="xl52"/>
    <w:basedOn w:val="1"/>
    <w:qFormat/>
    <w:uiPriority w:val="0"/>
    <w:pPr>
      <w:widowControl/>
      <w:pBdr>
        <w:left w:val="single" w:color="auto" w:sz="8" w:space="0"/>
      </w:pBdr>
      <w:spacing w:before="100" w:beforeAutospacing="1" w:after="100" w:afterAutospacing="1"/>
      <w:jc w:val="center"/>
    </w:pPr>
    <w:rPr>
      <w:rFonts w:ascii="Arial Unicode MS" w:hAnsi="Arial Unicode MS" w:eastAsia="Times New Roman" w:cs="Arial Unicode MS"/>
      <w:kern w:val="0"/>
      <w:sz w:val="28"/>
      <w:szCs w:val="28"/>
    </w:rPr>
  </w:style>
  <w:style w:type="paragraph" w:customStyle="1" w:styleId="563">
    <w:name w:val="xl10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微软雅黑" w:hAnsi="微软雅黑" w:eastAsia="微软雅黑" w:cs="宋体"/>
      <w:kern w:val="0"/>
      <w:sz w:val="20"/>
      <w:szCs w:val="20"/>
    </w:rPr>
  </w:style>
  <w:style w:type="paragraph" w:customStyle="1" w:styleId="564">
    <w:name w:val="正文3级"/>
    <w:qFormat/>
    <w:uiPriority w:val="0"/>
    <w:pPr>
      <w:widowControl w:val="0"/>
      <w:tabs>
        <w:tab w:val="left" w:pos="1678"/>
      </w:tabs>
      <w:spacing w:after="60" w:line="400" w:lineRule="exact"/>
      <w:ind w:left="2098" w:hanging="420"/>
      <w:jc w:val="both"/>
    </w:pPr>
    <w:rPr>
      <w:rFonts w:ascii="Times New Roman" w:hAnsi="Times New Roman" w:eastAsia="宋体" w:cs="Times New Roman"/>
      <w:bCs/>
      <w:kern w:val="44"/>
      <w:sz w:val="24"/>
      <w:szCs w:val="44"/>
      <w:lang w:val="en-US" w:eastAsia="zh-CN" w:bidi="ar-SA"/>
    </w:rPr>
  </w:style>
  <w:style w:type="paragraph" w:customStyle="1" w:styleId="565">
    <w:name w:val="数字编号列项（二级）"/>
    <w:qFormat/>
    <w:uiPriority w:val="0"/>
    <w:pPr>
      <w:tabs>
        <w:tab w:val="left" w:pos="1260"/>
      </w:tabs>
      <w:ind w:left="1259" w:hanging="419"/>
      <w:jc w:val="both"/>
    </w:pPr>
    <w:rPr>
      <w:rFonts w:ascii="宋体" w:hAnsi="Times New Roman" w:eastAsia="宋体" w:cs="Times New Roman"/>
      <w:sz w:val="21"/>
      <w:lang w:val="en-US" w:eastAsia="zh-CN" w:bidi="ar-SA"/>
    </w:rPr>
  </w:style>
  <w:style w:type="paragraph" w:customStyle="1" w:styleId="566">
    <w:name w:val="xl1078"/>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微软雅黑" w:hAnsi="微软雅黑" w:eastAsia="微软雅黑" w:cs="宋体"/>
      <w:kern w:val="0"/>
      <w:sz w:val="20"/>
      <w:szCs w:val="20"/>
    </w:rPr>
  </w:style>
  <w:style w:type="paragraph" w:customStyle="1" w:styleId="567">
    <w:name w:val="xl1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568">
    <w:name w:val="表身（中）"/>
    <w:basedOn w:val="301"/>
    <w:qFormat/>
    <w:uiPriority w:val="0"/>
    <w:pPr>
      <w:jc w:val="center"/>
    </w:pPr>
  </w:style>
  <w:style w:type="paragraph" w:customStyle="1" w:styleId="569">
    <w:name w:val="font7"/>
    <w:basedOn w:val="1"/>
    <w:qFormat/>
    <w:uiPriority w:val="0"/>
    <w:pPr>
      <w:widowControl/>
      <w:spacing w:before="100" w:beforeAutospacing="1" w:after="100" w:afterAutospacing="1"/>
      <w:jc w:val="left"/>
    </w:pPr>
    <w:rPr>
      <w:rFonts w:ascii="宋体" w:hAnsi="宋体" w:cs="Arial Unicode MS"/>
      <w:kern w:val="0"/>
      <w:sz w:val="28"/>
      <w:szCs w:val="28"/>
    </w:rPr>
  </w:style>
  <w:style w:type="paragraph" w:customStyle="1" w:styleId="570">
    <w:name w:val="xl124"/>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571">
    <w:name w:val="xl10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b/>
      <w:bCs/>
      <w:color w:val="FF0000"/>
      <w:kern w:val="0"/>
      <w:sz w:val="20"/>
      <w:szCs w:val="20"/>
    </w:rPr>
  </w:style>
  <w:style w:type="paragraph" w:customStyle="1" w:styleId="572">
    <w:name w:val="Char Char Char Char Char Char Char Char Char Char Char Char Char Char Char Char"/>
    <w:basedOn w:val="1"/>
    <w:qFormat/>
    <w:uiPriority w:val="0"/>
    <w:pPr>
      <w:tabs>
        <w:tab w:val="left" w:pos="360"/>
      </w:tabs>
      <w:spacing w:line="360" w:lineRule="auto"/>
      <w:ind w:left="482" w:firstLine="200" w:firstLineChars="200"/>
    </w:pPr>
    <w:rPr>
      <w:rFonts w:ascii="Tahoma" w:hAnsi="Tahoma"/>
      <w:sz w:val="24"/>
      <w:szCs w:val="20"/>
    </w:rPr>
  </w:style>
  <w:style w:type="paragraph" w:customStyle="1" w:styleId="573">
    <w:name w:val="样式 左  4 字符 首行缩进:  2 字符"/>
    <w:basedOn w:val="1"/>
    <w:qFormat/>
    <w:uiPriority w:val="0"/>
    <w:pPr>
      <w:spacing w:beforeLines="50" w:afterLines="50"/>
      <w:ind w:left="400" w:leftChars="400" w:firstLine="200" w:firstLineChars="200"/>
    </w:pPr>
    <w:rPr>
      <w:rFonts w:cs="宋体"/>
      <w:szCs w:val="20"/>
    </w:rPr>
  </w:style>
  <w:style w:type="paragraph" w:customStyle="1" w:styleId="574">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575">
    <w:name w:val="xl1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576">
    <w:name w:val="WPS Plain"/>
    <w:qFormat/>
    <w:uiPriority w:val="0"/>
    <w:rPr>
      <w:rFonts w:ascii="Times New Roman" w:hAnsi="Times New Roman" w:eastAsia="宋体" w:cs="Times New Roman"/>
      <w:lang w:val="en-US" w:eastAsia="zh-CN" w:bidi="ar-SA"/>
    </w:rPr>
  </w:style>
  <w:style w:type="paragraph" w:customStyle="1" w:styleId="577">
    <w:name w:val="表中小5"/>
    <w:qFormat/>
    <w:uiPriority w:val="0"/>
    <w:pPr>
      <w:jc w:val="center"/>
    </w:pPr>
    <w:rPr>
      <w:rFonts w:ascii="Times New Roman" w:hAnsi="Times New Roman" w:eastAsia="宋体" w:cs="Times New Roman"/>
      <w:color w:val="0000FF"/>
      <w:sz w:val="18"/>
      <w:szCs w:val="18"/>
      <w:lang w:val="en-US" w:eastAsia="zh-CN" w:bidi="ar-SA"/>
    </w:rPr>
  </w:style>
  <w:style w:type="paragraph" w:customStyle="1" w:styleId="578">
    <w:name w:val="Char Char Char Char Char Char"/>
    <w:basedOn w:val="20"/>
    <w:semiHidden/>
    <w:qFormat/>
    <w:uiPriority w:val="0"/>
    <w:pPr>
      <w:spacing w:line="360" w:lineRule="auto"/>
      <w:ind w:firstLine="200" w:firstLineChars="200"/>
      <w:jc w:val="left"/>
    </w:pPr>
    <w:rPr>
      <w:rFonts w:ascii="Tahoma" w:hAnsi="Tahoma" w:cs="Tahoma"/>
      <w:kern w:val="0"/>
      <w:sz w:val="18"/>
    </w:rPr>
  </w:style>
  <w:style w:type="paragraph" w:customStyle="1" w:styleId="579">
    <w:name w:val="xl111"/>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580">
    <w:name w:val="题头内容"/>
    <w:basedOn w:val="1"/>
    <w:qFormat/>
    <w:uiPriority w:val="0"/>
    <w:pPr>
      <w:adjustRightInd w:val="0"/>
      <w:spacing w:before="120" w:after="120" w:line="312" w:lineRule="atLeast"/>
      <w:ind w:right="879" w:firstLine="839"/>
      <w:jc w:val="center"/>
      <w:textAlignment w:val="baseline"/>
    </w:pPr>
    <w:rPr>
      <w:rFonts w:ascii="黑体" w:eastAsia="黑体"/>
      <w:kern w:val="0"/>
      <w:sz w:val="32"/>
      <w:szCs w:val="21"/>
    </w:rPr>
  </w:style>
  <w:style w:type="paragraph" w:customStyle="1" w:styleId="581">
    <w:name w:val="xl62"/>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Times New Roman" w:cs="Arial Unicode MS"/>
      <w:b/>
      <w:bCs/>
      <w:kern w:val="0"/>
      <w:sz w:val="28"/>
      <w:szCs w:val="28"/>
    </w:rPr>
  </w:style>
  <w:style w:type="paragraph" w:customStyle="1" w:styleId="582">
    <w:name w:val="T文本"/>
    <w:basedOn w:val="1"/>
    <w:qFormat/>
    <w:uiPriority w:val="0"/>
    <w:pPr>
      <w:widowControl/>
      <w:snapToGrid w:val="0"/>
      <w:spacing w:beforeLines="50" w:afterLines="50" w:line="360" w:lineRule="auto"/>
      <w:ind w:firstLine="200" w:firstLineChars="200"/>
    </w:pPr>
    <w:rPr>
      <w:kern w:val="0"/>
      <w:sz w:val="24"/>
    </w:rPr>
  </w:style>
  <w:style w:type="paragraph" w:customStyle="1" w:styleId="583">
    <w:name w:val="xl36"/>
    <w:basedOn w:val="1"/>
    <w:qFormat/>
    <w:uiPriority w:val="0"/>
    <w:pPr>
      <w:widowControl/>
      <w:pBdr>
        <w:top w:val="single" w:color="auto" w:sz="4" w:space="0"/>
        <w:bottom w:val="single" w:color="auto" w:sz="8" w:space="0"/>
        <w:right w:val="single" w:color="auto" w:sz="8" w:space="0"/>
      </w:pBdr>
      <w:spacing w:before="100" w:beforeAutospacing="1" w:after="100" w:afterAutospacing="1"/>
      <w:jc w:val="right"/>
    </w:pPr>
    <w:rPr>
      <w:rFonts w:ascii="Arial Unicode MS" w:hAnsi="Arial Unicode MS" w:eastAsia="Times New Roman" w:cs="Arial Unicode MS"/>
      <w:kern w:val="0"/>
      <w:sz w:val="28"/>
      <w:szCs w:val="28"/>
    </w:rPr>
  </w:style>
  <w:style w:type="paragraph" w:customStyle="1" w:styleId="584">
    <w:name w:val="xl11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585">
    <w:name w:val="样式 标题 1章节标题b1 + 段前: 6 磅"/>
    <w:basedOn w:val="3"/>
    <w:qFormat/>
    <w:uiPriority w:val="0"/>
    <w:pPr>
      <w:tabs>
        <w:tab w:val="left" w:pos="1320"/>
        <w:tab w:val="left" w:pos="1740"/>
      </w:tabs>
      <w:adjustRightInd/>
      <w:spacing w:line="360" w:lineRule="auto"/>
      <w:jc w:val="both"/>
      <w:textAlignment w:val="auto"/>
    </w:pPr>
    <w:rPr>
      <w:rFonts w:ascii="宋体" w:hAnsi="宋体" w:cs="宋体"/>
      <w:bCs/>
      <w:color w:val="000000"/>
      <w:kern w:val="2"/>
      <w:sz w:val="28"/>
      <w:szCs w:val="21"/>
    </w:rPr>
  </w:style>
  <w:style w:type="paragraph" w:customStyle="1" w:styleId="586">
    <w:name w:val="xl110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微软雅黑" w:hAnsi="微软雅黑" w:eastAsia="微软雅黑" w:cs="宋体"/>
      <w:b/>
      <w:bCs/>
      <w:kern w:val="0"/>
      <w:sz w:val="20"/>
      <w:szCs w:val="20"/>
    </w:rPr>
  </w:style>
  <w:style w:type="paragraph" w:customStyle="1" w:styleId="587">
    <w:name w:val="xl7876"/>
    <w:basedOn w:val="1"/>
    <w:qFormat/>
    <w:uiPriority w:val="0"/>
    <w:pPr>
      <w:widowControl/>
      <w:spacing w:before="100" w:beforeAutospacing="1" w:after="100" w:afterAutospacing="1"/>
      <w:jc w:val="center"/>
    </w:pPr>
    <w:rPr>
      <w:rFonts w:ascii="宋体" w:hAnsi="宋体" w:cs="宋体"/>
      <w:color w:val="000000"/>
      <w:kern w:val="0"/>
      <w:sz w:val="20"/>
      <w:szCs w:val="20"/>
    </w:rPr>
  </w:style>
  <w:style w:type="paragraph" w:customStyle="1" w:styleId="588">
    <w:name w:val="xl8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589">
    <w:name w:val="二级无"/>
    <w:basedOn w:val="306"/>
    <w:qFormat/>
    <w:uiPriority w:val="0"/>
    <w:pPr>
      <w:spacing w:beforeLines="0" w:afterLines="0"/>
    </w:pPr>
    <w:rPr>
      <w:rFonts w:ascii="宋体" w:eastAsia="宋体"/>
    </w:rPr>
  </w:style>
  <w:style w:type="paragraph" w:customStyle="1" w:styleId="590">
    <w:name w:val="Item Step in Table"/>
    <w:basedOn w:val="1"/>
    <w:qFormat/>
    <w:uiPriority w:val="0"/>
    <w:pPr>
      <w:tabs>
        <w:tab w:val="left" w:pos="420"/>
      </w:tabs>
      <w:ind w:left="420" w:hanging="420"/>
      <w:jc w:val="left"/>
    </w:pPr>
    <w:rPr>
      <w:rFonts w:ascii="Tahoma" w:hAnsi="Tahoma"/>
      <w:sz w:val="28"/>
      <w:szCs w:val="21"/>
    </w:rPr>
  </w:style>
  <w:style w:type="paragraph" w:customStyle="1" w:styleId="591">
    <w:name w:val="xl55"/>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Times New Roman" w:cs="Arial Unicode MS"/>
      <w:kern w:val="0"/>
      <w:sz w:val="28"/>
      <w:szCs w:val="28"/>
    </w:rPr>
  </w:style>
  <w:style w:type="paragraph" w:customStyle="1" w:styleId="592">
    <w:name w:val="样式 首行缩进:  0.85 厘米 段前: 2.5 磅 段后: 6 磅 行距: 1.5 倍行距"/>
    <w:basedOn w:val="1"/>
    <w:qFormat/>
    <w:uiPriority w:val="0"/>
    <w:pPr>
      <w:spacing w:before="50" w:after="120" w:line="360" w:lineRule="auto"/>
      <w:ind w:firstLine="480"/>
    </w:pPr>
    <w:rPr>
      <w:rFonts w:cs="宋体"/>
      <w:sz w:val="24"/>
      <w:szCs w:val="20"/>
    </w:rPr>
  </w:style>
  <w:style w:type="paragraph" w:customStyle="1" w:styleId="593">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594">
    <w:name w:val="xl78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595">
    <w:name w:val="xl15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596">
    <w:name w:val="xl46"/>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Arial Unicode MS" w:hAnsi="Arial Unicode MS" w:eastAsia="Times New Roman" w:cs="Arial Unicode MS"/>
      <w:kern w:val="0"/>
      <w:sz w:val="28"/>
      <w:szCs w:val="28"/>
    </w:rPr>
  </w:style>
  <w:style w:type="paragraph" w:customStyle="1" w:styleId="597">
    <w:name w:val="zw_12_25"/>
    <w:basedOn w:val="1"/>
    <w:qFormat/>
    <w:uiPriority w:val="0"/>
    <w:pPr>
      <w:widowControl/>
      <w:spacing w:before="100" w:beforeAutospacing="1" w:after="100" w:afterAutospacing="1" w:line="300" w:lineRule="atLeast"/>
      <w:jc w:val="left"/>
    </w:pPr>
    <w:rPr>
      <w:color w:val="333399"/>
      <w:kern w:val="0"/>
      <w:sz w:val="23"/>
      <w:szCs w:val="23"/>
    </w:rPr>
  </w:style>
  <w:style w:type="paragraph" w:customStyle="1" w:styleId="598">
    <w:name w:val="xl10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599">
    <w:name w:val="def正文"/>
    <w:basedOn w:val="27"/>
    <w:qFormat/>
    <w:uiPriority w:val="0"/>
    <w:pPr>
      <w:widowControl/>
      <w:autoSpaceDE/>
      <w:autoSpaceDN/>
      <w:adjustRightInd/>
      <w:ind w:firstLine="482"/>
      <w:jc w:val="both"/>
    </w:pPr>
    <w:rPr>
      <w:rFonts w:ascii="Times New Roman"/>
      <w:b/>
      <w:sz w:val="24"/>
      <w:szCs w:val="24"/>
    </w:rPr>
  </w:style>
  <w:style w:type="paragraph" w:customStyle="1" w:styleId="600">
    <w:name w:val="项目编号2级"/>
    <w:basedOn w:val="456"/>
    <w:qFormat/>
    <w:uiPriority w:val="0"/>
  </w:style>
  <w:style w:type="paragraph" w:customStyle="1" w:styleId="601">
    <w:name w:val="表3"/>
    <w:basedOn w:val="419"/>
    <w:qFormat/>
    <w:uiPriority w:val="0"/>
    <w:pPr>
      <w:numPr>
        <w:numId w:val="0"/>
      </w:numPr>
      <w:ind w:left="902" w:hanging="420"/>
    </w:pPr>
  </w:style>
  <w:style w:type="paragraph" w:customStyle="1" w:styleId="602">
    <w:name w:val="xl1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603">
    <w:name w:val="xl78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604">
    <w:name w:val="正文11"/>
    <w:basedOn w:val="1"/>
    <w:qFormat/>
    <w:uiPriority w:val="0"/>
    <w:pPr>
      <w:spacing w:line="360" w:lineRule="auto"/>
      <w:ind w:firstLine="200" w:firstLineChars="200"/>
    </w:pPr>
  </w:style>
  <w:style w:type="paragraph" w:customStyle="1" w:styleId="605">
    <w:name w:val="正文缩进1"/>
    <w:basedOn w:val="1"/>
    <w:qFormat/>
    <w:uiPriority w:val="0"/>
    <w:pPr>
      <w:spacing w:line="360" w:lineRule="auto"/>
      <w:ind w:firstLine="200" w:firstLineChars="200"/>
      <w:jc w:val="left"/>
    </w:pPr>
    <w:rPr>
      <w:rFonts w:ascii="宋体" w:hAnsi="宋体"/>
      <w:sz w:val="24"/>
      <w:szCs w:val="22"/>
    </w:rPr>
  </w:style>
  <w:style w:type="paragraph" w:customStyle="1" w:styleId="606">
    <w:name w:val="_Style 255"/>
    <w:semiHidden/>
    <w:qFormat/>
    <w:uiPriority w:val="0"/>
    <w:rPr>
      <w:rFonts w:ascii="Times New Roman" w:hAnsi="Times New Roman" w:eastAsia="宋体" w:cs="Times New Roman"/>
      <w:kern w:val="2"/>
      <w:sz w:val="21"/>
      <w:szCs w:val="24"/>
      <w:lang w:val="en-US" w:eastAsia="zh-CN" w:bidi="ar-SA"/>
    </w:rPr>
  </w:style>
  <w:style w:type="paragraph" w:customStyle="1" w:styleId="607">
    <w:name w:val="列表 21"/>
    <w:basedOn w:val="1"/>
    <w:qFormat/>
    <w:uiPriority w:val="0"/>
    <w:pPr>
      <w:ind w:left="100" w:leftChars="200" w:hanging="200" w:hangingChars="200"/>
    </w:pPr>
  </w:style>
  <w:style w:type="paragraph" w:customStyle="1" w:styleId="608">
    <w:name w:val="xl1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609">
    <w:name w:val="xl109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b/>
      <w:bCs/>
      <w:kern w:val="0"/>
      <w:sz w:val="20"/>
      <w:szCs w:val="20"/>
    </w:rPr>
  </w:style>
  <w:style w:type="paragraph" w:customStyle="1" w:styleId="610">
    <w:name w:val="xl1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11">
    <w:name w:val="内文"/>
    <w:qFormat/>
    <w:uiPriority w:val="0"/>
    <w:pPr>
      <w:widowControl w:val="0"/>
      <w:autoSpaceDE w:val="0"/>
      <w:autoSpaceDN w:val="0"/>
      <w:adjustRightInd w:val="0"/>
      <w:jc w:val="both"/>
    </w:pPr>
    <w:rPr>
      <w:rFonts w:ascii="宋体" w:hAnsi="Times New Roman" w:eastAsia="宋体" w:cs="Times New Roman"/>
      <w:color w:val="000000"/>
      <w:sz w:val="24"/>
      <w:lang w:val="en-US" w:eastAsia="zh-CN" w:bidi="ar-SA"/>
    </w:rPr>
  </w:style>
  <w:style w:type="paragraph" w:customStyle="1" w:styleId="612">
    <w:name w:val="xl95"/>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613">
    <w:name w:val="Normal_0"/>
    <w:qFormat/>
    <w:uiPriority w:val="0"/>
    <w:rPr>
      <w:rFonts w:ascii="黑体" w:hAnsi="黑体" w:eastAsia="黑体" w:cs="Times New Roman"/>
      <w:b/>
      <w:sz w:val="32"/>
      <w:szCs w:val="24"/>
      <w:lang w:val="en-US" w:eastAsia="zh-CN" w:bidi="ar-SA"/>
    </w:rPr>
  </w:style>
  <w:style w:type="paragraph" w:customStyle="1" w:styleId="614">
    <w:name w:val="xl40"/>
    <w:basedOn w:val="1"/>
    <w:qFormat/>
    <w:uiPriority w:val="0"/>
    <w:pPr>
      <w:widowControl/>
      <w:pBdr>
        <w:top w:val="single" w:color="auto" w:sz="4" w:space="0"/>
        <w:bottom w:val="single" w:color="auto" w:sz="4" w:space="0"/>
        <w:right w:val="single" w:color="auto" w:sz="4" w:space="0"/>
      </w:pBdr>
      <w:spacing w:before="100" w:beforeAutospacing="1" w:after="100" w:afterAutospacing="1"/>
      <w:jc w:val="right"/>
    </w:pPr>
    <w:rPr>
      <w:rFonts w:ascii="Arial Unicode MS" w:hAnsi="Arial Unicode MS" w:eastAsia="Times New Roman" w:cs="Arial Unicode MS"/>
      <w:kern w:val="0"/>
      <w:sz w:val="28"/>
      <w:szCs w:val="28"/>
    </w:rPr>
  </w:style>
  <w:style w:type="paragraph" w:customStyle="1" w:styleId="615">
    <w:name w:val="Block Label"/>
    <w:basedOn w:val="1"/>
    <w:next w:val="1"/>
    <w:qFormat/>
    <w:uiPriority w:val="0"/>
    <w:pPr>
      <w:keepNext/>
      <w:keepLines/>
      <w:widowControl/>
      <w:topLinePunct/>
      <w:adjustRightInd w:val="0"/>
      <w:snapToGrid w:val="0"/>
      <w:spacing w:before="300" w:after="80" w:line="240" w:lineRule="atLeast"/>
      <w:jc w:val="left"/>
      <w:outlineLvl w:val="3"/>
    </w:pPr>
    <w:rPr>
      <w:rFonts w:ascii="Arial" w:hAnsi="Arial" w:eastAsia="黑体" w:cs="Book Antiqua"/>
      <w:bCs/>
      <w:kern w:val="0"/>
      <w:sz w:val="26"/>
      <w:szCs w:val="26"/>
    </w:rPr>
  </w:style>
  <w:style w:type="paragraph" w:customStyle="1" w:styleId="616">
    <w:name w:val="不缩进"/>
    <w:basedOn w:val="1"/>
    <w:qFormat/>
    <w:uiPriority w:val="0"/>
    <w:pPr>
      <w:spacing w:line="360" w:lineRule="auto"/>
      <w:jc w:val="center"/>
    </w:pPr>
    <w:rPr>
      <w:b/>
      <w:bCs/>
      <w:sz w:val="28"/>
      <w:szCs w:val="21"/>
    </w:rPr>
  </w:style>
  <w:style w:type="paragraph" w:customStyle="1" w:styleId="617">
    <w:name w:val="xl14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618">
    <w:name w:val="表样式"/>
    <w:basedOn w:val="1"/>
    <w:qFormat/>
    <w:uiPriority w:val="0"/>
    <w:pPr>
      <w:autoSpaceDE w:val="0"/>
      <w:autoSpaceDN w:val="0"/>
      <w:adjustRightInd w:val="0"/>
      <w:spacing w:before="90" w:after="90"/>
      <w:jc w:val="center"/>
    </w:pPr>
    <w:rPr>
      <w:rFonts w:ascii="Arial" w:hAnsi="Arial"/>
      <w:kern w:val="0"/>
      <w:sz w:val="18"/>
    </w:rPr>
  </w:style>
  <w:style w:type="paragraph" w:customStyle="1" w:styleId="619">
    <w:name w:val="xl121"/>
    <w:basedOn w:val="1"/>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left"/>
      <w:textAlignment w:val="top"/>
    </w:pPr>
    <w:rPr>
      <w:rFonts w:ascii="MingLiU" w:hAnsi="MingLiU" w:eastAsia="MingLiU" w:cs="宋体"/>
      <w:kern w:val="0"/>
      <w:sz w:val="24"/>
    </w:rPr>
  </w:style>
  <w:style w:type="paragraph" w:customStyle="1" w:styleId="620">
    <w:name w:val="xl32"/>
    <w:basedOn w:val="1"/>
    <w:qFormat/>
    <w:uiPriority w:val="0"/>
    <w:pPr>
      <w:widowControl/>
      <w:pBdr>
        <w:top w:val="single" w:color="auto" w:sz="4" w:space="0"/>
      </w:pBdr>
      <w:spacing w:before="100" w:beforeAutospacing="1" w:after="100" w:afterAutospacing="1"/>
      <w:jc w:val="center"/>
    </w:pPr>
    <w:rPr>
      <w:rFonts w:ascii="Arial Unicode MS" w:hAnsi="Arial Unicode MS" w:eastAsia="Times New Roman" w:cs="Arial Unicode MS"/>
      <w:kern w:val="0"/>
      <w:sz w:val="28"/>
      <w:szCs w:val="28"/>
    </w:rPr>
  </w:style>
  <w:style w:type="paragraph" w:customStyle="1" w:styleId="621">
    <w:name w:val="Default Text:1"/>
    <w:basedOn w:val="1"/>
    <w:qFormat/>
    <w:uiPriority w:val="0"/>
    <w:pPr>
      <w:widowControl/>
      <w:overflowPunct w:val="0"/>
      <w:autoSpaceDE w:val="0"/>
      <w:autoSpaceDN w:val="0"/>
      <w:adjustRightInd w:val="0"/>
      <w:jc w:val="left"/>
      <w:textAlignment w:val="baseline"/>
    </w:pPr>
    <w:rPr>
      <w:kern w:val="0"/>
      <w:sz w:val="24"/>
      <w:szCs w:val="20"/>
    </w:rPr>
  </w:style>
  <w:style w:type="paragraph" w:customStyle="1" w:styleId="622">
    <w:name w:val="xl1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623">
    <w:name w:val="font12"/>
    <w:basedOn w:val="1"/>
    <w:qFormat/>
    <w:uiPriority w:val="0"/>
    <w:pPr>
      <w:widowControl/>
      <w:spacing w:before="100" w:beforeAutospacing="1" w:after="100" w:afterAutospacing="1"/>
      <w:jc w:val="left"/>
    </w:pPr>
    <w:rPr>
      <w:rFonts w:ascii="宋体" w:hAnsi="宋体" w:cs="宋体"/>
      <w:b/>
      <w:bCs/>
      <w:kern w:val="0"/>
      <w:sz w:val="20"/>
      <w:szCs w:val="20"/>
    </w:rPr>
  </w:style>
  <w:style w:type="paragraph" w:customStyle="1" w:styleId="624">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Unicode MS" w:hAnsi="Arial Unicode MS" w:eastAsia="Times New Roman" w:cs="Arial Unicode MS"/>
      <w:b/>
      <w:bCs/>
      <w:kern w:val="0"/>
      <w:sz w:val="20"/>
      <w:szCs w:val="20"/>
    </w:rPr>
  </w:style>
  <w:style w:type="paragraph" w:customStyle="1" w:styleId="625">
    <w:name w:val="xl1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626">
    <w:name w:val="xl1063"/>
    <w:basedOn w:val="1"/>
    <w:qFormat/>
    <w:uiPriority w:val="0"/>
    <w:pPr>
      <w:widowControl/>
      <w:spacing w:before="100" w:beforeAutospacing="1" w:after="100" w:afterAutospacing="1"/>
      <w:jc w:val="center"/>
    </w:pPr>
    <w:rPr>
      <w:rFonts w:ascii="宋体" w:hAnsi="宋体" w:cs="宋体"/>
      <w:b/>
      <w:bCs/>
      <w:kern w:val="0"/>
      <w:sz w:val="24"/>
    </w:rPr>
  </w:style>
  <w:style w:type="paragraph" w:customStyle="1" w:styleId="627">
    <w:name w:val="xl89"/>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8"/>
      <w:szCs w:val="28"/>
    </w:rPr>
  </w:style>
  <w:style w:type="paragraph" w:customStyle="1" w:styleId="628">
    <w:name w:val="样式 标题 2 + 段前: 0.5 行 段后: 0.5 行1"/>
    <w:basedOn w:val="4"/>
    <w:qFormat/>
    <w:uiPriority w:val="0"/>
    <w:pPr>
      <w:tabs>
        <w:tab w:val="left" w:pos="576"/>
      </w:tabs>
      <w:spacing w:beforeLines="50" w:afterLines="50" w:line="360" w:lineRule="auto"/>
      <w:ind w:left="576" w:hanging="576"/>
      <w:jc w:val="left"/>
    </w:pPr>
    <w:rPr>
      <w:rFonts w:ascii="??_GB2312" w:eastAsia="Times New Roman" w:cs="宋体"/>
      <w:sz w:val="36"/>
    </w:rPr>
  </w:style>
  <w:style w:type="paragraph" w:customStyle="1" w:styleId="629">
    <w:name w:val="font9"/>
    <w:basedOn w:val="1"/>
    <w:qFormat/>
    <w:uiPriority w:val="0"/>
    <w:pPr>
      <w:widowControl/>
      <w:spacing w:before="100" w:beforeAutospacing="1" w:after="100" w:afterAutospacing="1"/>
      <w:jc w:val="left"/>
    </w:pPr>
    <w:rPr>
      <w:rFonts w:eastAsia="Times New Roman"/>
      <w:b/>
      <w:bCs/>
      <w:kern w:val="0"/>
      <w:sz w:val="32"/>
      <w:szCs w:val="32"/>
    </w:rPr>
  </w:style>
  <w:style w:type="paragraph" w:customStyle="1" w:styleId="630">
    <w:name w:val="样式 标题 3H3h3h31第二层条3Bold Headbh章标题1小标题level_3PIM 3Lev...1"/>
    <w:basedOn w:val="2"/>
    <w:qFormat/>
    <w:uiPriority w:val="0"/>
    <w:pPr>
      <w:tabs>
        <w:tab w:val="left" w:pos="1740"/>
      </w:tabs>
      <w:spacing w:beforeLines="50" w:afterLines="50"/>
      <w:ind w:left="1740" w:leftChars="0" w:hanging="420"/>
    </w:pPr>
    <w:rPr>
      <w:rFonts w:ascii="Arial" w:hAnsi="Arial" w:eastAsia="黑体" w:cs="宋体"/>
      <w:b w:val="0"/>
      <w:bCs/>
      <w:kern w:val="0"/>
      <w:sz w:val="32"/>
    </w:rPr>
  </w:style>
  <w:style w:type="paragraph" w:customStyle="1" w:styleId="631">
    <w:name w:val="样式 样式 标题 5 + 段前: 0.5 行 段后: 0.5 行 + 段前: 0.5 行 段后: 0.5 行"/>
    <w:basedOn w:val="405"/>
    <w:qFormat/>
    <w:uiPriority w:val="0"/>
    <w:rPr>
      <w:bCs w:val="0"/>
    </w:rPr>
  </w:style>
  <w:style w:type="paragraph" w:customStyle="1" w:styleId="632">
    <w:name w:val="xl88"/>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8"/>
      <w:szCs w:val="28"/>
    </w:rPr>
  </w:style>
  <w:style w:type="paragraph" w:customStyle="1" w:styleId="633">
    <w:name w:val="样式5"/>
    <w:basedOn w:val="129"/>
    <w:qFormat/>
    <w:uiPriority w:val="0"/>
    <w:pPr>
      <w:snapToGrid w:val="0"/>
      <w:spacing w:line="360" w:lineRule="auto"/>
      <w:ind w:firstLine="456" w:firstLineChars="200"/>
      <w:jc w:val="left"/>
    </w:pPr>
    <w:rPr>
      <w:rFonts w:ascii="楷体_GB2312" w:hAnsi="楷体_GB2312" w:eastAsia="楷体_GB2312" w:cs="宋体"/>
      <w:b/>
      <w:spacing w:val="-6"/>
    </w:rPr>
  </w:style>
  <w:style w:type="paragraph" w:customStyle="1" w:styleId="634">
    <w:name w:val="xl78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635">
    <w:name w:val="xl27"/>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pPr>
    <w:rPr>
      <w:rFonts w:ascii="Arial Unicode MS" w:hAnsi="Arial Unicode MS" w:eastAsia="Times New Roman" w:cs="Arial Unicode MS"/>
      <w:kern w:val="0"/>
      <w:sz w:val="28"/>
      <w:szCs w:val="28"/>
    </w:rPr>
  </w:style>
  <w:style w:type="paragraph" w:customStyle="1" w:styleId="636">
    <w:name w:val="xl129"/>
    <w:basedOn w:val="1"/>
    <w:qFormat/>
    <w:uiPriority w:val="0"/>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jc w:val="center"/>
    </w:pPr>
    <w:rPr>
      <w:b/>
      <w:bCs/>
      <w:kern w:val="0"/>
      <w:sz w:val="20"/>
      <w:szCs w:val="20"/>
    </w:rPr>
  </w:style>
  <w:style w:type="paragraph" w:customStyle="1" w:styleId="637">
    <w:name w:val="xl78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638">
    <w:name w:val="default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39">
    <w:name w:val="xl59"/>
    <w:basedOn w:val="1"/>
    <w:qFormat/>
    <w:uiPriority w:val="0"/>
    <w:pPr>
      <w:widowControl/>
      <w:pBdr>
        <w:top w:val="single" w:color="auto" w:sz="4" w:space="0"/>
        <w:left w:val="single" w:color="auto" w:sz="4" w:space="0"/>
        <w:bottom w:val="single" w:color="auto" w:sz="4" w:space="0"/>
      </w:pBdr>
      <w:spacing w:before="100" w:beforeAutospacing="1" w:after="100" w:afterAutospacing="1"/>
    </w:pPr>
    <w:rPr>
      <w:rFonts w:ascii="Arial Unicode MS" w:hAnsi="Arial Unicode MS" w:eastAsia="Times New Roman" w:cs="Arial Unicode MS"/>
      <w:kern w:val="0"/>
      <w:sz w:val="24"/>
    </w:rPr>
  </w:style>
  <w:style w:type="paragraph" w:customStyle="1" w:styleId="640">
    <w:name w:val="xl78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_GB2312" w:hAnsi="宋体" w:eastAsia="Times New Roman" w:cs="宋体"/>
      <w:color w:val="000000"/>
      <w:kern w:val="0"/>
      <w:sz w:val="20"/>
      <w:szCs w:val="20"/>
    </w:rPr>
  </w:style>
  <w:style w:type="paragraph" w:customStyle="1" w:styleId="641">
    <w:name w:val="xl98"/>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642">
    <w:name w:val="小标"/>
    <w:basedOn w:val="1"/>
    <w:qFormat/>
    <w:uiPriority w:val="0"/>
    <w:rPr>
      <w:rFonts w:ascii="黑体" w:eastAsia="黑体"/>
      <w:spacing w:val="20"/>
      <w:szCs w:val="20"/>
    </w:rPr>
  </w:style>
  <w:style w:type="paragraph" w:customStyle="1" w:styleId="643">
    <w:name w:val="xl1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644">
    <w:name w:val="模版正文"/>
    <w:basedOn w:val="1"/>
    <w:qFormat/>
    <w:uiPriority w:val="0"/>
    <w:pPr>
      <w:widowControl/>
      <w:adjustRightInd w:val="0"/>
      <w:snapToGrid w:val="0"/>
      <w:spacing w:line="440" w:lineRule="exact"/>
      <w:ind w:firstLine="200" w:firstLineChars="200"/>
      <w:jc w:val="left"/>
    </w:pPr>
    <w:rPr>
      <w:rFonts w:ascii="仿宋" w:hAnsi="仿宋" w:cs="宋体"/>
      <w:sz w:val="28"/>
      <w:szCs w:val="20"/>
    </w:rPr>
  </w:style>
  <w:style w:type="paragraph" w:customStyle="1" w:styleId="645">
    <w:name w:val="xl10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kern w:val="0"/>
      <w:sz w:val="20"/>
      <w:szCs w:val="20"/>
    </w:rPr>
  </w:style>
  <w:style w:type="paragraph" w:customStyle="1" w:styleId="646">
    <w:name w:val="xl11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647">
    <w:name w:val="xl7869"/>
    <w:basedOn w:val="1"/>
    <w:qFormat/>
    <w:uiPriority w:val="0"/>
    <w:pPr>
      <w:widowControl/>
      <w:spacing w:before="100" w:beforeAutospacing="1" w:after="100" w:afterAutospacing="1"/>
      <w:jc w:val="left"/>
      <w:textAlignment w:val="bottom"/>
    </w:pPr>
    <w:rPr>
      <w:rFonts w:ascii="宋体" w:hAnsi="宋体" w:cs="宋体"/>
      <w:color w:val="000000"/>
      <w:kern w:val="0"/>
      <w:sz w:val="20"/>
      <w:szCs w:val="20"/>
    </w:rPr>
  </w:style>
  <w:style w:type="paragraph" w:customStyle="1" w:styleId="648">
    <w:name w:val="样式 标题 4 + 段前: 0.5 行 段后: 0.5 行"/>
    <w:basedOn w:val="5"/>
    <w:qFormat/>
    <w:uiPriority w:val="0"/>
    <w:pPr>
      <w:tabs>
        <w:tab w:val="left" w:pos="360"/>
        <w:tab w:val="left" w:pos="1620"/>
      </w:tabs>
      <w:spacing w:before="100" w:beforeAutospacing="1" w:after="100" w:afterAutospacing="1" w:line="360" w:lineRule="auto"/>
      <w:ind w:left="1620" w:leftChars="600" w:hanging="360" w:hangingChars="200"/>
    </w:pPr>
    <w:rPr>
      <w:rFonts w:ascii="Arial" w:hAnsi="Arial" w:eastAsia="黑体" w:cs="宋体"/>
      <w:b w:val="0"/>
      <w:kern w:val="0"/>
      <w:sz w:val="24"/>
      <w:szCs w:val="20"/>
    </w:rPr>
  </w:style>
  <w:style w:type="paragraph" w:customStyle="1" w:styleId="649">
    <w:name w:val="xl162"/>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650">
    <w:name w:val="xl10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651">
    <w:name w:val="Char Char Char Char"/>
    <w:basedOn w:val="1"/>
    <w:qFormat/>
    <w:uiPriority w:val="0"/>
    <w:pPr>
      <w:tabs>
        <w:tab w:val="left" w:pos="360"/>
      </w:tabs>
      <w:ind w:firstLine="420" w:firstLineChars="150"/>
    </w:pPr>
    <w:rPr>
      <w:rFonts w:ascii="Arial" w:hAnsi="Arial" w:cs="Arial"/>
      <w:sz w:val="20"/>
      <w:szCs w:val="20"/>
    </w:rPr>
  </w:style>
  <w:style w:type="paragraph" w:customStyle="1" w:styleId="652">
    <w:name w:val="正文_1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653">
    <w:name w:val="biaoti1"/>
    <w:basedOn w:val="1"/>
    <w:qFormat/>
    <w:uiPriority w:val="0"/>
    <w:pPr>
      <w:widowControl/>
      <w:spacing w:before="100" w:beforeAutospacing="1" w:after="100" w:afterAutospacing="1"/>
      <w:jc w:val="left"/>
    </w:pPr>
    <w:rPr>
      <w:rFonts w:ascii="宋体" w:hAnsi="宋体" w:cs="宋体"/>
      <w:kern w:val="0"/>
      <w:sz w:val="24"/>
    </w:rPr>
  </w:style>
  <w:style w:type="paragraph" w:customStyle="1" w:styleId="654">
    <w:name w:val="样式 标题 4 + 段前: 0.5 行 段后: 0.5 行1"/>
    <w:basedOn w:val="5"/>
    <w:qFormat/>
    <w:uiPriority w:val="0"/>
    <w:pPr>
      <w:tabs>
        <w:tab w:val="left" w:pos="864"/>
      </w:tabs>
      <w:autoSpaceDE w:val="0"/>
      <w:spacing w:beforeLines="50" w:afterLines="50" w:line="360" w:lineRule="auto"/>
      <w:ind w:left="864" w:hanging="864"/>
    </w:pPr>
    <w:rPr>
      <w:rFonts w:ascii="??_GB2312" w:hAnsi="Arial" w:eastAsia="Times New Roman" w:cs="宋体"/>
      <w:kern w:val="0"/>
      <w:sz w:val="30"/>
      <w:szCs w:val="20"/>
    </w:rPr>
  </w:style>
  <w:style w:type="paragraph" w:customStyle="1" w:styleId="655">
    <w:name w:val="xl78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56">
    <w:name w:val="正文_3_0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657">
    <w:name w:val="xl120"/>
    <w:basedOn w:val="1"/>
    <w:qFormat/>
    <w:uiPriority w:val="0"/>
    <w:pPr>
      <w:widowControl/>
      <w:pBdr>
        <w:left w:val="single" w:color="auto" w:sz="4" w:space="0"/>
        <w:right w:val="single" w:color="auto" w:sz="4" w:space="0"/>
      </w:pBdr>
      <w:shd w:val="clear" w:color="auto" w:fill="FFFFFF"/>
      <w:spacing w:before="100" w:beforeAutospacing="1" w:after="100" w:afterAutospacing="1"/>
      <w:jc w:val="left"/>
      <w:textAlignment w:val="top"/>
    </w:pPr>
    <w:rPr>
      <w:rFonts w:ascii="MingLiU" w:hAnsi="MingLiU" w:eastAsia="MingLiU" w:cs="宋体"/>
      <w:kern w:val="0"/>
      <w:sz w:val="24"/>
    </w:rPr>
  </w:style>
  <w:style w:type="paragraph" w:customStyle="1" w:styleId="658">
    <w:name w:val="正文_3_0"/>
    <w:qFormat/>
    <w:uiPriority w:val="0"/>
    <w:pPr>
      <w:widowControl w:val="0"/>
      <w:suppressAutoHyphens/>
      <w:jc w:val="both"/>
    </w:pPr>
    <w:rPr>
      <w:rFonts w:ascii="Times New Roman" w:hAnsi="Times New Roman" w:eastAsia="宋体;SimSun" w:cs="Times New Roman"/>
      <w:kern w:val="2"/>
      <w:sz w:val="21"/>
      <w:szCs w:val="21"/>
      <w:lang w:val="en-US" w:eastAsia="zh-CN" w:bidi="ar-SA"/>
    </w:rPr>
  </w:style>
  <w:style w:type="paragraph" w:customStyle="1" w:styleId="659">
    <w:name w:val="xl10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微软雅黑" w:hAnsi="微软雅黑" w:eastAsia="微软雅黑" w:cs="宋体"/>
      <w:kern w:val="0"/>
      <w:sz w:val="20"/>
      <w:szCs w:val="20"/>
    </w:rPr>
  </w:style>
  <w:style w:type="paragraph" w:customStyle="1" w:styleId="660">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Times New Roman" w:cs="Arial Unicode MS"/>
      <w:kern w:val="0"/>
      <w:sz w:val="28"/>
      <w:szCs w:val="28"/>
    </w:rPr>
  </w:style>
  <w:style w:type="paragraph" w:customStyle="1" w:styleId="661">
    <w:name w:val="xl1062"/>
    <w:basedOn w:val="1"/>
    <w:qFormat/>
    <w:uiPriority w:val="0"/>
    <w:pPr>
      <w:widowControl/>
      <w:spacing w:before="100" w:beforeAutospacing="1" w:after="100" w:afterAutospacing="1"/>
      <w:jc w:val="center"/>
    </w:pPr>
    <w:rPr>
      <w:rFonts w:ascii="宋体" w:hAnsi="宋体" w:cs="宋体"/>
      <w:b/>
      <w:bCs/>
      <w:kern w:val="0"/>
      <w:sz w:val="32"/>
      <w:szCs w:val="32"/>
    </w:rPr>
  </w:style>
  <w:style w:type="paragraph" w:customStyle="1" w:styleId="662">
    <w:name w:val="xl110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b/>
      <w:bCs/>
      <w:kern w:val="0"/>
      <w:sz w:val="20"/>
      <w:szCs w:val="20"/>
    </w:rPr>
  </w:style>
  <w:style w:type="paragraph" w:customStyle="1" w:styleId="663">
    <w:name w:val="xl37"/>
    <w:basedOn w:val="1"/>
    <w:qFormat/>
    <w:uiPriority w:val="0"/>
    <w:pPr>
      <w:widowControl/>
      <w:pBdr>
        <w:top w:val="single" w:color="auto" w:sz="4" w:space="0"/>
        <w:right w:val="single" w:color="auto" w:sz="4" w:space="0"/>
      </w:pBdr>
      <w:spacing w:before="100" w:beforeAutospacing="1" w:after="100" w:afterAutospacing="1"/>
      <w:jc w:val="center"/>
    </w:pPr>
    <w:rPr>
      <w:rFonts w:ascii="Arial Unicode MS" w:hAnsi="Arial Unicode MS" w:eastAsia="Times New Roman" w:cs="Arial Unicode MS"/>
      <w:kern w:val="0"/>
      <w:sz w:val="28"/>
      <w:szCs w:val="28"/>
    </w:rPr>
  </w:style>
  <w:style w:type="paragraph" w:customStyle="1" w:styleId="664">
    <w:name w:val="text_12_black"/>
    <w:basedOn w:val="1"/>
    <w:qFormat/>
    <w:uiPriority w:val="0"/>
    <w:pPr>
      <w:widowControl/>
      <w:spacing w:before="100" w:beforeAutospacing="1" w:after="100" w:afterAutospacing="1" w:line="300" w:lineRule="atLeast"/>
      <w:jc w:val="left"/>
    </w:pPr>
    <w:rPr>
      <w:rFonts w:ascii="??" w:hAnsi="??" w:cs="宋体"/>
      <w:color w:val="333333"/>
      <w:kern w:val="0"/>
      <w:sz w:val="18"/>
      <w:szCs w:val="18"/>
    </w:rPr>
  </w:style>
  <w:style w:type="paragraph" w:customStyle="1" w:styleId="665">
    <w:name w:val="编号2级"/>
    <w:qFormat/>
    <w:uiPriority w:val="0"/>
    <w:pPr>
      <w:spacing w:afterLines="20" w:line="400" w:lineRule="exact"/>
    </w:pPr>
    <w:rPr>
      <w:rFonts w:ascii="Times New Roman" w:hAnsi="Times New Roman" w:eastAsia="宋体" w:cs="Times New Roman"/>
      <w:kern w:val="2"/>
      <w:sz w:val="24"/>
      <w:szCs w:val="24"/>
      <w:lang w:val="en-US" w:eastAsia="zh-CN" w:bidi="ar-SA"/>
    </w:rPr>
  </w:style>
  <w:style w:type="paragraph" w:customStyle="1" w:styleId="666">
    <w:name w:val="xl96"/>
    <w:basedOn w:val="1"/>
    <w:qFormat/>
    <w:uiPriority w:val="0"/>
    <w:pPr>
      <w:widowControl/>
      <w:pBdr>
        <w:right w:val="single" w:color="auto" w:sz="4" w:space="0"/>
      </w:pBdr>
      <w:shd w:val="clear" w:color="auto" w:fill="FFFF00"/>
      <w:spacing w:before="100" w:beforeAutospacing="1" w:after="100" w:afterAutospacing="1"/>
      <w:jc w:val="center"/>
    </w:pPr>
    <w:rPr>
      <w:rFonts w:ascii="宋体" w:hAnsi="宋体" w:cs="宋体"/>
      <w:kern w:val="0"/>
      <w:sz w:val="24"/>
    </w:rPr>
  </w:style>
  <w:style w:type="paragraph" w:customStyle="1" w:styleId="667">
    <w:name w:val="xl103"/>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668">
    <w:name w:val="表格侧编号"/>
    <w:next w:val="1"/>
    <w:qFormat/>
    <w:uiPriority w:val="0"/>
    <w:pPr>
      <w:widowControl w:val="0"/>
      <w:adjustRightInd w:val="0"/>
      <w:snapToGrid w:val="0"/>
      <w:spacing w:before="40" w:after="20" w:line="240" w:lineRule="atLeast"/>
      <w:jc w:val="center"/>
      <w:textAlignment w:val="baseline"/>
    </w:pPr>
    <w:rPr>
      <w:rFonts w:ascii="Arial" w:hAnsi="Arial" w:eastAsia="宋体" w:cs="Times New Roman"/>
      <w:sz w:val="24"/>
      <w:szCs w:val="24"/>
      <w:lang w:val="en-US" w:eastAsia="zh-CN" w:bidi="ar-SA"/>
    </w:rPr>
  </w:style>
  <w:style w:type="paragraph" w:customStyle="1" w:styleId="669">
    <w:name w:val="tll"/>
    <w:basedOn w:val="1"/>
    <w:qFormat/>
    <w:uiPriority w:val="0"/>
    <w:pPr>
      <w:autoSpaceDE w:val="0"/>
      <w:autoSpaceDN w:val="0"/>
      <w:adjustRightInd w:val="0"/>
      <w:jc w:val="left"/>
      <w:textAlignment w:val="baseline"/>
    </w:pPr>
    <w:rPr>
      <w:rFonts w:ascii="??_GB2312" w:hAnsi="Arial" w:eastAsia="Times New Roman"/>
      <w:kern w:val="0"/>
      <w:szCs w:val="21"/>
    </w:rPr>
  </w:style>
  <w:style w:type="paragraph" w:customStyle="1" w:styleId="670">
    <w:name w:val="正文文本缩进_0_0"/>
    <w:basedOn w:val="658"/>
    <w:qFormat/>
    <w:uiPriority w:val="0"/>
    <w:pPr>
      <w:spacing w:line="500" w:lineRule="exact"/>
      <w:ind w:left="1588" w:firstLine="433"/>
    </w:pPr>
    <w:rPr>
      <w:rFonts w:ascii="Calibri" w:hAnsi="Calibri" w:cs="Calibri"/>
      <w:sz w:val="24"/>
      <w:szCs w:val="24"/>
    </w:rPr>
  </w:style>
  <w:style w:type="paragraph" w:customStyle="1" w:styleId="671">
    <w:name w:val="style2"/>
    <w:basedOn w:val="1"/>
    <w:qFormat/>
    <w:uiPriority w:val="0"/>
    <w:pPr>
      <w:widowControl/>
      <w:spacing w:before="100" w:beforeAutospacing="1" w:after="100" w:afterAutospacing="1"/>
      <w:jc w:val="left"/>
    </w:pPr>
    <w:rPr>
      <w:rFonts w:ascii="宋体" w:hAnsi="宋体" w:cs="宋体"/>
      <w:kern w:val="0"/>
      <w:sz w:val="24"/>
    </w:rPr>
  </w:style>
  <w:style w:type="paragraph" w:customStyle="1" w:styleId="672">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73">
    <w:name w:val="样式 标题 1H1Header1h1标题4L1bocLevel 1 Topic Heading标书1Secti..."/>
    <w:basedOn w:val="3"/>
    <w:qFormat/>
    <w:uiPriority w:val="0"/>
    <w:pPr>
      <w:pageBreakBefore/>
      <w:tabs>
        <w:tab w:val="left" w:pos="425"/>
      </w:tabs>
      <w:adjustRightInd/>
      <w:spacing w:before="100" w:beforeAutospacing="1" w:afterLines="100" w:line="360" w:lineRule="auto"/>
      <w:ind w:left="425" w:hanging="425"/>
      <w:textAlignment w:val="auto"/>
    </w:pPr>
    <w:rPr>
      <w:rFonts w:eastAsia="黑体" w:cs="宋体"/>
      <w:bCs/>
      <w:sz w:val="44"/>
    </w:rPr>
  </w:style>
  <w:style w:type="paragraph" w:customStyle="1" w:styleId="674">
    <w:name w:val="Char Char Char Char Char Char Char"/>
    <w:basedOn w:val="1"/>
    <w:qFormat/>
    <w:uiPriority w:val="0"/>
  </w:style>
  <w:style w:type="paragraph" w:customStyle="1" w:styleId="675">
    <w:name w:val="xl1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76">
    <w:name w:val="表中5"/>
    <w:qFormat/>
    <w:uiPriority w:val="0"/>
    <w:pPr>
      <w:jc w:val="center"/>
    </w:pPr>
    <w:rPr>
      <w:rFonts w:ascii="Times New Roman" w:hAnsi="Times New Roman" w:eastAsia="宋体" w:cs="Times New Roman"/>
      <w:kern w:val="2"/>
      <w:sz w:val="21"/>
      <w:szCs w:val="28"/>
      <w:lang w:val="en-US" w:eastAsia="zh-CN" w:bidi="ar-SA"/>
    </w:rPr>
  </w:style>
  <w:style w:type="paragraph" w:customStyle="1" w:styleId="677">
    <w:name w:val="日期1"/>
    <w:basedOn w:val="1"/>
    <w:next w:val="1"/>
    <w:qFormat/>
    <w:uiPriority w:val="0"/>
    <w:pPr>
      <w:adjustRightInd w:val="0"/>
      <w:spacing w:line="360" w:lineRule="atLeast"/>
      <w:textAlignment w:val="baseline"/>
    </w:pPr>
    <w:rPr>
      <w:rFonts w:ascii="宋体"/>
      <w:kern w:val="0"/>
      <w:sz w:val="28"/>
      <w:szCs w:val="20"/>
    </w:rPr>
  </w:style>
  <w:style w:type="paragraph" w:customStyle="1" w:styleId="678">
    <w:name w:val="Absatz2AL"/>
    <w:basedOn w:val="27"/>
    <w:next w:val="1"/>
    <w:qFormat/>
    <w:uiPriority w:val="0"/>
    <w:pPr>
      <w:widowControl/>
      <w:overflowPunct w:val="0"/>
      <w:spacing w:line="240" w:lineRule="auto"/>
      <w:jc w:val="both"/>
      <w:textAlignment w:val="baseline"/>
    </w:pPr>
    <w:rPr>
      <w:rFonts w:ascii="Times New Roman" w:eastAsia="楷体_GB2312"/>
      <w:color w:val="auto"/>
      <w:sz w:val="24"/>
      <w:szCs w:val="20"/>
    </w:rPr>
  </w:style>
  <w:style w:type="paragraph" w:customStyle="1" w:styleId="679">
    <w:name w:val="xl1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80">
    <w:name w:val="text_12_subject"/>
    <w:basedOn w:val="1"/>
    <w:qFormat/>
    <w:uiPriority w:val="0"/>
    <w:pPr>
      <w:widowControl/>
      <w:spacing w:before="100" w:beforeAutospacing="1" w:after="100" w:afterAutospacing="1"/>
      <w:jc w:val="left"/>
    </w:pPr>
    <w:rPr>
      <w:rFonts w:ascii="??" w:hAnsi="??" w:cs="宋体"/>
      <w:b/>
      <w:bCs/>
      <w:color w:val="006699"/>
      <w:kern w:val="0"/>
      <w:sz w:val="18"/>
      <w:szCs w:val="18"/>
    </w:rPr>
  </w:style>
  <w:style w:type="paragraph" w:customStyle="1" w:styleId="681">
    <w:name w:val="说明正文"/>
    <w:basedOn w:val="1"/>
    <w:qFormat/>
    <w:uiPriority w:val="0"/>
    <w:pPr>
      <w:spacing w:line="360" w:lineRule="auto"/>
      <w:ind w:firstLine="480" w:firstLineChars="200"/>
    </w:pPr>
    <w:rPr>
      <w:rFonts w:ascii="宋体" w:hAnsi="宋体"/>
      <w:sz w:val="24"/>
    </w:rPr>
  </w:style>
  <w:style w:type="paragraph" w:customStyle="1" w:styleId="682">
    <w:name w:val="xl48"/>
    <w:basedOn w:val="1"/>
    <w:qFormat/>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pPr>
    <w:rPr>
      <w:rFonts w:ascii="Arial Unicode MS" w:hAnsi="Arial Unicode MS" w:eastAsia="Times New Roman" w:cs="Arial Unicode MS"/>
      <w:kern w:val="0"/>
      <w:sz w:val="28"/>
      <w:szCs w:val="28"/>
    </w:rPr>
  </w:style>
  <w:style w:type="paragraph" w:customStyle="1" w:styleId="683">
    <w:name w:val="CM20"/>
    <w:basedOn w:val="28"/>
    <w:next w:val="28"/>
    <w:qFormat/>
    <w:uiPriority w:val="0"/>
    <w:pPr>
      <w:spacing w:after="115"/>
    </w:pPr>
    <w:rPr>
      <w:rFonts w:ascii=".a..DD.." w:eastAsia=".a..DD.."/>
      <w:color w:val="auto"/>
      <w:szCs w:val="24"/>
    </w:rPr>
  </w:style>
  <w:style w:type="paragraph" w:customStyle="1" w:styleId="684">
    <w:name w:val="font5"/>
    <w:basedOn w:val="1"/>
    <w:qFormat/>
    <w:uiPriority w:val="0"/>
    <w:pPr>
      <w:widowControl/>
      <w:spacing w:before="100" w:beforeAutospacing="1" w:after="100" w:afterAutospacing="1"/>
      <w:jc w:val="left"/>
    </w:pPr>
    <w:rPr>
      <w:rFonts w:ascii="宋体" w:hAnsi="宋体" w:cs="Arial Unicode MS"/>
      <w:kern w:val="0"/>
      <w:sz w:val="18"/>
      <w:szCs w:val="18"/>
    </w:rPr>
  </w:style>
  <w:style w:type="paragraph" w:customStyle="1" w:styleId="685">
    <w:name w:val="xl25"/>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Arial Unicode MS" w:hAnsi="Arial Unicode MS" w:eastAsia="Times New Roman" w:cs="Arial Unicode MS"/>
      <w:kern w:val="0"/>
      <w:sz w:val="28"/>
      <w:szCs w:val="28"/>
    </w:rPr>
  </w:style>
  <w:style w:type="paragraph" w:customStyle="1" w:styleId="686">
    <w:name w:val="font13"/>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687">
    <w:name w:val="xl93"/>
    <w:basedOn w:val="1"/>
    <w:qFormat/>
    <w:uiPriority w:val="0"/>
    <w:pPr>
      <w:widowControl/>
      <w:pBdr>
        <w:top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688">
    <w:name w:val="xl23"/>
    <w:basedOn w:val="1"/>
    <w:qFormat/>
    <w:uiPriority w:val="0"/>
    <w:pPr>
      <w:widowControl/>
      <w:spacing w:before="100" w:beforeAutospacing="1" w:after="100" w:afterAutospacing="1"/>
      <w:jc w:val="center"/>
    </w:pPr>
    <w:rPr>
      <w:rFonts w:eastAsia="Times New Roman"/>
      <w:kern w:val="0"/>
      <w:szCs w:val="21"/>
    </w:rPr>
  </w:style>
  <w:style w:type="paragraph" w:customStyle="1" w:styleId="689">
    <w:name w:val="xl109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微软雅黑" w:hAnsi="微软雅黑" w:eastAsia="微软雅黑" w:cs="宋体"/>
      <w:b/>
      <w:bCs/>
      <w:kern w:val="0"/>
      <w:sz w:val="20"/>
      <w:szCs w:val="20"/>
    </w:rPr>
  </w:style>
  <w:style w:type="paragraph" w:customStyle="1" w:styleId="690">
    <w:name w:val="正文(首行缩进）"/>
    <w:basedOn w:val="1"/>
    <w:qFormat/>
    <w:uiPriority w:val="0"/>
    <w:pPr>
      <w:adjustRightInd w:val="0"/>
      <w:snapToGrid w:val="0"/>
      <w:spacing w:line="288" w:lineRule="auto"/>
      <w:ind w:firstLine="200"/>
      <w:jc w:val="left"/>
      <w:textAlignment w:val="baseline"/>
    </w:pPr>
    <w:rPr>
      <w:rFonts w:ascii="宋体" w:hAnsi="宋体"/>
      <w:kern w:val="0"/>
      <w:sz w:val="24"/>
    </w:rPr>
  </w:style>
  <w:style w:type="paragraph" w:customStyle="1" w:styleId="691">
    <w:name w:val="样式3"/>
    <w:qFormat/>
    <w:uiPriority w:val="0"/>
    <w:pPr>
      <w:spacing w:line="300" w:lineRule="auto"/>
    </w:pPr>
    <w:rPr>
      <w:rFonts w:ascii="Times New Roman" w:hAnsi="Times New Roman" w:eastAsia="宋体" w:cs="Times New Roman"/>
      <w:lang w:val="en-US" w:eastAsia="zh-CN" w:bidi="ar-SA"/>
    </w:rPr>
  </w:style>
  <w:style w:type="paragraph" w:customStyle="1" w:styleId="692">
    <w:name w:val="xl110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93">
    <w:name w:val="_Style 20"/>
    <w:basedOn w:val="1"/>
    <w:qFormat/>
    <w:uiPriority w:val="0"/>
    <w:rPr>
      <w:rFonts w:ascii="Tahoma" w:hAnsi="Tahoma"/>
      <w:sz w:val="24"/>
      <w:szCs w:val="20"/>
    </w:rPr>
  </w:style>
  <w:style w:type="paragraph" w:customStyle="1" w:styleId="694">
    <w:name w:val="版权所有"/>
    <w:basedOn w:val="1"/>
    <w:qFormat/>
    <w:uiPriority w:val="0"/>
    <w:pPr>
      <w:spacing w:beforeLines="100" w:afterLines="100" w:line="360" w:lineRule="auto"/>
    </w:pPr>
    <w:rPr>
      <w:rFonts w:ascii="Arial" w:hAnsi="Arial" w:eastAsia="黑体"/>
      <w:b/>
      <w:sz w:val="30"/>
      <w:u w:val="single"/>
    </w:rPr>
  </w:style>
  <w:style w:type="paragraph" w:customStyle="1" w:styleId="695">
    <w:name w:val="xl91"/>
    <w:basedOn w:val="1"/>
    <w:qFormat/>
    <w:uiPriority w:val="0"/>
    <w:pPr>
      <w:widowControl/>
      <w:pBdr>
        <w:left w:val="single" w:color="auto" w:sz="4" w:space="0"/>
        <w:right w:val="single" w:color="auto" w:sz="4" w:space="0"/>
      </w:pBdr>
      <w:shd w:val="clear" w:color="auto" w:fill="FFFFFF"/>
      <w:spacing w:before="100" w:beforeAutospacing="1" w:after="100" w:afterAutospacing="1"/>
      <w:jc w:val="left"/>
    </w:pPr>
    <w:rPr>
      <w:rFonts w:ascii="宋体" w:hAnsi="宋体" w:cs="宋体"/>
      <w:kern w:val="0"/>
      <w:sz w:val="24"/>
    </w:rPr>
  </w:style>
  <w:style w:type="paragraph" w:customStyle="1" w:styleId="696">
    <w:name w:val="xl1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697">
    <w:name w:val="xl33"/>
    <w:basedOn w:val="1"/>
    <w:qFormat/>
    <w:uiPriority w:val="0"/>
    <w:pPr>
      <w:widowControl/>
      <w:pBdr>
        <w:top w:val="single" w:color="auto" w:sz="4" w:space="0"/>
        <w:right w:val="single" w:color="auto" w:sz="8" w:space="0"/>
      </w:pBdr>
      <w:spacing w:before="100" w:beforeAutospacing="1" w:after="100" w:afterAutospacing="1"/>
      <w:jc w:val="right"/>
    </w:pPr>
    <w:rPr>
      <w:rFonts w:ascii="Arial Unicode MS" w:hAnsi="Arial Unicode MS" w:eastAsia="Times New Roman" w:cs="Arial Unicode MS"/>
      <w:kern w:val="0"/>
      <w:sz w:val="28"/>
      <w:szCs w:val="28"/>
    </w:rPr>
  </w:style>
  <w:style w:type="paragraph" w:customStyle="1" w:styleId="698">
    <w:name w:val="表头"/>
    <w:basedOn w:val="1"/>
    <w:qFormat/>
    <w:uiPriority w:val="0"/>
    <w:pPr>
      <w:autoSpaceDE w:val="0"/>
      <w:autoSpaceDN w:val="0"/>
      <w:adjustRightInd w:val="0"/>
      <w:jc w:val="center"/>
    </w:pPr>
    <w:rPr>
      <w:rFonts w:ascii="Arial" w:hAnsi="Arial"/>
      <w:kern w:val="0"/>
      <w:sz w:val="18"/>
    </w:rPr>
  </w:style>
  <w:style w:type="paragraph" w:customStyle="1" w:styleId="699">
    <w:name w:val="CM19"/>
    <w:basedOn w:val="28"/>
    <w:next w:val="28"/>
    <w:qFormat/>
    <w:uiPriority w:val="0"/>
    <w:pPr>
      <w:spacing w:line="440" w:lineRule="atLeast"/>
    </w:pPr>
    <w:rPr>
      <w:rFonts w:ascii="方正小标宋简体" w:eastAsia="方正小标宋简体"/>
      <w:color w:val="auto"/>
      <w:szCs w:val="24"/>
    </w:rPr>
  </w:style>
  <w:style w:type="paragraph" w:customStyle="1" w:styleId="700">
    <w:name w:val="xl131"/>
    <w:basedOn w:val="1"/>
    <w:qFormat/>
    <w:uiPriority w:val="0"/>
    <w:pPr>
      <w:widowControl/>
      <w:pBdr>
        <w:top w:val="single" w:color="auto" w:sz="4" w:space="0"/>
        <w:left w:val="single" w:color="auto" w:sz="4" w:space="0"/>
        <w:bottom w:val="single" w:color="auto" w:sz="4" w:space="0"/>
        <w:right w:val="single" w:color="auto" w:sz="8" w:space="0"/>
      </w:pBdr>
      <w:shd w:val="clear" w:color="000000" w:fill="BFBFBF"/>
      <w:spacing w:before="100" w:beforeAutospacing="1" w:after="100" w:afterAutospacing="1"/>
      <w:jc w:val="center"/>
    </w:pPr>
    <w:rPr>
      <w:b/>
      <w:bCs/>
      <w:kern w:val="0"/>
      <w:sz w:val="20"/>
      <w:szCs w:val="20"/>
    </w:rPr>
  </w:style>
  <w:style w:type="paragraph" w:customStyle="1" w:styleId="701">
    <w:name w:val="xl100"/>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702">
    <w:name w:val="二级大纲"/>
    <w:next w:val="142"/>
    <w:qFormat/>
    <w:uiPriority w:val="0"/>
    <w:pPr>
      <w:numPr>
        <w:ilvl w:val="1"/>
        <w:numId w:val="3"/>
      </w:numPr>
      <w:tabs>
        <w:tab w:val="left" w:pos="840"/>
      </w:tabs>
      <w:ind w:left="840" w:hanging="420"/>
      <w:outlineLvl w:val="1"/>
    </w:pPr>
    <w:rPr>
      <w:rFonts w:ascii="Calibri" w:hAnsi="Calibri" w:eastAsia="宋体" w:cs="Times New Roman"/>
      <w:b/>
      <w:kern w:val="2"/>
      <w:sz w:val="36"/>
      <w:szCs w:val="22"/>
      <w:lang w:val="en-US" w:eastAsia="zh-CN" w:bidi="ar-SA"/>
    </w:rPr>
  </w:style>
  <w:style w:type="paragraph" w:customStyle="1" w:styleId="703">
    <w:name w:val="xl34"/>
    <w:basedOn w:val="1"/>
    <w:qFormat/>
    <w:uiPriority w:val="0"/>
    <w:pPr>
      <w:widowControl/>
      <w:pBdr>
        <w:top w:val="single" w:color="auto" w:sz="4" w:space="0"/>
        <w:bottom w:val="single" w:color="auto" w:sz="4" w:space="0"/>
      </w:pBdr>
      <w:spacing w:before="100" w:beforeAutospacing="1" w:after="100" w:afterAutospacing="1"/>
      <w:jc w:val="center"/>
    </w:pPr>
    <w:rPr>
      <w:rFonts w:ascii="Arial Unicode MS" w:hAnsi="Arial Unicode MS" w:eastAsia="Times New Roman" w:cs="Arial Unicode MS"/>
      <w:kern w:val="0"/>
      <w:sz w:val="28"/>
      <w:szCs w:val="28"/>
    </w:rPr>
  </w:style>
  <w:style w:type="paragraph" w:customStyle="1" w:styleId="704">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Arial Unicode MS" w:hAnsi="Arial Unicode MS" w:eastAsia="Times New Roman" w:cs="Arial Unicode MS"/>
      <w:kern w:val="0"/>
      <w:sz w:val="28"/>
      <w:szCs w:val="28"/>
    </w:rPr>
  </w:style>
  <w:style w:type="paragraph" w:customStyle="1" w:styleId="705">
    <w:name w:val="xl78"/>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24"/>
    </w:rPr>
  </w:style>
  <w:style w:type="paragraph" w:customStyle="1" w:styleId="706">
    <w:name w:val="xl64"/>
    <w:basedOn w:val="1"/>
    <w:qFormat/>
    <w:uiPriority w:val="0"/>
    <w:pPr>
      <w:widowControl/>
      <w:pBdr>
        <w:top w:val="single" w:color="auto" w:sz="4" w:space="0"/>
        <w:right w:val="single" w:color="auto" w:sz="4" w:space="0"/>
      </w:pBdr>
      <w:spacing w:before="100" w:beforeAutospacing="1" w:after="100" w:afterAutospacing="1"/>
      <w:jc w:val="center"/>
    </w:pPr>
    <w:rPr>
      <w:rFonts w:ascii="Arial Unicode MS" w:hAnsi="Arial Unicode MS" w:eastAsia="Times New Roman" w:cs="Arial Unicode MS"/>
      <w:b/>
      <w:bCs/>
      <w:kern w:val="0"/>
      <w:sz w:val="28"/>
      <w:szCs w:val="28"/>
    </w:rPr>
  </w:style>
  <w:style w:type="paragraph" w:customStyle="1" w:styleId="707">
    <w:name w:val="警告"/>
    <w:basedOn w:val="1"/>
    <w:next w:val="108"/>
    <w:qFormat/>
    <w:uiPriority w:val="0"/>
    <w:pPr>
      <w:numPr>
        <w:ilvl w:val="0"/>
        <w:numId w:val="10"/>
      </w:numPr>
      <w:shd w:val="clear" w:color="auto" w:fill="FFD1D1"/>
      <w:spacing w:beforeLines="100" w:afterLines="100"/>
      <w:ind w:left="425" w:hanging="425" w:firstLineChars="200"/>
      <w:jc w:val="left"/>
    </w:pPr>
    <w:rPr>
      <w:rFonts w:ascii="Tahoma" w:hAnsi="Tahoma" w:eastAsia="楷体_GB2312"/>
      <w:color w:val="000000"/>
      <w:sz w:val="28"/>
      <w:szCs w:val="21"/>
    </w:rPr>
  </w:style>
  <w:style w:type="paragraph" w:customStyle="1" w:styleId="708">
    <w:name w:val="xl68"/>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pPr>
    <w:rPr>
      <w:rFonts w:ascii="Arial Unicode MS" w:hAnsi="Arial Unicode MS" w:eastAsia="Times New Roman" w:cs="Arial Unicode MS"/>
      <w:b/>
      <w:bCs/>
      <w:kern w:val="0"/>
      <w:sz w:val="20"/>
      <w:szCs w:val="20"/>
    </w:rPr>
  </w:style>
  <w:style w:type="paragraph" w:customStyle="1" w:styleId="709">
    <w:name w:val="Char Char Char"/>
    <w:basedOn w:val="1"/>
    <w:qFormat/>
    <w:uiPriority w:val="0"/>
    <w:rPr>
      <w:rFonts w:ascii="Tahoma" w:hAnsi="Tahoma" w:cs="Angsana New"/>
      <w:sz w:val="24"/>
      <w:szCs w:val="20"/>
    </w:rPr>
  </w:style>
  <w:style w:type="paragraph" w:customStyle="1" w:styleId="710">
    <w:name w:val="xl10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微软雅黑" w:hAnsi="微软雅黑" w:eastAsia="微软雅黑" w:cs="宋体"/>
      <w:kern w:val="0"/>
      <w:sz w:val="20"/>
      <w:szCs w:val="20"/>
    </w:rPr>
  </w:style>
  <w:style w:type="paragraph" w:customStyle="1" w:styleId="711">
    <w:name w:val="xl123"/>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712">
    <w:name w:val="一级"/>
    <w:basedOn w:val="142"/>
    <w:next w:val="142"/>
    <w:qFormat/>
    <w:uiPriority w:val="0"/>
    <w:pPr>
      <w:tabs>
        <w:tab w:val="left" w:pos="360"/>
        <w:tab w:val="left" w:pos="780"/>
      </w:tabs>
      <w:ind w:left="780" w:hanging="360" w:firstLineChars="0"/>
      <w:jc w:val="center"/>
      <w:outlineLvl w:val="0"/>
    </w:pPr>
    <w:rPr>
      <w:b/>
      <w:sz w:val="44"/>
    </w:rPr>
  </w:style>
  <w:style w:type="paragraph" w:customStyle="1" w:styleId="713">
    <w:name w:val="xl154"/>
    <w:basedOn w:val="1"/>
    <w:qFormat/>
    <w:uiPriority w:val="0"/>
    <w:pPr>
      <w:widowControl/>
      <w:spacing w:before="100" w:beforeAutospacing="1" w:after="100" w:afterAutospacing="1"/>
      <w:jc w:val="center"/>
    </w:pPr>
    <w:rPr>
      <w:rFonts w:ascii="宋体" w:hAnsi="宋体" w:cs="宋体"/>
      <w:kern w:val="0"/>
      <w:sz w:val="24"/>
    </w:rPr>
  </w:style>
  <w:style w:type="paragraph" w:customStyle="1" w:styleId="714">
    <w:name w:val="CM3"/>
    <w:basedOn w:val="28"/>
    <w:next w:val="28"/>
    <w:qFormat/>
    <w:uiPriority w:val="0"/>
    <w:pPr>
      <w:spacing w:line="626" w:lineRule="atLeast"/>
    </w:pPr>
    <w:rPr>
      <w:rFonts w:ascii=".a..DD.." w:eastAsia=".a..DD.."/>
      <w:color w:val="auto"/>
      <w:szCs w:val="24"/>
    </w:rPr>
  </w:style>
  <w:style w:type="paragraph" w:customStyle="1" w:styleId="715">
    <w:name w:val="xl30"/>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Times New Roman" w:cs="Arial Unicode MS"/>
      <w:kern w:val="0"/>
      <w:sz w:val="28"/>
      <w:szCs w:val="28"/>
    </w:rPr>
  </w:style>
  <w:style w:type="paragraph" w:customStyle="1" w:styleId="716">
    <w:name w:val="样式1"/>
    <w:basedOn w:val="1"/>
    <w:qFormat/>
    <w:uiPriority w:val="0"/>
    <w:pPr>
      <w:keepNext/>
      <w:keepLines/>
      <w:tabs>
        <w:tab w:val="left" w:pos="839"/>
      </w:tabs>
      <w:spacing w:before="100" w:beforeAutospacing="1" w:after="100" w:afterAutospacing="1" w:line="360" w:lineRule="auto"/>
      <w:ind w:left="839" w:hanging="419"/>
      <w:outlineLvl w:val="1"/>
    </w:pPr>
    <w:rPr>
      <w:rFonts w:ascii="Arial" w:hAnsi="Arial" w:eastAsia="黑体" w:cs="宋体"/>
      <w:b/>
      <w:sz w:val="32"/>
      <w:szCs w:val="20"/>
    </w:rPr>
  </w:style>
  <w:style w:type="paragraph" w:customStyle="1" w:styleId="717">
    <w:name w:val="xl1089"/>
    <w:basedOn w:val="1"/>
    <w:qFormat/>
    <w:uiPriority w:val="0"/>
    <w:pPr>
      <w:widowControl/>
      <w:pBdr>
        <w:left w:val="single" w:color="auto" w:sz="4" w:space="0"/>
        <w:right w:val="single" w:color="auto" w:sz="4" w:space="0"/>
      </w:pBdr>
      <w:spacing w:before="100" w:beforeAutospacing="1" w:after="100" w:afterAutospacing="1"/>
      <w:jc w:val="center"/>
    </w:pPr>
    <w:rPr>
      <w:rFonts w:ascii="微软雅黑" w:hAnsi="微软雅黑" w:eastAsia="微软雅黑" w:cs="宋体"/>
      <w:b/>
      <w:bCs/>
      <w:kern w:val="0"/>
      <w:sz w:val="20"/>
      <w:szCs w:val="20"/>
    </w:rPr>
  </w:style>
  <w:style w:type="paragraph" w:customStyle="1" w:styleId="718">
    <w:name w:val="列表段落1"/>
    <w:basedOn w:val="1"/>
    <w:qFormat/>
    <w:uiPriority w:val="0"/>
    <w:pPr>
      <w:ind w:firstLine="420" w:firstLineChars="200"/>
    </w:pPr>
    <w:rPr>
      <w:rFonts w:ascii="宋体" w:hAnsi="宋体" w:cs="宋体"/>
      <w:bCs/>
      <w:color w:val="000000"/>
      <w:kern w:val="0"/>
      <w:sz w:val="24"/>
      <w:u w:val="single"/>
    </w:rPr>
  </w:style>
  <w:style w:type="paragraph" w:customStyle="1" w:styleId="719">
    <w:name w:val="xl11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top"/>
    </w:pPr>
    <w:rPr>
      <w:rFonts w:ascii="宋体" w:hAnsi="宋体" w:cs="宋体"/>
      <w:kern w:val="0"/>
      <w:sz w:val="24"/>
    </w:rPr>
  </w:style>
  <w:style w:type="paragraph" w:customStyle="1" w:styleId="720">
    <w:name w:val="10"/>
    <w:basedOn w:val="1"/>
    <w:qFormat/>
    <w:uiPriority w:val="0"/>
    <w:pPr>
      <w:spacing w:line="360" w:lineRule="auto"/>
      <w:ind w:firstLine="454"/>
    </w:pPr>
    <w:rPr>
      <w:rFonts w:ascii="Tahoma" w:hAnsi="Tahoma"/>
      <w:sz w:val="24"/>
      <w:szCs w:val="20"/>
    </w:rPr>
  </w:style>
  <w:style w:type="paragraph" w:customStyle="1" w:styleId="721">
    <w:name w:val="xl85"/>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722">
    <w:name w:val="xl45"/>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Arial Unicode MS" w:hAnsi="Arial Unicode MS" w:eastAsia="Times New Roman" w:cs="Arial Unicode MS"/>
      <w:kern w:val="0"/>
      <w:sz w:val="28"/>
      <w:szCs w:val="28"/>
    </w:rPr>
  </w:style>
  <w:style w:type="paragraph" w:customStyle="1" w:styleId="723">
    <w:name w:val="xl56"/>
    <w:basedOn w:val="1"/>
    <w:qFormat/>
    <w:uiPriority w:val="0"/>
    <w:pPr>
      <w:widowControl/>
      <w:pBdr>
        <w:top w:val="single" w:color="auto" w:sz="4" w:space="0"/>
        <w:left w:val="single" w:color="auto" w:sz="4" w:space="0"/>
        <w:bottom w:val="single" w:color="auto" w:sz="8" w:space="0"/>
      </w:pBdr>
      <w:spacing w:before="100" w:beforeAutospacing="1" w:after="100" w:afterAutospacing="1"/>
      <w:jc w:val="left"/>
    </w:pPr>
    <w:rPr>
      <w:rFonts w:ascii="Arial Unicode MS" w:hAnsi="Arial Unicode MS" w:eastAsia="Times New Roman" w:cs="Arial Unicode MS"/>
      <w:kern w:val="0"/>
      <w:sz w:val="28"/>
      <w:szCs w:val="28"/>
    </w:rPr>
  </w:style>
  <w:style w:type="paragraph" w:customStyle="1" w:styleId="724">
    <w:name w:val="xl155"/>
    <w:basedOn w:val="1"/>
    <w:qFormat/>
    <w:uiPriority w:val="0"/>
    <w:pPr>
      <w:widowControl/>
      <w:spacing w:before="100" w:beforeAutospacing="1" w:after="100" w:afterAutospacing="1"/>
      <w:jc w:val="left"/>
    </w:pPr>
    <w:rPr>
      <w:rFonts w:ascii="宋体" w:hAnsi="宋体" w:cs="宋体"/>
      <w:kern w:val="0"/>
      <w:sz w:val="24"/>
    </w:rPr>
  </w:style>
  <w:style w:type="paragraph" w:customStyle="1" w:styleId="725">
    <w:name w:val="GP正文(首行缩进)"/>
    <w:basedOn w:val="1"/>
    <w:qFormat/>
    <w:uiPriority w:val="0"/>
    <w:pPr>
      <w:spacing w:line="360" w:lineRule="auto"/>
      <w:ind w:firstLine="200" w:firstLineChars="200"/>
      <w:jc w:val="left"/>
    </w:pPr>
    <w:rPr>
      <w:sz w:val="24"/>
      <w:szCs w:val="21"/>
    </w:rPr>
  </w:style>
  <w:style w:type="paragraph" w:customStyle="1" w:styleId="726">
    <w:name w:val="pa-10"/>
    <w:basedOn w:val="1"/>
    <w:qFormat/>
    <w:uiPriority w:val="0"/>
    <w:pPr>
      <w:widowControl/>
      <w:spacing w:line="280" w:lineRule="atLeast"/>
    </w:pPr>
    <w:rPr>
      <w:rFonts w:ascii="宋体" w:hAnsi="宋体" w:cs="宋体"/>
      <w:kern w:val="0"/>
      <w:sz w:val="24"/>
    </w:rPr>
  </w:style>
  <w:style w:type="paragraph" w:customStyle="1" w:styleId="727">
    <w:name w:val="列出段落1"/>
    <w:basedOn w:val="1"/>
    <w:qFormat/>
    <w:uiPriority w:val="0"/>
    <w:pPr>
      <w:ind w:firstLine="420" w:firstLineChars="200"/>
    </w:pPr>
    <w:rPr>
      <w:szCs w:val="20"/>
    </w:rPr>
  </w:style>
  <w:style w:type="paragraph" w:customStyle="1" w:styleId="728">
    <w:name w:val="xl50"/>
    <w:basedOn w:val="1"/>
    <w:qFormat/>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pPr>
    <w:rPr>
      <w:rFonts w:ascii="Arial Unicode MS" w:hAnsi="Arial Unicode MS" w:eastAsia="Times New Roman" w:cs="Arial Unicode MS"/>
      <w:kern w:val="0"/>
      <w:sz w:val="28"/>
      <w:szCs w:val="28"/>
    </w:rPr>
  </w:style>
  <w:style w:type="paragraph" w:customStyle="1" w:styleId="729">
    <w:name w:val="xl94"/>
    <w:basedOn w:val="1"/>
    <w:qFormat/>
    <w:uiPriority w:val="0"/>
    <w:pPr>
      <w:widowControl/>
      <w:pBdr>
        <w:right w:val="single" w:color="auto" w:sz="4" w:space="0"/>
      </w:pBdr>
      <w:spacing w:before="100" w:beforeAutospacing="1" w:after="100" w:afterAutospacing="1"/>
      <w:jc w:val="center"/>
    </w:pPr>
    <w:rPr>
      <w:rFonts w:ascii="宋体" w:hAnsi="宋体" w:cs="宋体"/>
      <w:kern w:val="0"/>
      <w:sz w:val="24"/>
    </w:rPr>
  </w:style>
  <w:style w:type="paragraph" w:customStyle="1" w:styleId="730">
    <w:name w:val="xl1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731">
    <w:name w:val="Item List in Table"/>
    <w:basedOn w:val="1"/>
    <w:qFormat/>
    <w:uiPriority w:val="0"/>
    <w:pPr>
      <w:numPr>
        <w:ilvl w:val="0"/>
        <w:numId w:val="11"/>
      </w:numPr>
      <w:topLinePunct/>
      <w:adjustRightInd w:val="0"/>
      <w:snapToGrid w:val="0"/>
      <w:spacing w:before="80" w:after="80" w:line="240" w:lineRule="atLeast"/>
      <w:jc w:val="left"/>
    </w:pPr>
    <w:rPr>
      <w:rFonts w:ascii="Arial" w:hAnsi="Arial" w:cs="Arial"/>
      <w:kern w:val="0"/>
      <w:szCs w:val="21"/>
    </w:rPr>
  </w:style>
  <w:style w:type="paragraph" w:customStyle="1" w:styleId="732">
    <w:name w:val="三级大纲"/>
    <w:next w:val="142"/>
    <w:qFormat/>
    <w:uiPriority w:val="0"/>
    <w:pPr>
      <w:numPr>
        <w:ilvl w:val="2"/>
        <w:numId w:val="3"/>
      </w:numPr>
      <w:tabs>
        <w:tab w:val="left" w:pos="1260"/>
      </w:tabs>
      <w:ind w:left="1260" w:hanging="420"/>
      <w:outlineLvl w:val="2"/>
    </w:pPr>
    <w:rPr>
      <w:rFonts w:ascii="Calibri" w:hAnsi="Calibri" w:eastAsia="宋体" w:cs="Times New Roman"/>
      <w:b/>
      <w:kern w:val="2"/>
      <w:sz w:val="32"/>
      <w:szCs w:val="22"/>
      <w:lang w:val="en-US" w:eastAsia="zh-CN" w:bidi="ar-SA"/>
    </w:rPr>
  </w:style>
  <w:style w:type="paragraph" w:customStyle="1" w:styleId="733">
    <w:name w:val="表格标题1"/>
    <w:basedOn w:val="483"/>
    <w:qFormat/>
    <w:uiPriority w:val="0"/>
    <w:pPr>
      <w:tabs>
        <w:tab w:val="left" w:pos="1620"/>
      </w:tabs>
      <w:ind w:left="1620" w:leftChars="600" w:hanging="360" w:hangingChars="200"/>
      <w:jc w:val="both"/>
      <w:textAlignment w:val="bottom"/>
    </w:pPr>
    <w:rPr>
      <w:rFonts w:ascii="Times New Roman"/>
      <w:sz w:val="21"/>
      <w:szCs w:val="21"/>
    </w:rPr>
  </w:style>
  <w:style w:type="paragraph" w:customStyle="1" w:styleId="734">
    <w:name w:val="xl128"/>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735">
    <w:name w:val="xl1105"/>
    <w:basedOn w:val="1"/>
    <w:qFormat/>
    <w:uiPriority w:val="0"/>
    <w:pPr>
      <w:widowControl/>
      <w:pBdr>
        <w:left w:val="single" w:color="auto" w:sz="4" w:space="0"/>
        <w:right w:val="single" w:color="auto" w:sz="4" w:space="0"/>
      </w:pBdr>
      <w:spacing w:before="100" w:beforeAutospacing="1" w:after="100" w:afterAutospacing="1"/>
      <w:jc w:val="center"/>
    </w:pPr>
    <w:rPr>
      <w:rFonts w:ascii="微软雅黑" w:hAnsi="微软雅黑" w:eastAsia="微软雅黑" w:cs="宋体"/>
      <w:b/>
      <w:bCs/>
      <w:kern w:val="0"/>
      <w:sz w:val="20"/>
      <w:szCs w:val="20"/>
    </w:rPr>
  </w:style>
  <w:style w:type="paragraph" w:customStyle="1" w:styleId="736">
    <w:name w:val="xl12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737">
    <w:name w:val="UserStyle_0"/>
    <w:basedOn w:val="738"/>
    <w:qFormat/>
    <w:uiPriority w:val="0"/>
    <w:pPr>
      <w:ind w:firstLine="525"/>
    </w:pPr>
    <w:rPr>
      <w:spacing w:val="20"/>
      <w:szCs w:val="20"/>
    </w:rPr>
  </w:style>
  <w:style w:type="paragraph" w:customStyle="1" w:styleId="738">
    <w:name w:val="UserStyle_1"/>
    <w:next w:val="737"/>
    <w:qFormat/>
    <w:uiPriority w:val="0"/>
    <w:pPr>
      <w:suppressAutoHyphens/>
      <w:jc w:val="both"/>
      <w:textAlignment w:val="baseline"/>
    </w:pPr>
    <w:rPr>
      <w:rFonts w:ascii="Calibri" w:hAnsi="Calibri" w:eastAsia="宋体;SimSun" w:cs="Times New Roman"/>
      <w:kern w:val="2"/>
      <w:sz w:val="21"/>
      <w:szCs w:val="21"/>
      <w:lang w:val="en-US" w:eastAsia="zh-CN" w:bidi="ar-SA"/>
    </w:rPr>
  </w:style>
  <w:style w:type="paragraph" w:customStyle="1" w:styleId="739">
    <w:name w:val="正文_4"/>
    <w:qFormat/>
    <w:uiPriority w:val="0"/>
    <w:pPr>
      <w:widowControl w:val="0"/>
      <w:jc w:val="both"/>
    </w:pPr>
    <w:rPr>
      <w:rFonts w:ascii="Calibri" w:hAnsi="Calibri" w:eastAsia="宋体" w:cs="Times New Roman"/>
      <w:kern w:val="2"/>
      <w:sz w:val="21"/>
      <w:szCs w:val="22"/>
      <w:lang w:val="en-US" w:eastAsia="zh-CN" w:bidi="ar-SA"/>
    </w:rPr>
  </w:style>
  <w:style w:type="paragraph" w:customStyle="1" w:styleId="740">
    <w:name w:val="正文（首行缩进2字符）"/>
    <w:basedOn w:val="1"/>
    <w:qFormat/>
    <w:uiPriority w:val="0"/>
    <w:pPr>
      <w:spacing w:line="360" w:lineRule="auto"/>
      <w:ind w:firstLine="420" w:firstLineChars="200"/>
    </w:pPr>
    <w:rPr>
      <w:szCs w:val="21"/>
    </w:rPr>
  </w:style>
  <w:style w:type="paragraph" w:customStyle="1" w:styleId="741">
    <w:name w:val="Heading2"/>
    <w:basedOn w:val="1"/>
    <w:next w:val="1"/>
    <w:qFormat/>
    <w:uiPriority w:val="0"/>
    <w:pPr>
      <w:spacing w:before="100" w:beforeAutospacing="1" w:after="100" w:afterAutospacing="1"/>
      <w:jc w:val="left"/>
      <w:textAlignment w:val="baseline"/>
    </w:pPr>
    <w:rPr>
      <w:rFonts w:ascii="宋体" w:hAnsi="宋体"/>
      <w:color w:val="000000"/>
      <w:kern w:val="0"/>
      <w:sz w:val="36"/>
      <w:szCs w:val="36"/>
    </w:rPr>
  </w:style>
  <w:style w:type="table" w:customStyle="1" w:styleId="742">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7.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123</Pages>
  <Words>63643</Words>
  <Characters>72816</Characters>
  <Lines>572</Lines>
  <Paragraphs>161</Paragraphs>
  <TotalTime>40</TotalTime>
  <ScaleCrop>false</ScaleCrop>
  <LinksUpToDate>false</LinksUpToDate>
  <CharactersWithSpaces>76593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2018-09-26T02:09:00Z</dcterms:created>
  <dc:creator>China</dc:creator>
  <cp:lastModifiedBy>齐天大圣</cp:lastModifiedBy>
  <cp:lastPrinted>2020-10-14T09:24:00Z</cp:lastPrinted>
  <dcterms:modified xsi:type="dcterms:W3CDTF">2023-08-18T09:54:48Z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0021579F0A8D45E08924E1CC3BBA163E_13</vt:lpwstr>
  </property>
</Properties>
</file>