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BFB08">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3654BFB9">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eastAsia" w:cs="宋体" w:asciiTheme="majorEastAsia" w:hAnsiTheme="majorEastAsia" w:eastAsiaTheme="majorEastAsia"/>
          <w:b/>
          <w:color w:val="000000" w:themeColor="text1"/>
          <w:sz w:val="40"/>
          <w:szCs w:val="40"/>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40"/>
          <w:szCs w:val="40"/>
          <w:highlight w:val="none"/>
          <w:lang w:val="en-US" w:eastAsia="zh-CN"/>
          <w14:textFill>
            <w14:solidFill>
              <w14:schemeClr w14:val="tx1"/>
            </w14:solidFill>
          </w14:textFill>
        </w:rPr>
        <w:t>中华人民共和国新疆出入境边防检查总站高清视频会议系统维保服务采购项目</w:t>
      </w:r>
    </w:p>
    <w:p w14:paraId="0BFCE3CB">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eastAsia" w:cs="宋体" w:asciiTheme="majorEastAsia" w:hAnsiTheme="majorEastAsia" w:eastAsiaTheme="majorEastAsia"/>
          <w:b/>
          <w:color w:val="000000" w:themeColor="text1"/>
          <w:sz w:val="40"/>
          <w:szCs w:val="40"/>
          <w:highlight w:val="none"/>
          <w:lang w:val="en-US" w:eastAsia="zh-CN"/>
          <w14:textFill>
            <w14:solidFill>
              <w14:schemeClr w14:val="tx1"/>
            </w14:solidFill>
          </w14:textFill>
        </w:rPr>
      </w:pPr>
    </w:p>
    <w:p w14:paraId="73DA502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宋体" w:asciiTheme="majorEastAsia" w:hAnsiTheme="majorEastAsia" w:eastAsiaTheme="majorEastAsia"/>
          <w:b/>
          <w:color w:val="000000" w:themeColor="text1"/>
          <w:sz w:val="52"/>
          <w:szCs w:val="52"/>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52"/>
          <w:szCs w:val="52"/>
          <w:highlight w:val="none"/>
          <w:lang w:val="en-US" w:eastAsia="zh-CN"/>
          <w14:textFill>
            <w14:solidFill>
              <w14:schemeClr w14:val="tx1"/>
            </w14:solidFill>
          </w14:textFill>
        </w:rPr>
        <w:t>竞争性谈判文件</w:t>
      </w:r>
    </w:p>
    <w:p w14:paraId="08E0F6A2">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项目编号：2025(JKJ)183</w:t>
      </w:r>
    </w:p>
    <w:p w14:paraId="6086568C">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1E954A7C">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采购人：中华人民共和国新疆出入境边防检查总站（盖章）</w:t>
      </w:r>
    </w:p>
    <w:p w14:paraId="5A787866">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联系人：李警官</w:t>
      </w:r>
    </w:p>
    <w:p w14:paraId="729BA82B">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联系电话：0991-8512143</w:t>
      </w:r>
    </w:p>
    <w:p w14:paraId="55E292E9">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both"/>
        <w:textAlignment w:val="auto"/>
        <w:rPr>
          <w:rFonts w:cs="宋体" w:asciiTheme="majorEastAsia" w:hAnsiTheme="majorEastAsia" w:eastAsiaTheme="majorEastAsia"/>
          <w:b/>
          <w:color w:val="000000" w:themeColor="text1"/>
          <w:sz w:val="36"/>
          <w:szCs w:val="36"/>
          <w:highlight w:val="none"/>
          <w14:textFill>
            <w14:solidFill>
              <w14:schemeClr w14:val="tx1"/>
            </w14:solidFill>
          </w14:textFill>
        </w:rPr>
      </w:pPr>
    </w:p>
    <w:p w14:paraId="12C0C631">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14:textFill>
            <w14:solidFill>
              <w14:schemeClr w14:val="tx1"/>
            </w14:solidFill>
          </w14:textFill>
        </w:rPr>
        <w:t>采购代理机构：</w:t>
      </w:r>
      <w:r>
        <w:rPr>
          <w:rFonts w:hint="eastAsia" w:cs="宋体" w:asciiTheme="majorEastAsia" w:hAnsiTheme="majorEastAsia" w:eastAsiaTheme="majorEastAsia"/>
          <w:b/>
          <w:color w:val="000000" w:themeColor="text1"/>
          <w:sz w:val="36"/>
          <w:szCs w:val="36"/>
          <w:highlight w:val="none"/>
          <w:u w:val="none"/>
          <w14:textFill>
            <w14:solidFill>
              <w14:schemeClr w14:val="tx1"/>
            </w14:solidFill>
          </w14:textFill>
        </w:rPr>
        <w:t>新疆君凯杰工程项目管理有限公司</w:t>
      </w:r>
      <w:r>
        <w:rPr>
          <w:rFonts w:hint="eastAsia" w:cs="宋体" w:asciiTheme="majorEastAsia" w:hAnsiTheme="majorEastAsia" w:eastAsiaTheme="majorEastAsia"/>
          <w:b/>
          <w:color w:val="000000" w:themeColor="text1"/>
          <w:sz w:val="36"/>
          <w:szCs w:val="36"/>
          <w:highlight w:val="none"/>
          <w:u w:val="none"/>
          <w:lang w:eastAsia="zh-CN"/>
          <w14:textFill>
            <w14:solidFill>
              <w14:schemeClr w14:val="tx1"/>
            </w14:solidFill>
          </w14:textFill>
        </w:rPr>
        <w:t>（</w:t>
      </w: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盖章</w:t>
      </w:r>
      <w:r>
        <w:rPr>
          <w:rFonts w:hint="eastAsia" w:cs="宋体" w:asciiTheme="majorEastAsia" w:hAnsiTheme="majorEastAsia" w:eastAsiaTheme="majorEastAsia"/>
          <w:b/>
          <w:color w:val="000000" w:themeColor="text1"/>
          <w:sz w:val="36"/>
          <w:szCs w:val="36"/>
          <w:highlight w:val="none"/>
          <w:u w:val="none"/>
          <w:lang w:eastAsia="zh-CN"/>
          <w14:textFill>
            <w14:solidFill>
              <w14:schemeClr w14:val="tx1"/>
            </w14:solidFill>
          </w14:textFill>
        </w:rPr>
        <w:t>）</w:t>
      </w:r>
    </w:p>
    <w:p w14:paraId="74809DC3">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联系人：陈晨</w:t>
      </w:r>
    </w:p>
    <w:p w14:paraId="0416232A">
      <w:pPr>
        <w:pStyle w:val="1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both"/>
        <w:textAlignment w:val="auto"/>
        <w:rPr>
          <w:rFonts w:hAnsi="宋体" w:cs="宋体"/>
          <w:color w:val="000000" w:themeColor="text1"/>
          <w:sz w:val="36"/>
          <w:szCs w:val="36"/>
          <w:highlight w:val="none"/>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联系电话：13201097601</w:t>
      </w:r>
    </w:p>
    <w:p w14:paraId="72A2A6C6">
      <w:pPr>
        <w:adjustRightInd w:val="0"/>
        <w:snapToGrid w:val="0"/>
        <w:spacing w:line="360" w:lineRule="auto"/>
        <w:jc w:val="center"/>
        <w:rPr>
          <w:rFonts w:hint="eastAsia" w:hAnsi="宋体" w:cs="宋体"/>
          <w:b/>
          <w:bCs/>
          <w:color w:val="000000" w:themeColor="text1"/>
          <w:sz w:val="36"/>
          <w:szCs w:val="36"/>
          <w:highlight w:val="none"/>
          <w:lang w:val="zh-CN"/>
          <w14:textFill>
            <w14:solidFill>
              <w14:schemeClr w14:val="tx1"/>
            </w14:solidFill>
          </w14:textFill>
        </w:rPr>
      </w:pPr>
    </w:p>
    <w:p w14:paraId="7B7B3246">
      <w:pPr>
        <w:adjustRightInd w:val="0"/>
        <w:snapToGrid w:val="0"/>
        <w:spacing w:line="360" w:lineRule="auto"/>
        <w:jc w:val="center"/>
        <w:rPr>
          <w:rFonts w:hAnsi="宋体" w:cs="宋体"/>
          <w:b/>
          <w:color w:val="000000" w:themeColor="text1"/>
          <w:sz w:val="28"/>
          <w:szCs w:val="28"/>
          <w:highlight w:val="none"/>
          <w14:textFill>
            <w14:solidFill>
              <w14:schemeClr w14:val="tx1"/>
            </w14:solidFill>
          </w14:textFill>
        </w:rPr>
      </w:pPr>
      <w:r>
        <w:rPr>
          <w:rFonts w:hint="eastAsia" w:hAnsi="宋体" w:cs="宋体"/>
          <w:b/>
          <w:bCs/>
          <w:color w:val="000000" w:themeColor="text1"/>
          <w:sz w:val="36"/>
          <w:szCs w:val="36"/>
          <w:highlight w:val="none"/>
          <w:lang w:val="zh-CN"/>
          <w14:textFill>
            <w14:solidFill>
              <w14:schemeClr w14:val="tx1"/>
            </w14:solidFill>
          </w14:textFill>
        </w:rPr>
        <w:t>20</w:t>
      </w:r>
      <w:r>
        <w:rPr>
          <w:rFonts w:hint="eastAsia" w:hAnsi="宋体" w:cs="宋体"/>
          <w:b/>
          <w:bCs/>
          <w:color w:val="000000" w:themeColor="text1"/>
          <w:sz w:val="36"/>
          <w:szCs w:val="36"/>
          <w:highlight w:val="none"/>
          <w14:textFill>
            <w14:solidFill>
              <w14:schemeClr w14:val="tx1"/>
            </w14:solidFill>
          </w14:textFill>
        </w:rPr>
        <w:t>2</w:t>
      </w:r>
      <w:r>
        <w:rPr>
          <w:rFonts w:hint="eastAsia" w:hAnsi="宋体" w:cs="宋体"/>
          <w:b/>
          <w:bCs/>
          <w:color w:val="000000" w:themeColor="text1"/>
          <w:sz w:val="36"/>
          <w:szCs w:val="36"/>
          <w:highlight w:val="none"/>
          <w:lang w:val="en-US" w:eastAsia="zh-CN"/>
          <w14:textFill>
            <w14:solidFill>
              <w14:schemeClr w14:val="tx1"/>
            </w14:solidFill>
          </w14:textFill>
        </w:rPr>
        <w:t>5</w:t>
      </w:r>
      <w:r>
        <w:rPr>
          <w:rFonts w:hint="eastAsia" w:hAnsi="宋体" w:cs="宋体"/>
          <w:b/>
          <w:bCs/>
          <w:color w:val="000000" w:themeColor="text1"/>
          <w:sz w:val="36"/>
          <w:szCs w:val="36"/>
          <w:highlight w:val="none"/>
          <w:lang w:val="zh-CN"/>
          <w14:textFill>
            <w14:solidFill>
              <w14:schemeClr w14:val="tx1"/>
            </w14:solidFill>
          </w14:textFill>
        </w:rPr>
        <w:t xml:space="preserve">年 </w:t>
      </w:r>
      <w:r>
        <w:rPr>
          <w:rFonts w:hint="eastAsia" w:hAnsi="宋体" w:cs="宋体"/>
          <w:b/>
          <w:bCs/>
          <w:color w:val="000000" w:themeColor="text1"/>
          <w:sz w:val="36"/>
          <w:szCs w:val="36"/>
          <w:highlight w:val="none"/>
          <w:lang w:val="en-US" w:eastAsia="zh-CN"/>
          <w14:textFill>
            <w14:solidFill>
              <w14:schemeClr w14:val="tx1"/>
            </w14:solidFill>
          </w14:textFill>
        </w:rPr>
        <w:t xml:space="preserve">6 </w:t>
      </w:r>
      <w:r>
        <w:rPr>
          <w:rFonts w:hint="eastAsia" w:hAnsi="宋体" w:cs="宋体"/>
          <w:b/>
          <w:bCs/>
          <w:color w:val="000000" w:themeColor="text1"/>
          <w:sz w:val="36"/>
          <w:szCs w:val="36"/>
          <w:highlight w:val="none"/>
          <w:lang w:val="zh-CN"/>
          <w14:textFill>
            <w14:solidFill>
              <w14:schemeClr w14:val="tx1"/>
            </w14:solidFill>
          </w14:textFill>
        </w:rPr>
        <w:t>月</w:t>
      </w:r>
    </w:p>
    <w:p w14:paraId="33AB5163">
      <w:pPr>
        <w:pStyle w:val="3"/>
        <w:adjustRightInd w:val="0"/>
        <w:snapToGrid w:val="0"/>
        <w:spacing w:before="624" w:beforeLines="200" w:after="312" w:afterLines="100" w:line="360" w:lineRule="auto"/>
        <w:jc w:val="center"/>
        <w:rPr>
          <w:rFonts w:ascii="宋体" w:hAnsi="宋体" w:eastAsia="宋体" w:cs="宋体"/>
          <w:color w:val="000000" w:themeColor="text1"/>
          <w:sz w:val="36"/>
          <w:szCs w:val="36"/>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start="1"/>
          <w:cols w:space="0" w:num="1"/>
          <w:docGrid w:type="lines" w:linePitch="312" w:charSpace="0"/>
        </w:sectPr>
      </w:pPr>
    </w:p>
    <w:p w14:paraId="2BB1FB65">
      <w:pPr>
        <w:spacing w:line="360" w:lineRule="auto"/>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目 录</w:t>
      </w:r>
    </w:p>
    <w:p w14:paraId="20BC0B10">
      <w:pPr>
        <w:pStyle w:val="18"/>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TOC \o "1-3" \h \z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_Toc27215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第一部分   </w:t>
      </w:r>
      <w:r>
        <w:rPr>
          <w:rFonts w:hint="eastAsia" w:ascii="宋体" w:hAnsi="宋体" w:eastAsia="宋体" w:cs="宋体"/>
          <w:color w:val="000000" w:themeColor="text1"/>
          <w:sz w:val="28"/>
          <w:szCs w:val="28"/>
          <w:highlight w:val="none"/>
          <w:lang w:val="en-US" w:eastAsia="zh-CN"/>
          <w14:textFill>
            <w14:solidFill>
              <w14:schemeClr w14:val="tx1"/>
            </w14:solidFill>
          </w14:textFill>
        </w:rPr>
        <w:t>竞争性谈判公告</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_Toc27215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4D773D5">
      <w:pPr>
        <w:pStyle w:val="18"/>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_Toc10917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第二部分   </w:t>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_Toc10917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60BFF2D">
      <w:pPr>
        <w:pStyle w:val="20"/>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_Toc1689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供应商须知前附表</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_Toc1689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2E11646">
      <w:pPr>
        <w:pStyle w:val="20"/>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_Toc11022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二、</w:t>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供应商须知正文部分</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_Toc11022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16</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06DE45D">
      <w:pPr>
        <w:pStyle w:val="20"/>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_Toc21386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三、响应文件的编制</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_Toc21386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048FC1C">
      <w:pPr>
        <w:pStyle w:val="20"/>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_Toc20170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四、响应文件的份数、封装和递交</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_Toc20170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2CEFE46">
      <w:pPr>
        <w:pStyle w:val="20"/>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_Toc18206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五、</w:t>
      </w:r>
      <w:r>
        <w:rPr>
          <w:rFonts w:hint="eastAsia" w:ascii="宋体" w:hAnsi="宋体" w:eastAsia="宋体" w:cs="宋体"/>
          <w:color w:val="000000" w:themeColor="text1"/>
          <w:sz w:val="28"/>
          <w:szCs w:val="28"/>
          <w:highlight w:val="none"/>
          <w:lang w:val="en-US" w:eastAsia="zh-CN"/>
          <w14:textFill>
            <w14:solidFill>
              <w14:schemeClr w14:val="tx1"/>
            </w14:solidFill>
          </w14:textFill>
        </w:rPr>
        <w:t>竞争性谈判程序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_Toc18206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EDABDB6">
      <w:pPr>
        <w:pStyle w:val="20"/>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_Toc1882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六、确定成交供应商办法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_Toc1882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940D440">
      <w:pPr>
        <w:pStyle w:val="20"/>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_Toc21682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七、签订合同</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_Toc21682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CE5F79E">
      <w:pPr>
        <w:pStyle w:val="20"/>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_Toc25972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八、项目验收</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_Toc25972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63367958">
      <w:pPr>
        <w:pStyle w:val="20"/>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_Toc8187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九、适用法律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_Toc8187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7BC21FF">
      <w:pPr>
        <w:pStyle w:val="20"/>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_Toc25715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lang w:val="en-US" w:eastAsia="zh-CN"/>
          <w14:textFill>
            <w14:solidFill>
              <w14:schemeClr w14:val="tx1"/>
            </w14:solidFill>
          </w14:textFill>
        </w:rPr>
        <w:t>十、谈判文件的解释权</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_Toc25715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0190BB0">
      <w:pPr>
        <w:pStyle w:val="20"/>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_Toc19350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lang w:val="en-US" w:eastAsia="zh-CN"/>
          <w14:textFill>
            <w14:solidFill>
              <w14:schemeClr w14:val="tx1"/>
            </w14:solidFill>
          </w14:textFill>
        </w:rPr>
        <w:t>十一、其他注意事项</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_Toc19350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9D1FCBC">
      <w:pPr>
        <w:pStyle w:val="18"/>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_Toc1660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第三部分   采购需求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_Toc1660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0B3678F">
      <w:pPr>
        <w:pStyle w:val="18"/>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_Toc2827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第四部分   </w:t>
      </w:r>
      <w:r>
        <w:rPr>
          <w:rFonts w:hint="eastAsia" w:ascii="宋体" w:hAnsi="宋体" w:eastAsia="宋体" w:cs="宋体"/>
          <w:color w:val="000000" w:themeColor="text1"/>
          <w:sz w:val="28"/>
          <w:szCs w:val="28"/>
          <w:highlight w:val="none"/>
          <w:lang w:val="en-US" w:eastAsia="zh-CN"/>
          <w14:textFill>
            <w14:solidFill>
              <w14:schemeClr w14:val="tx1"/>
            </w14:solidFill>
          </w14:textFill>
        </w:rPr>
        <w:t>评审方法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_Toc2827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69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68017E0D">
      <w:pPr>
        <w:pStyle w:val="18"/>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_Toc31152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第五部分   合同格式及合同条款</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_Toc31152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73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59FB8C5">
      <w:pPr>
        <w:pStyle w:val="18"/>
        <w:tabs>
          <w:tab w:val="right" w:leader="dot" w:pos="8312"/>
        </w:tabs>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_Toc23232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第六部分   </w:t>
      </w:r>
      <w:r>
        <w:rPr>
          <w:rFonts w:hint="eastAsia" w:ascii="宋体" w:hAnsi="宋体" w:eastAsia="宋体" w:cs="宋体"/>
          <w:color w:val="000000" w:themeColor="text1"/>
          <w:sz w:val="28"/>
          <w:szCs w:val="28"/>
          <w:highlight w:val="none"/>
          <w:lang w:eastAsia="zh-CN"/>
          <w14:textFill>
            <w14:solidFill>
              <w14:schemeClr w14:val="tx1"/>
            </w14:solidFill>
          </w14:textFill>
        </w:rPr>
        <w:t>响应文件</w:t>
      </w:r>
      <w:r>
        <w:rPr>
          <w:rFonts w:hint="eastAsia" w:ascii="宋体" w:hAnsi="宋体" w:eastAsia="宋体" w:cs="宋体"/>
          <w:color w:val="000000" w:themeColor="text1"/>
          <w:sz w:val="28"/>
          <w:szCs w:val="28"/>
          <w:highlight w:val="none"/>
          <w14:textFill>
            <w14:solidFill>
              <w14:schemeClr w14:val="tx1"/>
            </w14:solidFill>
          </w14:textFill>
        </w:rPr>
        <w:t>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_Toc23232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85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E9D25DF">
      <w:pPr>
        <w:pStyle w:val="13"/>
        <w:tabs>
          <w:tab w:val="right" w:leader="dot" w:pos="8312"/>
        </w:tabs>
        <w:rPr>
          <w:color w:val="000000" w:themeColor="text1"/>
          <w14:textFill>
            <w14:solidFill>
              <w14:schemeClr w14:val="tx1"/>
            </w14:solidFill>
          </w14:textFill>
        </w:rPr>
      </w:pPr>
    </w:p>
    <w:p w14:paraId="6514168A">
      <w:pPr>
        <w:spacing w:line="360" w:lineRule="auto"/>
        <w:rPr>
          <w:color w:val="000000" w:themeColor="text1"/>
          <w:highlight w:val="none"/>
          <w14:textFill>
            <w14:solidFill>
              <w14:schemeClr w14:val="tx1"/>
            </w14:solidFill>
          </w14:textFill>
        </w:rPr>
        <w:sectPr>
          <w:headerReference r:id="rId6" w:type="first"/>
          <w:footerReference r:id="rId8" w:type="first"/>
          <w:headerReference r:id="rId5" w:type="default"/>
          <w:footerReference r:id="rId7" w:type="default"/>
          <w:pgSz w:w="11906" w:h="16838"/>
          <w:pgMar w:top="1440" w:right="1797" w:bottom="1440" w:left="1797" w:header="851" w:footer="992" w:gutter="0"/>
          <w:pgNumType w:fmt="decimal" w:start="1"/>
          <w:cols w:space="720" w:num="1"/>
          <w:titlePg/>
          <w:docGrid w:type="lines" w:linePitch="312" w:charSpace="0"/>
        </w:sectPr>
      </w:pPr>
      <w:r>
        <w:rPr>
          <w:rFonts w:hint="eastAsia" w:ascii="宋体" w:hAnsi="宋体" w:cs="宋体"/>
          <w:color w:val="000000" w:themeColor="text1"/>
          <w:szCs w:val="28"/>
          <w:highlight w:val="none"/>
          <w14:textFill>
            <w14:solidFill>
              <w14:schemeClr w14:val="tx1"/>
            </w14:solidFill>
          </w14:textFill>
        </w:rPr>
        <w:fldChar w:fldCharType="end"/>
      </w:r>
    </w:p>
    <w:p w14:paraId="17B058AF">
      <w:pPr>
        <w:pStyle w:val="12"/>
        <w:keepNext w:val="0"/>
        <w:keepLines w:val="0"/>
        <w:pageBreakBefore w:val="0"/>
        <w:widowControl w:val="0"/>
        <w:tabs>
          <w:tab w:val="left" w:pos="0"/>
        </w:tabs>
        <w:kinsoku/>
        <w:wordWrap/>
        <w:overflowPunct/>
        <w:topLinePunct w:val="0"/>
        <w:autoSpaceDE/>
        <w:autoSpaceDN/>
        <w:bidi w:val="0"/>
        <w:adjustRightInd/>
        <w:snapToGrid/>
        <w:spacing w:before="312" w:beforeLines="100" w:after="313" w:afterLines="100" w:line="360" w:lineRule="auto"/>
        <w:ind w:left="0" w:leftChars="0" w:firstLine="0" w:firstLineChars="0"/>
        <w:jc w:val="center"/>
        <w:textAlignment w:val="auto"/>
        <w:outlineLvl w:val="0"/>
        <w:rPr>
          <w:rFonts w:hint="eastAsia" w:ascii="宋体" w:hAnsi="宋体" w:eastAsia="宋体"/>
          <w:b/>
          <w:color w:val="000000" w:themeColor="text1"/>
          <w:sz w:val="36"/>
          <w:highlight w:val="none"/>
          <w:lang w:eastAsia="zh-CN"/>
          <w14:textFill>
            <w14:solidFill>
              <w14:schemeClr w14:val="tx1"/>
            </w14:solidFill>
          </w14:textFill>
        </w:rPr>
      </w:pPr>
      <w:bookmarkStart w:id="0" w:name="_Toc27215"/>
      <w:r>
        <w:rPr>
          <w:rFonts w:hint="eastAsia" w:ascii="宋体" w:hAnsi="宋体"/>
          <w:b/>
          <w:color w:val="000000" w:themeColor="text1"/>
          <w:sz w:val="36"/>
          <w:highlight w:val="none"/>
          <w14:textFill>
            <w14:solidFill>
              <w14:schemeClr w14:val="tx1"/>
            </w14:solidFill>
          </w14:textFill>
        </w:rPr>
        <w:t xml:space="preserve">第一部分   </w:t>
      </w:r>
      <w:r>
        <w:rPr>
          <w:rFonts w:hint="eastAsia" w:ascii="宋体" w:hAnsi="宋体"/>
          <w:b/>
          <w:color w:val="000000" w:themeColor="text1"/>
          <w:sz w:val="36"/>
          <w:highlight w:val="none"/>
          <w:lang w:val="en-US" w:eastAsia="zh-CN"/>
          <w14:textFill>
            <w14:solidFill>
              <w14:schemeClr w14:val="tx1"/>
            </w14:solidFill>
          </w14:textFill>
        </w:rPr>
        <w:t>竞争性谈判公告</w:t>
      </w:r>
      <w:bookmarkEnd w:id="0"/>
    </w:p>
    <w:p w14:paraId="5CB7A5FA">
      <w:pPr>
        <w:spacing w:line="360" w:lineRule="auto"/>
        <w:ind w:firstLine="482" w:firstLineChars="200"/>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中华人民共和国新疆出入境边防检查总站高清视频会议系统维保服务采购项目</w:t>
      </w:r>
      <w:r>
        <w:rPr>
          <w:rFonts w:hint="eastAsia" w:ascii="宋体" w:hAnsi="宋体" w:eastAsia="宋体" w:cs="宋体"/>
          <w:b/>
          <w:color w:val="000000" w:themeColor="text1"/>
          <w:sz w:val="24"/>
          <w:lang w:val="en-US" w:eastAsia="zh-CN"/>
          <w14:textFill>
            <w14:solidFill>
              <w14:schemeClr w14:val="tx1"/>
            </w14:solidFill>
          </w14:textFill>
        </w:rPr>
        <w:t>竞争性谈判公告</w:t>
      </w:r>
    </w:p>
    <w:p w14:paraId="462CE5C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项目概况</w:t>
      </w:r>
    </w:p>
    <w:p w14:paraId="6902387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中华人民共和国新疆出入境边防检查总站高清视频会议系统维保服务采购项目</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采购项目的潜在供应商应在</w:t>
      </w:r>
      <w:r>
        <w:rPr>
          <w:rFonts w:hint="eastAsia" w:ascii="宋体" w:hAnsi="宋体" w:eastAsia="宋体" w:cs="宋体"/>
          <w:color w:val="000000" w:themeColor="text1"/>
          <w:sz w:val="24"/>
          <w:u w:val="single"/>
          <w14:textFill>
            <w14:solidFill>
              <w14:schemeClr w14:val="tx1"/>
            </w14:solidFill>
          </w14:textFill>
        </w:rPr>
        <w:t>政采云平台（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 </w:instrText>
      </w:r>
      <w:r>
        <w:rPr>
          <w:rFonts w:hint="eastAsia" w:ascii="宋体" w:hAnsi="宋体" w:eastAsia="宋体" w:cs="宋体"/>
          <w:color w:val="000000" w:themeColor="text1"/>
          <w14:textFill>
            <w14:solidFill>
              <w14:schemeClr w14:val="tx1"/>
            </w14:solidFill>
          </w14:textFill>
        </w:rPr>
        <w:fldChar w:fldCharType="separate"/>
      </w:r>
      <w:r>
        <w:rPr>
          <w:rStyle w:val="28"/>
          <w:rFonts w:hint="eastAsia" w:ascii="宋体" w:hAnsi="宋体" w:eastAsia="宋体" w:cs="宋体"/>
          <w:color w:val="000000" w:themeColor="text1"/>
          <w:sz w:val="24"/>
          <w:u w:val="single"/>
          <w14:textFill>
            <w14:solidFill>
              <w14:schemeClr w14:val="tx1"/>
            </w14:solidFill>
          </w14:textFill>
        </w:rPr>
        <w:t>https://www.zcygov.cn/</w:t>
      </w:r>
      <w:r>
        <w:rPr>
          <w:rStyle w:val="28"/>
          <w:rFonts w:hint="eastAsia" w:ascii="宋体" w:hAnsi="宋体" w:eastAsia="宋体" w:cs="宋体"/>
          <w:color w:val="000000" w:themeColor="text1"/>
          <w:sz w:val="24"/>
          <w:u w:val="single"/>
          <w14:textFill>
            <w14:solidFill>
              <w14:schemeClr w14:val="tx1"/>
            </w14:solidFill>
          </w14:textFill>
        </w:rPr>
        <w:fldChar w:fldCharType="end"/>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获取采购文件，并于</w:t>
      </w:r>
      <w:r>
        <w:rPr>
          <w:rFonts w:hint="eastAsia" w:ascii="宋体" w:hAnsi="宋体" w:eastAsia="宋体" w:cs="宋体"/>
          <w:color w:val="000000" w:themeColor="text1"/>
          <w:sz w:val="24"/>
          <w:u w:val="single"/>
          <w14:textFill>
            <w14:solidFill>
              <w14:schemeClr w14:val="tx1"/>
            </w14:solidFill>
          </w14:textFill>
        </w:rPr>
        <w:t>202</w:t>
      </w:r>
      <w:r>
        <w:rPr>
          <w:rFonts w:hint="eastAsia" w:ascii="宋体" w:hAnsi="宋体" w:eastAsia="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u w:val="single"/>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07</w:t>
      </w:r>
      <w:r>
        <w:rPr>
          <w:rFonts w:hint="eastAsia" w:ascii="宋体" w:hAnsi="宋体" w:eastAsia="宋体" w:cs="宋体"/>
          <w:bCs/>
          <w:color w:val="000000" w:themeColor="text1"/>
          <w:sz w:val="24"/>
          <w:u w:val="single"/>
          <w14:textFill>
            <w14:solidFill>
              <w14:schemeClr w14:val="tx1"/>
            </w14:solidFill>
          </w14:textFill>
        </w:rPr>
        <w:t>月</w:t>
      </w:r>
      <w:r>
        <w:rPr>
          <w:rFonts w:hint="eastAsia" w:ascii="宋体" w:hAnsi="宋体" w:cs="宋体"/>
          <w:bCs/>
          <w:color w:val="000000" w:themeColor="text1"/>
          <w:sz w:val="24"/>
          <w:u w:val="single"/>
          <w:lang w:val="en-US" w:eastAsia="zh-CN"/>
          <w14:textFill>
            <w14:solidFill>
              <w14:schemeClr w14:val="tx1"/>
            </w14:solidFill>
          </w14:textFill>
        </w:rPr>
        <w:t>06</w:t>
      </w:r>
      <w:r>
        <w:rPr>
          <w:rFonts w:hint="eastAsia" w:ascii="宋体" w:hAnsi="宋体" w:eastAsia="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u w:val="single"/>
          <w:lang w:val="en-US" w:eastAsia="zh-CN"/>
          <w14:textFill>
            <w14:solidFill>
              <w14:schemeClr w14:val="tx1"/>
            </w14:solidFill>
          </w14:textFill>
        </w:rPr>
        <w:t>16</w:t>
      </w:r>
      <w:r>
        <w:rPr>
          <w:rFonts w:hint="eastAsia" w:ascii="宋体" w:hAnsi="宋体" w:eastAsia="宋体" w:cs="宋体"/>
          <w:bCs/>
          <w:color w:val="000000" w:themeColor="text1"/>
          <w:sz w:val="24"/>
          <w:u w:val="single"/>
          <w14:textFill>
            <w14:solidFill>
              <w14:schemeClr w14:val="tx1"/>
            </w14:solidFill>
          </w14:textFill>
        </w:rPr>
        <w:t>点</w:t>
      </w:r>
      <w:r>
        <w:rPr>
          <w:rFonts w:hint="eastAsia" w:ascii="宋体" w:hAnsi="宋体" w:cs="宋体"/>
          <w:bCs/>
          <w:color w:val="000000" w:themeColor="text1"/>
          <w:sz w:val="24"/>
          <w:u w:val="single"/>
          <w:lang w:val="en-US" w:eastAsia="zh-CN"/>
          <w14:textFill>
            <w14:solidFill>
              <w14:schemeClr w14:val="tx1"/>
            </w14:solidFill>
          </w14:textFill>
        </w:rPr>
        <w:t>00</w:t>
      </w:r>
      <w:r>
        <w:rPr>
          <w:rFonts w:hint="eastAsia" w:ascii="宋体" w:hAnsi="宋体" w:eastAsia="宋体" w:cs="宋体"/>
          <w:bCs/>
          <w:color w:val="000000" w:themeColor="text1"/>
          <w:sz w:val="24"/>
          <w:u w:val="single"/>
          <w14:textFill>
            <w14:solidFill>
              <w14:schemeClr w14:val="tx1"/>
            </w14:solidFill>
          </w14:textFill>
        </w:rPr>
        <w:t>分00秒</w:t>
      </w:r>
      <w:r>
        <w:rPr>
          <w:rFonts w:hint="eastAsia" w:ascii="宋体" w:hAnsi="宋体" w:eastAsia="宋体" w:cs="宋体"/>
          <w:bCs/>
          <w:color w:val="000000" w:themeColor="text1"/>
          <w:sz w:val="24"/>
          <w14:textFill>
            <w14:solidFill>
              <w14:schemeClr w14:val="tx1"/>
            </w14:solidFill>
          </w14:textFill>
        </w:rPr>
        <w:t>（北京时间）前提交响应文件</w:t>
      </w:r>
      <w:r>
        <w:rPr>
          <w:rFonts w:hint="eastAsia" w:ascii="宋体" w:hAnsi="宋体" w:eastAsia="宋体" w:cs="宋体"/>
          <w:color w:val="000000" w:themeColor="text1"/>
          <w:sz w:val="24"/>
          <w14:textFill>
            <w14:solidFill>
              <w14:schemeClr w14:val="tx1"/>
            </w14:solidFill>
          </w14:textFill>
        </w:rPr>
        <w:t>。</w:t>
      </w:r>
    </w:p>
    <w:p w14:paraId="43741CB8">
      <w:pPr>
        <w:pStyle w:val="3"/>
        <w:numPr>
          <w:ilvl w:val="0"/>
          <w:numId w:val="0"/>
        </w:numPr>
        <w:ind w:left="432" w:hanging="432"/>
        <w:rPr>
          <w:rFonts w:hint="eastAsia" w:ascii="宋体" w:hAnsi="宋体" w:eastAsia="宋体" w:cs="宋体"/>
          <w:b/>
          <w:bCs/>
          <w:color w:val="000000" w:themeColor="text1"/>
          <w:sz w:val="24"/>
          <w:szCs w:val="24"/>
          <w14:textFill>
            <w14:solidFill>
              <w14:schemeClr w14:val="tx1"/>
            </w14:solidFill>
          </w14:textFill>
        </w:rPr>
      </w:pPr>
      <w:bookmarkStart w:id="1" w:name="_Toc32159"/>
      <w:bookmarkStart w:id="2" w:name="_Toc35393629"/>
      <w:bookmarkStart w:id="3" w:name="_Toc28716"/>
      <w:bookmarkStart w:id="4" w:name="_Toc35393798"/>
      <w:bookmarkStart w:id="5" w:name="_Toc28359012"/>
      <w:bookmarkStart w:id="6" w:name="_Toc28359089"/>
      <w:r>
        <w:rPr>
          <w:rFonts w:hint="eastAsia" w:ascii="宋体" w:hAnsi="宋体" w:eastAsia="宋体" w:cs="宋体"/>
          <w:b/>
          <w:bCs/>
          <w:color w:val="000000" w:themeColor="text1"/>
          <w:sz w:val="24"/>
          <w:szCs w:val="24"/>
          <w14:textFill>
            <w14:solidFill>
              <w14:schemeClr w14:val="tx1"/>
            </w14:solidFill>
          </w14:textFill>
        </w:rPr>
        <w:t>一、项目基本情况</w:t>
      </w:r>
      <w:bookmarkEnd w:id="1"/>
      <w:bookmarkEnd w:id="2"/>
      <w:bookmarkEnd w:id="3"/>
      <w:bookmarkEnd w:id="4"/>
      <w:bookmarkEnd w:id="5"/>
      <w:bookmarkEnd w:id="6"/>
    </w:p>
    <w:p w14:paraId="61EE9906">
      <w:pPr>
        <w:spacing w:line="360" w:lineRule="auto"/>
        <w:ind w:firstLine="480" w:firstLineChars="200"/>
        <w:rPr>
          <w:rFonts w:hint="eastAsia" w:ascii="宋体" w:hAnsi="宋体" w:eastAsia="宋体" w:cs="宋体"/>
          <w:b w:val="0"/>
          <w:bCs/>
          <w:color w:val="000000" w:themeColor="text1"/>
          <w:sz w:val="24"/>
          <w:lang w:eastAsia="zh-CN"/>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项目编号：</w:t>
      </w:r>
      <w:r>
        <w:rPr>
          <w:rFonts w:hint="eastAsia" w:ascii="宋体" w:hAnsi="宋体" w:cs="宋体"/>
          <w:b w:val="0"/>
          <w:bCs/>
          <w:color w:val="000000" w:themeColor="text1"/>
          <w:sz w:val="24"/>
          <w:lang w:eastAsia="zh-CN"/>
          <w14:textFill>
            <w14:solidFill>
              <w14:schemeClr w14:val="tx1"/>
            </w14:solidFill>
          </w14:textFill>
        </w:rPr>
        <w:t>2025</w:t>
      </w:r>
      <w:r>
        <w:rPr>
          <w:rFonts w:hint="eastAsia" w:ascii="宋体" w:hAnsi="宋体" w:eastAsia="宋体" w:cs="宋体"/>
          <w:b w:val="0"/>
          <w:bCs/>
          <w:color w:val="000000" w:themeColor="text1"/>
          <w:sz w:val="24"/>
          <w14:textFill>
            <w14:solidFill>
              <w14:schemeClr w14:val="tx1"/>
            </w14:solidFill>
          </w14:textFill>
        </w:rPr>
        <w:t>(JKJ)</w:t>
      </w:r>
      <w:r>
        <w:rPr>
          <w:rFonts w:hint="eastAsia" w:ascii="宋体" w:hAnsi="宋体" w:cs="宋体"/>
          <w:b w:val="0"/>
          <w:bCs/>
          <w:color w:val="000000" w:themeColor="text1"/>
          <w:sz w:val="24"/>
          <w:lang w:eastAsia="zh-CN"/>
          <w14:textFill>
            <w14:solidFill>
              <w14:schemeClr w14:val="tx1"/>
            </w14:solidFill>
          </w14:textFill>
        </w:rPr>
        <w:t>183</w:t>
      </w:r>
    </w:p>
    <w:p w14:paraId="509E3976">
      <w:pPr>
        <w:spacing w:line="360" w:lineRule="auto"/>
        <w:ind w:firstLine="480" w:firstLineChars="200"/>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项目名称：</w:t>
      </w:r>
      <w:r>
        <w:rPr>
          <w:rFonts w:hint="eastAsia" w:ascii="宋体" w:hAnsi="宋体" w:cs="宋体"/>
          <w:b w:val="0"/>
          <w:bCs/>
          <w:color w:val="000000" w:themeColor="text1"/>
          <w:sz w:val="24"/>
          <w:lang w:val="en-US" w:eastAsia="zh-CN"/>
          <w14:textFill>
            <w14:solidFill>
              <w14:schemeClr w14:val="tx1"/>
            </w14:solidFill>
          </w14:textFill>
        </w:rPr>
        <w:t>中华人民共和国新疆出入境边防检查总站高清视频会议系统维保服务采购项目</w:t>
      </w:r>
    </w:p>
    <w:p w14:paraId="3C3ABCF6">
      <w:pPr>
        <w:spacing w:line="360" w:lineRule="auto"/>
        <w:ind w:firstLine="480" w:firstLineChars="200"/>
        <w:rPr>
          <w:rFonts w:hint="eastAsia" w:ascii="宋体" w:hAnsi="宋体" w:cs="宋体"/>
          <w:b w:val="0"/>
          <w:bCs/>
          <w:color w:val="000000" w:themeColor="text1"/>
          <w:sz w:val="24"/>
          <w:lang w:val="en-US" w:eastAsia="zh-CN"/>
          <w14:textFill>
            <w14:solidFill>
              <w14:schemeClr w14:val="tx1"/>
            </w14:solidFill>
          </w14:textFill>
        </w:rPr>
      </w:pPr>
    </w:p>
    <w:p w14:paraId="485035A1">
      <w:pPr>
        <w:spacing w:line="360" w:lineRule="auto"/>
        <w:ind w:firstLine="480" w:firstLineChars="200"/>
        <w:rPr>
          <w:rFonts w:hint="default"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采购方式：竞争性谈判</w:t>
      </w:r>
    </w:p>
    <w:p w14:paraId="4809A08D">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预算金额（元）：</w:t>
      </w:r>
      <w:r>
        <w:rPr>
          <w:rFonts w:hint="eastAsia" w:ascii="宋体" w:hAnsi="宋体" w:cs="宋体"/>
          <w:b w:val="0"/>
          <w:bCs/>
          <w:color w:val="000000" w:themeColor="text1"/>
          <w:sz w:val="24"/>
          <w:lang w:val="en-US" w:eastAsia="zh-CN"/>
          <w14:textFill>
            <w14:solidFill>
              <w14:schemeClr w14:val="tx1"/>
            </w14:solidFill>
          </w14:textFill>
        </w:rPr>
        <w:t>8000</w:t>
      </w:r>
      <w:r>
        <w:rPr>
          <w:rFonts w:hint="eastAsia" w:ascii="宋体" w:hAnsi="宋体" w:eastAsia="宋体" w:cs="宋体"/>
          <w:b w:val="0"/>
          <w:bCs/>
          <w:color w:val="000000" w:themeColor="text1"/>
          <w:sz w:val="24"/>
          <w:lang w:val="en-US" w:eastAsia="zh-CN"/>
          <w14:textFill>
            <w14:solidFill>
              <w14:schemeClr w14:val="tx1"/>
            </w14:solidFill>
          </w14:textFill>
        </w:rPr>
        <w:t>00.00</w:t>
      </w:r>
      <w:r>
        <w:rPr>
          <w:rFonts w:hint="eastAsia" w:ascii="宋体" w:hAnsi="宋体" w:eastAsia="宋体" w:cs="宋体"/>
          <w:b w:val="0"/>
          <w:bCs/>
          <w:color w:val="000000" w:themeColor="text1"/>
          <w:sz w:val="24"/>
          <w14:textFill>
            <w14:solidFill>
              <w14:schemeClr w14:val="tx1"/>
            </w14:solidFill>
          </w14:textFill>
        </w:rPr>
        <w:t xml:space="preserve"> </w:t>
      </w:r>
    </w:p>
    <w:p w14:paraId="1BB7DF71">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最高限价（元）：</w:t>
      </w:r>
      <w:r>
        <w:rPr>
          <w:rFonts w:hint="eastAsia" w:ascii="宋体" w:hAnsi="宋体" w:cs="宋体"/>
          <w:b w:val="0"/>
          <w:bCs/>
          <w:color w:val="000000" w:themeColor="text1"/>
          <w:sz w:val="24"/>
          <w:lang w:val="en-US" w:eastAsia="zh-CN"/>
          <w14:textFill>
            <w14:solidFill>
              <w14:schemeClr w14:val="tx1"/>
            </w14:solidFill>
          </w14:textFill>
        </w:rPr>
        <w:t>766236.11</w:t>
      </w:r>
    </w:p>
    <w:p w14:paraId="3B1D278C">
      <w:pPr>
        <w:spacing w:line="360" w:lineRule="auto"/>
        <w:ind w:firstLine="480" w:firstLineChars="200"/>
        <w:rPr>
          <w:rFonts w:hint="eastAsia" w:ascii="宋体" w:hAnsi="宋体" w:eastAsia="宋体" w:cs="宋体"/>
          <w:b w:val="0"/>
          <w:bCs/>
          <w:color w:val="000000" w:themeColor="text1"/>
          <w:sz w:val="24"/>
          <w:lang w:eastAsia="zh-CN"/>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采购需求</w:t>
      </w:r>
      <w:r>
        <w:rPr>
          <w:rFonts w:hint="eastAsia" w:ascii="宋体" w:hAnsi="宋体" w:cs="宋体"/>
          <w:b w:val="0"/>
          <w:bCs/>
          <w:color w:val="000000" w:themeColor="text1"/>
          <w:sz w:val="24"/>
          <w:lang w:eastAsia="zh-CN"/>
          <w14:textFill>
            <w14:solidFill>
              <w14:schemeClr w14:val="tx1"/>
            </w14:solidFill>
          </w14:textFill>
        </w:rPr>
        <w:t>：</w:t>
      </w:r>
    </w:p>
    <w:p w14:paraId="11B7B061">
      <w:pPr>
        <w:spacing w:line="360" w:lineRule="auto"/>
        <w:ind w:firstLine="480" w:firstLineChars="200"/>
        <w:rPr>
          <w:rFonts w:hint="eastAsia" w:ascii="宋体" w:hAnsi="宋体" w:cs="宋体"/>
          <w:b w:val="0"/>
          <w:bCs/>
          <w:color w:val="000000" w:themeColor="text1"/>
          <w:sz w:val="24"/>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hd w:val="clear" w:color="auto" w:fill="auto"/>
          <w14:textFill>
            <w14:solidFill>
              <w14:schemeClr w14:val="tx1"/>
            </w14:solidFill>
          </w14:textFill>
        </w:rPr>
        <w:t>标项名称：</w:t>
      </w:r>
      <w:r>
        <w:rPr>
          <w:rFonts w:hint="eastAsia" w:ascii="宋体" w:hAnsi="宋体" w:cs="宋体"/>
          <w:b w:val="0"/>
          <w:bCs/>
          <w:color w:val="000000" w:themeColor="text1"/>
          <w:sz w:val="24"/>
          <w:shd w:val="clear" w:color="auto" w:fill="auto"/>
          <w:lang w:val="en-US" w:eastAsia="zh-CN"/>
          <w14:textFill>
            <w14:solidFill>
              <w14:schemeClr w14:val="tx1"/>
            </w14:solidFill>
          </w14:textFill>
        </w:rPr>
        <w:t>中华人民共和国新疆出入境边防检查总站高清视频会议系统维保服务采购项目</w:t>
      </w:r>
    </w:p>
    <w:p w14:paraId="05A0017A">
      <w:pPr>
        <w:spacing w:line="360" w:lineRule="auto"/>
        <w:ind w:firstLine="480" w:firstLineChars="200"/>
        <w:rPr>
          <w:rFonts w:hint="eastAsia" w:ascii="宋体" w:hAnsi="宋体" w:cs="宋体"/>
          <w:b w:val="0"/>
          <w:bCs/>
          <w:color w:val="000000" w:themeColor="text1"/>
          <w:sz w:val="24"/>
          <w:shd w:val="clear" w:color="auto" w:fill="auto"/>
          <w:lang w:val="en-US" w:eastAsia="zh-CN"/>
          <w14:textFill>
            <w14:solidFill>
              <w14:schemeClr w14:val="tx1"/>
            </w14:solidFill>
          </w14:textFill>
        </w:rPr>
      </w:pPr>
    </w:p>
    <w:p w14:paraId="701A05D0">
      <w:pPr>
        <w:spacing w:line="360" w:lineRule="auto"/>
        <w:ind w:firstLine="480" w:firstLineChars="200"/>
        <w:rPr>
          <w:rFonts w:hint="eastAsia" w:ascii="宋体" w:hAnsi="宋体" w:eastAsia="宋体" w:cs="宋体"/>
          <w:b w:val="0"/>
          <w:bCs/>
          <w:color w:val="000000" w:themeColor="text1"/>
          <w:sz w:val="24"/>
          <w:shd w:val="clear" w:color="auto" w:fill="auto"/>
          <w14:textFill>
            <w14:solidFill>
              <w14:schemeClr w14:val="tx1"/>
            </w14:solidFill>
          </w14:textFill>
        </w:rPr>
      </w:pPr>
      <w:r>
        <w:rPr>
          <w:rFonts w:hint="eastAsia" w:ascii="宋体" w:hAnsi="宋体" w:eastAsia="宋体" w:cs="宋体"/>
          <w:b w:val="0"/>
          <w:bCs/>
          <w:color w:val="000000" w:themeColor="text1"/>
          <w:sz w:val="24"/>
          <w:shd w:val="clear" w:color="auto" w:fill="auto"/>
          <w14:textFill>
            <w14:solidFill>
              <w14:schemeClr w14:val="tx1"/>
            </w14:solidFill>
          </w14:textFill>
        </w:rPr>
        <w:t>数量：1</w:t>
      </w:r>
    </w:p>
    <w:p w14:paraId="62561CB0">
      <w:pPr>
        <w:spacing w:line="360" w:lineRule="auto"/>
        <w:ind w:firstLine="480" w:firstLineChars="200"/>
        <w:rPr>
          <w:rFonts w:hint="eastAsia" w:ascii="宋体" w:hAnsi="宋体" w:eastAsia="宋体" w:cs="宋体"/>
          <w:b w:val="0"/>
          <w:bCs/>
          <w:color w:val="000000" w:themeColor="text1"/>
          <w:sz w:val="24"/>
          <w:shd w:val="clear" w:color="auto" w:fill="auto"/>
          <w14:textFill>
            <w14:solidFill>
              <w14:schemeClr w14:val="tx1"/>
            </w14:solidFill>
          </w14:textFill>
        </w:rPr>
      </w:pPr>
      <w:r>
        <w:rPr>
          <w:rFonts w:hint="eastAsia" w:ascii="宋体" w:hAnsi="宋体" w:eastAsia="宋体" w:cs="宋体"/>
          <w:b w:val="0"/>
          <w:bCs/>
          <w:color w:val="000000" w:themeColor="text1"/>
          <w:sz w:val="24"/>
          <w:shd w:val="clear" w:color="auto" w:fill="auto"/>
          <w14:textFill>
            <w14:solidFill>
              <w14:schemeClr w14:val="tx1"/>
            </w14:solidFill>
          </w14:textFill>
        </w:rPr>
        <w:t>预算金额（元）：</w:t>
      </w:r>
      <w:r>
        <w:rPr>
          <w:rFonts w:hint="eastAsia" w:ascii="宋体" w:hAnsi="宋体" w:eastAsia="宋体" w:cs="宋体"/>
          <w:b w:val="0"/>
          <w:bCs/>
          <w:color w:val="000000" w:themeColor="text1"/>
          <w:sz w:val="24"/>
          <w:shd w:val="clear" w:color="auto" w:fill="auto"/>
          <w:lang w:val="en-US" w:eastAsia="zh-CN"/>
          <w14:textFill>
            <w14:solidFill>
              <w14:schemeClr w14:val="tx1"/>
            </w14:solidFill>
          </w14:textFill>
        </w:rPr>
        <w:t>800000.00</w:t>
      </w:r>
    </w:p>
    <w:p w14:paraId="58BA0105">
      <w:pPr>
        <w:spacing w:line="360" w:lineRule="auto"/>
        <w:ind w:firstLine="480" w:firstLineChars="200"/>
        <w:rPr>
          <w:rFonts w:hint="eastAsia" w:ascii="宋体" w:hAnsi="宋体" w:eastAsia="宋体" w:cs="宋体"/>
          <w:b w:val="0"/>
          <w:bCs/>
          <w:color w:val="000000" w:themeColor="text1"/>
          <w:sz w:val="24"/>
          <w:shd w:val="clear" w:color="auto" w:fill="auto"/>
          <w14:textFill>
            <w14:solidFill>
              <w14:schemeClr w14:val="tx1"/>
            </w14:solidFill>
          </w14:textFill>
        </w:rPr>
      </w:pPr>
      <w:r>
        <w:rPr>
          <w:rFonts w:hint="eastAsia" w:ascii="宋体" w:hAnsi="宋体" w:eastAsia="宋体" w:cs="宋体"/>
          <w:b w:val="0"/>
          <w:bCs/>
          <w:color w:val="000000" w:themeColor="text1"/>
          <w:sz w:val="24"/>
          <w:shd w:val="clear" w:color="auto" w:fill="auto"/>
          <w14:textFill>
            <w14:solidFill>
              <w14:schemeClr w14:val="tx1"/>
            </w14:solidFill>
          </w14:textFill>
        </w:rPr>
        <w:t>单位：年</w:t>
      </w:r>
    </w:p>
    <w:p w14:paraId="02C098CD">
      <w:pPr>
        <w:spacing w:line="360" w:lineRule="auto"/>
        <w:ind w:firstLine="480" w:firstLineChars="200"/>
        <w:rPr>
          <w:rFonts w:hint="eastAsia" w:ascii="宋体" w:hAnsi="宋体" w:eastAsia="宋体" w:cs="宋体"/>
          <w:b w:val="0"/>
          <w:bCs/>
          <w:color w:val="000000" w:themeColor="text1"/>
          <w:sz w:val="24"/>
          <w:shd w:val="clear" w:color="auto" w:fill="auto"/>
          <w14:textFill>
            <w14:solidFill>
              <w14:schemeClr w14:val="tx1"/>
            </w14:solidFill>
          </w14:textFill>
        </w:rPr>
      </w:pPr>
      <w:r>
        <w:rPr>
          <w:rFonts w:hint="eastAsia" w:ascii="宋体" w:hAnsi="宋体" w:eastAsia="宋体" w:cs="宋体"/>
          <w:b w:val="0"/>
          <w:bCs/>
          <w:color w:val="000000" w:themeColor="text1"/>
          <w:sz w:val="24"/>
          <w:shd w:val="clear" w:color="auto" w:fill="auto"/>
          <w14:textFill>
            <w14:solidFill>
              <w14:schemeClr w14:val="tx1"/>
            </w14:solidFill>
          </w14:textFill>
        </w:rPr>
        <w:t>简要规格描述：</w:t>
      </w:r>
      <w:r>
        <w:rPr>
          <w:rFonts w:hint="eastAsia" w:ascii="宋体" w:hAnsi="宋体" w:eastAsia="宋体" w:cs="宋体"/>
          <w:b w:val="0"/>
          <w:bCs/>
          <w:color w:val="000000" w:themeColor="text1"/>
          <w:sz w:val="24"/>
          <w:shd w:val="clear" w:color="auto" w:fill="auto"/>
          <w:lang w:val="en-US" w:eastAsia="zh-CN"/>
          <w14:textFill>
            <w14:solidFill>
              <w14:schemeClr w14:val="tx1"/>
            </w14:solidFill>
          </w14:textFill>
        </w:rPr>
        <w:t>视频会议系统</w:t>
      </w:r>
      <w:r>
        <w:rPr>
          <w:rFonts w:hint="eastAsia" w:ascii="宋体" w:hAnsi="宋体" w:eastAsia="宋体" w:cs="宋体"/>
          <w:b w:val="0"/>
          <w:bCs/>
          <w:color w:val="000000" w:themeColor="text1"/>
          <w:sz w:val="24"/>
          <w:shd w:val="clear" w:color="auto" w:fill="auto"/>
          <w14:textFill>
            <w14:solidFill>
              <w14:schemeClr w14:val="tx1"/>
            </w14:solidFill>
          </w14:textFill>
        </w:rPr>
        <w:t>驻场及维保服务主要包括总站机关驻场服务、基层单位设备维护服务和故障维修服务</w:t>
      </w:r>
      <w:r>
        <w:rPr>
          <w:rFonts w:hint="eastAsia" w:ascii="宋体" w:hAnsi="宋体" w:eastAsia="宋体" w:cs="宋体"/>
          <w:b w:val="0"/>
          <w:bCs/>
          <w:color w:val="000000" w:themeColor="text1"/>
          <w:sz w:val="24"/>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hd w:val="clear" w:color="auto" w:fill="auto"/>
          <w14:textFill>
            <w14:solidFill>
              <w14:schemeClr w14:val="tx1"/>
            </w14:solidFill>
          </w14:textFill>
        </w:rPr>
        <w:t>以及其他涉及视频会议系统运维的服务内容。</w:t>
      </w:r>
    </w:p>
    <w:p w14:paraId="7558CE66">
      <w:pPr>
        <w:spacing w:line="360" w:lineRule="auto"/>
        <w:ind w:firstLine="480" w:firstLineChars="200"/>
        <w:rPr>
          <w:rFonts w:hint="eastAsia" w:ascii="宋体" w:hAnsi="宋体" w:eastAsia="宋体" w:cs="宋体"/>
          <w:b w:val="0"/>
          <w:bCs/>
          <w:color w:val="000000" w:themeColor="text1"/>
          <w:sz w:val="24"/>
          <w:shd w:val="clear" w:color="auto" w:fill="auto"/>
          <w14:textFill>
            <w14:solidFill>
              <w14:schemeClr w14:val="tx1"/>
            </w14:solidFill>
          </w14:textFill>
        </w:rPr>
      </w:pPr>
      <w:r>
        <w:rPr>
          <w:rFonts w:hint="eastAsia" w:ascii="宋体" w:hAnsi="宋体" w:eastAsia="宋体" w:cs="宋体"/>
          <w:b w:val="0"/>
          <w:bCs/>
          <w:color w:val="000000" w:themeColor="text1"/>
          <w:sz w:val="24"/>
          <w:shd w:val="clear" w:color="auto" w:fill="auto"/>
          <w14:textFill>
            <w14:solidFill>
              <w14:schemeClr w14:val="tx1"/>
            </w14:solidFill>
          </w14:textFill>
        </w:rPr>
        <w:t>备注：</w:t>
      </w:r>
    </w:p>
    <w:p w14:paraId="176E4CFF">
      <w:pPr>
        <w:spacing w:line="360" w:lineRule="auto"/>
        <w:ind w:firstLine="480" w:firstLineChars="200"/>
        <w:rPr>
          <w:rFonts w:hint="eastAsia" w:ascii="宋体" w:hAnsi="宋体" w:eastAsia="宋体" w:cs="宋体"/>
          <w:b w:val="0"/>
          <w:bCs/>
          <w:color w:val="000000" w:themeColor="text1"/>
          <w:sz w:val="24"/>
          <w:u w:val="single"/>
          <w:lang w:eastAsia="zh-CN"/>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合同履行期限：</w:t>
      </w:r>
      <w:r>
        <w:rPr>
          <w:rFonts w:hint="eastAsia" w:ascii="宋体" w:hAnsi="宋体" w:cs="宋体"/>
          <w:b w:val="0"/>
          <w:bCs/>
          <w:color w:val="000000" w:themeColor="text1"/>
          <w:sz w:val="24"/>
          <w:lang w:eastAsia="zh-CN"/>
          <w14:textFill>
            <w14:solidFill>
              <w14:schemeClr w14:val="tx1"/>
            </w14:solidFill>
          </w14:textFill>
        </w:rPr>
        <w:t>合同签订</w:t>
      </w:r>
      <w:r>
        <w:rPr>
          <w:rFonts w:hint="eastAsia" w:ascii="宋体" w:hAnsi="宋体" w:cs="宋体"/>
          <w:b w:val="0"/>
          <w:bCs/>
          <w:color w:val="000000" w:themeColor="text1"/>
          <w:sz w:val="24"/>
          <w:lang w:val="en-US" w:eastAsia="zh-CN"/>
          <w14:textFill>
            <w14:solidFill>
              <w14:schemeClr w14:val="tx1"/>
            </w14:solidFill>
          </w14:textFill>
        </w:rPr>
        <w:t>后</w:t>
      </w:r>
      <w:r>
        <w:rPr>
          <w:rFonts w:hint="eastAsia" w:ascii="宋体" w:hAnsi="宋体" w:cs="宋体"/>
          <w:b w:val="0"/>
          <w:bCs/>
          <w:color w:val="000000" w:themeColor="text1"/>
          <w:sz w:val="24"/>
          <w:lang w:eastAsia="zh-CN"/>
          <w14:textFill>
            <w14:solidFill>
              <w14:schemeClr w14:val="tx1"/>
            </w14:solidFill>
          </w14:textFill>
        </w:rPr>
        <w:t>1年</w:t>
      </w:r>
      <w:r>
        <w:rPr>
          <w:rFonts w:hint="eastAsia" w:ascii="宋体" w:hAnsi="宋体" w:eastAsia="宋体" w:cs="宋体"/>
          <w:b w:val="0"/>
          <w:bCs/>
          <w:color w:val="000000" w:themeColor="text1"/>
          <w:sz w:val="24"/>
          <w:lang w:eastAsia="zh-CN"/>
          <w14:textFill>
            <w14:solidFill>
              <w14:schemeClr w14:val="tx1"/>
            </w14:solidFill>
          </w14:textFill>
        </w:rPr>
        <w:t>。</w:t>
      </w:r>
    </w:p>
    <w:p w14:paraId="67DC1D16">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本项目（否）接受联合体投标。</w:t>
      </w:r>
    </w:p>
    <w:p w14:paraId="13C4D134">
      <w:pPr>
        <w:spacing w:line="360" w:lineRule="auto"/>
        <w:rPr>
          <w:rFonts w:hint="eastAsia" w:ascii="宋体" w:hAnsi="宋体" w:eastAsia="宋体" w:cs="宋体"/>
          <w:b/>
          <w:bCs/>
          <w:color w:val="000000" w:themeColor="text1"/>
          <w:sz w:val="24"/>
          <w14:textFill>
            <w14:solidFill>
              <w14:schemeClr w14:val="tx1"/>
            </w14:solidFill>
          </w14:textFill>
        </w:rPr>
      </w:pPr>
      <w:bookmarkStart w:id="7" w:name="_Toc28359090"/>
      <w:bookmarkStart w:id="8" w:name="_Toc35393630"/>
      <w:bookmarkStart w:id="9" w:name="_Toc28359013"/>
      <w:bookmarkStart w:id="10" w:name="_Toc35393799"/>
      <w:r>
        <w:rPr>
          <w:rFonts w:hint="eastAsia" w:ascii="宋体" w:hAnsi="宋体" w:eastAsia="宋体" w:cs="宋体"/>
          <w:b/>
          <w:bCs/>
          <w:color w:val="000000" w:themeColor="text1"/>
          <w:sz w:val="24"/>
          <w14:textFill>
            <w14:solidFill>
              <w14:schemeClr w14:val="tx1"/>
            </w14:solidFill>
          </w14:textFill>
        </w:rPr>
        <w:t>二、申请人的资格要求：</w:t>
      </w:r>
      <w:bookmarkEnd w:id="7"/>
      <w:bookmarkEnd w:id="8"/>
      <w:bookmarkEnd w:id="9"/>
      <w:bookmarkEnd w:id="10"/>
    </w:p>
    <w:p w14:paraId="471C204E">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w:t>
      </w:r>
    </w:p>
    <w:p w14:paraId="50B79C09">
      <w:pPr>
        <w:pStyle w:val="21"/>
        <w:spacing w:before="0" w:beforeAutospacing="0" w:after="0" w:afterAutospacing="0"/>
        <w:ind w:firstLine="480" w:firstLineChars="200"/>
        <w:jc w:val="both"/>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本项目专门面向中小企业采购；</w:t>
      </w:r>
    </w:p>
    <w:p w14:paraId="5F3E012D">
      <w:pPr>
        <w:spacing w:line="360" w:lineRule="auto"/>
        <w:ind w:firstLine="480"/>
        <w:rPr>
          <w:rFonts w:hint="eastAsia" w:ascii="宋体" w:hAnsi="宋体" w:eastAsia="宋体" w:cs="宋体"/>
          <w:snapToGrid w:val="0"/>
          <w:color w:val="000000" w:themeColor="text1"/>
          <w:kern w:val="28"/>
          <w:sz w:val="24"/>
          <w:szCs w:val="20"/>
          <w:lang w:val="en-US" w:eastAsia="zh-CN"/>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3.本项目的特定资格要求：</w:t>
      </w:r>
      <w:r>
        <w:rPr>
          <w:rFonts w:hint="eastAsia" w:ascii="宋体" w:hAnsi="宋体" w:cs="宋体"/>
          <w:snapToGrid w:val="0"/>
          <w:color w:val="000000" w:themeColor="text1"/>
          <w:kern w:val="28"/>
          <w:sz w:val="24"/>
          <w:szCs w:val="20"/>
          <w:lang w:val="en-US" w:eastAsia="zh-CN"/>
          <w14:textFill>
            <w14:solidFill>
              <w14:schemeClr w14:val="tx1"/>
            </w14:solidFill>
          </w14:textFill>
        </w:rPr>
        <w:t>无</w:t>
      </w:r>
    </w:p>
    <w:p w14:paraId="365D2663">
      <w:pPr>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三、获取采购文件</w:t>
      </w:r>
    </w:p>
    <w:p w14:paraId="6071D36F">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时间：</w:t>
      </w:r>
      <w:r>
        <w:rPr>
          <w:rFonts w:hint="eastAsia" w:ascii="宋体" w:hAnsi="宋体" w:eastAsia="宋体" w:cs="宋体"/>
          <w:snapToGrid w:val="0"/>
          <w:color w:val="000000" w:themeColor="text1"/>
          <w:kern w:val="28"/>
          <w:sz w:val="24"/>
          <w:szCs w:val="20"/>
          <w14:textFill>
            <w14:solidFill>
              <w14:schemeClr w14:val="tx1"/>
            </w14:solidFill>
          </w14:textFill>
        </w:rPr>
        <w:t>2025年</w:t>
      </w:r>
      <w:r>
        <w:rPr>
          <w:rFonts w:hint="eastAsia" w:ascii="宋体" w:hAnsi="宋体" w:cs="宋体"/>
          <w:snapToGrid w:val="0"/>
          <w:color w:val="000000" w:themeColor="text1"/>
          <w:kern w:val="28"/>
          <w:sz w:val="24"/>
          <w:szCs w:val="20"/>
          <w:lang w:val="en-US" w:eastAsia="zh-CN"/>
          <w14:textFill>
            <w14:solidFill>
              <w14:schemeClr w14:val="tx1"/>
            </w14:solidFill>
          </w14:textFill>
        </w:rPr>
        <w:t xml:space="preserve"> 06</w:t>
      </w:r>
      <w:r>
        <w:rPr>
          <w:rFonts w:hint="eastAsia" w:ascii="宋体" w:hAnsi="宋体" w:eastAsia="宋体" w:cs="宋体"/>
          <w:snapToGrid w:val="0"/>
          <w:color w:val="000000" w:themeColor="text1"/>
          <w:kern w:val="28"/>
          <w:sz w:val="24"/>
          <w:szCs w:val="20"/>
          <w14:textFill>
            <w14:solidFill>
              <w14:schemeClr w14:val="tx1"/>
            </w14:solidFill>
          </w14:textFill>
        </w:rPr>
        <w:t>月</w:t>
      </w:r>
      <w:r>
        <w:rPr>
          <w:rFonts w:hint="eastAsia" w:ascii="宋体" w:hAnsi="宋体" w:cs="宋体"/>
          <w:snapToGrid w:val="0"/>
          <w:color w:val="000000" w:themeColor="text1"/>
          <w:kern w:val="28"/>
          <w:sz w:val="24"/>
          <w:szCs w:val="20"/>
          <w:lang w:val="en-US" w:eastAsia="zh-CN"/>
          <w14:textFill>
            <w14:solidFill>
              <w14:schemeClr w14:val="tx1"/>
            </w14:solidFill>
          </w14:textFill>
        </w:rPr>
        <w:t>25</w:t>
      </w:r>
      <w:r>
        <w:rPr>
          <w:rFonts w:hint="eastAsia" w:ascii="宋体" w:hAnsi="宋体" w:eastAsia="宋体" w:cs="宋体"/>
          <w:snapToGrid w:val="0"/>
          <w:color w:val="000000" w:themeColor="text1"/>
          <w:kern w:val="28"/>
          <w:sz w:val="24"/>
          <w:szCs w:val="20"/>
          <w14:textFill>
            <w14:solidFill>
              <w14:schemeClr w14:val="tx1"/>
            </w14:solidFill>
          </w14:textFill>
        </w:rPr>
        <w:t>日至2025年</w:t>
      </w:r>
      <w:r>
        <w:rPr>
          <w:rFonts w:hint="eastAsia" w:ascii="宋体" w:hAnsi="宋体" w:cs="宋体"/>
          <w:snapToGrid w:val="0"/>
          <w:color w:val="000000" w:themeColor="text1"/>
          <w:kern w:val="28"/>
          <w:sz w:val="24"/>
          <w:szCs w:val="20"/>
          <w:lang w:val="en-US" w:eastAsia="zh-CN"/>
          <w14:textFill>
            <w14:solidFill>
              <w14:schemeClr w14:val="tx1"/>
            </w14:solidFill>
          </w14:textFill>
        </w:rPr>
        <w:t>06</w:t>
      </w:r>
      <w:r>
        <w:rPr>
          <w:rFonts w:hint="eastAsia" w:ascii="宋体" w:hAnsi="宋体" w:eastAsia="宋体" w:cs="宋体"/>
          <w:snapToGrid w:val="0"/>
          <w:color w:val="000000" w:themeColor="text1"/>
          <w:kern w:val="28"/>
          <w:sz w:val="24"/>
          <w:szCs w:val="20"/>
          <w14:textFill>
            <w14:solidFill>
              <w14:schemeClr w14:val="tx1"/>
            </w14:solidFill>
          </w14:textFill>
        </w:rPr>
        <w:t>月</w:t>
      </w:r>
      <w:r>
        <w:rPr>
          <w:rFonts w:hint="eastAsia" w:ascii="宋体" w:hAnsi="宋体" w:cs="宋体"/>
          <w:snapToGrid w:val="0"/>
          <w:color w:val="000000" w:themeColor="text1"/>
          <w:kern w:val="28"/>
          <w:sz w:val="24"/>
          <w:szCs w:val="20"/>
          <w:lang w:val="en-US" w:eastAsia="zh-CN"/>
          <w14:textFill>
            <w14:solidFill>
              <w14:schemeClr w14:val="tx1"/>
            </w14:solidFill>
          </w14:textFill>
        </w:rPr>
        <w:t>30</w:t>
      </w:r>
      <w:r>
        <w:rPr>
          <w:rFonts w:hint="eastAsia" w:ascii="宋体" w:hAnsi="宋体" w:eastAsia="宋体" w:cs="宋体"/>
          <w:snapToGrid w:val="0"/>
          <w:color w:val="000000" w:themeColor="text1"/>
          <w:kern w:val="28"/>
          <w:sz w:val="24"/>
          <w:szCs w:val="20"/>
          <w14:textFill>
            <w14:solidFill>
              <w14:schemeClr w14:val="tx1"/>
            </w14:solidFill>
          </w14:textFill>
        </w:rPr>
        <w:t>日</w:t>
      </w:r>
      <w:r>
        <w:rPr>
          <w:rFonts w:hint="eastAsia" w:ascii="宋体" w:hAnsi="宋体" w:eastAsia="宋体" w:cs="宋体"/>
          <w:snapToGrid w:val="0"/>
          <w:color w:val="000000" w:themeColor="text1"/>
          <w:kern w:val="28"/>
          <w:sz w:val="24"/>
          <w:szCs w:val="20"/>
          <w14:textFill>
            <w14:solidFill>
              <w14:schemeClr w14:val="tx1"/>
            </w14:solidFill>
          </w14:textFill>
        </w:rPr>
        <w:t>，每天上午00:00至14:00，下午14:00至23:59（北京时间，法定节假日除外）</w:t>
      </w:r>
    </w:p>
    <w:p w14:paraId="78E31E7C">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地点：政采云平台线上</w:t>
      </w:r>
    </w:p>
    <w:p w14:paraId="235446FF">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F87523B">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售价（元）：0</w:t>
      </w:r>
    </w:p>
    <w:p w14:paraId="40BA6BB4">
      <w:pPr>
        <w:pStyle w:val="3"/>
        <w:numPr>
          <w:ilvl w:val="0"/>
          <w:numId w:val="0"/>
        </w:numPr>
        <w:ind w:left="432" w:hanging="432"/>
        <w:rPr>
          <w:rFonts w:hint="eastAsia" w:ascii="宋体" w:hAnsi="宋体" w:eastAsia="宋体" w:cs="宋体"/>
          <w:b/>
          <w:bCs/>
          <w:color w:val="000000" w:themeColor="text1"/>
          <w:sz w:val="24"/>
          <w:szCs w:val="24"/>
          <w14:textFill>
            <w14:solidFill>
              <w14:schemeClr w14:val="tx1"/>
            </w14:solidFill>
          </w14:textFill>
        </w:rPr>
      </w:pPr>
      <w:bookmarkStart w:id="11" w:name="_Toc22252"/>
      <w:bookmarkStart w:id="12" w:name="_Toc35393801"/>
      <w:bookmarkStart w:id="13" w:name="_Toc5778"/>
      <w:bookmarkStart w:id="14" w:name="_Toc28359092"/>
      <w:bookmarkStart w:id="15" w:name="_Toc35393632"/>
      <w:bookmarkStart w:id="16" w:name="_Toc28359015"/>
      <w:r>
        <w:rPr>
          <w:rFonts w:hint="eastAsia" w:ascii="宋体" w:hAnsi="宋体" w:eastAsia="宋体" w:cs="宋体"/>
          <w:b/>
          <w:bCs/>
          <w:color w:val="000000" w:themeColor="text1"/>
          <w:sz w:val="24"/>
          <w:szCs w:val="24"/>
          <w14:textFill>
            <w14:solidFill>
              <w14:schemeClr w14:val="tx1"/>
            </w14:solidFill>
          </w14:textFill>
        </w:rPr>
        <w:t>四、响应文件提交</w:t>
      </w:r>
      <w:bookmarkEnd w:id="11"/>
      <w:bookmarkEnd w:id="12"/>
      <w:bookmarkEnd w:id="13"/>
      <w:bookmarkEnd w:id="14"/>
      <w:bookmarkEnd w:id="15"/>
      <w:bookmarkEnd w:id="16"/>
    </w:p>
    <w:p w14:paraId="0A842CF8">
      <w:pPr>
        <w:spacing w:line="360" w:lineRule="auto"/>
        <w:ind w:firstLine="480" w:firstLineChars="200"/>
        <w:rPr>
          <w:rFonts w:hint="eastAsia" w:ascii="宋体" w:hAnsi="宋体" w:eastAsia="宋体" w:cs="宋体"/>
          <w:bCs/>
          <w:color w:val="000000" w:themeColor="text1"/>
          <w:sz w:val="24"/>
          <w:u w:val="none"/>
          <w14:textFill>
            <w14:solidFill>
              <w14:schemeClr w14:val="tx1"/>
            </w14:solidFill>
          </w14:textFill>
        </w:rPr>
      </w:pPr>
      <w:r>
        <w:rPr>
          <w:rFonts w:hint="eastAsia" w:ascii="宋体" w:hAnsi="宋体" w:eastAsia="宋体" w:cs="宋体"/>
          <w:bCs/>
          <w:color w:val="000000" w:themeColor="text1"/>
          <w:sz w:val="24"/>
          <w:u w:val="none"/>
          <w14:textFill>
            <w14:solidFill>
              <w14:schemeClr w14:val="tx1"/>
            </w14:solidFill>
          </w14:textFill>
        </w:rPr>
        <w:t>截止时间：</w:t>
      </w:r>
      <w:r>
        <w:rPr>
          <w:rFonts w:hint="eastAsia" w:ascii="宋体" w:hAnsi="宋体" w:eastAsia="宋体" w:cs="宋体"/>
          <w:snapToGrid w:val="0"/>
          <w:color w:val="000000" w:themeColor="text1"/>
          <w:kern w:val="28"/>
          <w:sz w:val="24"/>
          <w:szCs w:val="20"/>
          <w14:textFill>
            <w14:solidFill>
              <w14:schemeClr w14:val="tx1"/>
            </w14:solidFill>
          </w14:textFill>
        </w:rPr>
        <w:t>2025年</w:t>
      </w:r>
      <w:r>
        <w:rPr>
          <w:rFonts w:hint="eastAsia" w:ascii="宋体" w:hAnsi="宋体" w:cs="宋体"/>
          <w:snapToGrid w:val="0"/>
          <w:color w:val="000000" w:themeColor="text1"/>
          <w:kern w:val="28"/>
          <w:sz w:val="24"/>
          <w:szCs w:val="20"/>
          <w:lang w:val="en-US" w:eastAsia="zh-CN"/>
          <w14:textFill>
            <w14:solidFill>
              <w14:schemeClr w14:val="tx1"/>
            </w14:solidFill>
          </w14:textFill>
        </w:rPr>
        <w:t>07</w:t>
      </w:r>
      <w:r>
        <w:rPr>
          <w:rFonts w:hint="eastAsia" w:ascii="宋体" w:hAnsi="宋体" w:eastAsia="宋体" w:cs="宋体"/>
          <w:snapToGrid w:val="0"/>
          <w:color w:val="000000" w:themeColor="text1"/>
          <w:kern w:val="28"/>
          <w:sz w:val="24"/>
          <w:szCs w:val="20"/>
          <w14:textFill>
            <w14:solidFill>
              <w14:schemeClr w14:val="tx1"/>
            </w14:solidFill>
          </w14:textFill>
        </w:rPr>
        <w:t>月</w:t>
      </w:r>
      <w:r>
        <w:rPr>
          <w:rFonts w:hint="eastAsia" w:ascii="宋体" w:hAnsi="宋体" w:cs="宋体"/>
          <w:snapToGrid w:val="0"/>
          <w:color w:val="000000" w:themeColor="text1"/>
          <w:kern w:val="28"/>
          <w:sz w:val="24"/>
          <w:szCs w:val="20"/>
          <w:lang w:val="en-US" w:eastAsia="zh-CN"/>
          <w14:textFill>
            <w14:solidFill>
              <w14:schemeClr w14:val="tx1"/>
            </w14:solidFill>
          </w14:textFill>
        </w:rPr>
        <w:t>01</w:t>
      </w:r>
      <w:r>
        <w:rPr>
          <w:rFonts w:hint="eastAsia" w:ascii="宋体" w:hAnsi="宋体" w:eastAsia="宋体" w:cs="宋体"/>
          <w:snapToGrid w:val="0"/>
          <w:color w:val="000000" w:themeColor="text1"/>
          <w:kern w:val="28"/>
          <w:sz w:val="24"/>
          <w:szCs w:val="20"/>
          <w14:textFill>
            <w14:solidFill>
              <w14:schemeClr w14:val="tx1"/>
            </w14:solidFill>
          </w14:textFill>
        </w:rPr>
        <w:t>日</w:t>
      </w:r>
      <w:r>
        <w:rPr>
          <w:rFonts w:hint="eastAsia" w:ascii="宋体" w:hAnsi="宋体" w:eastAsia="宋体" w:cs="宋体"/>
          <w:bCs/>
          <w:color w:val="000000" w:themeColor="text1"/>
          <w:sz w:val="24"/>
          <w:u w:val="none"/>
          <w14:textFill>
            <w14:solidFill>
              <w14:schemeClr w14:val="tx1"/>
            </w14:solidFill>
          </w14:textFill>
        </w:rPr>
        <w:t xml:space="preserve"> 1</w:t>
      </w:r>
      <w:r>
        <w:rPr>
          <w:rFonts w:hint="eastAsia" w:ascii="宋体" w:hAnsi="宋体" w:cs="宋体"/>
          <w:bCs/>
          <w:color w:val="000000" w:themeColor="text1"/>
          <w:sz w:val="24"/>
          <w:u w:val="none"/>
          <w:lang w:val="en-US" w:eastAsia="zh-CN"/>
          <w14:textFill>
            <w14:solidFill>
              <w14:schemeClr w14:val="tx1"/>
            </w14:solidFill>
          </w14:textFill>
        </w:rPr>
        <w:t>6</w:t>
      </w:r>
      <w:r>
        <w:rPr>
          <w:rFonts w:hint="eastAsia" w:ascii="宋体" w:hAnsi="宋体" w:eastAsia="宋体" w:cs="宋体"/>
          <w:bCs/>
          <w:color w:val="000000" w:themeColor="text1"/>
          <w:sz w:val="24"/>
          <w:u w:val="none"/>
          <w14:textFill>
            <w14:solidFill>
              <w14:schemeClr w14:val="tx1"/>
            </w14:solidFill>
          </w14:textFill>
        </w:rPr>
        <w:t>:00（北京时间）</w:t>
      </w:r>
    </w:p>
    <w:p w14:paraId="72AE17ED">
      <w:pPr>
        <w:spacing w:line="360" w:lineRule="auto"/>
        <w:ind w:firstLine="480" w:firstLineChars="200"/>
        <w:rPr>
          <w:rFonts w:hint="eastAsia" w:ascii="宋体" w:hAnsi="宋体" w:eastAsia="宋体" w:cs="宋体"/>
          <w:bCs/>
          <w:color w:val="000000" w:themeColor="text1"/>
          <w:sz w:val="24"/>
          <w:u w:val="none"/>
          <w14:textFill>
            <w14:solidFill>
              <w14:schemeClr w14:val="tx1"/>
            </w14:solidFill>
          </w14:textFill>
        </w:rPr>
      </w:pPr>
      <w:r>
        <w:rPr>
          <w:rFonts w:hint="eastAsia" w:ascii="宋体" w:hAnsi="宋体" w:eastAsia="宋体" w:cs="宋体"/>
          <w:bCs/>
          <w:color w:val="000000" w:themeColor="text1"/>
          <w:sz w:val="24"/>
          <w:u w:val="none"/>
          <w14:textFill>
            <w14:solidFill>
              <w14:schemeClr w14:val="tx1"/>
            </w14:solidFill>
          </w14:textFill>
        </w:rPr>
        <w:t>地点：请登录政采云投标客户端投标 </w:t>
      </w:r>
    </w:p>
    <w:p w14:paraId="522EFFED">
      <w:pPr>
        <w:pStyle w:val="3"/>
        <w:numPr>
          <w:ilvl w:val="0"/>
          <w:numId w:val="0"/>
        </w:numPr>
        <w:ind w:left="432" w:hanging="432"/>
        <w:rPr>
          <w:rFonts w:hint="eastAsia" w:ascii="宋体" w:hAnsi="宋体" w:eastAsia="宋体" w:cs="宋体"/>
          <w:b/>
          <w:bCs/>
          <w:color w:val="000000" w:themeColor="text1"/>
          <w:sz w:val="24"/>
          <w:szCs w:val="24"/>
          <w14:textFill>
            <w14:solidFill>
              <w14:schemeClr w14:val="tx1"/>
            </w14:solidFill>
          </w14:textFill>
        </w:rPr>
      </w:pPr>
      <w:bookmarkStart w:id="17" w:name="_Toc28359093"/>
      <w:bookmarkStart w:id="18" w:name="_Toc35393802"/>
      <w:bookmarkStart w:id="19" w:name="_Toc28359016"/>
      <w:bookmarkStart w:id="20" w:name="_Toc363"/>
      <w:bookmarkStart w:id="21" w:name="_Toc35393633"/>
      <w:bookmarkStart w:id="22" w:name="_Toc4120"/>
      <w:r>
        <w:rPr>
          <w:rFonts w:hint="eastAsia" w:ascii="宋体" w:hAnsi="宋体" w:eastAsia="宋体" w:cs="宋体"/>
          <w:b/>
          <w:bCs/>
          <w:color w:val="000000" w:themeColor="text1"/>
          <w:sz w:val="24"/>
          <w:szCs w:val="24"/>
          <w14:textFill>
            <w14:solidFill>
              <w14:schemeClr w14:val="tx1"/>
            </w14:solidFill>
          </w14:textFill>
        </w:rPr>
        <w:t>五、响应文件开启</w:t>
      </w:r>
      <w:bookmarkEnd w:id="17"/>
      <w:bookmarkEnd w:id="18"/>
      <w:bookmarkEnd w:id="19"/>
      <w:bookmarkEnd w:id="20"/>
      <w:bookmarkEnd w:id="21"/>
      <w:bookmarkEnd w:id="22"/>
    </w:p>
    <w:p w14:paraId="618CABE5">
      <w:pPr>
        <w:spacing w:line="360" w:lineRule="auto"/>
        <w:ind w:firstLine="480" w:firstLineChars="200"/>
        <w:rPr>
          <w:rFonts w:hint="eastAsia" w:ascii="宋体" w:hAnsi="宋体" w:eastAsia="宋体" w:cs="宋体"/>
          <w:bCs/>
          <w:color w:val="000000" w:themeColor="text1"/>
          <w:sz w:val="24"/>
          <w:u w:val="none"/>
          <w14:textFill>
            <w14:solidFill>
              <w14:schemeClr w14:val="tx1"/>
            </w14:solidFill>
          </w14:textFill>
        </w:rPr>
      </w:pPr>
      <w:bookmarkStart w:id="23" w:name="_Toc35393634"/>
      <w:bookmarkStart w:id="24" w:name="_Toc28359017"/>
      <w:bookmarkStart w:id="25" w:name="_Toc28394"/>
      <w:bookmarkStart w:id="26" w:name="_Toc35393803"/>
      <w:bookmarkStart w:id="27" w:name="_Toc28359094"/>
      <w:r>
        <w:rPr>
          <w:rFonts w:hint="eastAsia" w:ascii="宋体" w:hAnsi="宋体" w:eastAsia="宋体" w:cs="宋体"/>
          <w:bCs/>
          <w:color w:val="000000" w:themeColor="text1"/>
          <w:sz w:val="24"/>
          <w:u w:val="none"/>
          <w14:textFill>
            <w14:solidFill>
              <w14:schemeClr w14:val="tx1"/>
            </w14:solidFill>
          </w14:textFill>
        </w:rPr>
        <w:t>开启时间：</w:t>
      </w:r>
      <w:r>
        <w:rPr>
          <w:rFonts w:hint="eastAsia" w:ascii="宋体" w:hAnsi="宋体" w:eastAsia="宋体" w:cs="宋体"/>
          <w:snapToGrid w:val="0"/>
          <w:color w:val="000000" w:themeColor="text1"/>
          <w:kern w:val="28"/>
          <w:sz w:val="24"/>
          <w:szCs w:val="20"/>
          <w14:textFill>
            <w14:solidFill>
              <w14:schemeClr w14:val="tx1"/>
            </w14:solidFill>
          </w14:textFill>
        </w:rPr>
        <w:t>2025年</w:t>
      </w:r>
      <w:r>
        <w:rPr>
          <w:rFonts w:hint="eastAsia" w:ascii="宋体" w:hAnsi="宋体" w:cs="宋体"/>
          <w:snapToGrid w:val="0"/>
          <w:color w:val="000000" w:themeColor="text1"/>
          <w:kern w:val="28"/>
          <w:sz w:val="24"/>
          <w:szCs w:val="20"/>
          <w:lang w:val="en-US" w:eastAsia="zh-CN"/>
          <w14:textFill>
            <w14:solidFill>
              <w14:schemeClr w14:val="tx1"/>
            </w14:solidFill>
          </w14:textFill>
        </w:rPr>
        <w:t>07</w:t>
      </w:r>
      <w:r>
        <w:rPr>
          <w:rFonts w:hint="eastAsia" w:ascii="宋体" w:hAnsi="宋体" w:eastAsia="宋体" w:cs="宋体"/>
          <w:snapToGrid w:val="0"/>
          <w:color w:val="000000" w:themeColor="text1"/>
          <w:kern w:val="28"/>
          <w:sz w:val="24"/>
          <w:szCs w:val="20"/>
          <w14:textFill>
            <w14:solidFill>
              <w14:schemeClr w14:val="tx1"/>
            </w14:solidFill>
          </w14:textFill>
        </w:rPr>
        <w:t>月</w:t>
      </w:r>
      <w:r>
        <w:rPr>
          <w:rFonts w:hint="eastAsia" w:ascii="宋体" w:hAnsi="宋体" w:cs="宋体"/>
          <w:snapToGrid w:val="0"/>
          <w:color w:val="000000" w:themeColor="text1"/>
          <w:kern w:val="28"/>
          <w:sz w:val="24"/>
          <w:szCs w:val="20"/>
          <w:lang w:val="en-US" w:eastAsia="zh-CN"/>
          <w14:textFill>
            <w14:solidFill>
              <w14:schemeClr w14:val="tx1"/>
            </w14:solidFill>
          </w14:textFill>
        </w:rPr>
        <w:t>01</w:t>
      </w:r>
      <w:r>
        <w:rPr>
          <w:rFonts w:hint="eastAsia" w:ascii="宋体" w:hAnsi="宋体" w:eastAsia="宋体" w:cs="宋体"/>
          <w:snapToGrid w:val="0"/>
          <w:color w:val="000000" w:themeColor="text1"/>
          <w:kern w:val="28"/>
          <w:sz w:val="24"/>
          <w:szCs w:val="20"/>
          <w14:textFill>
            <w14:solidFill>
              <w14:schemeClr w14:val="tx1"/>
            </w14:solidFill>
          </w14:textFill>
        </w:rPr>
        <w:t>日</w:t>
      </w:r>
      <w:r>
        <w:rPr>
          <w:rFonts w:hint="eastAsia" w:ascii="宋体" w:hAnsi="宋体" w:eastAsia="宋体" w:cs="宋体"/>
          <w:bCs/>
          <w:color w:val="000000" w:themeColor="text1"/>
          <w:sz w:val="24"/>
          <w:u w:val="none"/>
          <w14:textFill>
            <w14:solidFill>
              <w14:schemeClr w14:val="tx1"/>
            </w14:solidFill>
          </w14:textFill>
        </w:rPr>
        <w:t xml:space="preserve"> 1</w:t>
      </w:r>
      <w:r>
        <w:rPr>
          <w:rFonts w:hint="eastAsia" w:ascii="宋体" w:hAnsi="宋体" w:cs="宋体"/>
          <w:bCs/>
          <w:color w:val="000000" w:themeColor="text1"/>
          <w:sz w:val="24"/>
          <w:u w:val="none"/>
          <w:lang w:val="en-US" w:eastAsia="zh-CN"/>
          <w14:textFill>
            <w14:solidFill>
              <w14:schemeClr w14:val="tx1"/>
            </w14:solidFill>
          </w14:textFill>
        </w:rPr>
        <w:t>6</w:t>
      </w:r>
      <w:r>
        <w:rPr>
          <w:rFonts w:hint="eastAsia" w:ascii="宋体" w:hAnsi="宋体" w:eastAsia="宋体" w:cs="宋体"/>
          <w:bCs/>
          <w:color w:val="000000" w:themeColor="text1"/>
          <w:sz w:val="24"/>
          <w:u w:val="none"/>
          <w14:textFill>
            <w14:solidFill>
              <w14:schemeClr w14:val="tx1"/>
            </w14:solidFill>
          </w14:textFill>
        </w:rPr>
        <w:t>:00（北京时间）</w:t>
      </w:r>
    </w:p>
    <w:p w14:paraId="24FDCF9E">
      <w:pPr>
        <w:spacing w:line="360" w:lineRule="auto"/>
        <w:ind w:firstLine="480" w:firstLineChars="200"/>
        <w:rPr>
          <w:rFonts w:hint="eastAsia" w:ascii="宋体" w:hAnsi="宋体" w:eastAsia="宋体" w:cs="宋体"/>
          <w:bCs/>
          <w:color w:val="000000" w:themeColor="text1"/>
          <w:sz w:val="24"/>
          <w:u w:val="none"/>
          <w14:textFill>
            <w14:solidFill>
              <w14:schemeClr w14:val="tx1"/>
            </w14:solidFill>
          </w14:textFill>
        </w:rPr>
      </w:pPr>
      <w:r>
        <w:rPr>
          <w:rFonts w:hint="eastAsia" w:ascii="宋体" w:hAnsi="宋体" w:eastAsia="宋体" w:cs="宋体"/>
          <w:bCs/>
          <w:color w:val="000000" w:themeColor="text1"/>
          <w:sz w:val="24"/>
          <w:u w:val="none"/>
          <w14:textFill>
            <w14:solidFill>
              <w14:schemeClr w14:val="tx1"/>
            </w14:solidFill>
          </w14:textFill>
        </w:rPr>
        <w:t>地点：投标人登录政采云平台https://www.zcygov.cn/，进入“项目采购-开标评标-右边选择对应项目点击“进入项目”进入开标大厅。</w:t>
      </w:r>
    </w:p>
    <w:p w14:paraId="2FC0ED05">
      <w:pPr>
        <w:pStyle w:val="3"/>
        <w:numPr>
          <w:ilvl w:val="0"/>
          <w:numId w:val="0"/>
        </w:numPr>
        <w:ind w:left="432" w:hanging="432"/>
        <w:rPr>
          <w:rFonts w:hint="eastAsia" w:ascii="宋体" w:hAnsi="宋体" w:eastAsia="宋体" w:cs="宋体"/>
          <w:b/>
          <w:bCs/>
          <w:color w:val="000000" w:themeColor="text1"/>
          <w:sz w:val="24"/>
          <w:szCs w:val="24"/>
          <w14:textFill>
            <w14:solidFill>
              <w14:schemeClr w14:val="tx1"/>
            </w14:solidFill>
          </w14:textFill>
        </w:rPr>
      </w:pPr>
      <w:bookmarkStart w:id="28" w:name="_Toc24399"/>
      <w:r>
        <w:rPr>
          <w:rFonts w:hint="eastAsia" w:ascii="宋体" w:hAnsi="宋体" w:eastAsia="宋体" w:cs="宋体"/>
          <w:b/>
          <w:bCs/>
          <w:color w:val="000000" w:themeColor="text1"/>
          <w:sz w:val="24"/>
          <w:szCs w:val="24"/>
          <w14:textFill>
            <w14:solidFill>
              <w14:schemeClr w14:val="tx1"/>
            </w14:solidFill>
          </w14:textFill>
        </w:rPr>
        <w:t>六、公告期限</w:t>
      </w:r>
      <w:bookmarkEnd w:id="23"/>
      <w:bookmarkEnd w:id="24"/>
      <w:bookmarkEnd w:id="25"/>
      <w:bookmarkEnd w:id="26"/>
      <w:bookmarkEnd w:id="27"/>
      <w:bookmarkEnd w:id="28"/>
    </w:p>
    <w:p w14:paraId="42069F71">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自本公告发布之日起</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个工作日。</w:t>
      </w:r>
    </w:p>
    <w:p w14:paraId="189F12CE">
      <w:pPr>
        <w:pStyle w:val="3"/>
        <w:numPr>
          <w:ilvl w:val="0"/>
          <w:numId w:val="0"/>
        </w:numPr>
        <w:ind w:left="432" w:hanging="432"/>
        <w:rPr>
          <w:rFonts w:hint="eastAsia" w:ascii="宋体" w:hAnsi="宋体" w:eastAsia="宋体" w:cs="宋体"/>
          <w:b/>
          <w:bCs/>
          <w:color w:val="000000" w:themeColor="text1"/>
          <w:sz w:val="24"/>
          <w:szCs w:val="24"/>
          <w14:textFill>
            <w14:solidFill>
              <w14:schemeClr w14:val="tx1"/>
            </w14:solidFill>
          </w14:textFill>
        </w:rPr>
      </w:pPr>
      <w:bookmarkStart w:id="29" w:name="_Toc35393635"/>
      <w:bookmarkStart w:id="30" w:name="_Toc30848"/>
      <w:bookmarkStart w:id="31" w:name="_Toc28391"/>
      <w:bookmarkStart w:id="32" w:name="_Toc35393804"/>
      <w:r>
        <w:rPr>
          <w:rFonts w:hint="eastAsia" w:ascii="宋体" w:hAnsi="宋体" w:eastAsia="宋体" w:cs="宋体"/>
          <w:b/>
          <w:bCs/>
          <w:color w:val="000000" w:themeColor="text1"/>
          <w:sz w:val="24"/>
          <w:szCs w:val="24"/>
          <w14:textFill>
            <w14:solidFill>
              <w14:schemeClr w14:val="tx1"/>
            </w14:solidFill>
          </w14:textFill>
        </w:rPr>
        <w:t>七、其他补充事宜</w:t>
      </w:r>
      <w:bookmarkEnd w:id="29"/>
      <w:bookmarkEnd w:id="30"/>
      <w:bookmarkEnd w:id="31"/>
      <w:bookmarkEnd w:id="32"/>
    </w:p>
    <w:p w14:paraId="6AA956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1、本项目实行网上投标，采用电子投标文件。</w:t>
      </w:r>
    </w:p>
    <w:p w14:paraId="3BA4BD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50DB00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u w:val="none"/>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226F3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u w:val="none"/>
          <w14:textFill>
            <w14:solidFill>
              <w14:schemeClr w14:val="tx1"/>
            </w14:solidFill>
          </w14:textFill>
        </w:rPr>
        <w:t>4、其他事项：1、本项目实行网上投标，采用电子响应文件； 2、各供应商应在开标前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 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 4、供应商应当在投标截止时间前,将生成的“电子加密响应文件”上传递交至“政府采购云平台”,投标截止时间以后上传递交的响应文件将被“政府采购云平台”拒收。 5、供应商在投标前须提前配置好电脑浏览器（建议使用360 浏览器或谷歌浏览器）, 开标时请使用制作加密电子响应文件的CA锁进行解密及报价确认。本项目响应文件解密时间定为30分钟内,如因自身原因导致无法正常解密,后果由供应商自行承担。 6、供应商登录政采云平台，在投标截止时间后30分钟内用“项目采购-开标评标”功能进行解密响应文件。若供应商在规定时间内未按时解密的，视为无效投标。解密与加密响应文件须使用同一个 CA。 7、本项目进行两轮及以上报价，必须使用“点聚签章服务”，请确保报价时已启动该服务。请潜在供应商必须使用具有音频及视频功能的电脑,因本项目是两轮及以上报价,请供应商务必全程守候,电话保持畅通状态,以便及时沟通,如因自身原因导致无法正常报价,后果由供应商自行承担。</w:t>
      </w:r>
    </w:p>
    <w:p w14:paraId="3C594F8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bCs/>
          <w:color w:val="000000" w:themeColor="text1"/>
          <w:sz w:val="21"/>
          <w:szCs w:val="21"/>
          <w:u w:val="none"/>
          <w14:textFill>
            <w14:solidFill>
              <w14:schemeClr w14:val="tx1"/>
            </w14:solidFill>
          </w14:textFill>
        </w:rPr>
      </w:pPr>
      <w:r>
        <w:rPr>
          <w:rFonts w:hint="eastAsia" w:ascii="黑体" w:hAnsi="黑体" w:eastAsia="黑体" w:cs="黑体"/>
          <w:bCs/>
          <w:color w:val="000000" w:themeColor="text1"/>
          <w:sz w:val="21"/>
          <w:szCs w:val="21"/>
          <w:u w:val="none"/>
          <w14:textFill>
            <w14:solidFill>
              <w14:schemeClr w14:val="tx1"/>
            </w14:solidFill>
          </w14:textFill>
        </w:rPr>
        <w:t>特别提示：</w:t>
      </w:r>
    </w:p>
    <w:p w14:paraId="0975C5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bCs/>
          <w:color w:val="000000" w:themeColor="text1"/>
          <w:sz w:val="21"/>
          <w:szCs w:val="21"/>
          <w:u w:val="none"/>
          <w14:textFill>
            <w14:solidFill>
              <w14:schemeClr w14:val="tx1"/>
            </w14:solidFill>
          </w14:textFill>
        </w:rPr>
      </w:pPr>
      <w:r>
        <w:rPr>
          <w:rFonts w:hint="eastAsia" w:ascii="黑体" w:hAnsi="黑体" w:eastAsia="黑体" w:cs="黑体"/>
          <w:bCs/>
          <w:color w:val="000000" w:themeColor="text1"/>
          <w:sz w:val="21"/>
          <w:szCs w:val="21"/>
          <w:u w:val="none"/>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6747F2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bCs/>
          <w:color w:val="000000" w:themeColor="text1"/>
          <w:sz w:val="21"/>
          <w:szCs w:val="21"/>
          <w:u w:val="none"/>
          <w14:textFill>
            <w14:solidFill>
              <w14:schemeClr w14:val="tx1"/>
            </w14:solidFill>
          </w14:textFill>
        </w:rPr>
      </w:pPr>
      <w:r>
        <w:rPr>
          <w:rFonts w:hint="eastAsia" w:ascii="黑体" w:hAnsi="黑体" w:eastAsia="黑体" w:cs="黑体"/>
          <w:bCs/>
          <w:color w:val="000000" w:themeColor="text1"/>
          <w:sz w:val="21"/>
          <w:szCs w:val="21"/>
          <w:u w:val="none"/>
          <w14:textFill>
            <w14:solidFill>
              <w14:schemeClr w14:val="tx1"/>
            </w14:solidFill>
          </w14:textFill>
        </w:rPr>
        <w:t>2、超过200万元的货物和服务采购项目，预留该部分采购项目预算总额的30%以上专门面向中小企业采购，其中预留给小微企业的比例不低于60%。</w:t>
      </w:r>
    </w:p>
    <w:p w14:paraId="6A8B956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bCs/>
          <w:color w:val="000000" w:themeColor="text1"/>
          <w:sz w:val="21"/>
          <w:szCs w:val="21"/>
          <w:u w:val="none"/>
          <w14:textFill>
            <w14:solidFill>
              <w14:schemeClr w14:val="tx1"/>
            </w14:solidFill>
          </w14:textFill>
        </w:rPr>
      </w:pPr>
      <w:r>
        <w:rPr>
          <w:rFonts w:hint="eastAsia" w:ascii="黑体" w:hAnsi="黑体" w:eastAsia="黑体" w:cs="黑体"/>
          <w:bCs/>
          <w:color w:val="000000" w:themeColor="text1"/>
          <w:sz w:val="21"/>
          <w:szCs w:val="21"/>
          <w:u w:val="none"/>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33E3DF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bCs/>
          <w:color w:val="000000" w:themeColor="text1"/>
          <w:sz w:val="21"/>
          <w:szCs w:val="21"/>
          <w:u w:val="none"/>
          <w14:textFill>
            <w14:solidFill>
              <w14:schemeClr w14:val="tx1"/>
            </w14:solidFill>
          </w14:textFill>
        </w:rPr>
      </w:pPr>
      <w:r>
        <w:rPr>
          <w:rFonts w:hint="eastAsia" w:ascii="黑体" w:hAnsi="黑体" w:eastAsia="黑体" w:cs="黑体"/>
          <w:bCs/>
          <w:color w:val="000000" w:themeColor="text1"/>
          <w:sz w:val="21"/>
          <w:szCs w:val="21"/>
          <w:u w:val="none"/>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133E40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bCs/>
          <w:color w:val="000000" w:themeColor="text1"/>
          <w:sz w:val="21"/>
          <w:szCs w:val="21"/>
          <w:u w:val="none"/>
          <w14:textFill>
            <w14:solidFill>
              <w14:schemeClr w14:val="tx1"/>
            </w14:solidFill>
          </w14:textFill>
        </w:rPr>
      </w:pPr>
      <w:r>
        <w:rPr>
          <w:rFonts w:hint="eastAsia" w:ascii="黑体" w:hAnsi="黑体" w:eastAsia="黑体" w:cs="黑体"/>
          <w:bCs/>
          <w:color w:val="000000" w:themeColor="text1"/>
          <w:sz w:val="21"/>
          <w:szCs w:val="21"/>
          <w:u w:val="none"/>
          <w:lang w:val="en-US" w:eastAsia="zh-CN"/>
          <w14:textFill>
            <w14:solidFill>
              <w14:schemeClr w14:val="tx1"/>
            </w14:solidFill>
          </w14:textFill>
        </w:rPr>
        <w:t>5</w:t>
      </w:r>
      <w:r>
        <w:rPr>
          <w:rFonts w:hint="eastAsia" w:ascii="黑体" w:hAnsi="黑体" w:eastAsia="黑体" w:cs="黑体"/>
          <w:bCs/>
          <w:color w:val="000000" w:themeColor="text1"/>
          <w:sz w:val="21"/>
          <w:szCs w:val="21"/>
          <w:u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C8AAA39">
      <w:pPr>
        <w:pStyle w:val="3"/>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431" w:hanging="431"/>
        <w:textAlignment w:val="auto"/>
        <w:rPr>
          <w:rFonts w:hint="eastAsia" w:ascii="宋体" w:hAnsi="宋体" w:eastAsia="宋体" w:cs="宋体"/>
          <w:b/>
          <w:bCs/>
          <w:color w:val="000000" w:themeColor="text1"/>
          <w:sz w:val="24"/>
          <w:szCs w:val="24"/>
          <w14:textFill>
            <w14:solidFill>
              <w14:schemeClr w14:val="tx1"/>
            </w14:solidFill>
          </w14:textFill>
        </w:rPr>
      </w:pPr>
      <w:bookmarkStart w:id="33" w:name="_Toc10718"/>
      <w:r>
        <w:rPr>
          <w:rFonts w:hint="eastAsia" w:ascii="宋体" w:hAnsi="宋体" w:eastAsia="宋体" w:cs="宋体"/>
          <w:b/>
          <w:bCs/>
          <w:color w:val="000000" w:themeColor="text1"/>
          <w:sz w:val="24"/>
          <w:szCs w:val="24"/>
          <w14:textFill>
            <w14:solidFill>
              <w14:schemeClr w14:val="tx1"/>
            </w14:solidFill>
          </w14:textFill>
        </w:rPr>
        <w:t>八、凡对本次采购提出询问、质疑、投诉，请按以下方式联系</w:t>
      </w:r>
      <w:bookmarkEnd w:id="33"/>
    </w:p>
    <w:p w14:paraId="378C36D5">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1.采购人信息</w:t>
      </w:r>
    </w:p>
    <w:p w14:paraId="07574D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中华人民共和国新疆出入境边防检查总站</w:t>
      </w:r>
    </w:p>
    <w:p w14:paraId="5617BE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址：乌鲁木齐团结路1551号</w:t>
      </w:r>
    </w:p>
    <w:p w14:paraId="579F8B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联 系 人：李警官</w:t>
      </w:r>
    </w:p>
    <w:p w14:paraId="065076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w:t>
      </w:r>
      <w:r>
        <w:rPr>
          <w:rFonts w:hint="eastAsia" w:ascii="宋体" w:hAnsi="宋体" w:cs="宋体"/>
          <w:b w:val="0"/>
          <w:bCs w:val="0"/>
          <w:color w:val="000000" w:themeColor="text1"/>
          <w:kern w:val="0"/>
          <w:sz w:val="24"/>
          <w:szCs w:val="24"/>
          <w:highlight w:val="none"/>
          <w:u w:color="000000"/>
          <w:lang w:eastAsia="zh-CN"/>
          <w14:textFill>
            <w14:solidFill>
              <w14:schemeClr w14:val="tx1"/>
            </w14:solidFill>
          </w14:textFill>
        </w:rPr>
        <w:t>0991-85121</w:t>
      </w:r>
      <w:r>
        <w:rPr>
          <w:rFonts w:hint="eastAsia" w:ascii="宋体" w:hAnsi="宋体" w:cs="宋体"/>
          <w:b w:val="0"/>
          <w:bCs w:val="0"/>
          <w:color w:val="000000" w:themeColor="text1"/>
          <w:kern w:val="0"/>
          <w:sz w:val="24"/>
          <w:szCs w:val="24"/>
          <w:highlight w:val="none"/>
          <w:u w:color="000000"/>
          <w:lang w:val="en-US" w:eastAsia="zh-CN"/>
          <w14:textFill>
            <w14:solidFill>
              <w14:schemeClr w14:val="tx1"/>
            </w14:solidFill>
          </w14:textFill>
        </w:rPr>
        <w:t>43</w:t>
      </w:r>
    </w:p>
    <w:p w14:paraId="6D9ED551">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2.采购代理机构信息            </w:t>
      </w:r>
    </w:p>
    <w:p w14:paraId="75C57C76">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    称：</w:t>
      </w:r>
      <w:r>
        <w:rPr>
          <w:rFonts w:hint="eastAsia" w:ascii="宋体" w:hAnsi="宋体" w:cs="宋体"/>
          <w:color w:val="000000" w:themeColor="text1"/>
          <w:sz w:val="24"/>
          <w:lang w:val="en-US" w:eastAsia="zh-CN"/>
          <w14:textFill>
            <w14:solidFill>
              <w14:schemeClr w14:val="tx1"/>
            </w14:solidFill>
          </w14:textFill>
        </w:rPr>
        <w:t>新疆君凯杰工程项目管理有限公司</w:t>
      </w:r>
    </w:p>
    <w:p w14:paraId="16604095">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cs="宋体"/>
          <w:color w:val="000000" w:themeColor="text1"/>
          <w:sz w:val="24"/>
          <w:lang w:val="en-US" w:eastAsia="zh-CN"/>
          <w14:textFill>
            <w14:solidFill>
              <w14:schemeClr w14:val="tx1"/>
            </w14:solidFill>
          </w14:textFill>
        </w:rPr>
        <w:t>乌鲁木齐市会展大道1119号大成尔雅A座901室</w:t>
      </w:r>
    </w:p>
    <w:p w14:paraId="3FB14EE7">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w:t>
      </w:r>
      <w:r>
        <w:rPr>
          <w:rFonts w:hint="eastAsia" w:ascii="宋体" w:hAnsi="宋体" w:cs="宋体"/>
          <w:color w:val="000000" w:themeColor="text1"/>
          <w:sz w:val="24"/>
          <w:lang w:val="en-US" w:eastAsia="zh-CN"/>
          <w14:textFill>
            <w14:solidFill>
              <w14:schemeClr w14:val="tx1"/>
            </w14:solidFill>
          </w14:textFill>
        </w:rPr>
        <w:t>13201097601</w:t>
      </w:r>
    </w:p>
    <w:p w14:paraId="0DBEE76F">
      <w:pPr>
        <w:spacing w:line="360" w:lineRule="auto"/>
        <w:ind w:firstLine="48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3.项目联系方式</w:t>
      </w:r>
      <w:r>
        <w:rPr>
          <w:rFonts w:hint="eastAsia" w:ascii="宋体" w:hAnsi="宋体" w:cs="宋体"/>
          <w:color w:val="000000" w:themeColor="text1"/>
          <w:sz w:val="24"/>
          <w:lang w:val="en-US" w:eastAsia="zh-CN"/>
          <w14:textFill>
            <w14:solidFill>
              <w14:schemeClr w14:val="tx1"/>
            </w14:solidFill>
          </w14:textFill>
        </w:rPr>
        <w:t xml:space="preserve"> </w:t>
      </w:r>
    </w:p>
    <w:p w14:paraId="4D2D4C55">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w:t>
      </w:r>
      <w:r>
        <w:rPr>
          <w:rFonts w:hint="eastAsia" w:ascii="宋体" w:hAnsi="宋体" w:cs="宋体"/>
          <w:color w:val="000000" w:themeColor="text1"/>
          <w:sz w:val="24"/>
          <w:lang w:val="en-US" w:eastAsia="zh-CN"/>
          <w14:textFill>
            <w14:solidFill>
              <w14:schemeClr w14:val="tx1"/>
            </w14:solidFill>
          </w14:textFill>
        </w:rPr>
        <w:t>陈晨</w:t>
      </w:r>
    </w:p>
    <w:p w14:paraId="34A4D63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w:t>
      </w:r>
      <w:r>
        <w:rPr>
          <w:rFonts w:hint="eastAsia" w:ascii="宋体" w:hAnsi="宋体" w:cs="宋体"/>
          <w:color w:val="000000" w:themeColor="text1"/>
          <w:sz w:val="24"/>
          <w:lang w:val="en-US" w:eastAsia="zh-CN"/>
          <w14:textFill>
            <w14:solidFill>
              <w14:schemeClr w14:val="tx1"/>
            </w14:solidFill>
          </w14:textFill>
        </w:rPr>
        <w:t>13201097601</w:t>
      </w:r>
    </w:p>
    <w:p w14:paraId="72272700">
      <w:pPr>
        <w:spacing w:line="360" w:lineRule="auto"/>
        <w:rPr>
          <w:color w:val="000000" w:themeColor="text1"/>
          <w:sz w:val="20"/>
          <w:highlight w:val="none"/>
          <w14:textFill>
            <w14:solidFill>
              <w14:schemeClr w14:val="tx1"/>
            </w14:solidFill>
          </w14:textFill>
        </w:rPr>
      </w:pPr>
    </w:p>
    <w:p w14:paraId="7A44C9B5">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F71D782">
      <w:pPr>
        <w:pStyle w:val="12"/>
        <w:tabs>
          <w:tab w:val="left" w:pos="0"/>
        </w:tabs>
        <w:spacing w:line="360" w:lineRule="auto"/>
        <w:ind w:left="0" w:leftChars="0" w:firstLine="0" w:firstLineChars="0"/>
        <w:jc w:val="center"/>
        <w:outlineLvl w:val="0"/>
        <w:rPr>
          <w:color w:val="000000" w:themeColor="text1"/>
          <w:highlight w:val="none"/>
          <w14:textFill>
            <w14:solidFill>
              <w14:schemeClr w14:val="tx1"/>
            </w14:solidFill>
          </w14:textFill>
        </w:rPr>
      </w:pPr>
      <w:bookmarkStart w:id="34" w:name="_Toc10917"/>
      <w:r>
        <w:rPr>
          <w:rFonts w:hint="eastAsia" w:ascii="宋体" w:hAnsi="宋体"/>
          <w:b/>
          <w:color w:val="000000" w:themeColor="text1"/>
          <w:sz w:val="36"/>
          <w:highlight w:val="none"/>
          <w14:textFill>
            <w14:solidFill>
              <w14:schemeClr w14:val="tx1"/>
            </w14:solidFill>
          </w14:textFill>
        </w:rPr>
        <w:t xml:space="preserve">第二部分   </w:t>
      </w:r>
      <w:r>
        <w:rPr>
          <w:rFonts w:hint="eastAsia" w:ascii="宋体" w:hAnsi="宋体"/>
          <w:b/>
          <w:color w:val="000000" w:themeColor="text1"/>
          <w:sz w:val="36"/>
          <w:highlight w:val="none"/>
          <w:lang w:val="en-US" w:eastAsia="zh-CN"/>
          <w14:textFill>
            <w14:solidFill>
              <w14:schemeClr w14:val="tx1"/>
            </w14:solidFill>
          </w14:textFill>
        </w:rPr>
        <w:t>供应商</w:t>
      </w:r>
      <w:r>
        <w:rPr>
          <w:rFonts w:hint="eastAsia" w:ascii="宋体" w:hAnsi="宋体"/>
          <w:b/>
          <w:color w:val="000000" w:themeColor="text1"/>
          <w:sz w:val="36"/>
          <w:highlight w:val="none"/>
          <w14:textFill>
            <w14:solidFill>
              <w14:schemeClr w14:val="tx1"/>
            </w14:solidFill>
          </w14:textFill>
        </w:rPr>
        <w:t>须知</w:t>
      </w:r>
      <w:bookmarkEnd w:id="34"/>
      <w:bookmarkStart w:id="35" w:name="EB4a528d207f8648b79fa72ae1a59328aa"/>
    </w:p>
    <w:p w14:paraId="0EF1BA6F">
      <w:pPr>
        <w:pStyle w:val="37"/>
        <w:spacing w:line="360" w:lineRule="auto"/>
        <w:jc w:val="center"/>
        <w:outlineLvl w:val="1"/>
        <w:rPr>
          <w:rFonts w:ascii="宋体" w:hAnsi="宋体" w:eastAsia="宋体"/>
          <w:b/>
          <w:color w:val="000000" w:themeColor="text1"/>
          <w:szCs w:val="28"/>
          <w:highlight w:val="none"/>
          <w14:textFill>
            <w14:solidFill>
              <w14:schemeClr w14:val="tx1"/>
            </w14:solidFill>
          </w14:textFill>
        </w:rPr>
      </w:pPr>
      <w:bookmarkStart w:id="36" w:name="_Toc1689"/>
      <w:bookmarkStart w:id="37" w:name="_Toc256000003"/>
      <w:r>
        <w:rPr>
          <w:rFonts w:hint="eastAsia" w:ascii="宋体" w:hAnsi="宋体" w:eastAsia="宋体"/>
          <w:b/>
          <w:color w:val="000000" w:themeColor="text1"/>
          <w:szCs w:val="28"/>
          <w:highlight w:val="none"/>
          <w:lang w:val="en-US" w:eastAsia="zh-CN"/>
          <w14:textFill>
            <w14:solidFill>
              <w14:schemeClr w14:val="tx1"/>
            </w14:solidFill>
          </w14:textFill>
        </w:rPr>
        <w:t>供应商</w:t>
      </w:r>
      <w:r>
        <w:rPr>
          <w:rFonts w:ascii="宋体" w:hAnsi="宋体" w:eastAsia="宋体"/>
          <w:b/>
          <w:color w:val="000000" w:themeColor="text1"/>
          <w:szCs w:val="28"/>
          <w:highlight w:val="none"/>
          <w:lang w:val="en-US" w:eastAsia="zh-CN"/>
          <w14:textFill>
            <w14:solidFill>
              <w14:schemeClr w14:val="tx1"/>
            </w14:solidFill>
          </w14:textFill>
        </w:rPr>
        <w:t>须知前附表</w:t>
      </w:r>
      <w:bookmarkEnd w:id="36"/>
    </w:p>
    <w:tbl>
      <w:tblPr>
        <w:tblStyle w:val="23"/>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072"/>
        <w:gridCol w:w="473"/>
        <w:gridCol w:w="6110"/>
        <w:gridCol w:w="93"/>
      </w:tblGrid>
      <w:tr w14:paraId="667D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vAlign w:val="center"/>
          </w:tcPr>
          <w:p w14:paraId="08568086">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序号</w:t>
            </w:r>
          </w:p>
        </w:tc>
        <w:tc>
          <w:tcPr>
            <w:tcW w:w="2072" w:type="dxa"/>
            <w:tcBorders>
              <w:top w:val="single" w:color="auto" w:sz="4" w:space="0"/>
              <w:left w:val="single" w:color="auto" w:sz="4" w:space="0"/>
              <w:bottom w:val="single" w:color="auto" w:sz="4" w:space="0"/>
              <w:right w:val="single" w:color="auto" w:sz="4" w:space="0"/>
            </w:tcBorders>
            <w:vAlign w:val="center"/>
          </w:tcPr>
          <w:p w14:paraId="7BCB99C9">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内容</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12ACBDF0">
            <w:pPr>
              <w:pStyle w:val="37"/>
              <w:keepNext w:val="0"/>
              <w:keepLines w:val="0"/>
              <w:pageBreakBefore w:val="0"/>
              <w:kinsoku/>
              <w:wordWrap/>
              <w:topLinePunct w:val="0"/>
              <w:bidi w:val="0"/>
              <w:adjustRightInd w:val="0"/>
              <w:spacing w:beforeAutospacing="0" w:afterAutospacing="0" w:line="36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说明与要求</w:t>
            </w:r>
          </w:p>
        </w:tc>
      </w:tr>
      <w:tr w14:paraId="03D1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vAlign w:val="center"/>
          </w:tcPr>
          <w:p w14:paraId="5F0776F1">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p>
        </w:tc>
        <w:tc>
          <w:tcPr>
            <w:tcW w:w="2072" w:type="dxa"/>
            <w:tcBorders>
              <w:top w:val="single" w:color="auto" w:sz="4" w:space="0"/>
              <w:left w:val="single" w:color="auto" w:sz="4" w:space="0"/>
              <w:bottom w:val="single" w:color="auto" w:sz="4" w:space="0"/>
              <w:right w:val="single" w:color="auto" w:sz="4" w:space="0"/>
            </w:tcBorders>
            <w:vAlign w:val="center"/>
          </w:tcPr>
          <w:p w14:paraId="29255E14">
            <w:pPr>
              <w:pStyle w:val="37"/>
              <w:keepNext w:val="0"/>
              <w:keepLines w:val="0"/>
              <w:pageBreakBefore w:val="0"/>
              <w:kinsoku/>
              <w:wordWrap/>
              <w:topLinePunct w:val="0"/>
              <w:bidi w:val="0"/>
              <w:adjustRightInd w:val="0"/>
              <w:spacing w:beforeAutospacing="0" w:afterAutospacing="0" w:line="36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项目名称</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576218AB">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b w:val="0"/>
                <w:bCs w:val="0"/>
                <w:color w:val="000000" w:themeColor="text1"/>
                <w:sz w:val="24"/>
                <w:szCs w:val="22"/>
                <w:highlight w:val="none"/>
                <w:lang w:eastAsia="zh-CN"/>
                <w14:textFill>
                  <w14:solidFill>
                    <w14:schemeClr w14:val="tx1"/>
                  </w14:solidFill>
                </w14:textFill>
              </w:rPr>
            </w:pPr>
            <w:r>
              <w:rPr>
                <w:rFonts w:hint="eastAsia" w:ascii="宋体" w:hAnsi="宋体" w:eastAsia="宋体"/>
                <w:b w:val="0"/>
                <w:bCs w:val="0"/>
                <w:color w:val="000000" w:themeColor="text1"/>
                <w:sz w:val="24"/>
                <w:szCs w:val="22"/>
                <w:highlight w:val="none"/>
                <w:lang w:eastAsia="zh-CN"/>
                <w14:textFill>
                  <w14:solidFill>
                    <w14:schemeClr w14:val="tx1"/>
                  </w14:solidFill>
                </w14:textFill>
              </w:rPr>
              <w:t>中华人民共和国新疆出入境边防检查总站高清视频会议系统维保服务采购项目</w:t>
            </w:r>
          </w:p>
        </w:tc>
      </w:tr>
      <w:tr w14:paraId="75AE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7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7FC7893A">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p>
        </w:tc>
        <w:tc>
          <w:tcPr>
            <w:tcW w:w="2072" w:type="dxa"/>
            <w:tcBorders>
              <w:top w:val="single" w:color="auto" w:sz="4" w:space="0"/>
              <w:left w:val="single" w:color="auto" w:sz="4" w:space="0"/>
              <w:bottom w:val="single" w:color="auto" w:sz="4" w:space="0"/>
              <w:right w:val="single" w:color="auto" w:sz="4" w:space="0"/>
            </w:tcBorders>
            <w:vAlign w:val="center"/>
          </w:tcPr>
          <w:p w14:paraId="71EBA793">
            <w:pPr>
              <w:pStyle w:val="37"/>
              <w:keepNext w:val="0"/>
              <w:keepLines w:val="0"/>
              <w:pageBreakBefore w:val="0"/>
              <w:kinsoku/>
              <w:wordWrap/>
              <w:topLinePunct w:val="0"/>
              <w:bidi w:val="0"/>
              <w:adjustRightInd w:val="0"/>
              <w:spacing w:beforeAutospacing="0" w:afterAutospacing="0" w:line="36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采购人</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7FCFB692">
            <w:pPr>
              <w:pStyle w:val="33"/>
              <w:keepNext w:val="0"/>
              <w:keepLines w:val="0"/>
              <w:pageBreakBefore w:val="0"/>
              <w:widowControl/>
              <w:kinsoku/>
              <w:wordWrap/>
              <w:topLinePunct w:val="0"/>
              <w:bidi w:val="0"/>
              <w:spacing w:beforeAutospacing="0" w:afterAutospacing="0" w:line="360" w:lineRule="auto"/>
              <w:ind w:left="0" w:leftChars="0" w:right="0"/>
              <w:jc w:val="left"/>
              <w:rPr>
                <w:rFonts w:hint="eastAsia" w:ascii="宋体" w:hAnsi="宋体" w:eastAsia="宋体" w:cs="宋体"/>
                <w:b w:val="0"/>
                <w:bCs w:val="0"/>
                <w:color w:val="000000" w:themeColor="text1"/>
                <w:kern w:val="0"/>
                <w:sz w:val="24"/>
                <w:szCs w:val="24"/>
                <w:highlight w:val="none"/>
                <w:u w:color="000000"/>
                <w:lang w:eastAsia="zh-CN"/>
                <w14:textFill>
                  <w14:solidFill>
                    <w14:schemeClr w14:val="tx1"/>
                  </w14:solidFill>
                </w14:textFill>
              </w:rPr>
            </w:pPr>
            <w:r>
              <w:rPr>
                <w:rFonts w:hint="eastAsia" w:ascii="宋体" w:hAnsi="宋体" w:cs="宋体"/>
                <w:b w:val="0"/>
                <w:bCs w:val="0"/>
                <w:color w:val="000000" w:themeColor="text1"/>
                <w:kern w:val="0"/>
                <w:sz w:val="24"/>
                <w:szCs w:val="24"/>
                <w:highlight w:val="none"/>
                <w:u w:color="000000"/>
                <w14:textFill>
                  <w14:solidFill>
                    <w14:schemeClr w14:val="tx1"/>
                  </w14:solidFill>
                </w14:textFill>
              </w:rPr>
              <w:t>名称：</w:t>
            </w:r>
            <w:r>
              <w:rPr>
                <w:rFonts w:hint="eastAsia" w:ascii="宋体" w:hAnsi="宋体" w:cs="宋体"/>
                <w:b w:val="0"/>
                <w:bCs w:val="0"/>
                <w:color w:val="000000" w:themeColor="text1"/>
                <w:kern w:val="0"/>
                <w:sz w:val="24"/>
                <w:szCs w:val="24"/>
                <w:highlight w:val="none"/>
                <w:u w:color="000000"/>
                <w:lang w:eastAsia="zh-CN"/>
                <w14:textFill>
                  <w14:solidFill>
                    <w14:schemeClr w14:val="tx1"/>
                  </w14:solidFill>
                </w14:textFill>
              </w:rPr>
              <w:t>中华人民共和国新疆出入境边防检查总站</w:t>
            </w:r>
          </w:p>
          <w:p w14:paraId="744528A1">
            <w:pPr>
              <w:pStyle w:val="33"/>
              <w:keepNext w:val="0"/>
              <w:keepLines w:val="0"/>
              <w:pageBreakBefore w:val="0"/>
              <w:widowControl/>
              <w:kinsoku/>
              <w:wordWrap/>
              <w:topLinePunct w:val="0"/>
              <w:bidi w:val="0"/>
              <w:spacing w:beforeAutospacing="0" w:afterAutospacing="0" w:line="360" w:lineRule="auto"/>
              <w:ind w:left="0" w:leftChars="0" w:right="0"/>
              <w:jc w:val="left"/>
              <w:rPr>
                <w:rFonts w:ascii="宋体" w:hAnsi="宋体" w:cs="宋体"/>
                <w:b w:val="0"/>
                <w:bCs w:val="0"/>
                <w:color w:val="000000" w:themeColor="text1"/>
                <w:kern w:val="0"/>
                <w:sz w:val="24"/>
                <w:szCs w:val="24"/>
                <w:highlight w:val="none"/>
                <w:u w:color="000000"/>
                <w14:textFill>
                  <w14:solidFill>
                    <w14:schemeClr w14:val="tx1"/>
                  </w14:solidFill>
                </w14:textFill>
              </w:rPr>
            </w:pPr>
            <w:r>
              <w:rPr>
                <w:rFonts w:hint="eastAsia" w:ascii="宋体" w:hAnsi="宋体" w:cs="宋体"/>
                <w:b w:val="0"/>
                <w:bCs w:val="0"/>
                <w:color w:val="000000" w:themeColor="text1"/>
                <w:kern w:val="0"/>
                <w:sz w:val="24"/>
                <w:szCs w:val="24"/>
                <w:highlight w:val="none"/>
                <w:u w:color="000000"/>
                <w14:textFill>
                  <w14:solidFill>
                    <w14:schemeClr w14:val="tx1"/>
                  </w14:solidFill>
                </w14:textFill>
              </w:rPr>
              <w:t>地址：乌鲁木齐团结路1551号</w:t>
            </w:r>
          </w:p>
          <w:p w14:paraId="64A3D7DB">
            <w:pPr>
              <w:pStyle w:val="33"/>
              <w:keepNext w:val="0"/>
              <w:keepLines w:val="0"/>
              <w:pageBreakBefore w:val="0"/>
              <w:widowControl/>
              <w:kinsoku/>
              <w:wordWrap/>
              <w:topLinePunct w:val="0"/>
              <w:bidi w:val="0"/>
              <w:spacing w:beforeAutospacing="0" w:afterAutospacing="0" w:line="360" w:lineRule="auto"/>
              <w:ind w:left="0" w:leftChars="0" w:right="0"/>
              <w:jc w:val="left"/>
              <w:rPr>
                <w:rFonts w:hint="eastAsia" w:ascii="宋体" w:hAnsi="宋体" w:eastAsia="宋体" w:cs="宋体"/>
                <w:b w:val="0"/>
                <w:bCs w:val="0"/>
                <w:color w:val="000000" w:themeColor="text1"/>
                <w:kern w:val="0"/>
                <w:sz w:val="24"/>
                <w:szCs w:val="24"/>
                <w:highlight w:val="none"/>
                <w:u w:color="000000"/>
                <w:lang w:eastAsia="zh-CN"/>
                <w14:textFill>
                  <w14:solidFill>
                    <w14:schemeClr w14:val="tx1"/>
                  </w14:solidFill>
                </w14:textFill>
              </w:rPr>
            </w:pPr>
            <w:r>
              <w:rPr>
                <w:rFonts w:hint="eastAsia" w:ascii="宋体" w:hAnsi="宋体" w:cs="宋体"/>
                <w:b w:val="0"/>
                <w:bCs w:val="0"/>
                <w:color w:val="000000" w:themeColor="text1"/>
                <w:kern w:val="0"/>
                <w:sz w:val="24"/>
                <w:szCs w:val="24"/>
                <w:highlight w:val="none"/>
                <w:u w:color="000000"/>
                <w14:textFill>
                  <w14:solidFill>
                    <w14:schemeClr w14:val="tx1"/>
                  </w14:solidFill>
                </w14:textFill>
              </w:rPr>
              <w:t>联系人：</w:t>
            </w:r>
            <w:r>
              <w:rPr>
                <w:rFonts w:hint="eastAsia" w:ascii="宋体" w:hAnsi="宋体" w:cs="宋体"/>
                <w:b w:val="0"/>
                <w:bCs w:val="0"/>
                <w:color w:val="000000" w:themeColor="text1"/>
                <w:kern w:val="0"/>
                <w:sz w:val="24"/>
                <w:szCs w:val="24"/>
                <w:highlight w:val="none"/>
                <w:u w:color="000000"/>
                <w:lang w:val="en-US" w:eastAsia="zh-CN"/>
                <w14:textFill>
                  <w14:solidFill>
                    <w14:schemeClr w14:val="tx1"/>
                  </w14:solidFill>
                </w14:textFill>
              </w:rPr>
              <w:t>李</w:t>
            </w:r>
            <w:r>
              <w:rPr>
                <w:rFonts w:hint="eastAsia" w:ascii="宋体" w:hAnsi="宋体" w:cs="宋体"/>
                <w:b w:val="0"/>
                <w:bCs w:val="0"/>
                <w:color w:val="000000" w:themeColor="text1"/>
                <w:kern w:val="0"/>
                <w:sz w:val="24"/>
                <w:szCs w:val="24"/>
                <w:highlight w:val="none"/>
                <w:u w:color="000000"/>
                <w:lang w:eastAsia="zh-CN"/>
                <w14:textFill>
                  <w14:solidFill>
                    <w14:schemeClr w14:val="tx1"/>
                  </w14:solidFill>
                </w14:textFill>
              </w:rPr>
              <w:t>警官</w:t>
            </w:r>
          </w:p>
          <w:p w14:paraId="6E21AC65">
            <w:pPr>
              <w:pStyle w:val="33"/>
              <w:keepNext w:val="0"/>
              <w:keepLines w:val="0"/>
              <w:pageBreakBefore w:val="0"/>
              <w:widowControl/>
              <w:kinsoku/>
              <w:wordWrap/>
              <w:topLinePunct w:val="0"/>
              <w:bidi w:val="0"/>
              <w:spacing w:beforeAutospacing="0" w:afterAutospacing="0" w:line="360" w:lineRule="auto"/>
              <w:ind w:left="0" w:leftChars="0" w:right="0"/>
              <w:jc w:val="left"/>
              <w:rPr>
                <w:rFonts w:hint="default"/>
                <w:b w:val="0"/>
                <w:bCs w:val="0"/>
                <w:color w:val="000000" w:themeColor="text1"/>
                <w:highlight w:val="none"/>
                <w:lang w:val="en-US"/>
                <w14:textFill>
                  <w14:solidFill>
                    <w14:schemeClr w14:val="tx1"/>
                  </w14:solidFill>
                </w14:textFill>
              </w:rPr>
            </w:pPr>
            <w:r>
              <w:rPr>
                <w:rFonts w:hint="eastAsia" w:ascii="宋体" w:hAnsi="宋体" w:cs="宋体"/>
                <w:b w:val="0"/>
                <w:bCs w:val="0"/>
                <w:color w:val="000000" w:themeColor="text1"/>
                <w:kern w:val="0"/>
                <w:sz w:val="24"/>
                <w:szCs w:val="24"/>
                <w:highlight w:val="none"/>
                <w:u w:color="000000"/>
                <w14:textFill>
                  <w14:solidFill>
                    <w14:schemeClr w14:val="tx1"/>
                  </w14:solidFill>
                </w14:textFill>
              </w:rPr>
              <w:t>联系方式：</w:t>
            </w:r>
            <w:r>
              <w:rPr>
                <w:rFonts w:hint="eastAsia" w:ascii="宋体" w:hAnsi="宋体" w:cs="宋体"/>
                <w:b w:val="0"/>
                <w:bCs w:val="0"/>
                <w:color w:val="000000" w:themeColor="text1"/>
                <w:kern w:val="0"/>
                <w:sz w:val="24"/>
                <w:szCs w:val="24"/>
                <w:highlight w:val="none"/>
                <w:u w:color="000000"/>
                <w:lang w:eastAsia="zh-CN"/>
                <w14:textFill>
                  <w14:solidFill>
                    <w14:schemeClr w14:val="tx1"/>
                  </w14:solidFill>
                </w14:textFill>
              </w:rPr>
              <w:t>0991-85121</w:t>
            </w:r>
            <w:r>
              <w:rPr>
                <w:rFonts w:hint="eastAsia" w:ascii="宋体" w:hAnsi="宋体" w:cs="宋体"/>
                <w:b w:val="0"/>
                <w:bCs w:val="0"/>
                <w:color w:val="000000" w:themeColor="text1"/>
                <w:kern w:val="0"/>
                <w:sz w:val="24"/>
                <w:szCs w:val="24"/>
                <w:highlight w:val="none"/>
                <w:u w:color="000000"/>
                <w:lang w:val="en-US" w:eastAsia="zh-CN"/>
                <w14:textFill>
                  <w14:solidFill>
                    <w14:schemeClr w14:val="tx1"/>
                  </w14:solidFill>
                </w14:textFill>
              </w:rPr>
              <w:t>43</w:t>
            </w:r>
          </w:p>
        </w:tc>
      </w:tr>
      <w:tr w14:paraId="4C76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vAlign w:val="center"/>
          </w:tcPr>
          <w:p w14:paraId="43558E2C">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p>
        </w:tc>
        <w:tc>
          <w:tcPr>
            <w:tcW w:w="2072" w:type="dxa"/>
            <w:tcBorders>
              <w:top w:val="single" w:color="auto" w:sz="4" w:space="0"/>
              <w:left w:val="single" w:color="auto" w:sz="4" w:space="0"/>
              <w:bottom w:val="single" w:color="auto" w:sz="4" w:space="0"/>
              <w:right w:val="single" w:color="auto" w:sz="4" w:space="0"/>
            </w:tcBorders>
            <w:vAlign w:val="center"/>
          </w:tcPr>
          <w:p w14:paraId="133B619E">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采购代理机构</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6634EE80">
            <w:pPr>
              <w:pStyle w:val="37"/>
              <w:keepNext w:val="0"/>
              <w:keepLines w:val="0"/>
              <w:pageBreakBefore w:val="0"/>
              <w:kinsoku/>
              <w:wordWrap/>
              <w:topLinePunct w:val="0"/>
              <w:bidi w:val="0"/>
              <w:spacing w:beforeAutospacing="0" w:afterAutospacing="0" w:line="360" w:lineRule="auto"/>
              <w:ind w:left="0" w:leftChars="0" w:right="0"/>
              <w:rPr>
                <w:rFonts w:ascii="宋体" w:hAnsi="宋体" w:eastAsia="宋体"/>
                <w:b w:val="0"/>
                <w:bCs w:val="0"/>
                <w:color w:val="000000" w:themeColor="text1"/>
                <w:sz w:val="24"/>
                <w:szCs w:val="22"/>
                <w:highlight w:val="none"/>
                <w14:textFill>
                  <w14:solidFill>
                    <w14:schemeClr w14:val="tx1"/>
                  </w14:solidFill>
                </w14:textFill>
              </w:rPr>
            </w:pPr>
            <w:r>
              <w:rPr>
                <w:rFonts w:hint="eastAsia" w:ascii="宋体" w:hAnsi="宋体" w:eastAsia="宋体"/>
                <w:b w:val="0"/>
                <w:bCs w:val="0"/>
                <w:color w:val="000000" w:themeColor="text1"/>
                <w:sz w:val="24"/>
                <w:szCs w:val="22"/>
                <w:highlight w:val="none"/>
                <w14:textFill>
                  <w14:solidFill>
                    <w14:schemeClr w14:val="tx1"/>
                  </w14:solidFill>
                </w14:textFill>
              </w:rPr>
              <w:t>名称：</w:t>
            </w:r>
            <w:r>
              <w:rPr>
                <w:rFonts w:hint="eastAsia" w:ascii="宋体" w:hAnsi="宋体" w:eastAsia="宋体" w:cs="宋体"/>
                <w:b w:val="0"/>
                <w:bCs w:val="0"/>
                <w:color w:val="000000" w:themeColor="text1"/>
                <w:sz w:val="24"/>
                <w:szCs w:val="22"/>
                <w:highlight w:val="none"/>
                <w14:textFill>
                  <w14:solidFill>
                    <w14:schemeClr w14:val="tx1"/>
                  </w14:solidFill>
                </w14:textFill>
              </w:rPr>
              <w:t>新疆君凯杰工程项目管理有限公司</w:t>
            </w:r>
          </w:p>
          <w:p w14:paraId="4AEB9015">
            <w:pPr>
              <w:pStyle w:val="41"/>
              <w:keepNext w:val="0"/>
              <w:keepLines w:val="0"/>
              <w:pageBreakBefore w:val="0"/>
              <w:kinsoku/>
              <w:wordWrap/>
              <w:topLinePunct w:val="0"/>
              <w:bidi w:val="0"/>
              <w:spacing w:beforeAutospacing="0" w:afterAutospacing="0" w:line="360" w:lineRule="auto"/>
              <w:ind w:left="0" w:leftChars="0" w:right="0"/>
              <w:rPr>
                <w:rFonts w:ascii="宋体" w:hAnsi="宋体" w:eastAsia="宋体"/>
                <w:b w:val="0"/>
                <w:bCs w:val="0"/>
                <w:color w:val="000000" w:themeColor="text1"/>
                <w:sz w:val="24"/>
                <w:szCs w:val="22"/>
                <w:highlight w:val="none"/>
                <w14:textFill>
                  <w14:solidFill>
                    <w14:schemeClr w14:val="tx1"/>
                  </w14:solidFill>
                </w14:textFill>
              </w:rPr>
            </w:pPr>
            <w:r>
              <w:rPr>
                <w:rFonts w:hint="eastAsia" w:ascii="宋体" w:hAnsi="宋体" w:eastAsia="宋体"/>
                <w:b w:val="0"/>
                <w:bCs w:val="0"/>
                <w:color w:val="000000" w:themeColor="text1"/>
                <w:sz w:val="24"/>
                <w:szCs w:val="22"/>
                <w:highlight w:val="none"/>
                <w14:textFill>
                  <w14:solidFill>
                    <w14:schemeClr w14:val="tx1"/>
                  </w14:solidFill>
                </w14:textFill>
              </w:rPr>
              <w:t>地址：</w:t>
            </w:r>
            <w:bookmarkStart w:id="38" w:name="EB32065d915bf142f2b137c0124ab12a07"/>
            <w:bookmarkEnd w:id="38"/>
            <w:r>
              <w:rPr>
                <w:rFonts w:hint="eastAsia" w:ascii="宋体" w:hAnsi="宋体" w:eastAsia="宋体"/>
                <w:b w:val="0"/>
                <w:bCs w:val="0"/>
                <w:color w:val="000000" w:themeColor="text1"/>
                <w:sz w:val="24"/>
                <w:szCs w:val="22"/>
                <w:highlight w:val="none"/>
                <w14:textFill>
                  <w14:solidFill>
                    <w14:schemeClr w14:val="tx1"/>
                  </w14:solidFill>
                </w14:textFill>
              </w:rPr>
              <w:t>新疆乌鲁木齐市水磨沟区会展大道1119号大成尔雅A座901室</w:t>
            </w:r>
          </w:p>
          <w:p w14:paraId="29097E59">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b w:val="0"/>
                <w:bCs w:val="0"/>
                <w:color w:val="000000" w:themeColor="text1"/>
                <w:sz w:val="24"/>
                <w:szCs w:val="22"/>
                <w:highlight w:val="none"/>
                <w:lang w:eastAsia="zh-CN"/>
                <w14:textFill>
                  <w14:solidFill>
                    <w14:schemeClr w14:val="tx1"/>
                  </w14:solidFill>
                </w14:textFill>
              </w:rPr>
            </w:pPr>
            <w:r>
              <w:rPr>
                <w:rFonts w:hint="eastAsia" w:ascii="宋体" w:hAnsi="宋体" w:eastAsia="宋体"/>
                <w:b w:val="0"/>
                <w:bCs w:val="0"/>
                <w:color w:val="000000" w:themeColor="text1"/>
                <w:sz w:val="24"/>
                <w:szCs w:val="22"/>
                <w:highlight w:val="none"/>
                <w14:textFill>
                  <w14:solidFill>
                    <w14:schemeClr w14:val="tx1"/>
                  </w14:solidFill>
                </w14:textFill>
              </w:rPr>
              <w:t>联系人：</w:t>
            </w:r>
            <w:bookmarkStart w:id="39" w:name="EB6e50d8c1de904561a2376cb4ee4be525"/>
            <w:bookmarkEnd w:id="39"/>
            <w:r>
              <w:rPr>
                <w:rFonts w:hint="eastAsia" w:ascii="宋体" w:hAnsi="宋体" w:eastAsia="宋体" w:cs="宋体"/>
                <w:b w:val="0"/>
                <w:bCs w:val="0"/>
                <w:color w:val="000000" w:themeColor="text1"/>
                <w:sz w:val="24"/>
                <w:szCs w:val="22"/>
                <w:highlight w:val="none"/>
                <w:lang w:eastAsia="zh-CN"/>
                <w14:textFill>
                  <w14:solidFill>
                    <w14:schemeClr w14:val="tx1"/>
                  </w14:solidFill>
                </w14:textFill>
              </w:rPr>
              <w:t>陈晨</w:t>
            </w:r>
          </w:p>
          <w:p w14:paraId="75223C62">
            <w:pPr>
              <w:pStyle w:val="41"/>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b w:val="0"/>
                <w:bCs w:val="0"/>
                <w:color w:val="000000" w:themeColor="text1"/>
                <w:sz w:val="24"/>
                <w:szCs w:val="22"/>
                <w:highlight w:val="none"/>
                <w14:textFill>
                  <w14:solidFill>
                    <w14:schemeClr w14:val="tx1"/>
                  </w14:solidFill>
                </w14:textFill>
              </w:rPr>
              <w:t>联系电话：</w:t>
            </w:r>
            <w:bookmarkStart w:id="40" w:name="EBf3eb18c61707474fade128509c543d3e"/>
            <w:bookmarkEnd w:id="40"/>
            <w:r>
              <w:rPr>
                <w:rFonts w:hint="eastAsia" w:ascii="宋体" w:hAnsi="宋体" w:eastAsia="宋体" w:cs="宋体"/>
                <w:b w:val="0"/>
                <w:bCs w:val="0"/>
                <w:color w:val="000000" w:themeColor="text1"/>
                <w:sz w:val="24"/>
                <w:szCs w:val="22"/>
                <w:highlight w:val="none"/>
                <w:lang w:eastAsia="zh-CN"/>
                <w14:textFill>
                  <w14:solidFill>
                    <w14:schemeClr w14:val="tx1"/>
                  </w14:solidFill>
                </w14:textFill>
              </w:rPr>
              <w:t>13201097601</w:t>
            </w:r>
          </w:p>
        </w:tc>
      </w:tr>
      <w:tr w14:paraId="4535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vAlign w:val="center"/>
          </w:tcPr>
          <w:p w14:paraId="2A4AF5A0">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4</w:t>
            </w:r>
          </w:p>
        </w:tc>
        <w:tc>
          <w:tcPr>
            <w:tcW w:w="2072" w:type="dxa"/>
            <w:tcBorders>
              <w:top w:val="single" w:color="auto" w:sz="4" w:space="0"/>
              <w:left w:val="single" w:color="auto" w:sz="4" w:space="0"/>
              <w:bottom w:val="single" w:color="auto" w:sz="4" w:space="0"/>
              <w:right w:val="single" w:color="auto" w:sz="4" w:space="0"/>
            </w:tcBorders>
            <w:vAlign w:val="center"/>
          </w:tcPr>
          <w:p w14:paraId="5CD8D69D">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采购内容</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6E758882">
            <w:pPr>
              <w:pStyle w:val="37"/>
              <w:keepNext w:val="0"/>
              <w:keepLines w:val="0"/>
              <w:pageBreakBefore w:val="0"/>
              <w:widowControl/>
              <w:kinsoku/>
              <w:wordWrap/>
              <w:topLinePunct w:val="0"/>
              <w:bidi w:val="0"/>
              <w:spacing w:beforeAutospacing="0" w:afterAutospacing="0" w:line="360" w:lineRule="auto"/>
              <w:ind w:left="0" w:leftChars="0" w:right="0"/>
              <w:rPr>
                <w:rFonts w:hint="default" w:ascii="宋体" w:hAnsi="宋体" w:eastAsia="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4"/>
                <w:shd w:val="clear" w:color="auto" w:fill="auto"/>
                <w:lang w:val="en-US" w:eastAsia="zh-CN"/>
                <w14:textFill>
                  <w14:solidFill>
                    <w14:schemeClr w14:val="tx1"/>
                  </w14:solidFill>
                </w14:textFill>
              </w:rPr>
              <w:t>视频会议系统</w:t>
            </w:r>
            <w:r>
              <w:rPr>
                <w:rFonts w:hint="eastAsia" w:ascii="宋体" w:hAnsi="宋体" w:eastAsia="宋体" w:cs="宋体"/>
                <w:b w:val="0"/>
                <w:bCs/>
                <w:color w:val="000000" w:themeColor="text1"/>
                <w:sz w:val="24"/>
                <w:shd w:val="clear" w:color="auto" w:fill="auto"/>
                <w14:textFill>
                  <w14:solidFill>
                    <w14:schemeClr w14:val="tx1"/>
                  </w14:solidFill>
                </w14:textFill>
              </w:rPr>
              <w:t>驻场及维保服务主要包括总站机关驻场服务、基层单位设备维护服务和故障维修服务</w:t>
            </w:r>
            <w:r>
              <w:rPr>
                <w:rFonts w:hint="eastAsia" w:ascii="宋体" w:hAnsi="宋体" w:eastAsia="宋体" w:cs="宋体"/>
                <w:b w:val="0"/>
                <w:bCs/>
                <w:color w:val="000000" w:themeColor="text1"/>
                <w:sz w:val="24"/>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hd w:val="clear" w:color="auto" w:fill="auto"/>
                <w14:textFill>
                  <w14:solidFill>
                    <w14:schemeClr w14:val="tx1"/>
                  </w14:solidFill>
                </w14:textFill>
              </w:rPr>
              <w:t>以及其他涉及视频会议系统运维的服务内容</w:t>
            </w:r>
            <w:r>
              <w:rPr>
                <w:rFonts w:hint="eastAsia" w:ascii="宋体" w:hAnsi="宋体" w:eastAsia="宋体"/>
                <w:b w:val="0"/>
                <w:bCs w:val="0"/>
                <w:color w:val="000000" w:themeColor="text1"/>
                <w:sz w:val="24"/>
                <w:szCs w:val="22"/>
                <w:highlight w:val="none"/>
                <w:lang w:eastAsia="zh-CN"/>
                <w14:textFill>
                  <w14:solidFill>
                    <w14:schemeClr w14:val="tx1"/>
                  </w14:solidFill>
                </w14:textFill>
              </w:rPr>
              <w:t>，</w:t>
            </w:r>
            <w:r>
              <w:rPr>
                <w:rFonts w:hint="eastAsia" w:ascii="宋体" w:hAnsi="宋体" w:eastAsia="宋体"/>
                <w:b w:val="0"/>
                <w:bCs w:val="0"/>
                <w:color w:val="000000" w:themeColor="text1"/>
                <w:sz w:val="24"/>
                <w:szCs w:val="22"/>
                <w:highlight w:val="none"/>
                <w:lang w:val="en-US" w:eastAsia="zh-CN"/>
                <w14:textFill>
                  <w14:solidFill>
                    <w14:schemeClr w14:val="tx1"/>
                  </w14:solidFill>
                </w14:textFill>
              </w:rPr>
              <w:t>具体详见竞争性谈判文件第三部分采购需求。</w:t>
            </w:r>
          </w:p>
        </w:tc>
      </w:tr>
      <w:tr w14:paraId="1804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84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066C4382">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5</w:t>
            </w:r>
          </w:p>
        </w:tc>
        <w:tc>
          <w:tcPr>
            <w:tcW w:w="2072" w:type="dxa"/>
            <w:tcBorders>
              <w:top w:val="single" w:color="auto" w:sz="4" w:space="0"/>
              <w:left w:val="single" w:color="auto" w:sz="4" w:space="0"/>
              <w:bottom w:val="single" w:color="auto" w:sz="4" w:space="0"/>
              <w:right w:val="single" w:color="auto" w:sz="4" w:space="0"/>
            </w:tcBorders>
            <w:vAlign w:val="center"/>
          </w:tcPr>
          <w:p w14:paraId="7E3323C1">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投标人资格</w:t>
            </w:r>
          </w:p>
          <w:p w14:paraId="259A9241">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要求</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79104D05">
            <w:pPr>
              <w:pStyle w:val="21"/>
              <w:keepNext w:val="0"/>
              <w:keepLines w:val="0"/>
              <w:pageBreakBefore w:val="0"/>
              <w:widowControl/>
              <w:tabs>
                <w:tab w:val="left" w:pos="3570"/>
              </w:tabs>
              <w:kinsoku/>
              <w:wordWrap/>
              <w:topLinePunct w:val="0"/>
              <w:bidi w:val="0"/>
              <w:spacing w:beforeAutospacing="0" w:after="0" w:afterAutospacing="0" w:line="360" w:lineRule="auto"/>
              <w:ind w:left="0" w:leftChars="0" w:right="0"/>
              <w:jc w:val="left"/>
              <w:rPr>
                <w:rFonts w:ascii="宋体" w:hAnsi="宋体"/>
                <w:b w:val="0"/>
                <w:bCs w:val="0"/>
                <w:color w:val="000000" w:themeColor="text1"/>
                <w:highlight w:val="none"/>
                <w14:textFill>
                  <w14:solidFill>
                    <w14:schemeClr w14:val="tx1"/>
                  </w14:solidFill>
                </w14:textFill>
              </w:rPr>
            </w:pPr>
            <w:bookmarkStart w:id="41" w:name="EBd77b448698ab48f2a21fe1279362a7db"/>
            <w:bookmarkEnd w:id="41"/>
            <w:r>
              <w:rPr>
                <w:rFonts w:hint="eastAsia" w:ascii="宋体" w:hAnsi="宋体"/>
                <w:b w:val="0"/>
                <w:bCs w:val="0"/>
                <w:color w:val="000000" w:themeColor="text1"/>
                <w:highlight w:val="none"/>
                <w14:textFill>
                  <w14:solidFill>
                    <w14:schemeClr w14:val="tx1"/>
                  </w14:solidFill>
                </w14:textFill>
              </w:rPr>
              <w:t>1.满足《中华人民共和国政府采购法》第二十二条规定；</w:t>
            </w:r>
          </w:p>
          <w:p w14:paraId="2513511A">
            <w:pPr>
              <w:pStyle w:val="21"/>
              <w:keepNext w:val="0"/>
              <w:keepLines w:val="0"/>
              <w:pageBreakBefore w:val="0"/>
              <w:widowControl/>
              <w:tabs>
                <w:tab w:val="left" w:pos="3570"/>
              </w:tabs>
              <w:kinsoku/>
              <w:wordWrap/>
              <w:topLinePunct w:val="0"/>
              <w:bidi w:val="0"/>
              <w:spacing w:beforeAutospacing="0" w:after="0" w:afterAutospacing="0" w:line="360" w:lineRule="auto"/>
              <w:ind w:left="0" w:leftChars="0" w:right="0"/>
              <w:jc w:val="left"/>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2.落实政府采购政策需满足的资格要求：</w:t>
            </w:r>
            <w:r>
              <w:rPr>
                <w:rFonts w:hint="eastAsia" w:ascii="宋体" w:hAnsi="宋体"/>
                <w:b w:val="0"/>
                <w:bCs w:val="0"/>
                <w:color w:val="000000" w:themeColor="text1"/>
                <w:highlight w:val="none"/>
                <w:lang w:val="en-US" w:eastAsia="zh-CN"/>
                <w14:textFill>
                  <w14:solidFill>
                    <w14:schemeClr w14:val="tx1"/>
                  </w14:solidFill>
                </w14:textFill>
              </w:rPr>
              <w:t>本项目专门面向中小企业采购；</w:t>
            </w:r>
          </w:p>
          <w:p w14:paraId="6F1FCC14">
            <w:pPr>
              <w:pStyle w:val="21"/>
              <w:keepNext w:val="0"/>
              <w:keepLines w:val="0"/>
              <w:pageBreakBefore w:val="0"/>
              <w:widowControl/>
              <w:tabs>
                <w:tab w:val="left" w:pos="3570"/>
              </w:tabs>
              <w:kinsoku/>
              <w:wordWrap/>
              <w:topLinePunct w:val="0"/>
              <w:bidi w:val="0"/>
              <w:spacing w:beforeAutospacing="0" w:after="0" w:afterAutospacing="0" w:line="360" w:lineRule="auto"/>
              <w:ind w:left="0" w:leftChars="0" w:right="0"/>
              <w:jc w:val="left"/>
              <w:rPr>
                <w:rFonts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3.本项目的特定资格要求：</w:t>
            </w:r>
            <w:r>
              <w:rPr>
                <w:rFonts w:hint="eastAsia" w:ascii="宋体" w:hAnsi="宋体"/>
                <w:b w:val="0"/>
                <w:bCs w:val="0"/>
                <w:color w:val="000000" w:themeColor="text1"/>
                <w:highlight w:val="none"/>
                <w:lang w:val="en-US" w:eastAsia="zh-CN"/>
                <w14:textFill>
                  <w14:solidFill>
                    <w14:schemeClr w14:val="tx1"/>
                  </w14:solidFill>
                </w14:textFill>
              </w:rPr>
              <w:t>/</w:t>
            </w:r>
          </w:p>
        </w:tc>
      </w:tr>
      <w:tr w14:paraId="1F12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84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C88BA84">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3AB3C15E">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项目预算</w:t>
            </w:r>
          </w:p>
        </w:tc>
        <w:tc>
          <w:tcPr>
            <w:tcW w:w="6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22C4C6">
            <w:pPr>
              <w:pStyle w:val="59"/>
              <w:keepNext w:val="0"/>
              <w:keepLines w:val="0"/>
              <w:pageBreakBefore w:val="0"/>
              <w:kinsoku/>
              <w:wordWrap/>
              <w:topLinePunct w:val="0"/>
              <w:autoSpaceDE w:val="0"/>
              <w:autoSpaceDN w:val="0"/>
              <w:bidi w:val="0"/>
              <w:adjustRightInd w:val="0"/>
              <w:spacing w:beforeAutospacing="0" w:afterAutospacing="0" w:line="360" w:lineRule="auto"/>
              <w:ind w:left="0" w:leftChars="0" w:right="0" w:rightChars="0"/>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highlight w:val="none"/>
                <w:lang w:eastAsia="zh-CN"/>
                <w14:textFill>
                  <w14:solidFill>
                    <w14:schemeClr w14:val="tx1"/>
                  </w14:solidFill>
                </w14:textFill>
              </w:rPr>
              <w:t>本项目</w:t>
            </w:r>
            <w:r>
              <w:rPr>
                <w:rFonts w:hint="eastAsia" w:ascii="宋体" w:hAnsi="宋体" w:eastAsia="宋体" w:cs="宋体"/>
                <w:b w:val="0"/>
                <w:bCs w:val="0"/>
                <w:color w:val="000000" w:themeColor="text1"/>
                <w:sz w:val="24"/>
                <w:highlight w:val="none"/>
                <w14:textFill>
                  <w14:solidFill>
                    <w14:schemeClr w14:val="tx1"/>
                  </w14:solidFill>
                </w14:textFill>
              </w:rPr>
              <w:t>采购</w:t>
            </w:r>
            <w:r>
              <w:rPr>
                <w:rFonts w:hint="eastAsia" w:ascii="宋体" w:hAnsi="宋体" w:eastAsia="宋体" w:cs="宋体"/>
                <w:b w:val="0"/>
                <w:bCs w:val="0"/>
                <w:color w:val="000000" w:themeColor="text1"/>
                <w:sz w:val="24"/>
                <w:szCs w:val="22"/>
                <w:highlight w:val="none"/>
                <w:lang w:val="zh-CN"/>
                <w14:textFill>
                  <w14:solidFill>
                    <w14:schemeClr w14:val="tx1"/>
                  </w14:solidFill>
                </w14:textFill>
              </w:rPr>
              <w:t>预算为</w:t>
            </w:r>
            <w:r>
              <w:rPr>
                <w:rFonts w:hint="eastAsia" w:ascii="宋体" w:hAnsi="宋体" w:eastAsia="宋体" w:cs="宋体"/>
                <w:b w:val="0"/>
                <w:bCs w:val="0"/>
                <w:color w:val="000000" w:themeColor="text1"/>
                <w:sz w:val="24"/>
                <w:szCs w:val="22"/>
                <w:highlight w:val="none"/>
                <w:lang w:val="zh-CN" w:eastAsia="zh-CN"/>
                <w14:textFill>
                  <w14:solidFill>
                    <w14:schemeClr w14:val="tx1"/>
                  </w14:solidFill>
                </w14:textFill>
              </w:rPr>
              <w:t>800000.00</w:t>
            </w:r>
            <w:r>
              <w:rPr>
                <w:rFonts w:hint="eastAsia" w:ascii="宋体" w:hAnsi="宋体" w:eastAsia="宋体" w:cs="宋体"/>
                <w:b w:val="0"/>
                <w:bCs w:val="0"/>
                <w:color w:val="000000" w:themeColor="text1"/>
                <w:sz w:val="24"/>
                <w:szCs w:val="22"/>
                <w:highlight w:val="none"/>
                <w14:textFill>
                  <w14:solidFill>
                    <w14:schemeClr w14:val="tx1"/>
                  </w14:solidFill>
                </w14:textFill>
              </w:rPr>
              <w:t>元</w:t>
            </w:r>
            <w:r>
              <w:rPr>
                <w:rFonts w:hint="eastAsia" w:ascii="宋体" w:hAnsi="宋体" w:eastAsia="宋体" w:cs="宋体"/>
                <w:b w:val="0"/>
                <w:bCs w:val="0"/>
                <w:color w:val="000000" w:themeColor="text1"/>
                <w:sz w:val="24"/>
                <w:szCs w:val="22"/>
                <w:highlight w:val="none"/>
                <w:lang w:val="zh-CN"/>
                <w14:textFill>
                  <w14:solidFill>
                    <w14:schemeClr w14:val="tx1"/>
                  </w14:solidFill>
                </w14:textFill>
              </w:rPr>
              <w:t>，</w:t>
            </w:r>
            <w:r>
              <w:rPr>
                <w:rFonts w:hint="eastAsia" w:ascii="宋体" w:hAnsi="宋体" w:eastAsia="宋体" w:cs="宋体"/>
                <w:b w:val="0"/>
                <w:bCs w:val="0"/>
                <w:color w:val="000000" w:themeColor="text1"/>
                <w:sz w:val="24"/>
                <w:szCs w:val="22"/>
                <w:highlight w:val="none"/>
                <w14:textFill>
                  <w14:solidFill>
                    <w14:schemeClr w14:val="tx1"/>
                  </w14:solidFill>
                </w14:textFill>
              </w:rPr>
              <w:t>最高限价为</w:t>
            </w: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766236.11</w:t>
            </w:r>
            <w:r>
              <w:rPr>
                <w:rFonts w:hint="eastAsia" w:ascii="宋体" w:hAnsi="宋体" w:eastAsia="宋体" w:cs="宋体"/>
                <w:b w:val="0"/>
                <w:bCs w:val="0"/>
                <w:color w:val="000000" w:themeColor="text1"/>
                <w:sz w:val="24"/>
                <w:szCs w:val="22"/>
                <w:highlight w:val="none"/>
                <w14:textFill>
                  <w14:solidFill>
                    <w14:schemeClr w14:val="tx1"/>
                  </w14:solidFill>
                </w14:textFill>
              </w:rPr>
              <w:t>元</w:t>
            </w:r>
            <w:r>
              <w:rPr>
                <w:rFonts w:hint="eastAsia" w:ascii="宋体" w:hAnsi="宋体" w:eastAsia="宋体" w:cs="宋体"/>
                <w:b w:val="0"/>
                <w:bCs w:val="0"/>
                <w:color w:val="000000" w:themeColor="text1"/>
                <w:sz w:val="24"/>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2"/>
                <w:highlight w:val="none"/>
                <w:lang w:val="zh-CN"/>
                <w14:textFill>
                  <w14:solidFill>
                    <w14:schemeClr w14:val="tx1"/>
                  </w14:solidFill>
                </w14:textFill>
              </w:rPr>
              <w:t>供应商投标报价超过项目</w:t>
            </w:r>
            <w:r>
              <w:rPr>
                <w:rFonts w:hint="eastAsia" w:ascii="宋体" w:hAnsi="宋体" w:eastAsia="宋体" w:cs="宋体"/>
                <w:b w:val="0"/>
                <w:bCs w:val="0"/>
                <w:color w:val="000000" w:themeColor="text1"/>
                <w:sz w:val="24"/>
                <w:szCs w:val="22"/>
                <w:highlight w:val="none"/>
                <w14:textFill>
                  <w14:solidFill>
                    <w14:schemeClr w14:val="tx1"/>
                  </w14:solidFill>
                </w14:textFill>
              </w:rPr>
              <w:t>最高限价</w:t>
            </w:r>
            <w:r>
              <w:rPr>
                <w:rFonts w:hint="eastAsia" w:ascii="宋体" w:hAnsi="宋体" w:eastAsia="宋体" w:cs="宋体"/>
                <w:b w:val="0"/>
                <w:bCs w:val="0"/>
                <w:color w:val="000000" w:themeColor="text1"/>
                <w:sz w:val="24"/>
                <w:szCs w:val="22"/>
                <w:highlight w:val="none"/>
                <w:lang w:val="zh-CN"/>
                <w14:textFill>
                  <w14:solidFill>
                    <w14:schemeClr w14:val="tx1"/>
                  </w14:solidFill>
                </w14:textFill>
              </w:rPr>
              <w:t>的按无效投标处理。</w:t>
            </w:r>
          </w:p>
        </w:tc>
      </w:tr>
      <w:tr w14:paraId="3267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5B4E3453">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b/>
                <w:color w:val="000000" w:themeColor="text1"/>
                <w:kern w:val="0"/>
                <w:sz w:val="24"/>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7</w:t>
            </w:r>
          </w:p>
        </w:tc>
        <w:tc>
          <w:tcPr>
            <w:tcW w:w="2072" w:type="dxa"/>
            <w:vMerge w:val="restart"/>
            <w:tcBorders>
              <w:top w:val="single" w:color="auto" w:sz="4" w:space="0"/>
              <w:left w:val="single" w:color="auto" w:sz="4" w:space="0"/>
              <w:bottom w:val="single" w:color="auto" w:sz="4" w:space="0"/>
              <w:right w:val="single" w:color="auto" w:sz="4" w:space="0"/>
            </w:tcBorders>
            <w:vAlign w:val="center"/>
          </w:tcPr>
          <w:p w14:paraId="7A560992">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b/>
                <w:color w:val="000000" w:themeColor="text1"/>
                <w:kern w:val="0"/>
                <w:sz w:val="24"/>
                <w:szCs w:val="22"/>
                <w:highlight w:val="none"/>
                <w14:textFill>
                  <w14:solidFill>
                    <w14:schemeClr w14:val="tx1"/>
                  </w14:solidFill>
                </w14:textFill>
              </w:rPr>
              <w:t>的组成部分</w:t>
            </w:r>
          </w:p>
        </w:tc>
        <w:tc>
          <w:tcPr>
            <w:tcW w:w="473" w:type="dxa"/>
            <w:tcBorders>
              <w:top w:val="single" w:color="auto" w:sz="4" w:space="0"/>
              <w:left w:val="single" w:color="auto" w:sz="4" w:space="0"/>
              <w:bottom w:val="single" w:color="auto" w:sz="4" w:space="0"/>
              <w:right w:val="single" w:color="auto" w:sz="4" w:space="0"/>
            </w:tcBorders>
            <w:vAlign w:val="center"/>
          </w:tcPr>
          <w:p w14:paraId="79893680">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val="0"/>
                <w:bCs w:val="0"/>
                <w:color w:val="000000" w:themeColor="text1"/>
                <w:kern w:val="0"/>
                <w:sz w:val="24"/>
                <w:highlight w:val="none"/>
                <w14:textFill>
                  <w14:solidFill>
                    <w14:schemeClr w14:val="tx1"/>
                  </w14:solidFill>
                </w14:textFill>
              </w:rPr>
            </w:pPr>
            <w:r>
              <w:rPr>
                <w:rFonts w:hint="eastAsia" w:ascii="宋体" w:hAnsi="宋体" w:eastAsia="宋体"/>
                <w:b w:val="0"/>
                <w:bCs w:val="0"/>
                <w:color w:val="000000" w:themeColor="text1"/>
                <w:kern w:val="0"/>
                <w:sz w:val="24"/>
                <w:szCs w:val="22"/>
                <w:highlight w:val="none"/>
                <w14:textFill>
                  <w14:solidFill>
                    <w14:schemeClr w14:val="tx1"/>
                  </w14:solidFill>
                </w14:textFill>
              </w:rPr>
              <w:t>封面</w:t>
            </w:r>
          </w:p>
        </w:tc>
        <w:tc>
          <w:tcPr>
            <w:tcW w:w="6203" w:type="dxa"/>
            <w:gridSpan w:val="2"/>
            <w:tcBorders>
              <w:top w:val="single" w:color="auto" w:sz="4" w:space="0"/>
              <w:left w:val="single" w:color="auto" w:sz="4" w:space="0"/>
              <w:bottom w:val="single" w:color="auto" w:sz="4" w:space="0"/>
              <w:right w:val="single" w:color="auto" w:sz="4" w:space="0"/>
            </w:tcBorders>
            <w:vAlign w:val="center"/>
          </w:tcPr>
          <w:p w14:paraId="09324C2C">
            <w:pPr>
              <w:pStyle w:val="37"/>
              <w:keepNext w:val="0"/>
              <w:keepLines w:val="0"/>
              <w:pageBreakBefore w:val="0"/>
              <w:kinsoku/>
              <w:wordWrap/>
              <w:topLinePunct w:val="0"/>
              <w:bidi w:val="0"/>
              <w:spacing w:beforeAutospacing="0" w:afterAutospacing="0" w:line="360" w:lineRule="auto"/>
              <w:ind w:left="0" w:leftChars="0" w:right="0"/>
              <w:rPr>
                <w:rFonts w:ascii="宋体" w:hAnsi="宋体" w:eastAsia="宋体"/>
                <w:b w:val="0"/>
                <w:bCs w:val="0"/>
                <w:color w:val="000000" w:themeColor="text1"/>
                <w:kern w:val="0"/>
                <w:sz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highlight w:val="none"/>
                <w14:textFill>
                  <w14:solidFill>
                    <w14:schemeClr w14:val="tx1"/>
                  </w14:solidFill>
                </w14:textFill>
              </w:rPr>
              <w:t>(1)</w:t>
            </w:r>
            <w:r>
              <w:rPr>
                <w:rFonts w:hint="eastAsia" w:ascii="宋体" w:hAnsi="宋体" w:eastAsia="宋体"/>
                <w:b w:val="0"/>
                <w:bCs w:val="0"/>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b w:val="0"/>
                <w:bCs w:val="0"/>
                <w:color w:val="000000" w:themeColor="text1"/>
                <w:kern w:val="0"/>
                <w:sz w:val="24"/>
                <w:szCs w:val="22"/>
                <w:highlight w:val="none"/>
                <w14:textFill>
                  <w14:solidFill>
                    <w14:schemeClr w14:val="tx1"/>
                  </w14:solidFill>
                </w14:textFill>
              </w:rPr>
              <w:t>封面；</w:t>
            </w:r>
          </w:p>
        </w:tc>
      </w:tr>
      <w:tr w14:paraId="7623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1517FE2F">
            <w:pPr>
              <w:pStyle w:val="37"/>
              <w:keepNext w:val="0"/>
              <w:keepLines w:val="0"/>
              <w:pageBreakBefore w:val="0"/>
              <w:widowControl/>
              <w:kinsoku/>
              <w:wordWrap/>
              <w:topLinePunct w:val="0"/>
              <w:bidi w:val="0"/>
              <w:spacing w:beforeAutospacing="0" w:afterAutospacing="0" w:line="36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14:paraId="36A6E6CF">
            <w:pPr>
              <w:pStyle w:val="37"/>
              <w:keepNext w:val="0"/>
              <w:keepLines w:val="0"/>
              <w:pageBreakBefore w:val="0"/>
              <w:widowControl/>
              <w:kinsoku/>
              <w:wordWrap/>
              <w:topLinePunct w:val="0"/>
              <w:bidi w:val="0"/>
              <w:spacing w:beforeAutospacing="0" w:afterAutospacing="0" w:line="36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73" w:type="dxa"/>
            <w:tcBorders>
              <w:top w:val="single" w:color="auto" w:sz="4" w:space="0"/>
              <w:left w:val="single" w:color="auto" w:sz="4" w:space="0"/>
              <w:bottom w:val="single" w:color="auto" w:sz="4" w:space="0"/>
              <w:right w:val="single" w:color="auto" w:sz="4" w:space="0"/>
            </w:tcBorders>
            <w:vAlign w:val="center"/>
          </w:tcPr>
          <w:p w14:paraId="683ECA41">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val="0"/>
                <w:bCs w:val="0"/>
                <w:color w:val="000000" w:themeColor="text1"/>
                <w:kern w:val="0"/>
                <w:sz w:val="24"/>
                <w:szCs w:val="22"/>
                <w:highlight w:val="none"/>
                <w14:textFill>
                  <w14:solidFill>
                    <w14:schemeClr w14:val="tx1"/>
                  </w14:solidFill>
                </w14:textFill>
              </w:rPr>
            </w:pPr>
            <w:r>
              <w:rPr>
                <w:rFonts w:hint="eastAsia" w:ascii="宋体" w:hAnsi="宋体" w:eastAsia="宋体"/>
                <w:b w:val="0"/>
                <w:bCs w:val="0"/>
                <w:color w:val="000000" w:themeColor="text1"/>
                <w:kern w:val="0"/>
                <w:sz w:val="24"/>
                <w:szCs w:val="22"/>
                <w:highlight w:val="none"/>
                <w14:textFill>
                  <w14:solidFill>
                    <w14:schemeClr w14:val="tx1"/>
                  </w14:solidFill>
                </w14:textFill>
              </w:rPr>
              <w:t>资格审查材料</w:t>
            </w:r>
          </w:p>
        </w:tc>
        <w:tc>
          <w:tcPr>
            <w:tcW w:w="6203" w:type="dxa"/>
            <w:gridSpan w:val="2"/>
            <w:tcBorders>
              <w:top w:val="single" w:color="auto" w:sz="4" w:space="0"/>
              <w:left w:val="single" w:color="auto" w:sz="4" w:space="0"/>
              <w:bottom w:val="single" w:color="auto" w:sz="4" w:space="0"/>
              <w:right w:val="single" w:color="auto" w:sz="4" w:space="0"/>
            </w:tcBorders>
            <w:vAlign w:val="center"/>
          </w:tcPr>
          <w:p w14:paraId="3BFFAFDE">
            <w:pPr>
              <w:pStyle w:val="42"/>
              <w:keepNext w:val="0"/>
              <w:keepLines w:val="0"/>
              <w:pageBreakBefore w:val="0"/>
              <w:kinsoku/>
              <w:wordWrap/>
              <w:topLinePunct w:val="0"/>
              <w:bidi w:val="0"/>
              <w:spacing w:beforeAutospacing="0" w:afterAutospacing="0" w:line="360" w:lineRule="auto"/>
              <w:ind w:left="0" w:leftChars="0" w:right="0"/>
              <w:outlineLvl w:val="9"/>
              <w:rPr>
                <w:rFonts w:asciiTheme="majorEastAsia" w:hAnsiTheme="majorEastAsia" w:eastAsiaTheme="majorEastAsia"/>
                <w:b w:val="0"/>
                <w:bCs w:val="0"/>
                <w:color w:val="000000" w:themeColor="text1"/>
                <w:sz w:val="24"/>
                <w:szCs w:val="24"/>
                <w:highlight w:val="none"/>
                <w14:textFill>
                  <w14:solidFill>
                    <w14:schemeClr w14:val="tx1"/>
                  </w14:solidFill>
                </w14:textFill>
              </w:rPr>
            </w:pPr>
            <w:bookmarkStart w:id="42" w:name="EBc05db149ce834ff3a8532bd8eac5c4b5"/>
            <w:bookmarkEnd w:id="42"/>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r>
              <w:rPr>
                <w:rFonts w:hint="eastAsia" w:asciiTheme="majorEastAsia" w:hAnsiTheme="majorEastAsia" w:eastAsiaTheme="majorEastAsia"/>
                <w:b w:val="0"/>
                <w:bCs w:val="0"/>
                <w:color w:val="000000" w:themeColor="text1"/>
                <w:sz w:val="24"/>
                <w:szCs w:val="24"/>
                <w:highlight w:val="none"/>
                <w:lang w:val="en-US" w:eastAsia="zh-CN"/>
                <w14:textFill>
                  <w14:solidFill>
                    <w14:schemeClr w14:val="tx1"/>
                  </w14:solidFill>
                </w14:textFill>
              </w:rPr>
              <w:t>1</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营业执照（自然人提供身份证明文件、事业单位提供事业单位法人证书）；</w:t>
            </w:r>
          </w:p>
          <w:p w14:paraId="41376561">
            <w:pPr>
              <w:pStyle w:val="42"/>
              <w:keepNext w:val="0"/>
              <w:keepLines w:val="0"/>
              <w:pageBreakBefore w:val="0"/>
              <w:kinsoku/>
              <w:wordWrap/>
              <w:topLinePunct w:val="0"/>
              <w:bidi w:val="0"/>
              <w:spacing w:beforeAutospacing="0" w:afterAutospacing="0" w:line="360" w:lineRule="auto"/>
              <w:ind w:left="0" w:leftChars="0" w:right="0"/>
              <w:outlineLvl w:val="9"/>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备注：自然人无需提供</w:t>
            </w:r>
          </w:p>
          <w:p w14:paraId="3E1A1EE8">
            <w:pPr>
              <w:pStyle w:val="42"/>
              <w:keepNext w:val="0"/>
              <w:keepLines w:val="0"/>
              <w:pageBreakBefore w:val="0"/>
              <w:kinsoku/>
              <w:wordWrap/>
              <w:topLinePunct w:val="0"/>
              <w:bidi w:val="0"/>
              <w:spacing w:beforeAutospacing="0" w:afterAutospacing="0" w:line="360" w:lineRule="auto"/>
              <w:ind w:left="0" w:leftChars="0" w:right="0"/>
              <w:outlineLvl w:val="9"/>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r>
              <w:rPr>
                <w:rFonts w:hint="eastAsia" w:asciiTheme="majorEastAsia" w:hAnsiTheme="majorEastAsia" w:eastAsiaTheme="majorEastAsia"/>
                <w:b w:val="0"/>
                <w:bCs w:val="0"/>
                <w:color w:val="000000" w:themeColor="text1"/>
                <w:sz w:val="24"/>
                <w:szCs w:val="24"/>
                <w:highlight w:val="none"/>
                <w:lang w:val="en-US" w:eastAsia="zh-CN"/>
                <w14:textFill>
                  <w14:solidFill>
                    <w14:schemeClr w14:val="tx1"/>
                  </w14:solidFill>
                </w14:textFill>
              </w:rPr>
              <w:t>2</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法定代表人身份证明及授权委托书（法人组织提供授权委托书、其他组织提供负责人授权书、自然人提供身份证明文件）；</w:t>
            </w:r>
          </w:p>
          <w:p w14:paraId="4CFED7B5">
            <w:pPr>
              <w:pStyle w:val="42"/>
              <w:keepNext w:val="0"/>
              <w:keepLines w:val="0"/>
              <w:pageBreakBefore w:val="0"/>
              <w:kinsoku/>
              <w:wordWrap/>
              <w:topLinePunct w:val="0"/>
              <w:bidi w:val="0"/>
              <w:spacing w:beforeAutospacing="0" w:afterAutospacing="0" w:line="360" w:lineRule="auto"/>
              <w:ind w:left="0" w:leftChars="0" w:right="0"/>
              <w:outlineLvl w:val="9"/>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r>
              <w:rPr>
                <w:rFonts w:hint="eastAsia" w:asciiTheme="majorEastAsia" w:hAnsiTheme="majorEastAsia" w:eastAsiaTheme="majorEastAsia"/>
                <w:b w:val="0"/>
                <w:bCs w:val="0"/>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中、小企业声明函</w:t>
            </w:r>
          </w:p>
          <w:p w14:paraId="35210428">
            <w:pPr>
              <w:pStyle w:val="42"/>
              <w:keepNext w:val="0"/>
              <w:keepLines w:val="0"/>
              <w:pageBreakBefore w:val="0"/>
              <w:kinsoku/>
              <w:wordWrap/>
              <w:topLinePunct w:val="0"/>
              <w:bidi w:val="0"/>
              <w:spacing w:beforeAutospacing="0" w:afterAutospacing="0" w:line="360" w:lineRule="auto"/>
              <w:ind w:left="0" w:leftChars="0" w:right="0"/>
              <w:outlineLvl w:val="9"/>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r>
              <w:rPr>
                <w:rFonts w:hint="eastAsia" w:asciiTheme="majorEastAsia" w:hAnsiTheme="majorEastAsia" w:eastAsiaTheme="majorEastAsia"/>
                <w:b w:val="0"/>
                <w:bCs w:val="0"/>
                <w:color w:val="000000" w:themeColor="text1"/>
                <w:sz w:val="24"/>
                <w:szCs w:val="24"/>
                <w:highlight w:val="none"/>
                <w:lang w:val="en-US" w:eastAsia="zh-CN"/>
                <w14:textFill>
                  <w14:solidFill>
                    <w14:schemeClr w14:val="tx1"/>
                  </w14:solidFill>
                </w14:textFill>
              </w:rPr>
              <w:t>4</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《中华人民共和国政府采购法》第二十二条应当具备的条件；并在</w:t>
            </w:r>
            <w:r>
              <w:rPr>
                <w:rFonts w:hint="eastAsia" w:asciiTheme="majorEastAsia" w:hAnsiTheme="majorEastAsia" w:eastAsiaTheme="majorEastAsia"/>
                <w:b w:val="0"/>
                <w:bCs w:val="0"/>
                <w:color w:val="000000" w:themeColor="text1"/>
                <w:sz w:val="24"/>
                <w:szCs w:val="24"/>
                <w:highlight w:val="none"/>
                <w:lang w:eastAsia="zh-CN"/>
                <w14:textFill>
                  <w14:solidFill>
                    <w14:schemeClr w14:val="tx1"/>
                  </w14:solidFill>
                </w14:textFill>
              </w:rPr>
              <w:t>响应文件</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中提供下列材料：</w:t>
            </w:r>
          </w:p>
          <w:p w14:paraId="7B2D4374">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①具有独立承担民事责任的能力；</w:t>
            </w:r>
          </w:p>
          <w:p w14:paraId="30C5F9EF">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（法人或者其他组织的营业执照等证明文件，自然人的身份证明）</w:t>
            </w:r>
          </w:p>
          <w:p w14:paraId="5A8C7A0E">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highlight w:val="none"/>
                <w14:textFill>
                  <w14:solidFill>
                    <w14:schemeClr w14:val="tx1"/>
                  </w14:solidFill>
                </w14:textFill>
              </w:rPr>
              <w:t>②具有良好的商业信誉和健全的财务会计制度；</w:t>
            </w:r>
          </w:p>
          <w:p w14:paraId="2398CFDE">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highlight w:val="none"/>
                <w:lang w:val="en-US" w:eastAsia="zh-CN"/>
                <w14:textFill>
                  <w14:solidFill>
                    <w14:schemeClr w14:val="tx1"/>
                  </w14:solidFill>
                </w14:textFill>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r>
              <w:rPr>
                <w:rFonts w:asciiTheme="majorEastAsia" w:hAnsiTheme="majorEastAsia" w:eastAsiaTheme="majorEastAsia"/>
                <w:b w:val="0"/>
                <w:bCs w:val="0"/>
                <w:color w:val="000000" w:themeColor="text1"/>
                <w:sz w:val="24"/>
                <w:highlight w:val="none"/>
                <w14:textFill>
                  <w14:solidFill>
                    <w14:schemeClr w14:val="tx1"/>
                  </w14:solidFill>
                </w14:textFill>
              </w:rPr>
              <w:t>注：财务报表需加盖本单位公章，资信证明需加盖出具机关印章</w:t>
            </w:r>
            <w:r>
              <w:rPr>
                <w:rFonts w:hint="eastAsia" w:asciiTheme="majorEastAsia" w:hAnsiTheme="majorEastAsia" w:eastAsiaTheme="majorEastAsia"/>
                <w:b w:val="0"/>
                <w:bCs w:val="0"/>
                <w:color w:val="000000" w:themeColor="text1"/>
                <w:sz w:val="24"/>
                <w:highlight w:val="none"/>
                <w14:textFill>
                  <w14:solidFill>
                    <w14:schemeClr w14:val="tx1"/>
                  </w14:solidFill>
                </w14:textFill>
              </w:rPr>
              <w:t>，</w:t>
            </w:r>
            <w:r>
              <w:rPr>
                <w:rFonts w:asciiTheme="majorEastAsia" w:hAnsiTheme="majorEastAsia" w:eastAsiaTheme="majorEastAsia"/>
                <w:b w:val="0"/>
                <w:bCs w:val="0"/>
                <w:color w:val="000000" w:themeColor="text1"/>
                <w:sz w:val="24"/>
                <w:highlight w:val="none"/>
                <w14:textFill>
                  <w14:solidFill>
                    <w14:schemeClr w14:val="tx1"/>
                  </w14:solidFill>
                </w14:textFill>
              </w:rPr>
              <w:t>资信证明内容须包含商业信誉良好的相关内容</w:t>
            </w:r>
            <w:r>
              <w:rPr>
                <w:rFonts w:hint="eastAsia" w:asciiTheme="majorEastAsia" w:hAnsiTheme="majorEastAsia" w:eastAsiaTheme="majorEastAsia"/>
                <w:b w:val="0"/>
                <w:bCs w:val="0"/>
                <w:color w:val="000000" w:themeColor="text1"/>
                <w:sz w:val="24"/>
                <w:highlight w:val="none"/>
                <w14:textFill>
                  <w14:solidFill>
                    <w14:schemeClr w14:val="tx1"/>
                  </w14:solidFill>
                </w14:textFill>
              </w:rPr>
              <w:t>。</w:t>
            </w:r>
          </w:p>
          <w:p w14:paraId="4A376D97">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highlight w:val="none"/>
                <w14:textFill>
                  <w14:solidFill>
                    <w14:schemeClr w14:val="tx1"/>
                  </w14:solidFill>
                </w14:textFill>
              </w:rPr>
              <w:fldChar w:fldCharType="begin"/>
            </w:r>
            <w:r>
              <w:rPr>
                <w:rFonts w:hint="eastAsia" w:asciiTheme="majorEastAsia" w:hAnsiTheme="majorEastAsia" w:eastAsiaTheme="majorEastAsia"/>
                <w:b w:val="0"/>
                <w:bCs w:val="0"/>
                <w:color w:val="000000" w:themeColor="text1"/>
                <w:sz w:val="24"/>
                <w:highlight w:val="none"/>
                <w14:textFill>
                  <w14:solidFill>
                    <w14:schemeClr w14:val="tx1"/>
                  </w14:solidFill>
                </w14:textFill>
              </w:rPr>
              <w:instrText xml:space="preserve"> = 3 \* GB3 </w:instrText>
            </w:r>
            <w:r>
              <w:rPr>
                <w:rFonts w:hint="eastAsia" w:asciiTheme="majorEastAsia" w:hAnsiTheme="majorEastAsia" w:eastAsiaTheme="majorEastAsia"/>
                <w:b w:val="0"/>
                <w:bCs w:val="0"/>
                <w:color w:val="000000" w:themeColor="text1"/>
                <w:sz w:val="24"/>
                <w:highlight w:val="none"/>
                <w14:textFill>
                  <w14:solidFill>
                    <w14:schemeClr w14:val="tx1"/>
                  </w14:solidFill>
                </w14:textFill>
              </w:rPr>
              <w:fldChar w:fldCharType="separate"/>
            </w:r>
            <w:r>
              <w:rPr>
                <w:rFonts w:hint="eastAsia" w:asciiTheme="majorEastAsia" w:hAnsiTheme="majorEastAsia" w:eastAsiaTheme="majorEastAsia"/>
                <w:b w:val="0"/>
                <w:bCs w:val="0"/>
                <w:color w:val="000000" w:themeColor="text1"/>
                <w:sz w:val="24"/>
                <w:highlight w:val="none"/>
                <w14:textFill>
                  <w14:solidFill>
                    <w14:schemeClr w14:val="tx1"/>
                  </w14:solidFill>
                </w14:textFill>
              </w:rPr>
              <w:t>③</w:t>
            </w:r>
            <w:r>
              <w:rPr>
                <w:rFonts w:hint="eastAsia" w:asciiTheme="majorEastAsia" w:hAnsiTheme="majorEastAsia" w:eastAsiaTheme="majorEastAsia"/>
                <w:b w:val="0"/>
                <w:bCs w:val="0"/>
                <w:color w:val="000000" w:themeColor="text1"/>
                <w:sz w:val="24"/>
                <w:highlight w:val="none"/>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highlight w:val="none"/>
                <w14:textFill>
                  <w14:solidFill>
                    <w14:schemeClr w14:val="tx1"/>
                  </w14:solidFill>
                </w14:textFill>
              </w:rPr>
              <w:t>具有履行合同所必需的设备和专业技术能力；</w:t>
            </w:r>
          </w:p>
          <w:p w14:paraId="1EAA13DF">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highlight w:val="none"/>
                <w14:textFill>
                  <w14:solidFill>
                    <w14:schemeClr w14:val="tx1"/>
                  </w14:solidFill>
                </w14:textFill>
              </w:rPr>
              <w:t>（</w:t>
            </w:r>
            <w:r>
              <w:rPr>
                <w:rFonts w:asciiTheme="majorEastAsia" w:hAnsiTheme="majorEastAsia" w:eastAsiaTheme="majorEastAsia"/>
                <w:b w:val="0"/>
                <w:bCs w:val="0"/>
                <w:color w:val="000000" w:themeColor="text1"/>
                <w:sz w:val="24"/>
                <w:highlight w:val="none"/>
                <w14:textFill>
                  <w14:solidFill>
                    <w14:schemeClr w14:val="tx1"/>
                  </w14:solidFill>
                </w14:textFill>
              </w:rPr>
              <w:t>提供具有履行合同所必需的设备和专业技术能力相关证明材料或声明；</w:t>
            </w:r>
            <w:r>
              <w:rPr>
                <w:rFonts w:hint="eastAsia" w:asciiTheme="majorEastAsia" w:hAnsiTheme="majorEastAsia" w:eastAsiaTheme="majorEastAsia"/>
                <w:b w:val="0"/>
                <w:bCs w:val="0"/>
                <w:color w:val="000000" w:themeColor="text1"/>
                <w:sz w:val="24"/>
                <w:highlight w:val="none"/>
                <w14:textFill>
                  <w14:solidFill>
                    <w14:schemeClr w14:val="tx1"/>
                  </w14:solidFill>
                </w14:textFill>
              </w:rPr>
              <w:t>）</w:t>
            </w:r>
          </w:p>
          <w:p w14:paraId="6EA04B00">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fldChar w:fldCharType="begin"/>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instrText xml:space="preserve"> = 4 \* GB3 </w:instrTex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fldChar w:fldCharType="separate"/>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④</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有依法缴纳税收和社会保障资金的良好记录（注：所有证明材料需加盖出具机关印章</w:t>
            </w:r>
            <w:r>
              <w:rPr>
                <w:rFonts w:asciiTheme="majorEastAsia" w:hAnsiTheme="majorEastAsia" w:eastAsiaTheme="majorEastAsia"/>
                <w:b w:val="0"/>
                <w:bCs w:val="0"/>
                <w:color w:val="000000" w:themeColor="text1"/>
                <w:sz w:val="24"/>
                <w:szCs w:val="24"/>
                <w:highlight w:val="none"/>
                <w14:textFill>
                  <w14:solidFill>
                    <w14:schemeClr w14:val="tx1"/>
                  </w14:solidFill>
                </w14:textFill>
              </w:rPr>
              <w:t>,必须写明税款/费款所属期）</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p>
          <w:p w14:paraId="6998D1A7">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1、提供截止开标前近半年内任意</w:t>
            </w:r>
            <w:r>
              <w:rPr>
                <w:rFonts w:hint="eastAsia" w:cs="宋体" w:asciiTheme="majorEastAsia" w:hAnsiTheme="majorEastAsia" w:eastAsiaTheme="majorEastAsia"/>
                <w:b w:val="0"/>
                <w:bCs w:val="0"/>
                <w:color w:val="000000" w:themeColor="text1"/>
                <w:sz w:val="24"/>
                <w:szCs w:val="24"/>
                <w:highlight w:val="none"/>
                <w:lang w:eastAsia="zh-CN"/>
                <w14:textFill>
                  <w14:solidFill>
                    <w14:schemeClr w14:val="tx1"/>
                  </w14:solidFill>
                </w14:textFill>
              </w:rPr>
              <w:t>一</w:t>
            </w:r>
            <w:r>
              <w:rPr>
                <w:rFonts w:cs="宋体" w:asciiTheme="majorEastAsia" w:hAnsiTheme="majorEastAsia" w:eastAsiaTheme="majorEastAsia"/>
                <w:b w:val="0"/>
                <w:bCs w:val="0"/>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税收缴纳完成的证明资料。</w:t>
            </w:r>
          </w:p>
          <w:p w14:paraId="22E0C889">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提供截止开标前近半年内任意</w:t>
            </w:r>
            <w:r>
              <w:rPr>
                <w:rFonts w:hint="eastAsia" w:cs="宋体" w:asciiTheme="majorEastAsia" w:hAnsiTheme="majorEastAsia" w:eastAsiaTheme="majorEastAsia"/>
                <w:b w:val="0"/>
                <w:bCs w:val="0"/>
                <w:color w:val="000000" w:themeColor="text1"/>
                <w:sz w:val="24"/>
                <w:szCs w:val="24"/>
                <w:highlight w:val="none"/>
                <w:lang w:eastAsia="zh-CN"/>
                <w14:textFill>
                  <w14:solidFill>
                    <w14:schemeClr w14:val="tx1"/>
                  </w14:solidFill>
                </w14:textFill>
              </w:rPr>
              <w:t>一</w:t>
            </w:r>
            <w:r>
              <w:rPr>
                <w:rFonts w:cs="宋体" w:asciiTheme="majorEastAsia" w:hAnsiTheme="majorEastAsia" w:eastAsiaTheme="majorEastAsia"/>
                <w:b w:val="0"/>
                <w:bCs w:val="0"/>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（以税款所属期为准）税收部门出具的完成税收缴纳证明。其它无需纳税或免税的必须提供出具部门相关证明。</w:t>
            </w:r>
          </w:p>
          <w:p w14:paraId="388766A5">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2、提供截止开标前近半年内任意</w:t>
            </w:r>
            <w:r>
              <w:rPr>
                <w:rFonts w:hint="eastAsia" w:asciiTheme="majorEastAsia" w:hAnsiTheme="majorEastAsia" w:eastAsiaTheme="majorEastAsia"/>
                <w:b w:val="0"/>
                <w:bCs w:val="0"/>
                <w:color w:val="000000" w:themeColor="text1"/>
                <w:sz w:val="24"/>
                <w:szCs w:val="24"/>
                <w:highlight w:val="none"/>
                <w:lang w:eastAsia="zh-CN"/>
                <w14:textFill>
                  <w14:solidFill>
                    <w14:schemeClr w14:val="tx1"/>
                  </w14:solidFill>
                </w14:textFill>
              </w:rPr>
              <w:t>一</w:t>
            </w:r>
            <w:r>
              <w:rPr>
                <w:rFonts w:asciiTheme="majorEastAsia" w:hAnsiTheme="majorEastAsia" w:eastAsiaTheme="majorEastAsia"/>
                <w:b w:val="0"/>
                <w:bCs w:val="0"/>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税收部门或社保机构出具的完成社保缴纳证明。</w:t>
            </w:r>
          </w:p>
          <w:p w14:paraId="36522D34">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提供截止开标前近半年内任意</w:t>
            </w:r>
            <w:r>
              <w:rPr>
                <w:rFonts w:hint="eastAsia" w:asciiTheme="majorEastAsia" w:hAnsiTheme="majorEastAsia" w:eastAsiaTheme="majorEastAsia"/>
                <w:b w:val="0"/>
                <w:bCs w:val="0"/>
                <w:color w:val="000000" w:themeColor="text1"/>
                <w:sz w:val="24"/>
                <w:szCs w:val="24"/>
                <w:highlight w:val="none"/>
                <w:lang w:eastAsia="zh-CN"/>
                <w14:textFill>
                  <w14:solidFill>
                    <w14:schemeClr w14:val="tx1"/>
                  </w14:solidFill>
                </w14:textFill>
              </w:rPr>
              <w:t>一</w:t>
            </w:r>
            <w:r>
              <w:rPr>
                <w:rFonts w:asciiTheme="majorEastAsia" w:hAnsiTheme="majorEastAsia" w:eastAsiaTheme="majorEastAsia"/>
                <w:b w:val="0"/>
                <w:bCs w:val="0"/>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（以费款所属期为准）税收部门或社保机构出具的完成社保缴纳证明。其它无需缴纳或免缴的也必须提供社保部门相关证明。</w:t>
            </w:r>
          </w:p>
          <w:p w14:paraId="38853D75">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3、其他组织和自然人也需按上述要求提供依法缴纳税收和社会保障资金的证明材料。</w:t>
            </w:r>
          </w:p>
          <w:p w14:paraId="7056C881">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⑤参加政府采购活动前三年内，在经营活动中没有重大违法记录；</w:t>
            </w:r>
          </w:p>
          <w:p w14:paraId="2DB1482B">
            <w:pPr>
              <w:pStyle w:val="42"/>
              <w:keepNext w:val="0"/>
              <w:keepLines w:val="0"/>
              <w:pageBreakBefore w:val="0"/>
              <w:kinsoku/>
              <w:wordWrap/>
              <w:topLinePunct w:val="0"/>
              <w:bidi w:val="0"/>
              <w:spacing w:beforeAutospacing="0" w:afterAutospacing="0" w:line="360" w:lineRule="auto"/>
              <w:ind w:left="0" w:leftChars="0" w:right="0"/>
              <w:rPr>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r>
              <w:rPr>
                <w:rFonts w:asciiTheme="majorEastAsia" w:hAnsiTheme="majorEastAsia" w:eastAsiaTheme="majorEastAsia"/>
                <w:b w:val="0"/>
                <w:bCs w:val="0"/>
                <w:color w:val="000000" w:themeColor="text1"/>
                <w:sz w:val="24"/>
                <w:szCs w:val="24"/>
                <w:highlight w:val="none"/>
                <w14:textFill>
                  <w14:solidFill>
                    <w14:schemeClr w14:val="tx1"/>
                  </w14:solidFill>
                </w14:textFill>
              </w:rPr>
              <w:t>提供参加政府采购活动近三年无重大违法记录声明书；</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p>
          <w:p w14:paraId="65800BDD">
            <w:pPr>
              <w:pStyle w:val="51"/>
              <w:keepNext w:val="0"/>
              <w:keepLines w:val="0"/>
              <w:pageBreakBefore w:val="0"/>
              <w:kinsoku/>
              <w:wordWrap/>
              <w:topLinePunct w:val="0"/>
              <w:bidi w:val="0"/>
              <w:spacing w:beforeAutospacing="0" w:afterAutospacing="0" w:line="360" w:lineRule="auto"/>
              <w:ind w:left="0" w:leftChars="0" w:right="0"/>
              <w:outlineLvl w:val="9"/>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pPr>
            <w:r>
              <w:rPr>
                <w:rFonts w:asciiTheme="majorEastAsia" w:hAnsiTheme="majorEastAsia" w:eastAsiaTheme="majorEastAsia"/>
                <w:b w:val="0"/>
                <w:bCs w:val="0"/>
                <w:color w:val="000000" w:themeColor="text1"/>
                <w:sz w:val="24"/>
                <w:szCs w:val="24"/>
                <w:highlight w:val="none"/>
                <w14:textFill>
                  <w14:solidFill>
                    <w14:schemeClr w14:val="tx1"/>
                  </w14:solidFill>
                </w14:textFill>
              </w:rPr>
              <w:t>⑥</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法律、行政法规规定的其他；</w:t>
            </w:r>
          </w:p>
          <w:p w14:paraId="5E4CC1E1">
            <w:pPr>
              <w:pStyle w:val="73"/>
              <w:numPr>
                <w:ilvl w:val="0"/>
                <w:numId w:val="0"/>
              </w:numPr>
              <w:tabs>
                <w:tab w:val="left" w:pos="3570"/>
              </w:tabs>
              <w:spacing w:line="360" w:lineRule="auto"/>
              <w:outlineLvl w:val="2"/>
              <w:rPr>
                <w:rFonts w:hint="eastAsia" w:ascii="宋体" w:hAnsi="宋体" w:eastAsia="宋体" w:cs="宋体"/>
                <w:b w:val="0"/>
                <w:bCs/>
                <w:color w:val="000000" w:themeColor="text1"/>
                <w:sz w:val="24"/>
                <w:szCs w:val="24"/>
                <w:highlight w:val="none"/>
                <w14:textFill>
                  <w14:solidFill>
                    <w14:schemeClr w14:val="tx1"/>
                  </w14:solidFill>
                </w14:textFill>
              </w:rPr>
            </w:pPr>
            <w:bookmarkStart w:id="43" w:name="_Toc16660"/>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）投标保证金</w:t>
            </w:r>
            <w:bookmarkEnd w:id="43"/>
          </w:p>
          <w:p w14:paraId="4CC7B66E">
            <w:pPr>
              <w:pStyle w:val="42"/>
              <w:keepNext w:val="0"/>
              <w:keepLines w:val="0"/>
              <w:pageBreakBefore w:val="0"/>
              <w:kinsoku/>
              <w:wordWrap/>
              <w:topLinePunct w:val="0"/>
              <w:bidi w:val="0"/>
              <w:spacing w:beforeAutospacing="0" w:afterAutospacing="0" w:line="360" w:lineRule="auto"/>
              <w:ind w:left="0" w:leftChars="0" w:right="0" w:rightChars="0"/>
              <w:outlineLvl w:val="9"/>
              <w:rPr>
                <w:color w:val="000000" w:themeColor="text1"/>
                <w14:textFill>
                  <w14:solidFill>
                    <w14:schemeClr w14:val="tx1"/>
                  </w14:solidFill>
                </w14:textFill>
              </w:rPr>
            </w:pP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w:t>
            </w:r>
            <w:r>
              <w:rPr>
                <w:rFonts w:hint="eastAsia" w:asciiTheme="majorEastAsia" w:hAnsiTheme="majorEastAsia" w:eastAsiaTheme="majorEastAsia"/>
                <w:b w:val="0"/>
                <w:bCs w:val="0"/>
                <w:color w:val="000000" w:themeColor="text1"/>
                <w:sz w:val="24"/>
                <w:szCs w:val="24"/>
                <w:highlight w:val="none"/>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)供应商认为有必要提供的声明及文件资料：</w:t>
            </w:r>
          </w:p>
        </w:tc>
      </w:tr>
      <w:tr w14:paraId="3A60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44D9BBB">
            <w:pPr>
              <w:pStyle w:val="37"/>
              <w:keepNext w:val="0"/>
              <w:keepLines w:val="0"/>
              <w:pageBreakBefore w:val="0"/>
              <w:widowControl/>
              <w:kinsoku/>
              <w:wordWrap/>
              <w:topLinePunct w:val="0"/>
              <w:bidi w:val="0"/>
              <w:spacing w:beforeAutospacing="0" w:afterAutospacing="0" w:line="36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14:paraId="78C42C98">
            <w:pPr>
              <w:pStyle w:val="37"/>
              <w:keepNext w:val="0"/>
              <w:keepLines w:val="0"/>
              <w:pageBreakBefore w:val="0"/>
              <w:widowControl/>
              <w:kinsoku/>
              <w:wordWrap/>
              <w:topLinePunct w:val="0"/>
              <w:bidi w:val="0"/>
              <w:spacing w:beforeAutospacing="0" w:afterAutospacing="0" w:line="36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73" w:type="dxa"/>
            <w:tcBorders>
              <w:top w:val="single" w:color="auto" w:sz="4" w:space="0"/>
              <w:left w:val="single" w:color="auto" w:sz="4" w:space="0"/>
              <w:bottom w:val="single" w:color="auto" w:sz="4" w:space="0"/>
              <w:right w:val="single" w:color="auto" w:sz="4" w:space="0"/>
            </w:tcBorders>
            <w:vAlign w:val="center"/>
          </w:tcPr>
          <w:p w14:paraId="39158A7A">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val="0"/>
                <w:bCs/>
                <w:color w:val="000000" w:themeColor="text1"/>
                <w:kern w:val="0"/>
                <w:sz w:val="24"/>
                <w:szCs w:val="22"/>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商务</w:t>
            </w:r>
          </w:p>
          <w:p w14:paraId="1F6C5914">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val="0"/>
                <w:bCs/>
                <w:color w:val="000000" w:themeColor="text1"/>
                <w:kern w:val="0"/>
                <w:sz w:val="24"/>
                <w:szCs w:val="22"/>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文件</w:t>
            </w:r>
          </w:p>
        </w:tc>
        <w:tc>
          <w:tcPr>
            <w:tcW w:w="6203" w:type="dxa"/>
            <w:gridSpan w:val="2"/>
            <w:tcBorders>
              <w:top w:val="single" w:color="auto" w:sz="4" w:space="0"/>
              <w:left w:val="single" w:color="auto" w:sz="4" w:space="0"/>
              <w:bottom w:val="single" w:color="auto" w:sz="4" w:space="0"/>
              <w:right w:val="single" w:color="auto" w:sz="4" w:space="0"/>
            </w:tcBorders>
            <w:vAlign w:val="center"/>
          </w:tcPr>
          <w:p w14:paraId="0E302115">
            <w:pPr>
              <w:pStyle w:val="37"/>
              <w:keepNext w:val="0"/>
              <w:keepLines w:val="0"/>
              <w:pageBreakBefore w:val="0"/>
              <w:kinsoku/>
              <w:wordWrap/>
              <w:topLinePunct w:val="0"/>
              <w:bidi w:val="0"/>
              <w:spacing w:beforeAutospacing="0" w:afterAutospacing="0" w:line="360" w:lineRule="auto"/>
              <w:ind w:left="0" w:leftChars="0" w:right="0"/>
              <w:outlineLvl w:val="9"/>
              <w:rPr>
                <w:rFonts w:hint="eastAsia" w:ascii="宋体" w:hAnsi="宋体" w:eastAsia="宋体"/>
                <w:b w:val="0"/>
                <w:bCs/>
                <w:color w:val="000000" w:themeColor="text1"/>
                <w:kern w:val="0"/>
                <w:sz w:val="24"/>
                <w:szCs w:val="22"/>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★（1）投标函；</w:t>
            </w:r>
          </w:p>
          <w:p w14:paraId="4704C97F">
            <w:pPr>
              <w:pStyle w:val="37"/>
              <w:keepNext w:val="0"/>
              <w:keepLines w:val="0"/>
              <w:pageBreakBefore w:val="0"/>
              <w:kinsoku/>
              <w:wordWrap/>
              <w:topLinePunct w:val="0"/>
              <w:bidi w:val="0"/>
              <w:spacing w:beforeAutospacing="0" w:afterAutospacing="0" w:line="360" w:lineRule="auto"/>
              <w:ind w:left="0" w:leftChars="0" w:right="0"/>
              <w:outlineLvl w:val="9"/>
              <w:rPr>
                <w:rFonts w:hint="eastAsia" w:ascii="宋体" w:hAnsi="宋体" w:eastAsia="宋体"/>
                <w:b w:val="0"/>
                <w:bCs/>
                <w:color w:val="000000" w:themeColor="text1"/>
                <w:kern w:val="0"/>
                <w:sz w:val="24"/>
                <w:szCs w:val="22"/>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★（2）</w:t>
            </w:r>
            <w:r>
              <w:rPr>
                <w:rFonts w:hint="eastAsia" w:ascii="宋体" w:hAnsi="宋体" w:eastAsia="宋体"/>
                <w:b w:val="0"/>
                <w:bCs/>
                <w:color w:val="000000" w:themeColor="text1"/>
                <w:kern w:val="0"/>
                <w:sz w:val="24"/>
                <w:szCs w:val="22"/>
                <w:highlight w:val="none"/>
                <w:lang w:eastAsia="zh-CN"/>
                <w14:textFill>
                  <w14:solidFill>
                    <w14:schemeClr w14:val="tx1"/>
                  </w14:solidFill>
                </w14:textFill>
              </w:rPr>
              <w:t>报价一览表</w:t>
            </w:r>
            <w:r>
              <w:rPr>
                <w:rFonts w:hint="eastAsia" w:ascii="宋体" w:hAnsi="宋体" w:eastAsia="宋体"/>
                <w:b w:val="0"/>
                <w:bCs/>
                <w:color w:val="000000" w:themeColor="text1"/>
                <w:kern w:val="0"/>
                <w:sz w:val="24"/>
                <w:szCs w:val="22"/>
                <w:highlight w:val="none"/>
                <w14:textFill>
                  <w14:solidFill>
                    <w14:schemeClr w14:val="tx1"/>
                  </w14:solidFill>
                </w14:textFill>
              </w:rPr>
              <w:t>；</w:t>
            </w:r>
          </w:p>
          <w:p w14:paraId="491AEE66">
            <w:pPr>
              <w:pStyle w:val="37"/>
              <w:keepNext w:val="0"/>
              <w:keepLines w:val="0"/>
              <w:pageBreakBefore w:val="0"/>
              <w:kinsoku/>
              <w:wordWrap/>
              <w:topLinePunct w:val="0"/>
              <w:bidi w:val="0"/>
              <w:spacing w:beforeAutospacing="0" w:afterAutospacing="0" w:line="360" w:lineRule="auto"/>
              <w:ind w:left="0" w:leftChars="0" w:right="0"/>
              <w:outlineLvl w:val="9"/>
              <w:rPr>
                <w:rFonts w:hint="eastAsia" w:ascii="宋体" w:hAnsi="宋体" w:eastAsia="宋体"/>
                <w:b w:val="0"/>
                <w:bCs/>
                <w:color w:val="000000" w:themeColor="text1"/>
                <w:kern w:val="0"/>
                <w:sz w:val="24"/>
                <w:szCs w:val="22"/>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★（3）投标报价明细表；</w:t>
            </w:r>
          </w:p>
          <w:p w14:paraId="5618D8A4">
            <w:pPr>
              <w:pStyle w:val="37"/>
              <w:keepNext w:val="0"/>
              <w:keepLines w:val="0"/>
              <w:pageBreakBefore w:val="0"/>
              <w:kinsoku/>
              <w:wordWrap/>
              <w:topLinePunct w:val="0"/>
              <w:bidi w:val="0"/>
              <w:spacing w:beforeAutospacing="0" w:afterAutospacing="0" w:line="360" w:lineRule="auto"/>
              <w:ind w:left="0" w:leftChars="0" w:right="0"/>
              <w:outlineLvl w:val="9"/>
              <w:rPr>
                <w:rFonts w:hint="eastAsia" w:ascii="宋体" w:hAnsi="宋体" w:eastAsia="宋体"/>
                <w:b w:val="0"/>
                <w:bCs/>
                <w:color w:val="000000" w:themeColor="text1"/>
                <w:kern w:val="0"/>
                <w:sz w:val="24"/>
                <w:szCs w:val="22"/>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（4）售后服务承诺书：</w:t>
            </w:r>
          </w:p>
          <w:p w14:paraId="0B5A65FF">
            <w:pPr>
              <w:pStyle w:val="37"/>
              <w:keepNext w:val="0"/>
              <w:keepLines w:val="0"/>
              <w:pageBreakBefore w:val="0"/>
              <w:kinsoku/>
              <w:wordWrap/>
              <w:topLinePunct w:val="0"/>
              <w:bidi w:val="0"/>
              <w:spacing w:beforeAutospacing="0" w:afterAutospacing="0" w:line="360" w:lineRule="auto"/>
              <w:ind w:left="0" w:leftChars="0" w:right="0"/>
              <w:outlineLvl w:val="9"/>
              <w:rPr>
                <w:rFonts w:hint="eastAsia" w:ascii="宋体" w:hAnsi="宋体" w:eastAsia="宋体"/>
                <w:b w:val="0"/>
                <w:bCs/>
                <w:color w:val="000000" w:themeColor="text1"/>
                <w:kern w:val="0"/>
                <w:sz w:val="24"/>
                <w:szCs w:val="22"/>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★（5）商务条款偏离说明表；</w:t>
            </w:r>
          </w:p>
          <w:p w14:paraId="57A0E56B">
            <w:pPr>
              <w:pStyle w:val="37"/>
              <w:keepNext w:val="0"/>
              <w:keepLines w:val="0"/>
              <w:pageBreakBefore w:val="0"/>
              <w:kinsoku/>
              <w:wordWrap/>
              <w:topLinePunct w:val="0"/>
              <w:bidi w:val="0"/>
              <w:spacing w:beforeAutospacing="0" w:afterAutospacing="0" w:line="360" w:lineRule="auto"/>
              <w:ind w:left="0" w:leftChars="0" w:right="0"/>
              <w:outlineLvl w:val="9"/>
              <w:rPr>
                <w:rFonts w:hint="eastAsia" w:ascii="宋体" w:hAnsi="宋体" w:eastAsia="宋体"/>
                <w:b w:val="0"/>
                <w:bCs/>
                <w:color w:val="000000" w:themeColor="text1"/>
                <w:kern w:val="0"/>
                <w:sz w:val="24"/>
                <w:szCs w:val="22"/>
                <w:highlight w:val="none"/>
                <w:lang w:eastAsia="zh-CN"/>
                <w14:textFill>
                  <w14:solidFill>
                    <w14:schemeClr w14:val="tx1"/>
                  </w14:solidFill>
                </w14:textFill>
              </w:rPr>
            </w:pPr>
            <w:r>
              <w:rPr>
                <w:rFonts w:hint="eastAsia" w:ascii="宋体" w:hAnsi="宋体" w:eastAsia="宋体"/>
                <w:b w:val="0"/>
                <w:bCs/>
                <w:color w:val="000000" w:themeColor="text1"/>
                <w:kern w:val="0"/>
                <w:sz w:val="24"/>
                <w:szCs w:val="22"/>
                <w:highlight w:val="none"/>
                <w:lang w:val="en-US" w:eastAsia="zh-CN"/>
                <w14:textFill>
                  <w14:solidFill>
                    <w14:schemeClr w14:val="tx1"/>
                  </w14:solidFill>
                </w14:textFill>
              </w:rPr>
              <w:t>（6）</w:t>
            </w:r>
            <w:r>
              <w:rPr>
                <w:rFonts w:hint="eastAsia" w:ascii="宋体" w:hAnsi="宋体" w:eastAsia="宋体"/>
                <w:b w:val="0"/>
                <w:bCs/>
                <w:color w:val="000000" w:themeColor="text1"/>
                <w:kern w:val="0"/>
                <w:sz w:val="24"/>
                <w:szCs w:val="22"/>
                <w:highlight w:val="none"/>
                <w14:textFill>
                  <w14:solidFill>
                    <w14:schemeClr w14:val="tx1"/>
                  </w14:solidFill>
                </w14:textFill>
              </w:rPr>
              <w:t>类似项目业绩表</w:t>
            </w:r>
            <w:r>
              <w:rPr>
                <w:rFonts w:hint="eastAsia" w:ascii="宋体" w:hAnsi="宋体" w:eastAsia="宋体"/>
                <w:b w:val="0"/>
                <w:bCs/>
                <w:color w:val="000000" w:themeColor="text1"/>
                <w:kern w:val="0"/>
                <w:sz w:val="24"/>
                <w:szCs w:val="22"/>
                <w:highlight w:val="none"/>
                <w:lang w:eastAsia="zh-CN"/>
                <w14:textFill>
                  <w14:solidFill>
                    <w14:schemeClr w14:val="tx1"/>
                  </w14:solidFill>
                </w14:textFill>
              </w:rPr>
              <w:t>；</w:t>
            </w:r>
          </w:p>
          <w:p w14:paraId="49A6A393">
            <w:pPr>
              <w:pStyle w:val="37"/>
              <w:keepNext w:val="0"/>
              <w:keepLines w:val="0"/>
              <w:pageBreakBefore w:val="0"/>
              <w:kinsoku/>
              <w:wordWrap/>
              <w:topLinePunct w:val="0"/>
              <w:bidi w:val="0"/>
              <w:spacing w:beforeAutospacing="0" w:afterAutospacing="0" w:line="360" w:lineRule="auto"/>
              <w:ind w:left="0" w:leftChars="0" w:right="0"/>
              <w:outlineLvl w:val="9"/>
              <w:rPr>
                <w:rFonts w:hint="eastAsia" w:ascii="宋体" w:hAnsi="宋体" w:eastAsia="宋体"/>
                <w:b w:val="0"/>
                <w:bCs/>
                <w:color w:val="000000" w:themeColor="text1"/>
                <w:kern w:val="0"/>
                <w:sz w:val="24"/>
                <w:szCs w:val="22"/>
                <w:highlight w:val="none"/>
                <w:lang w:eastAsia="zh-CN"/>
                <w14:textFill>
                  <w14:solidFill>
                    <w14:schemeClr w14:val="tx1"/>
                  </w14:solidFill>
                </w14:textFill>
              </w:rPr>
            </w:pPr>
            <w:r>
              <w:rPr>
                <w:rFonts w:hint="eastAsia" w:ascii="宋体" w:hAnsi="宋体" w:eastAsia="宋体"/>
                <w:b w:val="0"/>
                <w:bCs/>
                <w:color w:val="000000" w:themeColor="text1"/>
                <w:kern w:val="0"/>
                <w:sz w:val="24"/>
                <w:szCs w:val="22"/>
                <w:highlight w:val="none"/>
                <w:lang w:eastAsia="zh-CN"/>
                <w14:textFill>
                  <w14:solidFill>
                    <w14:schemeClr w14:val="tx1"/>
                  </w14:solidFill>
                </w14:textFill>
              </w:rPr>
              <w:t>（</w:t>
            </w:r>
            <w:r>
              <w:rPr>
                <w:rFonts w:hint="eastAsia" w:ascii="宋体" w:hAnsi="宋体" w:eastAsia="宋体"/>
                <w:b w:val="0"/>
                <w:bCs/>
                <w:color w:val="000000" w:themeColor="text1"/>
                <w:kern w:val="0"/>
                <w:sz w:val="24"/>
                <w:szCs w:val="22"/>
                <w:highlight w:val="none"/>
                <w:lang w:val="en-US" w:eastAsia="zh-CN"/>
                <w14:textFill>
                  <w14:solidFill>
                    <w14:schemeClr w14:val="tx1"/>
                  </w14:solidFill>
                </w14:textFill>
              </w:rPr>
              <w:t>7</w:t>
            </w:r>
            <w:r>
              <w:rPr>
                <w:rFonts w:hint="eastAsia" w:ascii="宋体" w:hAnsi="宋体" w:eastAsia="宋体"/>
                <w:b w:val="0"/>
                <w:bCs/>
                <w:color w:val="000000" w:themeColor="text1"/>
                <w:kern w:val="0"/>
                <w:sz w:val="24"/>
                <w:szCs w:val="22"/>
                <w:highlight w:val="none"/>
                <w:lang w:eastAsia="zh-CN"/>
                <w14:textFill>
                  <w14:solidFill>
                    <w14:schemeClr w14:val="tx1"/>
                  </w14:solidFill>
                </w14:textFill>
              </w:rPr>
              <w:t>）拟投入本项目的主要成员表</w:t>
            </w:r>
          </w:p>
          <w:p w14:paraId="18911386">
            <w:pPr>
              <w:pStyle w:val="37"/>
              <w:keepNext w:val="0"/>
              <w:keepLines w:val="0"/>
              <w:pageBreakBefore w:val="0"/>
              <w:kinsoku/>
              <w:wordWrap/>
              <w:topLinePunct w:val="0"/>
              <w:bidi w:val="0"/>
              <w:spacing w:beforeAutospacing="0" w:afterAutospacing="0" w:line="360" w:lineRule="auto"/>
              <w:ind w:left="0" w:leftChars="0" w:right="0" w:rightChars="0"/>
              <w:outlineLvl w:val="9"/>
              <w:rPr>
                <w:rFonts w:ascii="宋体" w:hAnsi="宋体" w:eastAsia="宋体"/>
                <w:b w:val="0"/>
                <w:bCs/>
                <w:color w:val="000000" w:themeColor="text1"/>
                <w:kern w:val="0"/>
                <w:sz w:val="24"/>
                <w:szCs w:val="22"/>
                <w:highlight w:val="none"/>
                <w:u w:val="single"/>
                <w14:textFill>
                  <w14:solidFill>
                    <w14:schemeClr w14:val="tx1"/>
                  </w14:solidFill>
                </w14:textFill>
              </w:rPr>
            </w:pPr>
            <w:r>
              <w:rPr>
                <w:rFonts w:hint="eastAsia" w:ascii="宋体" w:hAnsi="宋体" w:eastAsia="宋体"/>
                <w:b w:val="0"/>
                <w:bCs/>
                <w:color w:val="000000" w:themeColor="text1"/>
                <w:kern w:val="0"/>
                <w:sz w:val="24"/>
                <w:szCs w:val="22"/>
                <w:highlight w:val="none"/>
                <w:lang w:val="en-US" w:eastAsia="zh-CN"/>
                <w14:textFill>
                  <w14:solidFill>
                    <w14:schemeClr w14:val="tx1"/>
                  </w14:solidFill>
                </w14:textFill>
              </w:rPr>
              <w:t>（8）供应商认为有必要提供的其他资料</w:t>
            </w:r>
          </w:p>
        </w:tc>
      </w:tr>
      <w:tr w14:paraId="58F0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69BB6EDD">
            <w:pPr>
              <w:pStyle w:val="37"/>
              <w:keepNext w:val="0"/>
              <w:keepLines w:val="0"/>
              <w:pageBreakBefore w:val="0"/>
              <w:widowControl/>
              <w:kinsoku/>
              <w:wordWrap/>
              <w:topLinePunct w:val="0"/>
              <w:bidi w:val="0"/>
              <w:spacing w:beforeAutospacing="0" w:afterAutospacing="0" w:line="36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14:paraId="1FCFE30D">
            <w:pPr>
              <w:pStyle w:val="37"/>
              <w:keepNext w:val="0"/>
              <w:keepLines w:val="0"/>
              <w:pageBreakBefore w:val="0"/>
              <w:widowControl/>
              <w:kinsoku/>
              <w:wordWrap/>
              <w:topLinePunct w:val="0"/>
              <w:bidi w:val="0"/>
              <w:spacing w:beforeAutospacing="0" w:afterAutospacing="0" w:line="36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73" w:type="dxa"/>
            <w:tcBorders>
              <w:top w:val="single" w:color="auto" w:sz="4" w:space="0"/>
              <w:left w:val="single" w:color="auto" w:sz="4" w:space="0"/>
              <w:bottom w:val="single" w:color="auto" w:sz="4" w:space="0"/>
              <w:right w:val="single" w:color="auto" w:sz="4" w:space="0"/>
            </w:tcBorders>
            <w:vAlign w:val="center"/>
          </w:tcPr>
          <w:p w14:paraId="430230C3">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val="0"/>
                <w:bCs/>
                <w:color w:val="000000" w:themeColor="text1"/>
                <w:kern w:val="0"/>
                <w:sz w:val="24"/>
                <w:szCs w:val="22"/>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技术</w:t>
            </w:r>
          </w:p>
          <w:p w14:paraId="583F4E9E">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val="0"/>
                <w:bCs/>
                <w:color w:val="000000" w:themeColor="text1"/>
                <w:kern w:val="0"/>
                <w:sz w:val="24"/>
                <w:szCs w:val="22"/>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文件</w:t>
            </w:r>
          </w:p>
        </w:tc>
        <w:tc>
          <w:tcPr>
            <w:tcW w:w="6203" w:type="dxa"/>
            <w:gridSpan w:val="2"/>
            <w:tcBorders>
              <w:top w:val="single" w:color="auto" w:sz="4" w:space="0"/>
              <w:left w:val="single" w:color="auto" w:sz="4" w:space="0"/>
              <w:bottom w:val="single" w:color="auto" w:sz="4" w:space="0"/>
              <w:right w:val="single" w:color="auto" w:sz="4" w:space="0"/>
            </w:tcBorders>
            <w:vAlign w:val="center"/>
          </w:tcPr>
          <w:p w14:paraId="151092E9">
            <w:pPr>
              <w:pStyle w:val="37"/>
              <w:keepNext w:val="0"/>
              <w:keepLines w:val="0"/>
              <w:pageBreakBefore w:val="0"/>
              <w:kinsoku/>
              <w:wordWrap/>
              <w:topLinePunct w:val="0"/>
              <w:bidi w:val="0"/>
              <w:spacing w:beforeAutospacing="0" w:afterAutospacing="0" w:line="360" w:lineRule="auto"/>
              <w:ind w:left="0" w:leftChars="0" w:right="0"/>
              <w:outlineLvl w:val="9"/>
              <w:rPr>
                <w:rFonts w:ascii="宋体" w:hAnsi="宋体" w:eastAsia="宋体"/>
                <w:b w:val="0"/>
                <w:bCs/>
                <w:color w:val="000000" w:themeColor="text1"/>
                <w:kern w:val="0"/>
                <w:sz w:val="24"/>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lang w:eastAsia="zh-CN"/>
                <w14:textFill>
                  <w14:solidFill>
                    <w14:schemeClr w14:val="tx1"/>
                  </w14:solidFill>
                </w14:textFill>
              </w:rPr>
              <w:t>供应商</w:t>
            </w:r>
            <w:r>
              <w:rPr>
                <w:rFonts w:hint="eastAsia" w:ascii="宋体" w:hAnsi="宋体" w:eastAsia="宋体"/>
                <w:b w:val="0"/>
                <w:bCs/>
                <w:color w:val="000000" w:themeColor="text1"/>
                <w:kern w:val="0"/>
                <w:sz w:val="24"/>
                <w:szCs w:val="22"/>
                <w:highlight w:val="none"/>
                <w14:textFill>
                  <w14:solidFill>
                    <w14:schemeClr w14:val="tx1"/>
                  </w14:solidFill>
                </w14:textFill>
              </w:rPr>
              <w:t>自行编写的技术文件：</w:t>
            </w:r>
          </w:p>
          <w:p w14:paraId="4E46C252">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s="Times New Roman"/>
                <w:b w:val="0"/>
                <w:bCs/>
                <w:color w:val="000000" w:themeColor="text1"/>
                <w:kern w:val="0"/>
                <w:sz w:val="24"/>
                <w:szCs w:val="22"/>
                <w:highlight w:val="none"/>
                <w14:textFill>
                  <w14:solidFill>
                    <w14:schemeClr w14:val="tx1"/>
                  </w14:solidFill>
                </w14:textFill>
              </w:rPr>
            </w:pPr>
            <w:r>
              <w:rPr>
                <w:rFonts w:hint="eastAsia" w:ascii="宋体" w:hAnsi="宋体" w:eastAsia="宋体" w:cs="Times New Roman"/>
                <w:b w:val="0"/>
                <w:bCs/>
                <w:color w:val="000000" w:themeColor="text1"/>
                <w:kern w:val="0"/>
                <w:sz w:val="24"/>
                <w:szCs w:val="22"/>
                <w:highlight w:val="none"/>
                <w14:textFill>
                  <w14:solidFill>
                    <w14:schemeClr w14:val="tx1"/>
                  </w14:solidFill>
                </w14:textFill>
              </w:rPr>
              <w:t>(1)项目服务内容；</w:t>
            </w:r>
          </w:p>
          <w:p w14:paraId="1EC84C0D">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s="Times New Roman"/>
                <w:b w:val="0"/>
                <w:bCs/>
                <w:color w:val="000000" w:themeColor="text1"/>
                <w:kern w:val="0"/>
                <w:sz w:val="24"/>
                <w:szCs w:val="22"/>
                <w:highlight w:val="none"/>
                <w14:textFill>
                  <w14:solidFill>
                    <w14:schemeClr w14:val="tx1"/>
                  </w14:solidFill>
                </w14:textFill>
              </w:rPr>
            </w:pPr>
            <w:r>
              <w:rPr>
                <w:rFonts w:hint="eastAsia" w:ascii="宋体" w:hAnsi="宋体" w:eastAsia="宋体" w:cs="Times New Roman"/>
                <w:b w:val="0"/>
                <w:bCs/>
                <w:color w:val="000000" w:themeColor="text1"/>
                <w:kern w:val="0"/>
                <w:sz w:val="24"/>
                <w:szCs w:val="22"/>
                <w:highlight w:val="none"/>
                <w14:textFill>
                  <w14:solidFill>
                    <w14:schemeClr w14:val="tx1"/>
                  </w14:solidFill>
                </w14:textFill>
              </w:rPr>
              <w:t>(2)岗位设置及配备情况；</w:t>
            </w:r>
          </w:p>
          <w:p w14:paraId="296C0D26">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s="Times New Roman"/>
                <w:b w:val="0"/>
                <w:bCs/>
                <w:color w:val="000000" w:themeColor="text1"/>
                <w:kern w:val="0"/>
                <w:sz w:val="24"/>
                <w:szCs w:val="22"/>
                <w:highlight w:val="none"/>
                <w14:textFill>
                  <w14:solidFill>
                    <w14:schemeClr w14:val="tx1"/>
                  </w14:solidFill>
                </w14:textFill>
              </w:rPr>
            </w:pPr>
            <w:r>
              <w:rPr>
                <w:rFonts w:hint="eastAsia" w:ascii="宋体" w:hAnsi="宋体" w:eastAsia="宋体" w:cs="Times New Roman"/>
                <w:b w:val="0"/>
                <w:bCs/>
                <w:color w:val="000000" w:themeColor="text1"/>
                <w:kern w:val="0"/>
                <w:sz w:val="24"/>
                <w:szCs w:val="22"/>
                <w:highlight w:val="none"/>
                <w14:textFill>
                  <w14:solidFill>
                    <w14:schemeClr w14:val="tx1"/>
                  </w14:solidFill>
                </w14:textFill>
              </w:rPr>
              <w:t>(3)项目组织、运作和管理等；</w:t>
            </w:r>
          </w:p>
          <w:p w14:paraId="383A805F">
            <w:pPr>
              <w:keepNext w:val="0"/>
              <w:keepLines w:val="0"/>
              <w:pageBreakBefore w:val="0"/>
              <w:kinsoku/>
              <w:wordWrap/>
              <w:topLinePunct w:val="0"/>
              <w:bidi w:val="0"/>
              <w:spacing w:beforeAutospacing="0" w:afterAutospacing="0" w:line="360" w:lineRule="auto"/>
              <w:ind w:left="0" w:leftChars="0" w:right="0"/>
              <w:outlineLvl w:val="9"/>
              <w:rPr>
                <w:rFonts w:ascii="宋体" w:hAnsi="宋体"/>
                <w:b w:val="0"/>
                <w:bCs/>
                <w:color w:val="000000" w:themeColor="text1"/>
                <w:kern w:val="0"/>
                <w:sz w:val="24"/>
                <w:highlight w:val="none"/>
                <w:u w:val="single"/>
                <w14:textFill>
                  <w14:solidFill>
                    <w14:schemeClr w14:val="tx1"/>
                  </w14:solidFill>
                </w14:textFill>
              </w:rPr>
            </w:pPr>
            <w:r>
              <w:rPr>
                <w:rFonts w:hint="eastAsia" w:ascii="宋体" w:hAnsi="宋体" w:eastAsia="宋体" w:cs="Times New Roman"/>
                <w:b w:val="0"/>
                <w:bCs/>
                <w:color w:val="000000" w:themeColor="text1"/>
                <w:kern w:val="0"/>
                <w:sz w:val="24"/>
                <w:szCs w:val="22"/>
                <w:highlight w:val="none"/>
                <w14:textFill>
                  <w14:solidFill>
                    <w14:schemeClr w14:val="tx1"/>
                  </w14:solidFill>
                </w14:textFill>
              </w:rPr>
              <w:t>(4)</w:t>
            </w:r>
            <w:r>
              <w:rPr>
                <w:rFonts w:hint="eastAsia" w:ascii="宋体" w:hAnsi="宋体" w:cs="宋体"/>
                <w:b w:val="0"/>
                <w:bCs/>
                <w:color w:val="000000" w:themeColor="text1"/>
                <w:kern w:val="0"/>
                <w:sz w:val="24"/>
                <w:highlight w:val="none"/>
                <w14:textFill>
                  <w14:solidFill>
                    <w14:schemeClr w14:val="tx1"/>
                  </w14:solidFill>
                </w14:textFill>
              </w:rPr>
              <w:t>供应商认为有必要提供的其他技术文件。</w:t>
            </w:r>
          </w:p>
        </w:tc>
      </w:tr>
      <w:tr w14:paraId="3302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71E20DF8">
            <w:pPr>
              <w:pStyle w:val="37"/>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8</w:t>
            </w:r>
          </w:p>
        </w:tc>
        <w:tc>
          <w:tcPr>
            <w:tcW w:w="2072" w:type="dxa"/>
            <w:tcBorders>
              <w:top w:val="single" w:color="auto" w:sz="4" w:space="0"/>
              <w:left w:val="single" w:color="auto" w:sz="4" w:space="0"/>
              <w:bottom w:val="single" w:color="auto" w:sz="4" w:space="0"/>
              <w:right w:val="single" w:color="auto" w:sz="4" w:space="0"/>
            </w:tcBorders>
            <w:vAlign w:val="center"/>
          </w:tcPr>
          <w:p w14:paraId="6B4FEEDC">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是否允许联合体投标</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09617ADB">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eastAsia="宋体" w:cs="宋体"/>
                <w:b w:val="0"/>
                <w:bCs/>
                <w:color w:val="000000" w:themeColor="text1"/>
                <w:kern w:val="0"/>
                <w:sz w:val="24"/>
                <w:szCs w:val="24"/>
                <w:highlight w:val="none"/>
                <w14:textFill>
                  <w14:solidFill>
                    <w14:schemeClr w14:val="tx1"/>
                  </w14:solidFill>
                </w14:textFill>
              </w:rPr>
            </w:pPr>
            <w:bookmarkStart w:id="44" w:name="EBbabddb5118a847b6bdf4b49ae8647b6b"/>
            <w:bookmarkEnd w:id="44"/>
            <w:bookmarkStart w:id="45" w:name="EB0f86f5f9a6b44b37825cf035703cfc15"/>
            <w:bookmarkEnd w:id="45"/>
            <w:r>
              <w:rPr>
                <w:rFonts w:hint="eastAsia" w:ascii="宋体" w:hAnsi="宋体" w:eastAsia="宋体" w:cs="宋体"/>
                <w:b w:val="0"/>
                <w:bCs/>
                <w:color w:val="000000" w:themeColor="text1"/>
                <w:kern w:val="0"/>
                <w:sz w:val="24"/>
                <w:szCs w:val="24"/>
                <w:highlight w:val="none"/>
                <w14:textFill>
                  <w14:solidFill>
                    <w14:schemeClr w14:val="tx1"/>
                  </w14:solidFill>
                </w14:textFill>
              </w:rPr>
              <w:sym w:font="Wingdings 2" w:char="00A3"/>
            </w:r>
            <w:r>
              <w:rPr>
                <w:rFonts w:hint="eastAsia" w:ascii="宋体" w:hAnsi="宋体" w:eastAsia="宋体" w:cs="宋体"/>
                <w:b w:val="0"/>
                <w:bCs/>
                <w:color w:val="000000" w:themeColor="text1"/>
                <w:kern w:val="0"/>
                <w:sz w:val="24"/>
                <w:szCs w:val="24"/>
                <w:highlight w:val="none"/>
                <w14:textFill>
                  <w14:solidFill>
                    <w14:schemeClr w14:val="tx1"/>
                  </w14:solidFill>
                </w14:textFill>
              </w:rPr>
              <w:t>是</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4"/>
                <w:highlight w:val="none"/>
                <w14:textFill>
                  <w14:solidFill>
                    <w14:schemeClr w14:val="tx1"/>
                  </w14:solidFill>
                </w14:textFill>
              </w:rPr>
              <w:t>☑否</w:t>
            </w:r>
          </w:p>
        </w:tc>
      </w:tr>
      <w:tr w14:paraId="41A1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155A6A91">
            <w:pPr>
              <w:pStyle w:val="37"/>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9</w:t>
            </w:r>
          </w:p>
        </w:tc>
        <w:tc>
          <w:tcPr>
            <w:tcW w:w="2072" w:type="dxa"/>
            <w:tcBorders>
              <w:top w:val="single" w:color="auto" w:sz="4" w:space="0"/>
              <w:left w:val="single" w:color="auto" w:sz="4" w:space="0"/>
              <w:bottom w:val="single" w:color="auto" w:sz="4" w:space="0"/>
              <w:right w:val="single" w:color="auto" w:sz="4" w:space="0"/>
            </w:tcBorders>
            <w:vAlign w:val="center"/>
          </w:tcPr>
          <w:p w14:paraId="6A65BA05">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是否允许投报进口产品</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4AA240DB">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sym w:font="Wingdings 2" w:char="00A3"/>
            </w:r>
            <w:r>
              <w:rPr>
                <w:rFonts w:hint="eastAsia" w:ascii="宋体" w:hAnsi="宋体" w:eastAsia="宋体" w:cs="宋体"/>
                <w:b w:val="0"/>
                <w:bCs/>
                <w:color w:val="000000" w:themeColor="text1"/>
                <w:kern w:val="0"/>
                <w:sz w:val="24"/>
                <w:szCs w:val="24"/>
                <w:highlight w:val="none"/>
                <w14:textFill>
                  <w14:solidFill>
                    <w14:schemeClr w14:val="tx1"/>
                  </w14:solidFill>
                </w14:textFill>
              </w:rPr>
              <w:t xml:space="preserve">是 </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kern w:val="0"/>
                <w:sz w:val="24"/>
                <w:szCs w:val="24"/>
                <w:highlight w:val="none"/>
                <w14:textFill>
                  <w14:solidFill>
                    <w14:schemeClr w14:val="tx1"/>
                  </w14:solidFill>
                </w14:textFill>
              </w:rPr>
              <w:t>应保证所投产品可履行合法报通关手续进入中国关境内。</w:t>
            </w:r>
          </w:p>
          <w:p w14:paraId="291D8854">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sym w:font="Wingdings 2" w:char="0052"/>
            </w:r>
            <w:r>
              <w:rPr>
                <w:rFonts w:hint="eastAsia" w:ascii="宋体" w:hAnsi="宋体" w:eastAsia="宋体" w:cs="宋体"/>
                <w:b w:val="0"/>
                <w:bCs/>
                <w:color w:val="000000" w:themeColor="text1"/>
                <w:kern w:val="0"/>
                <w:sz w:val="24"/>
                <w:szCs w:val="24"/>
                <w:highlight w:val="none"/>
                <w14:textFill>
                  <w14:solidFill>
                    <w14:schemeClr w14:val="tx1"/>
                  </w14:solidFill>
                </w14:textFill>
              </w:rPr>
              <w:t>否</w:t>
            </w:r>
          </w:p>
        </w:tc>
      </w:tr>
      <w:tr w14:paraId="55AB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9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FC58402">
            <w:pPr>
              <w:pStyle w:val="37"/>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0</w:t>
            </w:r>
          </w:p>
        </w:tc>
        <w:tc>
          <w:tcPr>
            <w:tcW w:w="2072" w:type="dxa"/>
            <w:tcBorders>
              <w:top w:val="single" w:color="auto" w:sz="4" w:space="0"/>
              <w:left w:val="single" w:color="auto" w:sz="4" w:space="0"/>
              <w:bottom w:val="single" w:color="auto" w:sz="4" w:space="0"/>
              <w:right w:val="single" w:color="auto" w:sz="4" w:space="0"/>
            </w:tcBorders>
            <w:vAlign w:val="center"/>
          </w:tcPr>
          <w:p w14:paraId="6E719D2F">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是否允许投标人将项目非主体、非关键性工作交由他人完成</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0FDF83CA">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eastAsia="宋体" w:cs="宋体"/>
                <w:b w:val="0"/>
                <w:bCs/>
                <w:color w:val="000000" w:themeColor="text1"/>
                <w:sz w:val="24"/>
                <w:szCs w:val="24"/>
                <w:highlight w:val="none"/>
                <w14:textFill>
                  <w14:solidFill>
                    <w14:schemeClr w14:val="tx1"/>
                  </w14:solidFill>
                </w14:textFill>
              </w:rPr>
            </w:pPr>
            <w:bookmarkStart w:id="46" w:name="EB46de3bf2b5e44d249096c9a68bd8cf71"/>
            <w:bookmarkEnd w:id="46"/>
            <w:r>
              <w:rPr>
                <w:rFonts w:hint="eastAsia" w:ascii="宋体" w:hAnsi="宋体" w:eastAsia="宋体" w:cs="宋体"/>
                <w:b w:val="0"/>
                <w:bCs/>
                <w:color w:val="000000" w:themeColor="text1"/>
                <w:kern w:val="0"/>
                <w:sz w:val="24"/>
                <w:szCs w:val="24"/>
                <w:highlight w:val="none"/>
                <w14:textFill>
                  <w14:solidFill>
                    <w14:schemeClr w14:val="tx1"/>
                  </w14:solidFill>
                </w14:textFill>
              </w:rPr>
              <w:sym w:font="Wingdings 2" w:char="00A3"/>
            </w:r>
            <w:r>
              <w:rPr>
                <w:rFonts w:hint="eastAsia" w:ascii="宋体" w:hAnsi="宋体" w:eastAsia="宋体" w:cs="宋体"/>
                <w:b w:val="0"/>
                <w:bCs/>
                <w:color w:val="000000" w:themeColor="text1"/>
                <w:kern w:val="0"/>
                <w:sz w:val="24"/>
                <w:szCs w:val="24"/>
                <w:highlight w:val="none"/>
                <w14:textFill>
                  <w14:solidFill>
                    <w14:schemeClr w14:val="tx1"/>
                  </w14:solidFill>
                </w14:textFill>
              </w:rPr>
              <w:t>是</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4"/>
                <w:highlight w:val="none"/>
                <w14:textFill>
                  <w14:solidFill>
                    <w14:schemeClr w14:val="tx1"/>
                  </w14:solidFill>
                </w14:textFill>
              </w:rPr>
              <w:t>☑否</w:t>
            </w:r>
          </w:p>
        </w:tc>
      </w:tr>
      <w:tr w14:paraId="5EA9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DCFB300">
            <w:pPr>
              <w:pStyle w:val="37"/>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2072" w:type="dxa"/>
            <w:tcBorders>
              <w:top w:val="single" w:color="auto" w:sz="4" w:space="0"/>
              <w:left w:val="single" w:color="auto" w:sz="4" w:space="0"/>
              <w:bottom w:val="single" w:color="auto" w:sz="4" w:space="0"/>
              <w:right w:val="single" w:color="auto" w:sz="4" w:space="0"/>
            </w:tcBorders>
            <w:vAlign w:val="center"/>
          </w:tcPr>
          <w:p w14:paraId="4D8477EB">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踏勘现场</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063FA790">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bookmarkStart w:id="47" w:name="EB3654e13cae20475eac84fa83364d7833"/>
            <w:bookmarkEnd w:id="47"/>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☑自行踏勘 </w:t>
            </w:r>
          </w:p>
          <w:p w14:paraId="661CA39E">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□统一组织</w:t>
            </w:r>
          </w:p>
        </w:tc>
      </w:tr>
      <w:tr w14:paraId="6D54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E4698F4">
            <w:pPr>
              <w:pStyle w:val="37"/>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2</w:t>
            </w:r>
          </w:p>
        </w:tc>
        <w:tc>
          <w:tcPr>
            <w:tcW w:w="2072" w:type="dxa"/>
            <w:tcBorders>
              <w:top w:val="single" w:color="auto" w:sz="4" w:space="0"/>
              <w:left w:val="single" w:color="auto" w:sz="4" w:space="0"/>
              <w:bottom w:val="single" w:color="auto" w:sz="4" w:space="0"/>
              <w:right w:val="single" w:color="auto" w:sz="4" w:space="0"/>
            </w:tcBorders>
            <w:vAlign w:val="center"/>
          </w:tcPr>
          <w:p w14:paraId="4FBF00CA">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答疑接受时间</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0AD72818">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eastAsia="宋体"/>
                <w:color w:val="000000" w:themeColor="text1"/>
                <w:kern w:val="0"/>
                <w:sz w:val="24"/>
                <w:szCs w:val="22"/>
                <w:highlight w:val="none"/>
                <w14:textFill>
                  <w14:solidFill>
                    <w14:schemeClr w14:val="tx1"/>
                  </w14:solidFill>
                </w14:textFill>
              </w:rPr>
            </w:pPr>
            <w:bookmarkStart w:id="48" w:name="EB17a0b1178f4e475ebd3db773a983cd6b"/>
            <w:bookmarkEnd w:id="48"/>
            <w:r>
              <w:rPr>
                <w:rFonts w:hint="eastAsia" w:ascii="宋体" w:hAnsi="宋体" w:eastAsia="宋体"/>
                <w:color w:val="000000" w:themeColor="text1"/>
                <w:kern w:val="0"/>
                <w:sz w:val="24"/>
                <w:szCs w:val="22"/>
                <w:highlight w:val="none"/>
                <w:lang w:val="en-US" w:eastAsia="zh-CN"/>
                <w14:textFill>
                  <w14:solidFill>
                    <w14:schemeClr w14:val="tx1"/>
                  </w14:solidFill>
                </w14:textFill>
              </w:rPr>
              <w:t>提交首次响应文件截止之日前接受供应商疑问或澄清要求（逾期未提出的视同理解和接受）</w:t>
            </w:r>
          </w:p>
          <w:p w14:paraId="5B68881F">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联系人：</w:t>
            </w:r>
            <w:bookmarkStart w:id="49" w:name="EB0c188acceba94be79a83f193a1d4aa98"/>
            <w:bookmarkEnd w:id="49"/>
            <w:r>
              <w:rPr>
                <w:rFonts w:hint="eastAsia" w:ascii="宋体" w:hAnsi="宋体" w:eastAsia="宋体" w:cs="宋体"/>
                <w:color w:val="000000" w:themeColor="text1"/>
                <w:kern w:val="0"/>
                <w:sz w:val="24"/>
                <w:highlight w:val="none"/>
                <w:lang w:eastAsia="zh-CN"/>
                <w14:textFill>
                  <w14:solidFill>
                    <w14:schemeClr w14:val="tx1"/>
                  </w14:solidFill>
                </w14:textFill>
              </w:rPr>
              <w:t>陈晨</w:t>
            </w:r>
          </w:p>
          <w:p w14:paraId="236E30F6">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eastAsia="宋体"/>
                <w:color w:val="000000" w:themeColor="text1"/>
                <w:kern w:val="0"/>
                <w:sz w:val="24"/>
                <w:szCs w:val="22"/>
                <w:highlight w:val="none"/>
                <w:lang w:eastAsia="zh-CN"/>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联系电话：</w:t>
            </w:r>
            <w:bookmarkStart w:id="50" w:name="EB901134491a6b4a88af871252f3f61d52"/>
            <w:bookmarkEnd w:id="50"/>
            <w:r>
              <w:rPr>
                <w:rFonts w:hint="eastAsia" w:ascii="宋体" w:hAnsi="宋体" w:eastAsia="宋体" w:cs="宋体"/>
                <w:color w:val="000000" w:themeColor="text1"/>
                <w:sz w:val="24"/>
                <w:szCs w:val="22"/>
                <w:highlight w:val="none"/>
                <w:lang w:eastAsia="zh-CN"/>
                <w14:textFill>
                  <w14:solidFill>
                    <w14:schemeClr w14:val="tx1"/>
                  </w14:solidFill>
                </w14:textFill>
              </w:rPr>
              <w:t>13201097601</w:t>
            </w:r>
          </w:p>
          <w:p w14:paraId="55ECAD65">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提交方式：质疑函应以纸质版递交招标代理机构</w:t>
            </w:r>
          </w:p>
          <w:p w14:paraId="147AA39A">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注：</w:t>
            </w: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澄清、修改文件发出后，供应商必须使用最新的澄清文 </w:t>
            </w:r>
          </w:p>
          <w:p w14:paraId="449FDF7C">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件制作电子投标文件，否则将无法完成上传。</w:t>
            </w:r>
          </w:p>
        </w:tc>
      </w:tr>
      <w:tr w14:paraId="5ACE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42F9032">
            <w:pPr>
              <w:pStyle w:val="37"/>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3</w:t>
            </w:r>
          </w:p>
        </w:tc>
        <w:tc>
          <w:tcPr>
            <w:tcW w:w="2072" w:type="dxa"/>
            <w:tcBorders>
              <w:top w:val="single" w:color="auto" w:sz="4" w:space="0"/>
              <w:left w:val="single" w:color="auto" w:sz="4" w:space="0"/>
              <w:bottom w:val="single" w:color="auto" w:sz="4" w:space="0"/>
              <w:right w:val="single" w:color="auto" w:sz="4" w:space="0"/>
            </w:tcBorders>
            <w:vAlign w:val="center"/>
          </w:tcPr>
          <w:p w14:paraId="4497EB70">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eastAsia="宋体"/>
                <w:b/>
                <w:color w:val="000000" w:themeColor="text1"/>
                <w:sz w:val="24"/>
                <w:szCs w:val="22"/>
                <w:highlight w:val="none"/>
                <w14:textFill>
                  <w14:solidFill>
                    <w14:schemeClr w14:val="tx1"/>
                  </w14:solidFill>
                </w14:textFill>
              </w:rPr>
              <w:t>投标有效期</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39F3B617">
            <w:pPr>
              <w:pStyle w:val="37"/>
              <w:keepNext w:val="0"/>
              <w:keepLines w:val="0"/>
              <w:pageBreakBefore w:val="0"/>
              <w:kinsoku/>
              <w:wordWrap/>
              <w:topLinePunct w:val="0"/>
              <w:bidi w:val="0"/>
              <w:spacing w:beforeAutospacing="0" w:afterAutospacing="0" w:line="360" w:lineRule="auto"/>
              <w:ind w:left="0" w:leftChars="0" w:right="0"/>
              <w:rPr>
                <w:rFonts w:ascii="宋体" w:hAnsi="宋体" w:eastAsia="宋体"/>
                <w:b/>
                <w:bCs/>
                <w:color w:val="000000" w:themeColor="text1"/>
                <w:sz w:val="24"/>
                <w:szCs w:val="22"/>
                <w:highlight w:val="none"/>
                <w14:textFill>
                  <w14:solidFill>
                    <w14:schemeClr w14:val="tx1"/>
                  </w14:solidFill>
                </w14:textFill>
              </w:rPr>
            </w:pPr>
            <w:r>
              <w:rPr>
                <w:rFonts w:hint="eastAsia" w:ascii="宋体" w:hAnsi="宋体" w:eastAsia="宋体" w:cs="仿宋"/>
                <w:color w:val="000000" w:themeColor="text1"/>
                <w:sz w:val="24"/>
                <w:szCs w:val="22"/>
                <w:highlight w:val="none"/>
                <w:lang w:val="zh-CN"/>
                <w14:textFill>
                  <w14:solidFill>
                    <w14:schemeClr w14:val="tx1"/>
                  </w14:solidFill>
                </w14:textFill>
              </w:rPr>
              <w:t>自投标截止之日起</w:t>
            </w:r>
            <w:bookmarkStart w:id="51" w:name="EB8c89669a7b2d4e7d97b13873e077b2f7"/>
            <w:bookmarkEnd w:id="51"/>
            <w:r>
              <w:rPr>
                <w:rFonts w:hint="eastAsia" w:ascii="宋体" w:hAnsi="宋体" w:eastAsia="宋体" w:cs="宋体"/>
                <w:color w:val="000000" w:themeColor="text1"/>
                <w:kern w:val="0"/>
                <w:sz w:val="24"/>
                <w:highlight w:val="none"/>
                <w:u w:val="single"/>
                <w14:textFill>
                  <w14:solidFill>
                    <w14:schemeClr w14:val="tx1"/>
                  </w14:solidFill>
                </w14:textFill>
              </w:rPr>
              <w:t>90</w:t>
            </w:r>
            <w:r>
              <w:rPr>
                <w:rFonts w:hint="eastAsia" w:ascii="宋体" w:hAnsi="宋体" w:eastAsia="宋体" w:cs="仿宋"/>
                <w:color w:val="000000" w:themeColor="text1"/>
                <w:sz w:val="24"/>
                <w:szCs w:val="22"/>
                <w:highlight w:val="none"/>
                <w:lang w:val="zh-CN"/>
                <w14:textFill>
                  <w14:solidFill>
                    <w14:schemeClr w14:val="tx1"/>
                  </w14:solidFill>
                </w14:textFill>
              </w:rPr>
              <w:t>日历天。</w:t>
            </w:r>
          </w:p>
        </w:tc>
      </w:tr>
      <w:tr w14:paraId="3803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3609075">
            <w:pPr>
              <w:pStyle w:val="37"/>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4</w:t>
            </w:r>
          </w:p>
        </w:tc>
        <w:tc>
          <w:tcPr>
            <w:tcW w:w="2072" w:type="dxa"/>
            <w:tcBorders>
              <w:top w:val="single" w:color="auto" w:sz="4" w:space="0"/>
              <w:left w:val="single" w:color="auto" w:sz="4" w:space="0"/>
              <w:bottom w:val="single" w:color="auto" w:sz="4" w:space="0"/>
              <w:right w:val="single" w:color="auto" w:sz="4" w:space="0"/>
            </w:tcBorders>
            <w:vAlign w:val="center"/>
          </w:tcPr>
          <w:p w14:paraId="19FD23E3">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投标截止时间</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630B7DA7">
            <w:pPr>
              <w:pStyle w:val="37"/>
              <w:keepNext w:val="0"/>
              <w:keepLines w:val="0"/>
              <w:pageBreakBefore w:val="0"/>
              <w:kinsoku/>
              <w:wordWrap/>
              <w:topLinePunct w:val="0"/>
              <w:bidi w:val="0"/>
              <w:spacing w:beforeAutospacing="0" w:afterAutospacing="0" w:line="36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2025年</w:t>
            </w:r>
            <w:r>
              <w:rPr>
                <w:rFonts w:hint="eastAsia" w:ascii="宋体" w:hAnsi="宋体" w:cs="宋体"/>
                <w:snapToGrid w:val="0"/>
                <w:color w:val="000000" w:themeColor="text1"/>
                <w:kern w:val="28"/>
                <w:sz w:val="24"/>
                <w:szCs w:val="20"/>
                <w:lang w:val="en-US" w:eastAsia="zh-CN"/>
                <w14:textFill>
                  <w14:solidFill>
                    <w14:schemeClr w14:val="tx1"/>
                  </w14:solidFill>
                </w14:textFill>
              </w:rPr>
              <w:t>07</w:t>
            </w:r>
            <w:r>
              <w:rPr>
                <w:rFonts w:hint="eastAsia" w:ascii="宋体" w:hAnsi="宋体" w:eastAsia="宋体" w:cs="宋体"/>
                <w:snapToGrid w:val="0"/>
                <w:color w:val="000000" w:themeColor="text1"/>
                <w:kern w:val="28"/>
                <w:sz w:val="24"/>
                <w:szCs w:val="20"/>
                <w14:textFill>
                  <w14:solidFill>
                    <w14:schemeClr w14:val="tx1"/>
                  </w14:solidFill>
                </w14:textFill>
              </w:rPr>
              <w:t>月</w:t>
            </w:r>
            <w:r>
              <w:rPr>
                <w:rFonts w:hint="eastAsia" w:ascii="宋体" w:hAnsi="宋体" w:cs="宋体"/>
                <w:snapToGrid w:val="0"/>
                <w:color w:val="000000" w:themeColor="text1"/>
                <w:kern w:val="28"/>
                <w:sz w:val="24"/>
                <w:szCs w:val="20"/>
                <w:lang w:val="en-US" w:eastAsia="zh-CN"/>
                <w14:textFill>
                  <w14:solidFill>
                    <w14:schemeClr w14:val="tx1"/>
                  </w14:solidFill>
                </w14:textFill>
              </w:rPr>
              <w:t>01</w:t>
            </w:r>
            <w:r>
              <w:rPr>
                <w:rFonts w:hint="eastAsia" w:ascii="宋体" w:hAnsi="宋体" w:eastAsia="宋体" w:cs="宋体"/>
                <w:snapToGrid w:val="0"/>
                <w:color w:val="000000" w:themeColor="text1"/>
                <w:kern w:val="28"/>
                <w:sz w:val="24"/>
                <w:szCs w:val="20"/>
                <w14:textFill>
                  <w14:solidFill>
                    <w14:schemeClr w14:val="tx1"/>
                  </w14:solidFill>
                </w14:textFill>
              </w:rPr>
              <w:t>日</w:t>
            </w:r>
            <w:r>
              <w:rPr>
                <w:rFonts w:hint="eastAsia" w:ascii="宋体" w:hAnsi="宋体" w:eastAsia="宋体" w:cs="宋体"/>
                <w:bCs/>
                <w:color w:val="000000" w:themeColor="text1"/>
                <w:sz w:val="24"/>
                <w:u w:val="none"/>
                <w14:textFill>
                  <w14:solidFill>
                    <w14:schemeClr w14:val="tx1"/>
                  </w14:solidFill>
                </w14:textFill>
              </w:rPr>
              <w:t xml:space="preserve"> 1</w:t>
            </w:r>
            <w:r>
              <w:rPr>
                <w:rFonts w:hint="eastAsia" w:ascii="宋体" w:hAnsi="宋体" w:cs="宋体"/>
                <w:bCs/>
                <w:color w:val="000000" w:themeColor="text1"/>
                <w:sz w:val="24"/>
                <w:u w:val="none"/>
                <w:lang w:val="en-US" w:eastAsia="zh-CN"/>
                <w14:textFill>
                  <w14:solidFill>
                    <w14:schemeClr w14:val="tx1"/>
                  </w14:solidFill>
                </w14:textFill>
              </w:rPr>
              <w:t>6</w:t>
            </w:r>
            <w:r>
              <w:rPr>
                <w:rFonts w:hint="eastAsia" w:ascii="宋体" w:hAnsi="宋体" w:eastAsia="宋体" w:cs="宋体"/>
                <w:bCs/>
                <w:color w:val="000000" w:themeColor="text1"/>
                <w:sz w:val="24"/>
                <w:u w:val="none"/>
                <w14:textFill>
                  <w14:solidFill>
                    <w14:schemeClr w14:val="tx1"/>
                  </w14:solidFill>
                </w14:textFill>
              </w:rPr>
              <w:t>:00</w:t>
            </w:r>
            <w:r>
              <w:rPr>
                <w:rFonts w:hint="eastAsia" w:ascii="宋体" w:hAnsi="宋体" w:eastAsia="宋体"/>
                <w:color w:val="000000" w:themeColor="text1"/>
                <w:sz w:val="24"/>
                <w:szCs w:val="22"/>
                <w:highlight w:val="none"/>
                <w14:textFill>
                  <w14:solidFill>
                    <w14:schemeClr w14:val="tx1"/>
                  </w14:solidFill>
                </w14:textFill>
              </w:rPr>
              <w:t>（北京时间）</w:t>
            </w:r>
          </w:p>
        </w:tc>
      </w:tr>
      <w:tr w14:paraId="626B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50A9521D">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15</w:t>
            </w:r>
          </w:p>
        </w:tc>
        <w:tc>
          <w:tcPr>
            <w:tcW w:w="2072" w:type="dxa"/>
            <w:tcBorders>
              <w:top w:val="single" w:color="auto" w:sz="4" w:space="0"/>
              <w:left w:val="single" w:color="auto" w:sz="4" w:space="0"/>
              <w:bottom w:val="single" w:color="auto" w:sz="4" w:space="0"/>
              <w:right w:val="single" w:color="auto" w:sz="4" w:space="0"/>
            </w:tcBorders>
            <w:vAlign w:val="center"/>
          </w:tcPr>
          <w:p w14:paraId="3F5296AA">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2"/>
                <w:sz w:val="24"/>
                <w:szCs w:val="22"/>
                <w:highlight w:val="none"/>
                <w:lang w:val="en-US" w:eastAsia="zh-CN"/>
                <w14:textFill>
                  <w14:solidFill>
                    <w14:schemeClr w14:val="tx1"/>
                  </w14:solidFill>
                </w14:textFill>
              </w:rPr>
              <w:t>投标文件份数</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0C993F74">
            <w:pPr>
              <w:pStyle w:val="37"/>
              <w:keepNext w:val="0"/>
              <w:keepLines w:val="0"/>
              <w:pageBreakBefore w:val="0"/>
              <w:kinsoku/>
              <w:wordWrap/>
              <w:topLinePunct w:val="0"/>
              <w:bidi w:val="0"/>
              <w:spacing w:beforeAutospacing="0" w:afterAutospacing="0" w:line="360" w:lineRule="auto"/>
              <w:ind w:left="2" w:leftChars="0" w:right="0" w:hanging="2" w:hangingChars="1"/>
              <w:rPr>
                <w:rFonts w:ascii="宋体" w:hAnsi="宋体" w:eastAsia="宋体"/>
                <w:b w:val="0"/>
                <w:bCs w:val="0"/>
                <w:color w:val="000000" w:themeColor="text1"/>
                <w:sz w:val="24"/>
                <w:szCs w:val="22"/>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eastAsia="宋体"/>
                <w:b w:val="0"/>
                <w:bCs w:val="0"/>
                <w:color w:val="000000" w:themeColor="text1"/>
                <w:sz w:val="24"/>
                <w:szCs w:val="22"/>
                <w:highlight w:val="none"/>
                <w14:textFill>
                  <w14:solidFill>
                    <w14:schemeClr w14:val="tx1"/>
                  </w14:solidFill>
                </w14:textFill>
              </w:rPr>
              <w:t>采用不见面开标：</w:t>
            </w:r>
          </w:p>
          <w:p w14:paraId="16C4655F">
            <w:pPr>
              <w:pStyle w:val="37"/>
              <w:keepNext w:val="0"/>
              <w:keepLines w:val="0"/>
              <w:pageBreakBefore w:val="0"/>
              <w:kinsoku/>
              <w:wordWrap/>
              <w:topLinePunct w:val="0"/>
              <w:bidi w:val="0"/>
              <w:spacing w:beforeAutospacing="0" w:afterAutospacing="0" w:line="360" w:lineRule="auto"/>
              <w:ind w:left="0" w:leftChars="0" w:right="0"/>
              <w:rPr>
                <w:rFonts w:ascii="宋体" w:hAnsi="宋体" w:eastAsia="宋体"/>
                <w:b w:val="0"/>
                <w:bCs w:val="0"/>
                <w:color w:val="000000" w:themeColor="text1"/>
                <w:kern w:val="0"/>
                <w:sz w:val="24"/>
                <w:szCs w:val="22"/>
                <w:highlight w:val="none"/>
                <w14:textFill>
                  <w14:solidFill>
                    <w14:schemeClr w14:val="tx1"/>
                  </w14:solidFill>
                </w14:textFill>
              </w:rPr>
            </w:pPr>
            <w:r>
              <w:rPr>
                <w:rFonts w:ascii="宋体" w:hAnsi="宋体" w:eastAsia="宋体"/>
                <w:b w:val="0"/>
                <w:bCs w:val="0"/>
                <w:color w:val="000000" w:themeColor="text1"/>
                <w:kern w:val="0"/>
                <w:sz w:val="24"/>
                <w:szCs w:val="22"/>
                <w:highlight w:val="none"/>
                <w14:textFill>
                  <w14:solidFill>
                    <w14:schemeClr w14:val="tx1"/>
                  </w14:solidFill>
                </w14:textFill>
              </w:rPr>
              <w:t>1、本项目采用不见面开标，投标供应商需要将加密的电子</w:t>
            </w:r>
            <w:r>
              <w:rPr>
                <w:rFonts w:hint="eastAsia" w:ascii="宋体" w:hAnsi="宋体" w:eastAsia="宋体"/>
                <w:b w:val="0"/>
                <w:bCs w:val="0"/>
                <w:color w:val="000000" w:themeColor="text1"/>
                <w:kern w:val="0"/>
                <w:sz w:val="24"/>
                <w:szCs w:val="22"/>
                <w:highlight w:val="none"/>
                <w14:textFill>
                  <w14:solidFill>
                    <w14:schemeClr w14:val="tx1"/>
                  </w14:solidFill>
                </w14:textFill>
              </w:rPr>
              <w:t>响应文件</w:t>
            </w:r>
            <w:r>
              <w:rPr>
                <w:rFonts w:ascii="宋体" w:hAnsi="宋体" w:eastAsia="宋体"/>
                <w:b w:val="0"/>
                <w:bCs w:val="0"/>
                <w:color w:val="000000" w:themeColor="text1"/>
                <w:kern w:val="0"/>
                <w:sz w:val="24"/>
                <w:szCs w:val="22"/>
                <w:highlight w:val="none"/>
                <w14:textFill>
                  <w14:solidFill>
                    <w14:schemeClr w14:val="tx1"/>
                  </w14:solidFill>
                </w14:textFill>
              </w:rPr>
              <w:t>，在投标截止时间上传至政采云平台https://www.zcygov.cn/对应位置（逾期未上传的或不符合规定的</w:t>
            </w:r>
            <w:r>
              <w:rPr>
                <w:rFonts w:hint="eastAsia" w:ascii="宋体" w:hAnsi="宋体" w:eastAsia="宋体"/>
                <w:b w:val="0"/>
                <w:bCs w:val="0"/>
                <w:color w:val="000000" w:themeColor="text1"/>
                <w:kern w:val="0"/>
                <w:sz w:val="24"/>
                <w:szCs w:val="22"/>
                <w:highlight w:val="none"/>
                <w14:textFill>
                  <w14:solidFill>
                    <w14:schemeClr w14:val="tx1"/>
                  </w14:solidFill>
                </w14:textFill>
              </w:rPr>
              <w:t>响应文件</w:t>
            </w:r>
            <w:r>
              <w:rPr>
                <w:rFonts w:ascii="宋体" w:hAnsi="宋体" w:eastAsia="宋体"/>
                <w:b w:val="0"/>
                <w:bCs w:val="0"/>
                <w:color w:val="000000" w:themeColor="text1"/>
                <w:kern w:val="0"/>
                <w:sz w:val="24"/>
                <w:szCs w:val="22"/>
                <w:highlight w:val="none"/>
                <w14:textFill>
                  <w14:solidFill>
                    <w14:schemeClr w14:val="tx1"/>
                  </w14:solidFill>
                </w14:textFill>
              </w:rPr>
              <w:t>将被拒绝接收）。</w:t>
            </w:r>
          </w:p>
          <w:p w14:paraId="395A94B6">
            <w:pPr>
              <w:pStyle w:val="37"/>
              <w:keepNext w:val="0"/>
              <w:keepLines w:val="0"/>
              <w:pageBreakBefore w:val="0"/>
              <w:kinsoku/>
              <w:wordWrap/>
              <w:topLinePunct w:val="0"/>
              <w:bidi w:val="0"/>
              <w:spacing w:beforeAutospacing="0" w:afterAutospacing="0" w:line="360" w:lineRule="auto"/>
              <w:ind w:left="0" w:leftChars="0" w:right="0"/>
              <w:rPr>
                <w:rFonts w:ascii="宋体" w:hAnsi="宋体" w:eastAsia="宋体"/>
                <w:b w:val="0"/>
                <w:bCs w:val="0"/>
                <w:color w:val="000000" w:themeColor="text1"/>
                <w:kern w:val="0"/>
                <w:sz w:val="24"/>
                <w:szCs w:val="22"/>
                <w:highlight w:val="none"/>
                <w14:textFill>
                  <w14:solidFill>
                    <w14:schemeClr w14:val="tx1"/>
                  </w14:solidFill>
                </w14:textFill>
              </w:rPr>
            </w:pPr>
            <w:r>
              <w:rPr>
                <w:rFonts w:ascii="宋体" w:hAnsi="宋体" w:eastAsia="宋体"/>
                <w:b w:val="0"/>
                <w:bCs w:val="0"/>
                <w:color w:val="000000" w:themeColor="text1"/>
                <w:kern w:val="0"/>
                <w:sz w:val="24"/>
                <w:szCs w:val="22"/>
                <w:highlight w:val="none"/>
                <w14:textFill>
                  <w14:solidFill>
                    <w14:schemeClr w14:val="tx1"/>
                  </w14:solidFill>
                </w14:textFill>
              </w:rPr>
              <w:t>2、本项目采用电子招标投标模式，无需递交纸质文件。</w:t>
            </w:r>
          </w:p>
          <w:p w14:paraId="79DC5ABD">
            <w:pPr>
              <w:pStyle w:val="37"/>
              <w:keepNext w:val="0"/>
              <w:keepLines w:val="0"/>
              <w:pageBreakBefore w:val="0"/>
              <w:kinsoku/>
              <w:wordWrap/>
              <w:topLinePunct w:val="0"/>
              <w:bidi w:val="0"/>
              <w:spacing w:beforeAutospacing="0" w:afterAutospacing="0" w:line="360" w:lineRule="auto"/>
              <w:ind w:left="0" w:leftChars="0" w:right="0"/>
              <w:rPr>
                <w:rFonts w:ascii="宋体" w:hAnsi="宋体" w:eastAsia="宋体"/>
                <w:b w:val="0"/>
                <w:bCs w:val="0"/>
                <w:color w:val="000000" w:themeColor="text1"/>
                <w:kern w:val="0"/>
                <w:sz w:val="24"/>
                <w:szCs w:val="22"/>
                <w:highlight w:val="none"/>
                <w14:textFill>
                  <w14:solidFill>
                    <w14:schemeClr w14:val="tx1"/>
                  </w14:solidFill>
                </w14:textFill>
              </w:rPr>
            </w:pPr>
            <w:r>
              <w:rPr>
                <w:rFonts w:ascii="宋体" w:hAnsi="宋体" w:eastAsia="宋体"/>
                <w:b w:val="0"/>
                <w:bCs w:val="0"/>
                <w:color w:val="000000" w:themeColor="text1"/>
                <w:kern w:val="0"/>
                <w:sz w:val="24"/>
                <w:szCs w:val="22"/>
                <w:highlight w:val="none"/>
                <w14:textFill>
                  <w14:solidFill>
                    <w14:schemeClr w14:val="tx1"/>
                  </w14:solidFill>
                </w14:textFill>
              </w:rPr>
              <w:t>3、本项目采用远程不见面交易的模式。开标当日，投标供应商无需到达开标现场。</w:t>
            </w:r>
          </w:p>
        </w:tc>
      </w:tr>
      <w:tr w14:paraId="135F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vAlign w:val="center"/>
          </w:tcPr>
          <w:p w14:paraId="10E9B8AD">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2072" w:type="dxa"/>
            <w:tcBorders>
              <w:top w:val="single" w:color="auto" w:sz="4" w:space="0"/>
              <w:left w:val="single" w:color="auto" w:sz="4" w:space="0"/>
              <w:bottom w:val="single" w:color="auto" w:sz="4" w:space="0"/>
              <w:right w:val="single" w:color="auto" w:sz="4" w:space="0"/>
            </w:tcBorders>
            <w:vAlign w:val="center"/>
          </w:tcPr>
          <w:p w14:paraId="69FBA819">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开标时间及</w:t>
            </w:r>
          </w:p>
          <w:p w14:paraId="405398FD">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地点</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5FB7C201">
            <w:pPr>
              <w:pStyle w:val="37"/>
              <w:keepNext w:val="0"/>
              <w:keepLines w:val="0"/>
              <w:pageBreakBefore w:val="0"/>
              <w:kinsoku/>
              <w:wordWrap/>
              <w:topLinePunct w:val="0"/>
              <w:bidi w:val="0"/>
              <w:spacing w:beforeAutospacing="0" w:afterAutospacing="0" w:line="360" w:lineRule="auto"/>
              <w:ind w:left="2" w:leftChars="0" w:right="0" w:hanging="2" w:hangingChars="1"/>
              <w:rPr>
                <w:rFonts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☑采用不见面开标：</w:t>
            </w:r>
          </w:p>
          <w:p w14:paraId="08A132DE">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开标时间：同投标截止时间</w:t>
            </w:r>
          </w:p>
          <w:p w14:paraId="0A50A131">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开标地点：</w:t>
            </w:r>
            <w:bookmarkStart w:id="52" w:name="EBb9cb93a09e6f423386ef27e1ab12b20b"/>
            <w:bookmarkEnd w:id="52"/>
            <w:r>
              <w:rPr>
                <w:rFonts w:hint="eastAsia" w:ascii="宋体" w:hAnsi="宋体" w:eastAsia="宋体" w:cs="宋体"/>
                <w:b w:val="0"/>
                <w:bCs w:val="0"/>
                <w:color w:val="000000" w:themeColor="text1"/>
                <w:sz w:val="24"/>
                <w:highlight w:val="none"/>
                <w14:textFill>
                  <w14:solidFill>
                    <w14:schemeClr w14:val="tx1"/>
                  </w14:solidFill>
                </w14:textFill>
              </w:rPr>
              <w:t>政采云平台https://www.zcygov.cn/，本项目采用远程不见面交易的模式，开标当日，投标供应商无需到达开标现场。</w:t>
            </w:r>
          </w:p>
          <w:p w14:paraId="5BFA4165">
            <w:pPr>
              <w:pStyle w:val="37"/>
              <w:keepNext w:val="0"/>
              <w:keepLines w:val="0"/>
              <w:pageBreakBefore w:val="0"/>
              <w:kinsoku/>
              <w:wordWrap/>
              <w:topLinePunct w:val="0"/>
              <w:bidi w:val="0"/>
              <w:spacing w:beforeAutospacing="0" w:afterAutospacing="0" w:line="360" w:lineRule="auto"/>
              <w:ind w:left="0" w:leftChars="0" w:right="0"/>
              <w:rPr>
                <w:rFonts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不见面开标默认解密时长：</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14:textFill>
                  <w14:solidFill>
                    <w14:schemeClr w14:val="tx1"/>
                  </w14:solidFill>
                </w14:textFill>
              </w:rPr>
              <w:t>0分钟</w:t>
            </w:r>
          </w:p>
          <w:p w14:paraId="0B7B61DB">
            <w:pPr>
              <w:pStyle w:val="37"/>
              <w:keepNext w:val="0"/>
              <w:keepLines w:val="0"/>
              <w:pageBreakBefore w:val="0"/>
              <w:kinsoku/>
              <w:wordWrap/>
              <w:topLinePunct w:val="0"/>
              <w:bidi w:val="0"/>
              <w:spacing w:beforeAutospacing="0" w:afterAutospacing="0" w:line="360" w:lineRule="auto"/>
              <w:ind w:left="0" w:leftChars="0" w:right="0"/>
              <w:rPr>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关于能否延长解密时间的约定：未在规定的时间内完成相应操作的，因自身原因导致无法正常解密，均视为自动放弃该项目的投标资格。时间截止后不做任何延长。注：逾期递交或不符合规定的响应文件恕不接受。</w:t>
            </w:r>
          </w:p>
        </w:tc>
      </w:tr>
      <w:tr w14:paraId="04B7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60F1C7FB">
            <w:pPr>
              <w:pStyle w:val="37"/>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17</w:t>
            </w:r>
          </w:p>
        </w:tc>
        <w:tc>
          <w:tcPr>
            <w:tcW w:w="2072" w:type="dxa"/>
            <w:tcBorders>
              <w:top w:val="single" w:color="auto" w:sz="4" w:space="0"/>
              <w:left w:val="single" w:color="auto" w:sz="4" w:space="0"/>
              <w:bottom w:val="single" w:color="auto" w:sz="4" w:space="0"/>
              <w:right w:val="single" w:color="auto" w:sz="4" w:space="0"/>
            </w:tcBorders>
            <w:vAlign w:val="center"/>
          </w:tcPr>
          <w:p w14:paraId="75679E80">
            <w:pPr>
              <w:pStyle w:val="51"/>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b/>
                <w:color w:val="000000" w:themeColor="text1"/>
                <w:sz w:val="24"/>
                <w:szCs w:val="22"/>
                <w:highlight w:val="none"/>
                <w:lang w:val="en-US" w:eastAsia="zh-CN"/>
                <w14:textFill>
                  <w14:solidFill>
                    <w14:schemeClr w14:val="tx1"/>
                  </w14:solidFill>
                </w14:textFill>
              </w:rPr>
              <w:t>专家</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的</w:t>
            </w:r>
            <w:r>
              <w:rPr>
                <w:rFonts w:hint="eastAsia" w:ascii="宋体" w:hAnsi="宋体" w:eastAsia="宋体"/>
                <w:b/>
                <w:color w:val="000000" w:themeColor="text1"/>
                <w:kern w:val="0"/>
                <w:sz w:val="24"/>
                <w:szCs w:val="22"/>
                <w:highlight w:val="none"/>
                <w14:textFill>
                  <w14:solidFill>
                    <w14:schemeClr w14:val="tx1"/>
                  </w14:solidFill>
                </w14:textFill>
              </w:rPr>
              <w:t>组成</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200320D1">
            <w:pPr>
              <w:pStyle w:val="51"/>
              <w:keepNext w:val="0"/>
              <w:keepLines w:val="0"/>
              <w:pageBreakBefore w:val="0"/>
              <w:kinsoku/>
              <w:wordWrap/>
              <w:topLinePunct w:val="0"/>
              <w:bidi w:val="0"/>
              <w:spacing w:beforeAutospacing="0" w:afterAutospacing="0" w:line="36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采购小组构成</w:t>
            </w:r>
            <w:r>
              <w:rPr>
                <w:rFonts w:hint="eastAsia" w:ascii="宋体" w:hAnsi="宋体"/>
                <w:b/>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14:textFill>
                  <w14:solidFill>
                    <w14:schemeClr w14:val="tx1"/>
                  </w14:solidFill>
                </w14:textFill>
              </w:rPr>
              <w:t>3人</w:t>
            </w:r>
          </w:p>
          <w:p w14:paraId="075B871C">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评委确定方式：</w:t>
            </w:r>
            <w:r>
              <w:rPr>
                <w:rFonts w:hint="eastAsia" w:ascii="宋体" w:hAnsi="宋体" w:eastAsia="宋体"/>
                <w:color w:val="000000" w:themeColor="text1"/>
                <w:sz w:val="24"/>
                <w:szCs w:val="22"/>
                <w:highlight w:val="none"/>
                <w:lang w:eastAsia="zh-CN"/>
                <w14:textFill>
                  <w14:solidFill>
                    <w14:schemeClr w14:val="tx1"/>
                  </w14:solidFill>
                </w14:textFill>
              </w:rPr>
              <w:t>代理机构</w:t>
            </w:r>
            <w:r>
              <w:rPr>
                <w:rFonts w:hint="eastAsia" w:ascii="宋体" w:hAnsi="宋体" w:eastAsia="宋体"/>
                <w:color w:val="000000" w:themeColor="text1"/>
                <w:sz w:val="24"/>
                <w:szCs w:val="22"/>
                <w:highlight w:val="none"/>
                <w14:textFill>
                  <w14:solidFill>
                    <w14:schemeClr w14:val="tx1"/>
                  </w14:solidFill>
                </w14:textFill>
              </w:rPr>
              <w:t>专家库中抽取</w:t>
            </w:r>
            <w:r>
              <w:rPr>
                <w:rFonts w:hint="eastAsia" w:ascii="宋体" w:hAnsi="宋体" w:eastAsia="宋体"/>
                <w:color w:val="000000" w:themeColor="text1"/>
                <w:sz w:val="24"/>
                <w:szCs w:val="22"/>
                <w:highlight w:val="none"/>
                <w:lang w:eastAsia="zh-CN"/>
                <w14:textFill>
                  <w14:solidFill>
                    <w14:schemeClr w14:val="tx1"/>
                  </w14:solidFill>
                </w14:textFill>
              </w:rPr>
              <w:t>。</w:t>
            </w:r>
          </w:p>
        </w:tc>
      </w:tr>
      <w:tr w14:paraId="0D77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9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573D6BAC">
            <w:pPr>
              <w:pStyle w:val="37"/>
              <w:keepNext w:val="0"/>
              <w:keepLines w:val="0"/>
              <w:pageBreakBefore w:val="0"/>
              <w:kinsoku/>
              <w:wordWrap/>
              <w:topLinePunct w:val="0"/>
              <w:bidi w:val="0"/>
              <w:spacing w:beforeAutospacing="0" w:afterAutospacing="0" w:line="36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18</w:t>
            </w:r>
          </w:p>
        </w:tc>
        <w:tc>
          <w:tcPr>
            <w:tcW w:w="2072" w:type="dxa"/>
            <w:tcBorders>
              <w:top w:val="single" w:color="auto" w:sz="4" w:space="0"/>
              <w:left w:val="single" w:color="auto" w:sz="4" w:space="0"/>
              <w:bottom w:val="single" w:color="auto" w:sz="4" w:space="0"/>
              <w:right w:val="single" w:color="auto" w:sz="4" w:space="0"/>
            </w:tcBorders>
            <w:vAlign w:val="center"/>
          </w:tcPr>
          <w:p w14:paraId="1DD9D837">
            <w:pPr>
              <w:pStyle w:val="51"/>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b/>
                <w:color w:val="000000" w:themeColor="text1"/>
                <w:sz w:val="24"/>
                <w:szCs w:val="22"/>
                <w:highlight w:val="none"/>
                <w:lang w:val="en-US" w:eastAsia="zh-CN"/>
                <w14:textFill>
                  <w14:solidFill>
                    <w14:schemeClr w14:val="tx1"/>
                  </w14:solidFill>
                </w14:textFill>
              </w:rPr>
            </w:pPr>
            <w:r>
              <w:rPr>
                <w:rFonts w:hint="eastAsia" w:ascii="宋体" w:hAnsi="宋体"/>
                <w:b/>
                <w:color w:val="000000" w:themeColor="text1"/>
                <w:sz w:val="24"/>
                <w:szCs w:val="22"/>
                <w:highlight w:val="none"/>
                <w:lang w:val="en-US" w:eastAsia="zh-CN"/>
                <w14:textFill>
                  <w14:solidFill>
                    <w14:schemeClr w14:val="tx1"/>
                  </w14:solidFill>
                </w14:textFill>
              </w:rPr>
              <w:t>评审办法</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1FC00294">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 xml:space="preserve">☑资格后审      □资格预审 </w:t>
            </w:r>
          </w:p>
          <w:p w14:paraId="0D42135F">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 xml:space="preserve">□综合评分法    ☑最低评标价法 </w:t>
            </w:r>
          </w:p>
          <w:p w14:paraId="4EA504FE">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注：</w:t>
            </w:r>
          </w:p>
          <w:p w14:paraId="511FB8A5">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最低评标价法，是指以价格为主要因素确定中标供应商的评标方法，即在全部满足竞争性谈判文件实质性要求前提下，依据统一的价格要素评定最低报价，以提出最低报价的供应商作为中标候选供应商或者中标供应商的评标方法。投标报价相同的，按技术指标优劣顺序排列，技术指标较优的一方为中标人。</w:t>
            </w:r>
          </w:p>
        </w:tc>
      </w:tr>
      <w:tr w14:paraId="08AD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77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2326ADA">
            <w:pPr>
              <w:pStyle w:val="37"/>
              <w:keepNext w:val="0"/>
              <w:keepLines w:val="0"/>
              <w:pageBreakBefore w:val="0"/>
              <w:kinsoku/>
              <w:wordWrap/>
              <w:topLinePunct w:val="0"/>
              <w:bidi w:val="0"/>
              <w:spacing w:beforeAutospacing="0" w:afterAutospacing="0" w:line="36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19</w:t>
            </w:r>
          </w:p>
        </w:tc>
        <w:tc>
          <w:tcPr>
            <w:tcW w:w="2072" w:type="dxa"/>
            <w:tcBorders>
              <w:top w:val="single" w:color="auto" w:sz="4" w:space="0"/>
              <w:left w:val="single" w:color="auto" w:sz="4" w:space="0"/>
              <w:bottom w:val="single" w:color="auto" w:sz="4" w:space="0"/>
              <w:right w:val="single" w:color="auto" w:sz="4" w:space="0"/>
            </w:tcBorders>
            <w:vAlign w:val="center"/>
          </w:tcPr>
          <w:p w14:paraId="00DB6E3B">
            <w:pPr>
              <w:pStyle w:val="51"/>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b/>
                <w:color w:val="000000" w:themeColor="text1"/>
                <w:sz w:val="24"/>
                <w:szCs w:val="22"/>
                <w:highlight w:val="none"/>
                <w:lang w:val="en-US" w:eastAsia="zh-CN"/>
                <w14:textFill>
                  <w14:solidFill>
                    <w14:schemeClr w14:val="tx1"/>
                  </w14:solidFill>
                </w14:textFill>
              </w:rPr>
            </w:pPr>
            <w:r>
              <w:rPr>
                <w:rFonts w:hint="eastAsia" w:ascii="宋体" w:hAnsi="宋体"/>
                <w:b/>
                <w:color w:val="000000" w:themeColor="text1"/>
                <w:sz w:val="24"/>
                <w:szCs w:val="22"/>
                <w:highlight w:val="none"/>
                <w:lang w:val="en-US" w:eastAsia="zh-CN"/>
                <w14:textFill>
                  <w14:solidFill>
                    <w14:schemeClr w14:val="tx1"/>
                  </w14:solidFill>
                </w14:textFill>
              </w:rPr>
              <w:t>推荐成交供应商人数</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58861F7E">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宋体" w:hAnsi="宋体" w:eastAsia="宋体"/>
                <w:color w:val="000000" w:themeColor="text1"/>
                <w:sz w:val="24"/>
                <w:szCs w:val="22"/>
                <w:highlight w:val="none"/>
                <w:lang w:val="en-US" w:eastAsia="zh-CN"/>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推荐的成交供应商候选人数： 3 名</w:t>
            </w:r>
          </w:p>
        </w:tc>
      </w:tr>
      <w:tr w14:paraId="5AA8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712" w:hRule="atLeast"/>
          <w:jc w:val="center"/>
        </w:trPr>
        <w:tc>
          <w:tcPr>
            <w:tcW w:w="594" w:type="dxa"/>
            <w:tcBorders>
              <w:top w:val="single" w:color="auto" w:sz="4" w:space="0"/>
              <w:left w:val="single" w:color="auto" w:sz="4" w:space="0"/>
              <w:right w:val="single" w:color="auto" w:sz="4" w:space="0"/>
            </w:tcBorders>
            <w:shd w:val="clear" w:color="auto" w:fill="auto"/>
            <w:vAlign w:val="center"/>
          </w:tcPr>
          <w:p w14:paraId="1721C604">
            <w:pPr>
              <w:pStyle w:val="37"/>
              <w:keepNext w:val="0"/>
              <w:keepLines w:val="0"/>
              <w:pageBreakBefore w:val="0"/>
              <w:kinsoku/>
              <w:wordWrap/>
              <w:topLinePunct w:val="0"/>
              <w:bidi w:val="0"/>
              <w:spacing w:beforeAutospacing="0" w:afterAutospacing="0" w:line="36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20</w:t>
            </w:r>
          </w:p>
        </w:tc>
        <w:tc>
          <w:tcPr>
            <w:tcW w:w="2072" w:type="dxa"/>
            <w:tcBorders>
              <w:top w:val="single" w:color="auto" w:sz="4" w:space="0"/>
              <w:left w:val="single" w:color="auto" w:sz="4" w:space="0"/>
              <w:right w:val="single" w:color="auto" w:sz="4" w:space="0"/>
            </w:tcBorders>
            <w:vAlign w:val="center"/>
          </w:tcPr>
          <w:p w14:paraId="293566EB">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b/>
                <w:bCs w:val="0"/>
                <w:color w:val="000000" w:themeColor="text1"/>
                <w:kern w:val="0"/>
                <w:sz w:val="24"/>
                <w:szCs w:val="22"/>
                <w:highlight w:val="none"/>
                <w14:textFill>
                  <w14:solidFill>
                    <w14:schemeClr w14:val="tx1"/>
                  </w14:solidFill>
                </w14:textFill>
              </w:rPr>
            </w:pPr>
            <w:r>
              <w:rPr>
                <w:rFonts w:hint="eastAsia" w:ascii="宋体" w:hAnsi="宋体" w:eastAsia="宋体"/>
                <w:b/>
                <w:bCs w:val="0"/>
                <w:color w:val="000000" w:themeColor="text1"/>
                <w:kern w:val="0"/>
                <w:sz w:val="24"/>
                <w:szCs w:val="22"/>
                <w:highlight w:val="none"/>
                <w:lang w:val="en-US" w:eastAsia="zh-CN"/>
                <w14:textFill>
                  <w14:solidFill>
                    <w14:schemeClr w14:val="tx1"/>
                  </w14:solidFill>
                </w14:textFill>
              </w:rPr>
              <w:t>确定成交供应商的方法</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6C2DECDF">
            <w:pPr>
              <w:pStyle w:val="37"/>
              <w:keepNext w:val="0"/>
              <w:keepLines w:val="0"/>
              <w:pageBreakBefore w:val="0"/>
              <w:kinsoku/>
              <w:wordWrap/>
              <w:topLinePunct w:val="0"/>
              <w:bidi w:val="0"/>
              <w:spacing w:beforeAutospacing="0" w:afterAutospacing="0" w:line="360" w:lineRule="auto"/>
              <w:ind w:left="0" w:leftChars="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☑委托本项目评审小组负责 </w:t>
            </w:r>
          </w:p>
          <w:p w14:paraId="47361011">
            <w:pPr>
              <w:pStyle w:val="37"/>
              <w:keepNext w:val="0"/>
              <w:keepLines w:val="0"/>
              <w:pageBreakBefore w:val="0"/>
              <w:kinsoku/>
              <w:wordWrap/>
              <w:topLinePunct w:val="0"/>
              <w:bidi w:val="0"/>
              <w:spacing w:beforeAutospacing="0" w:afterAutospacing="0" w:line="360" w:lineRule="auto"/>
              <w:ind w:left="0" w:leftChars="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□采购单位另行研究决定 </w:t>
            </w:r>
          </w:p>
          <w:p w14:paraId="7B0931B7">
            <w:pPr>
              <w:pStyle w:val="37"/>
              <w:keepNext w:val="0"/>
              <w:keepLines w:val="0"/>
              <w:pageBreakBefore w:val="0"/>
              <w:kinsoku/>
              <w:wordWrap/>
              <w:topLinePunct w:val="0"/>
              <w:bidi w:val="0"/>
              <w:spacing w:beforeAutospacing="0" w:afterAutospacing="0" w:line="360" w:lineRule="auto"/>
              <w:ind w:left="0" w:leftChars="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□由采购单位所派代表工作单位现场负责</w:t>
            </w:r>
          </w:p>
        </w:tc>
      </w:tr>
      <w:tr w14:paraId="15D3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712" w:hRule="atLeast"/>
          <w:jc w:val="center"/>
        </w:trPr>
        <w:tc>
          <w:tcPr>
            <w:tcW w:w="594" w:type="dxa"/>
            <w:tcBorders>
              <w:top w:val="single" w:color="auto" w:sz="4" w:space="0"/>
              <w:left w:val="single" w:color="auto" w:sz="4" w:space="0"/>
              <w:right w:val="single" w:color="auto" w:sz="4" w:space="0"/>
            </w:tcBorders>
            <w:vAlign w:val="center"/>
          </w:tcPr>
          <w:p w14:paraId="56290EF4">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21</w:t>
            </w:r>
          </w:p>
        </w:tc>
        <w:tc>
          <w:tcPr>
            <w:tcW w:w="2072" w:type="dxa"/>
            <w:tcBorders>
              <w:top w:val="single" w:color="auto" w:sz="4" w:space="0"/>
              <w:left w:val="single" w:color="auto" w:sz="4" w:space="0"/>
              <w:right w:val="single" w:color="auto" w:sz="4" w:space="0"/>
            </w:tcBorders>
            <w:vAlign w:val="center"/>
          </w:tcPr>
          <w:p w14:paraId="3EDA05E1">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Cs/>
                <w:color w:val="000000" w:themeColor="text1"/>
                <w:kern w:val="0"/>
                <w:sz w:val="24"/>
                <w:szCs w:val="22"/>
                <w:highlight w:val="none"/>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eastAsia="宋体"/>
                <w:b/>
                <w:bCs w:val="0"/>
                <w:color w:val="000000" w:themeColor="text1"/>
                <w:kern w:val="0"/>
                <w:sz w:val="24"/>
                <w:szCs w:val="22"/>
                <w:highlight w:val="none"/>
                <w14:textFill>
                  <w14:solidFill>
                    <w14:schemeClr w14:val="tx1"/>
                  </w14:solidFill>
                </w14:textFill>
              </w:rPr>
              <w:t>投标保证金</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2A5E94EC">
            <w:pPr>
              <w:pStyle w:val="37"/>
              <w:keepNext w:val="0"/>
              <w:keepLines w:val="0"/>
              <w:pageBreakBefore w:val="0"/>
              <w:widowControl w:val="0"/>
              <w:kinsoku/>
              <w:wordWrap/>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sym w:font="Wingdings 2" w:char="00A3"/>
            </w:r>
            <w:r>
              <w:rPr>
                <w:rFonts w:hint="eastAsia" w:ascii="宋体" w:hAnsi="宋体" w:eastAsia="宋体"/>
                <w:bCs/>
                <w:color w:val="000000" w:themeColor="text1"/>
                <w:kern w:val="0"/>
                <w:sz w:val="24"/>
                <w:szCs w:val="22"/>
                <w:highlight w:val="none"/>
                <w14:textFill>
                  <w14:solidFill>
                    <w14:schemeClr w14:val="tx1"/>
                  </w14:solidFill>
                </w14:textFill>
              </w:rPr>
              <w:t>不交纳</w:t>
            </w:r>
          </w:p>
          <w:p w14:paraId="067400FF">
            <w:pPr>
              <w:pStyle w:val="37"/>
              <w:keepNext w:val="0"/>
              <w:keepLines w:val="0"/>
              <w:pageBreakBefore w:val="0"/>
              <w:widowControl w:val="0"/>
              <w:kinsoku/>
              <w:wordWrap/>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sym w:font="Wingdings 2" w:char="0052"/>
            </w:r>
            <w:r>
              <w:rPr>
                <w:rFonts w:hint="eastAsia" w:ascii="宋体" w:hAnsi="宋体" w:eastAsia="宋体"/>
                <w:bCs/>
                <w:color w:val="000000" w:themeColor="text1"/>
                <w:kern w:val="0"/>
                <w:sz w:val="24"/>
                <w:szCs w:val="22"/>
                <w:highlight w:val="none"/>
                <w14:textFill>
                  <w14:solidFill>
                    <w14:schemeClr w14:val="tx1"/>
                  </w14:solidFill>
                </w14:textFill>
              </w:rPr>
              <w:t>交纳</w:t>
            </w:r>
          </w:p>
          <w:p w14:paraId="51502CAC">
            <w:pPr>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保证金：</w:t>
            </w:r>
            <w:r>
              <w:rPr>
                <w:rFonts w:hint="eastAsia" w:ascii="宋体" w:hAnsi="宋体" w:cs="宋体"/>
                <w:color w:val="000000" w:themeColor="text1"/>
                <w:sz w:val="24"/>
                <w:szCs w:val="24"/>
                <w:highlight w:val="none"/>
                <w:lang w:val="en-US" w:eastAsia="zh-CN"/>
                <w14:textFill>
                  <w14:solidFill>
                    <w14:schemeClr w14:val="tx1"/>
                  </w14:solidFill>
                </w14:textFill>
              </w:rPr>
              <w:t>15000</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壹万伍仟元整</w:t>
            </w:r>
            <w:r>
              <w:rPr>
                <w:rFonts w:hint="eastAsia" w:ascii="宋体" w:hAnsi="宋体" w:eastAsia="宋体" w:cs="宋体"/>
                <w:color w:val="000000" w:themeColor="text1"/>
                <w:sz w:val="24"/>
                <w:szCs w:val="24"/>
                <w:highlight w:val="none"/>
                <w14:textFill>
                  <w14:solidFill>
                    <w14:schemeClr w14:val="tx1"/>
                  </w14:solidFill>
                </w14:textFill>
              </w:rPr>
              <w:t>）</w:t>
            </w:r>
          </w:p>
          <w:p w14:paraId="625ED3F5">
            <w:pPr>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投标保证金的形式：电汇、网银</w:t>
            </w:r>
            <w:r>
              <w:rPr>
                <w:rFonts w:hint="eastAsia" w:ascii="宋体" w:hAnsi="宋体" w:cs="宋体"/>
                <w:color w:val="000000" w:themeColor="text1"/>
                <w:sz w:val="24"/>
                <w:szCs w:val="24"/>
                <w:highlight w:val="none"/>
                <w:lang w:val="en-US" w:eastAsia="zh-CN"/>
                <w14:textFill>
                  <w14:solidFill>
                    <w14:schemeClr w14:val="tx1"/>
                  </w14:solidFill>
                </w14:textFill>
              </w:rPr>
              <w:t>、保函</w:t>
            </w:r>
            <w:r>
              <w:rPr>
                <w:rFonts w:hint="eastAsia" w:ascii="宋体" w:hAnsi="宋体" w:eastAsia="宋体" w:cs="宋体"/>
                <w:color w:val="000000" w:themeColor="text1"/>
                <w:sz w:val="24"/>
                <w:szCs w:val="24"/>
                <w:highlight w:val="none"/>
                <w:lang w:val="en-US" w:eastAsia="zh-CN"/>
                <w14:textFill>
                  <w14:solidFill>
                    <w14:schemeClr w14:val="tx1"/>
                  </w14:solidFill>
                </w14:textFill>
              </w:rPr>
              <w:t>等非现金形式。</w:t>
            </w:r>
          </w:p>
          <w:p w14:paraId="0CB54486">
            <w:pPr>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开户单位名称：新疆君凯杰工程项目管理有限公司</w:t>
            </w:r>
          </w:p>
          <w:p w14:paraId="2640AAC2">
            <w:pPr>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开户银行:中国农业银行乌鲁木齐昆仑路支行</w:t>
            </w:r>
          </w:p>
          <w:p w14:paraId="2AA49807">
            <w:pPr>
              <w:keepNext w:val="0"/>
              <w:keepLines w:val="0"/>
              <w:pageBreakBefore w:val="0"/>
              <w:widowControl w:val="0"/>
              <w:kinsoku/>
              <w:wordWrap/>
              <w:overflowPunct w:val="0"/>
              <w:topLinePunct w:val="0"/>
              <w:bidi w:val="0"/>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账    号: 30006 4010 400 10690</w:t>
            </w:r>
          </w:p>
          <w:p w14:paraId="2B5DCE1D">
            <w:pPr>
              <w:keepNext w:val="0"/>
              <w:keepLines w:val="0"/>
              <w:pageBreakBefore w:val="0"/>
              <w:widowControl w:val="0"/>
              <w:kinsoku/>
              <w:wordWrap/>
              <w:overflowPunct w:val="0"/>
              <w:topLinePunct w:val="0"/>
              <w:bidi w:val="0"/>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    号：10388 1000 646</w:t>
            </w:r>
          </w:p>
          <w:p w14:paraId="107BF115">
            <w:pPr>
              <w:keepNext w:val="0"/>
              <w:keepLines w:val="0"/>
              <w:pageBreakBefore w:val="0"/>
              <w:widowControl w:val="0"/>
              <w:kinsoku/>
              <w:wordWrap/>
              <w:overflowPunct w:val="0"/>
              <w:topLinePunct w:val="0"/>
              <w:bidi w:val="0"/>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采购代理服务费缴纳账号：（同上）</w:t>
            </w:r>
          </w:p>
          <w:p w14:paraId="38EE69FB">
            <w:pPr>
              <w:keepNext w:val="0"/>
              <w:keepLines w:val="0"/>
              <w:pageBreakBefore w:val="0"/>
              <w:widowControl w:val="0"/>
              <w:kinsoku/>
              <w:wordWrap/>
              <w:overflowPunct w:val="0"/>
              <w:topLinePunct w:val="0"/>
              <w:bidi w:val="0"/>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附注：（编号+项目名称简称）投标保证金</w:t>
            </w:r>
          </w:p>
          <w:p w14:paraId="3031E573">
            <w:pPr>
              <w:keepNext w:val="0"/>
              <w:keepLines w:val="0"/>
              <w:pageBreakBefore w:val="0"/>
              <w:widowControl w:val="0"/>
              <w:kinsoku/>
              <w:wordWrap/>
              <w:overflowPunct w:val="0"/>
              <w:topLinePunct w:val="0"/>
              <w:bidi w:val="0"/>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投标保证金必须在响应文件递交截止时间前确保到帐；供应商未按招标文件要求提交投标保证金的，响应文件无效。</w:t>
            </w:r>
          </w:p>
          <w:p w14:paraId="28D77124">
            <w:pPr>
              <w:keepNext w:val="0"/>
              <w:keepLines w:val="0"/>
              <w:pageBreakBefore w:val="0"/>
              <w:widowControl w:val="0"/>
              <w:kinsoku/>
              <w:wordWrap/>
              <w:overflowPunct w:val="0"/>
              <w:topLinePunct w:val="0"/>
              <w:bidi w:val="0"/>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保证金的退还：</w:t>
            </w:r>
          </w:p>
          <w:p w14:paraId="584F4126">
            <w:pPr>
              <w:keepNext w:val="0"/>
              <w:keepLines w:val="0"/>
              <w:pageBreakBefore w:val="0"/>
              <w:widowControl w:val="0"/>
              <w:kinsoku/>
              <w:wordWrap/>
              <w:overflowPunct w:val="0"/>
              <w:topLinePunct w:val="0"/>
              <w:bidi w:val="0"/>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（1）供应商在投标截止时间前撤回已提交的响应文件的，</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或者招标代理机构应当自收到供应商书面撤回通知之日起5个工作日内，退还已收取的投标保证金，但因供应商自身原因导致无法及时退还的除外。</w:t>
            </w:r>
          </w:p>
          <w:p w14:paraId="0B142E87">
            <w:pPr>
              <w:keepNext w:val="0"/>
              <w:keepLines w:val="0"/>
              <w:pageBreakBefore w:val="0"/>
              <w:widowControl w:val="0"/>
              <w:kinsoku/>
              <w:wordWrap/>
              <w:overflowPunct w:val="0"/>
              <w:topLinePunct w:val="0"/>
              <w:bidi w:val="0"/>
              <w:snapToGrid/>
              <w:spacing w:beforeAutospacing="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或者采购代理机构应当自中标通知书发出之日起5个工作日内退还未中标人的投标保证金，自采购合同签订之日起5个工作日内退还中标人的投标保证金。</w:t>
            </w:r>
          </w:p>
          <w:p w14:paraId="46CAD5F9">
            <w:pPr>
              <w:pStyle w:val="37"/>
              <w:keepNext w:val="0"/>
              <w:keepLines w:val="0"/>
              <w:pageBreakBefore w:val="0"/>
              <w:kinsoku/>
              <w:wordWrap/>
              <w:topLinePunct w:val="0"/>
              <w:bidi w:val="0"/>
              <w:spacing w:beforeAutospacing="0" w:afterAutospacing="0" w:line="360" w:lineRule="auto"/>
              <w:ind w:left="0" w:leftChars="0" w:right="0"/>
              <w:jc w:val="left"/>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退还中标方保证金时，中标方须提供与</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人签订的合同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扫面件一份发送至代理公司邮箱（983542424@qq.com）</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BF5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83D5388">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22</w:t>
            </w:r>
          </w:p>
        </w:tc>
        <w:tc>
          <w:tcPr>
            <w:tcW w:w="2072" w:type="dxa"/>
            <w:tcBorders>
              <w:top w:val="single" w:color="auto" w:sz="4" w:space="0"/>
              <w:left w:val="single" w:color="auto" w:sz="4" w:space="0"/>
              <w:bottom w:val="single" w:color="auto" w:sz="4" w:space="0"/>
              <w:right w:val="single" w:color="auto" w:sz="4" w:space="0"/>
            </w:tcBorders>
            <w:vAlign w:val="center"/>
          </w:tcPr>
          <w:p w14:paraId="4BBB9D96">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中小企业</w:t>
            </w:r>
          </w:p>
          <w:p w14:paraId="62D7DFFC">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有关政策</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04760E81">
            <w:pPr>
              <w:pStyle w:val="37"/>
              <w:keepNext w:val="0"/>
              <w:keepLines w:val="0"/>
              <w:pageBreakBefore w:val="0"/>
              <w:kinsoku/>
              <w:wordWrap/>
              <w:topLinePunct w:val="0"/>
              <w:bidi w:val="0"/>
              <w:spacing w:beforeAutospacing="0" w:afterAutospacing="0" w:line="360" w:lineRule="auto"/>
              <w:ind w:left="0" w:leftChars="0" w:right="0"/>
              <w:jc w:val="left"/>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t>1、</w:t>
            </w:r>
            <w:r>
              <w:rPr>
                <w:rFonts w:ascii="宋体" w:hAnsi="宋体" w:eastAsia="宋体"/>
                <w:bCs/>
                <w:color w:val="000000" w:themeColor="text1"/>
                <w:kern w:val="0"/>
                <w:sz w:val="24"/>
                <w:szCs w:val="22"/>
                <w:highlight w:val="none"/>
                <w14:textFill>
                  <w14:solidFill>
                    <w14:schemeClr w14:val="tx1"/>
                  </w14:solidFill>
                </w14:textFill>
              </w:rPr>
              <w:t>根据工信部等部委发布的《关于印发中小企业划型标准规定的通知》（工信部联企业[2011]300号）、《政府采购促进中小企业发展管理办法》（财库〔2020〕46号）、关于转发《政府采购促进中小企业发展管理办法》的通知（兵财库〔2021〕7号）、关于进一步加大政府采购支持中小企业力度的通知（财库〔2022〕19号）规定执行；（若供应商为监狱企业、残疾人福利企业，提供相应证明材料后享受中小企业同等政策。）</w:t>
            </w:r>
          </w:p>
          <w:p w14:paraId="751A727F">
            <w:pPr>
              <w:pStyle w:val="37"/>
              <w:keepNext w:val="0"/>
              <w:keepLines w:val="0"/>
              <w:pageBreakBefore w:val="0"/>
              <w:kinsoku/>
              <w:wordWrap/>
              <w:topLinePunct w:val="0"/>
              <w:bidi w:val="0"/>
              <w:spacing w:beforeAutospacing="0" w:afterAutospacing="0" w:line="360" w:lineRule="auto"/>
              <w:ind w:left="0" w:leftChars="0" w:right="0"/>
              <w:jc w:val="left"/>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t>2、</w:t>
            </w:r>
            <w:r>
              <w:rPr>
                <w:rFonts w:ascii="宋体" w:hAnsi="宋体" w:eastAsia="宋体"/>
                <w:bCs/>
                <w:color w:val="000000" w:themeColor="text1"/>
                <w:kern w:val="0"/>
                <w:sz w:val="24"/>
                <w:szCs w:val="22"/>
                <w:highlight w:val="none"/>
                <w14:textFill>
                  <w14:solidFill>
                    <w14:schemeClr w14:val="tx1"/>
                  </w14:solidFill>
                </w14:textFill>
              </w:rPr>
              <w:t>本办法所称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符合中小企业划分标准的个体工商户，在政府采购活动中视同中小企业。</w:t>
            </w:r>
          </w:p>
          <w:p w14:paraId="2D727B0C">
            <w:pPr>
              <w:pStyle w:val="37"/>
              <w:keepNext w:val="0"/>
              <w:keepLines w:val="0"/>
              <w:pageBreakBefore w:val="0"/>
              <w:kinsoku/>
              <w:wordWrap/>
              <w:topLinePunct w:val="0"/>
              <w:bidi w:val="0"/>
              <w:spacing w:beforeAutospacing="0" w:afterAutospacing="0" w:line="360" w:lineRule="auto"/>
              <w:ind w:left="0" w:leftChars="0" w:right="0"/>
              <w:jc w:val="left"/>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cs="Times New Roman"/>
                <w:bCs/>
                <w:color w:val="000000" w:themeColor="text1"/>
                <w:kern w:val="0"/>
                <w:sz w:val="24"/>
                <w:szCs w:val="22"/>
                <w:highlight w:val="none"/>
                <w14:textFill>
                  <w14:solidFill>
                    <w14:schemeClr w14:val="tx1"/>
                  </w14:solidFill>
                </w14:textFill>
              </w:rPr>
              <w:t>3、</w:t>
            </w:r>
            <w:r>
              <w:rPr>
                <w:rFonts w:hint="default" w:ascii="宋体" w:hAnsi="宋体" w:eastAsia="宋体" w:cs="Times New Roman"/>
                <w:bCs/>
                <w:color w:val="000000" w:themeColor="text1"/>
                <w:kern w:val="0"/>
                <w:sz w:val="24"/>
                <w:szCs w:val="22"/>
                <w:highlight w:val="none"/>
                <w:lang w:val="en-US" w:eastAsia="zh-CN"/>
                <w14:textFill>
                  <w14:solidFill>
                    <w14:schemeClr w14:val="tx1"/>
                  </w14:solidFill>
                </w14:textFill>
              </w:rPr>
              <w:t>本项目为</w:t>
            </w:r>
            <w:r>
              <w:rPr>
                <w:rFonts w:hint="eastAsia" w:ascii="宋体" w:hAnsi="宋体" w:eastAsia="宋体" w:cs="Times New Roman"/>
                <w:b/>
                <w:bCs w:val="0"/>
                <w:color w:val="000000" w:themeColor="text1"/>
                <w:kern w:val="0"/>
                <w:sz w:val="24"/>
                <w:szCs w:val="22"/>
                <w:highlight w:val="none"/>
                <w:lang w:val="en-US" w:eastAsia="zh-CN"/>
                <w14:textFill>
                  <w14:solidFill>
                    <w14:schemeClr w14:val="tx1"/>
                  </w14:solidFill>
                </w14:textFill>
              </w:rPr>
              <w:t>专门</w:t>
            </w:r>
            <w:r>
              <w:rPr>
                <w:rFonts w:hint="eastAsia" w:ascii="宋体" w:hAnsi="宋体" w:eastAsia="宋体" w:cs="Times New Roman"/>
                <w:bCs/>
                <w:color w:val="000000" w:themeColor="text1"/>
                <w:kern w:val="0"/>
                <w:sz w:val="24"/>
                <w:szCs w:val="22"/>
                <w:highlight w:val="none"/>
                <w:lang w:val="en-US" w:eastAsia="zh-CN"/>
                <w14:textFill>
                  <w14:solidFill>
                    <w14:schemeClr w14:val="tx1"/>
                  </w14:solidFill>
                </w14:textFill>
              </w:rPr>
              <w:t>面向中小企业采购；</w:t>
            </w:r>
          </w:p>
          <w:p w14:paraId="6D98B5C5">
            <w:pPr>
              <w:pStyle w:val="37"/>
              <w:keepNext w:val="0"/>
              <w:keepLines w:val="0"/>
              <w:pageBreakBefore w:val="0"/>
              <w:kinsoku/>
              <w:wordWrap/>
              <w:topLinePunct w:val="0"/>
              <w:bidi w:val="0"/>
              <w:spacing w:beforeAutospacing="0" w:afterAutospacing="0" w:line="360" w:lineRule="auto"/>
              <w:ind w:left="0" w:leftChars="0" w:right="0"/>
              <w:jc w:val="left"/>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t>4、</w:t>
            </w:r>
            <w:r>
              <w:rPr>
                <w:rFonts w:ascii="宋体" w:hAnsi="宋体" w:eastAsia="宋体"/>
                <w:bCs/>
                <w:color w:val="000000" w:themeColor="text1"/>
                <w:kern w:val="0"/>
                <w:sz w:val="24"/>
                <w:szCs w:val="22"/>
                <w:highlight w:val="none"/>
                <w14:textFill>
                  <w14:solidFill>
                    <w14:schemeClr w14:val="tx1"/>
                  </w14:solidFill>
                </w14:textFill>
              </w:rPr>
              <w:t>本项目所有标的产品的所属行业：</w:t>
            </w:r>
            <w:r>
              <w:rPr>
                <w:rFonts w:hint="eastAsia" w:ascii="宋体" w:hAnsi="宋体" w:eastAsia="宋体"/>
                <w:bCs/>
                <w:color w:val="000000" w:themeColor="text1"/>
                <w:kern w:val="0"/>
                <w:sz w:val="24"/>
                <w:szCs w:val="22"/>
                <w:highlight w:val="none"/>
                <w:u w:val="single"/>
                <w:lang w:val="en-US" w:eastAsia="zh-CN"/>
                <w14:textFill>
                  <w14:solidFill>
                    <w14:schemeClr w14:val="tx1"/>
                  </w14:solidFill>
                </w14:textFill>
              </w:rPr>
              <w:t xml:space="preserve">  </w:t>
            </w:r>
            <w:r>
              <w:rPr>
                <w:rFonts w:hint="eastAsia" w:ascii="宋体" w:hAnsi="宋体" w:eastAsia="宋体"/>
                <w:b/>
                <w:bCs w:val="0"/>
                <w:color w:val="000000" w:themeColor="text1"/>
                <w:kern w:val="0"/>
                <w:sz w:val="24"/>
                <w:szCs w:val="22"/>
                <w:highlight w:val="none"/>
                <w:u w:val="single"/>
                <w:lang w:val="en-US" w:eastAsia="zh-CN"/>
                <w14:textFill>
                  <w14:solidFill>
                    <w14:schemeClr w14:val="tx1"/>
                  </w14:solidFill>
                </w14:textFill>
              </w:rPr>
              <w:t>软件和信息技术服务业</w:t>
            </w:r>
            <w:r>
              <w:rPr>
                <w:rFonts w:hint="eastAsia" w:ascii="宋体" w:hAnsi="宋体" w:eastAsia="宋体"/>
                <w:bCs/>
                <w:color w:val="000000" w:themeColor="text1"/>
                <w:kern w:val="0"/>
                <w:sz w:val="24"/>
                <w:szCs w:val="22"/>
                <w:highlight w:val="none"/>
                <w:u w:val="single"/>
                <w:lang w:val="en-US" w:eastAsia="zh-CN"/>
                <w14:textFill>
                  <w14:solidFill>
                    <w14:schemeClr w14:val="tx1"/>
                  </w14:solidFill>
                </w14:textFill>
              </w:rPr>
              <w:t xml:space="preserve"> </w:t>
            </w:r>
            <w:r>
              <w:rPr>
                <w:rFonts w:hint="eastAsia" w:ascii="宋体" w:hAnsi="宋体" w:eastAsia="宋体"/>
                <w:bCs/>
                <w:color w:val="000000" w:themeColor="text1"/>
                <w:kern w:val="0"/>
                <w:sz w:val="24"/>
                <w:szCs w:val="22"/>
                <w:highlight w:val="none"/>
                <w14:textFill>
                  <w14:solidFill>
                    <w14:schemeClr w14:val="tx1"/>
                  </w14:solidFill>
                </w14:textFill>
              </w:rPr>
              <w:t>。</w:t>
            </w:r>
          </w:p>
          <w:p w14:paraId="6F1AB7A2">
            <w:pPr>
              <w:pStyle w:val="37"/>
              <w:keepNext w:val="0"/>
              <w:keepLines w:val="0"/>
              <w:pageBreakBefore w:val="0"/>
              <w:kinsoku/>
              <w:wordWrap/>
              <w:topLinePunct w:val="0"/>
              <w:bidi w:val="0"/>
              <w:spacing w:beforeAutospacing="0" w:afterAutospacing="0" w:line="360" w:lineRule="auto"/>
              <w:ind w:left="0" w:leftChars="0" w:right="0"/>
              <w:jc w:val="left"/>
              <w:rPr>
                <w:color w:val="000000" w:themeColor="text1"/>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t>5、供应商须对其声明的真实性负责，若与事实不符的，将依照《政府采购法》第七十七条第一款的规定追究法</w:t>
            </w:r>
            <w:r>
              <w:rPr>
                <w:rFonts w:hint="eastAsia" w:ascii="宋体" w:hAnsi="宋体" w:eastAsia="宋体" w:cs="宋体"/>
                <w:color w:val="000000" w:themeColor="text1"/>
                <w:sz w:val="24"/>
                <w:highlight w:val="none"/>
                <w14:textFill>
                  <w14:solidFill>
                    <w14:schemeClr w14:val="tx1"/>
                  </w14:solidFill>
                </w14:textFill>
              </w:rPr>
              <w:t>律责任。</w:t>
            </w:r>
          </w:p>
        </w:tc>
      </w:tr>
      <w:tr w14:paraId="2197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vAlign w:val="center"/>
          </w:tcPr>
          <w:p w14:paraId="18C6A9F3">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23</w:t>
            </w:r>
          </w:p>
        </w:tc>
        <w:tc>
          <w:tcPr>
            <w:tcW w:w="2072" w:type="dxa"/>
            <w:tcBorders>
              <w:top w:val="single" w:color="auto" w:sz="4" w:space="0"/>
              <w:left w:val="single" w:color="auto" w:sz="4" w:space="0"/>
              <w:bottom w:val="single" w:color="auto" w:sz="4" w:space="0"/>
              <w:right w:val="single" w:color="auto" w:sz="4" w:space="0"/>
            </w:tcBorders>
            <w:vAlign w:val="center"/>
          </w:tcPr>
          <w:p w14:paraId="6B1DD7BC">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技术部分是否采用“暗标”评审方式</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4E7B9EEE">
            <w:pPr>
              <w:pStyle w:val="37"/>
              <w:keepNext w:val="0"/>
              <w:keepLines w:val="0"/>
              <w:pageBreakBefore w:val="0"/>
              <w:kinsoku/>
              <w:wordWrap/>
              <w:topLinePunct w:val="0"/>
              <w:bidi w:val="0"/>
              <w:spacing w:beforeAutospacing="0" w:afterAutospacing="0" w:line="360" w:lineRule="auto"/>
              <w:ind w:left="0" w:leftChars="0" w:right="0"/>
              <w:rPr>
                <w:rFonts w:ascii="宋体" w:hAnsi="宋体" w:eastAsia="宋体"/>
                <w:b w:val="0"/>
                <w:bCs w:val="0"/>
                <w:color w:val="000000" w:themeColor="text1"/>
                <w:kern w:val="0"/>
                <w:sz w:val="24"/>
                <w:szCs w:val="22"/>
                <w:highlight w:val="none"/>
                <w14:textFill>
                  <w14:solidFill>
                    <w14:schemeClr w14:val="tx1"/>
                  </w14:solidFill>
                </w14:textFill>
              </w:rPr>
            </w:pPr>
            <w:bookmarkStart w:id="53" w:name="EB6b9b19d6907e432b9afa43d195c134f7"/>
            <w:bookmarkEnd w:id="53"/>
            <w:r>
              <w:rPr>
                <w:rFonts w:hint="eastAsia" w:ascii="宋体" w:hAnsi="宋体" w:eastAsia="宋体" w:cs="宋体"/>
                <w:b w:val="0"/>
                <w:bCs w:val="0"/>
                <w:color w:val="000000" w:themeColor="text1"/>
                <w:kern w:val="0"/>
                <w:sz w:val="24"/>
                <w:szCs w:val="24"/>
                <w:highlight w:val="none"/>
                <w14:textFill>
                  <w14:solidFill>
                    <w14:schemeClr w14:val="tx1"/>
                  </w14:solidFill>
                </w14:textFill>
              </w:rPr>
              <w:sym w:font="Wingdings 2" w:char="00A3"/>
            </w:r>
            <w:r>
              <w:rPr>
                <w:rFonts w:hint="eastAsia" w:ascii="宋体" w:hAnsi="宋体" w:eastAsia="宋体" w:cs="宋体"/>
                <w:b w:val="0"/>
                <w:bCs w:val="0"/>
                <w:color w:val="000000" w:themeColor="text1"/>
                <w:kern w:val="0"/>
                <w:sz w:val="24"/>
                <w:szCs w:val="24"/>
                <w:highlight w:val="none"/>
                <w14:textFill>
                  <w14:solidFill>
                    <w14:schemeClr w14:val="tx1"/>
                  </w14:solidFill>
                </w14:textFill>
              </w:rPr>
              <w:t>是</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☑否</w:t>
            </w:r>
          </w:p>
        </w:tc>
      </w:tr>
      <w:tr w14:paraId="45E9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605" w:hRule="atLeast"/>
          <w:jc w:val="center"/>
        </w:trPr>
        <w:tc>
          <w:tcPr>
            <w:tcW w:w="594" w:type="dxa"/>
            <w:tcBorders>
              <w:top w:val="single" w:color="auto" w:sz="4" w:space="0"/>
              <w:left w:val="single" w:color="auto" w:sz="4" w:space="0"/>
              <w:right w:val="single" w:color="auto" w:sz="4" w:space="0"/>
            </w:tcBorders>
            <w:vAlign w:val="center"/>
          </w:tcPr>
          <w:p w14:paraId="010CD8D5">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24</w:t>
            </w:r>
          </w:p>
        </w:tc>
        <w:tc>
          <w:tcPr>
            <w:tcW w:w="2072" w:type="dxa"/>
            <w:tcBorders>
              <w:top w:val="single" w:color="auto" w:sz="4" w:space="0"/>
              <w:left w:val="single" w:color="auto" w:sz="4" w:space="0"/>
              <w:right w:val="single" w:color="auto" w:sz="4" w:space="0"/>
            </w:tcBorders>
            <w:vAlign w:val="center"/>
          </w:tcPr>
          <w:p w14:paraId="7DB3B3E9">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yellow"/>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履约保证金</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1068E41A">
            <w:pPr>
              <w:pStyle w:val="51"/>
              <w:keepNext w:val="0"/>
              <w:keepLines w:val="0"/>
              <w:pageBreakBefore w:val="0"/>
              <w:kinsoku/>
              <w:wordWrap/>
              <w:topLinePunct w:val="0"/>
              <w:bidi w:val="0"/>
              <w:spacing w:beforeAutospacing="0" w:afterAutospacing="0" w:line="360" w:lineRule="auto"/>
              <w:ind w:left="0" w:leftChars="0" w:right="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□交纳</w:t>
            </w:r>
          </w:p>
          <w:p w14:paraId="2E5FBA19">
            <w:pPr>
              <w:pStyle w:val="51"/>
              <w:keepNext w:val="0"/>
              <w:keepLines w:val="0"/>
              <w:pageBreakBefore w:val="0"/>
              <w:kinsoku/>
              <w:wordWrap/>
              <w:topLinePunct w:val="0"/>
              <w:bidi w:val="0"/>
              <w:spacing w:beforeAutospacing="0" w:afterAutospacing="0" w:line="360" w:lineRule="auto"/>
              <w:ind w:left="0" w:leftChars="0" w:right="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 xml:space="preserve">交纳形式：允许供应商自主选择以支票、汇票、本票、电汇、转账、网银、保函等非现金形式交纳。 </w:t>
            </w:r>
          </w:p>
          <w:p w14:paraId="0AF86CEB">
            <w:pPr>
              <w:pStyle w:val="51"/>
              <w:keepNext w:val="0"/>
              <w:keepLines w:val="0"/>
              <w:pageBreakBefore w:val="0"/>
              <w:kinsoku/>
              <w:wordWrap/>
              <w:topLinePunct w:val="0"/>
              <w:bidi w:val="0"/>
              <w:spacing w:beforeAutospacing="0" w:afterAutospacing="0" w:line="360" w:lineRule="auto"/>
              <w:ind w:left="0" w:leftChars="0" w:right="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交纳时间：在签订本合同之日</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4"/>
                <w:highlight w:val="none"/>
                <w:lang w:val="en-US" w:eastAsia="zh-CN"/>
                <w14:textFill>
                  <w14:solidFill>
                    <w14:schemeClr w14:val="tx1"/>
                  </w14:solidFill>
                </w14:textFill>
              </w:rPr>
              <w:t xml:space="preserve"> </w:t>
            </w:r>
          </w:p>
          <w:p w14:paraId="4F66DA05">
            <w:pPr>
              <w:pStyle w:val="51"/>
              <w:keepNext w:val="0"/>
              <w:keepLines w:val="0"/>
              <w:pageBreakBefore w:val="0"/>
              <w:kinsoku/>
              <w:wordWrap/>
              <w:topLinePunct w:val="0"/>
              <w:bidi w:val="0"/>
              <w:spacing w:beforeAutospacing="0" w:afterAutospacing="0" w:line="360" w:lineRule="auto"/>
              <w:ind w:left="0" w:leftChars="0" w:right="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交纳金额：合同总价金额的</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4"/>
                <w:highlight w:val="none"/>
                <w:lang w:val="en-US" w:eastAsia="zh-CN"/>
                <w14:textFill>
                  <w14:solidFill>
                    <w14:schemeClr w14:val="tx1"/>
                  </w14:solidFill>
                </w14:textFill>
              </w:rPr>
              <w:t xml:space="preserve">% </w:t>
            </w:r>
          </w:p>
          <w:p w14:paraId="588F8723">
            <w:pPr>
              <w:pStyle w:val="51"/>
              <w:keepNext w:val="0"/>
              <w:keepLines w:val="0"/>
              <w:pageBreakBefore w:val="0"/>
              <w:kinsoku/>
              <w:wordWrap/>
              <w:topLinePunct w:val="0"/>
              <w:bidi w:val="0"/>
              <w:spacing w:beforeAutospacing="0" w:afterAutospacing="0" w:line="360" w:lineRule="auto"/>
              <w:ind w:left="0" w:leftChars="0" w:right="0"/>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收款单位：</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 xml:space="preserve">    </w:t>
            </w:r>
          </w:p>
          <w:p w14:paraId="05FCC579">
            <w:pPr>
              <w:pStyle w:val="51"/>
              <w:keepNext w:val="0"/>
              <w:keepLines w:val="0"/>
              <w:pageBreakBefore w:val="0"/>
              <w:kinsoku/>
              <w:wordWrap/>
              <w:topLinePunct w:val="0"/>
              <w:bidi w:val="0"/>
              <w:spacing w:beforeAutospacing="0" w:afterAutospacing="0" w:line="360" w:lineRule="auto"/>
              <w:ind w:left="0" w:leftChars="0" w:right="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开户银行：</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 xml:space="preserve">    </w:t>
            </w:r>
          </w:p>
          <w:p w14:paraId="78F0B37C">
            <w:pPr>
              <w:pStyle w:val="51"/>
              <w:keepNext w:val="0"/>
              <w:keepLines w:val="0"/>
              <w:pageBreakBefore w:val="0"/>
              <w:kinsoku/>
              <w:wordWrap/>
              <w:topLinePunct w:val="0"/>
              <w:bidi w:val="0"/>
              <w:spacing w:beforeAutospacing="0" w:afterAutospacing="0" w:line="360" w:lineRule="auto"/>
              <w:ind w:left="0" w:leftChars="0" w:right="0"/>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银行账号：</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 xml:space="preserve">    </w:t>
            </w:r>
          </w:p>
          <w:p w14:paraId="726A130A">
            <w:pPr>
              <w:pStyle w:val="51"/>
              <w:keepNext w:val="0"/>
              <w:keepLines w:val="0"/>
              <w:pageBreakBefore w:val="0"/>
              <w:kinsoku/>
              <w:wordWrap/>
              <w:topLinePunct w:val="0"/>
              <w:bidi w:val="0"/>
              <w:spacing w:beforeAutospacing="0" w:afterAutospacing="0" w:line="360" w:lineRule="auto"/>
              <w:ind w:left="0" w:leftChars="0" w:right="0"/>
              <w:rPr>
                <w:rFonts w:ascii="宋体" w:eastAsia="宋体" w:cs="宋体"/>
                <w:b w:val="0"/>
                <w:bCs w:val="0"/>
                <w:color w:val="000000" w:themeColor="text1"/>
                <w:kern w:val="2"/>
                <w:sz w:val="24"/>
                <w:szCs w:val="24"/>
                <w:highlight w:val="yellow"/>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sym w:font="Wingdings 2" w:char="0052"/>
            </w:r>
            <w:r>
              <w:rPr>
                <w:rFonts w:hint="eastAsia" w:ascii="宋体" w:hAnsi="宋体" w:cs="宋体"/>
                <w:b w:val="0"/>
                <w:bCs w:val="0"/>
                <w:color w:val="000000" w:themeColor="text1"/>
                <w:sz w:val="24"/>
                <w:highlight w:val="none"/>
                <w14:textFill>
                  <w14:solidFill>
                    <w14:schemeClr w14:val="tx1"/>
                  </w14:solidFill>
                </w14:textFill>
              </w:rPr>
              <w:t>不交纳</w:t>
            </w:r>
          </w:p>
        </w:tc>
      </w:tr>
      <w:tr w14:paraId="33F5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36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A116308">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25</w:t>
            </w:r>
          </w:p>
        </w:tc>
        <w:tc>
          <w:tcPr>
            <w:tcW w:w="2072" w:type="dxa"/>
            <w:tcBorders>
              <w:top w:val="single" w:color="auto" w:sz="4" w:space="0"/>
              <w:left w:val="single" w:color="auto" w:sz="4" w:space="0"/>
              <w:bottom w:val="single" w:color="auto" w:sz="4" w:space="0"/>
              <w:right w:val="single" w:color="auto" w:sz="4" w:space="0"/>
            </w:tcBorders>
            <w:vAlign w:val="center"/>
          </w:tcPr>
          <w:p w14:paraId="4E4A7191">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最后报价要求</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410C9120">
            <w:pPr>
              <w:pStyle w:val="11"/>
              <w:keepNext w:val="0"/>
              <w:keepLines w:val="0"/>
              <w:pageBreakBefore w:val="0"/>
              <w:kinsoku/>
              <w:wordWrap/>
              <w:topLinePunct w:val="0"/>
              <w:bidi w:val="0"/>
              <w:spacing w:beforeAutospacing="0" w:after="0" w:afterAutospacing="0" w:line="360" w:lineRule="auto"/>
              <w:ind w:left="0" w:leftChars="0" w:right="0"/>
              <w:rPr>
                <w:rFonts w:hint="eastAsia" w:ascii="宋体" w:hAnsi="宋体" w:cs="宋体"/>
                <w:b w:val="0"/>
                <w:bCs w:val="0"/>
                <w:color w:val="000000" w:themeColor="text1"/>
                <w:sz w:val="24"/>
                <w:highlight w:val="none"/>
                <w:lang w:val="zh-CN"/>
                <w14:textFill>
                  <w14:solidFill>
                    <w14:schemeClr w14:val="tx1"/>
                  </w14:solidFill>
                </w14:textFill>
              </w:rPr>
            </w:pPr>
            <w:r>
              <w:rPr>
                <w:rFonts w:hint="eastAsia" w:ascii="宋体" w:hAnsi="宋体" w:cs="宋体"/>
                <w:b w:val="0"/>
                <w:bCs w:val="0"/>
                <w:color w:val="000000" w:themeColor="text1"/>
                <w:sz w:val="24"/>
                <w:highlight w:val="none"/>
                <w:lang w:val="zh-CN" w:eastAsia="zh-CN"/>
                <w14:textFill>
                  <w14:solidFill>
                    <w14:schemeClr w14:val="tx1"/>
                  </w14:solidFill>
                </w14:textFill>
              </w:rPr>
              <w:t>1、报价轮数:两轮报价，由各供应商使用 CA 锁在政采云平台进行最后报价。在不改变采购需求中的技术、服务要求以及合同草案条款，或未改变谈判文件其他实质性的内容的前提下，第二轮报价不能超过第一次报价；</w:t>
            </w:r>
          </w:p>
          <w:p w14:paraId="71368410">
            <w:pPr>
              <w:pStyle w:val="11"/>
              <w:keepNext w:val="0"/>
              <w:keepLines w:val="0"/>
              <w:pageBreakBefore w:val="0"/>
              <w:kinsoku/>
              <w:wordWrap/>
              <w:topLinePunct w:val="0"/>
              <w:bidi w:val="0"/>
              <w:spacing w:beforeAutospacing="0" w:after="0" w:afterAutospacing="0" w:line="360" w:lineRule="auto"/>
              <w:ind w:left="0" w:leftChars="0" w:right="0"/>
              <w:rPr>
                <w:rFonts w:hint="eastAsia" w:ascii="宋体" w:hAnsi="宋体" w:cs="宋体"/>
                <w:b w:val="0"/>
                <w:bCs w:val="0"/>
                <w:color w:val="000000" w:themeColor="text1"/>
                <w:sz w:val="24"/>
                <w:highlight w:val="none"/>
                <w:lang w:val="zh-CN"/>
                <w14:textFill>
                  <w14:solidFill>
                    <w14:schemeClr w14:val="tx1"/>
                  </w14:solidFill>
                </w14:textFill>
              </w:rPr>
            </w:pPr>
            <w:r>
              <w:rPr>
                <w:rFonts w:hint="eastAsia" w:ascii="宋体" w:hAnsi="宋体" w:cs="宋体"/>
                <w:b w:val="0"/>
                <w:bCs w:val="0"/>
                <w:color w:val="000000" w:themeColor="text1"/>
                <w:sz w:val="24"/>
                <w:highlight w:val="none"/>
                <w:lang w:val="zh-CN" w:eastAsia="zh-CN"/>
                <w14:textFill>
                  <w14:solidFill>
                    <w14:schemeClr w14:val="tx1"/>
                  </w14:solidFill>
                </w14:textFill>
              </w:rPr>
              <w:t>2、报价时长：</w:t>
            </w:r>
            <w:r>
              <w:rPr>
                <w:rFonts w:hint="eastAsia" w:ascii="宋体" w:hAnsi="宋体" w:cs="宋体"/>
                <w:b w:val="0"/>
                <w:bCs w:val="0"/>
                <w:color w:val="000000" w:themeColor="text1"/>
                <w:sz w:val="24"/>
                <w:highlight w:val="none"/>
                <w:lang w:val="en-US" w:eastAsia="zh-CN"/>
                <w14:textFill>
                  <w14:solidFill>
                    <w14:schemeClr w14:val="tx1"/>
                  </w14:solidFill>
                </w14:textFill>
              </w:rPr>
              <w:t>3</w:t>
            </w:r>
            <w:r>
              <w:rPr>
                <w:rFonts w:hint="eastAsia" w:ascii="宋体" w:hAnsi="宋体" w:cs="宋体"/>
                <w:b w:val="0"/>
                <w:bCs w:val="0"/>
                <w:color w:val="000000" w:themeColor="text1"/>
                <w:sz w:val="24"/>
                <w:highlight w:val="none"/>
                <w:lang w:val="zh-CN" w:eastAsia="zh-CN"/>
                <w14:textFill>
                  <w14:solidFill>
                    <w14:schemeClr w14:val="tx1"/>
                  </w14:solidFill>
                </w14:textFill>
              </w:rPr>
              <w:t>0 分钟，在谈判小组发起轮次报价时，系统进入</w:t>
            </w:r>
            <w:r>
              <w:rPr>
                <w:rFonts w:hint="eastAsia" w:ascii="宋体" w:hAnsi="宋体" w:cs="宋体"/>
                <w:b w:val="0"/>
                <w:bCs w:val="0"/>
                <w:color w:val="000000" w:themeColor="text1"/>
                <w:sz w:val="24"/>
                <w:highlight w:val="none"/>
                <w:lang w:val="en-US" w:eastAsia="zh-CN"/>
                <w14:textFill>
                  <w14:solidFill>
                    <w14:schemeClr w14:val="tx1"/>
                  </w14:solidFill>
                </w14:textFill>
              </w:rPr>
              <w:t>3</w:t>
            </w:r>
            <w:r>
              <w:rPr>
                <w:rFonts w:hint="eastAsia" w:ascii="宋体" w:hAnsi="宋体" w:cs="宋体"/>
                <w:b w:val="0"/>
                <w:bCs w:val="0"/>
                <w:color w:val="000000" w:themeColor="text1"/>
                <w:sz w:val="24"/>
                <w:highlight w:val="none"/>
                <w:lang w:val="zh-CN" w:eastAsia="zh-CN"/>
                <w14:textFill>
                  <w14:solidFill>
                    <w14:schemeClr w14:val="tx1"/>
                  </w14:solidFill>
                </w14:textFill>
              </w:rPr>
              <w:t>0 分钟倒计时，已提交响应文件的供应商，若未按规定时间提交最后报价，视为退出谈判。（注：任何由于投标供应商自身原因如：中途离开、无法联系上等造成的超出时限无法报价的后果由各投标供应商自行承担）</w:t>
            </w:r>
          </w:p>
          <w:p w14:paraId="6634A137">
            <w:pPr>
              <w:pStyle w:val="11"/>
              <w:keepNext w:val="0"/>
              <w:keepLines w:val="0"/>
              <w:pageBreakBefore w:val="0"/>
              <w:kinsoku/>
              <w:wordWrap/>
              <w:topLinePunct w:val="0"/>
              <w:bidi w:val="0"/>
              <w:spacing w:beforeAutospacing="0" w:after="0" w:afterAutospacing="0" w:line="360" w:lineRule="auto"/>
              <w:ind w:left="0" w:leftChars="0" w:right="0"/>
              <w:rPr>
                <w:rFonts w:hint="default" w:ascii="宋体" w:hAnsi="宋体" w:cs="宋体"/>
                <w:b w:val="0"/>
                <w:bCs w:val="0"/>
                <w:color w:val="000000" w:themeColor="text1"/>
                <w:sz w:val="24"/>
                <w:highlight w:val="none"/>
                <w:lang w:val="en-US"/>
                <w14:textFill>
                  <w14:solidFill>
                    <w14:schemeClr w14:val="tx1"/>
                  </w14:solidFill>
                </w14:textFill>
              </w:rPr>
            </w:pPr>
            <w:r>
              <w:rPr>
                <w:rFonts w:hint="eastAsia" w:ascii="宋体" w:hAnsi="宋体" w:cs="宋体"/>
                <w:b w:val="0"/>
                <w:bCs w:val="0"/>
                <w:color w:val="000000" w:themeColor="text1"/>
                <w:sz w:val="24"/>
                <w:highlight w:val="yellow"/>
                <w:lang w:val="zh-CN" w:eastAsia="zh-CN"/>
                <w14:textFill>
                  <w14:solidFill>
                    <w14:schemeClr w14:val="tx1"/>
                  </w14:solidFill>
                </w14:textFill>
              </w:rPr>
              <w:t>3、二轮报价为针对本项目的最终报价作为执行合同的价格。</w:t>
            </w:r>
            <w:r>
              <w:rPr>
                <w:rFonts w:hint="eastAsia" w:ascii="宋体" w:hAnsi="宋体" w:cs="宋体"/>
                <w:b w:val="0"/>
                <w:bCs w:val="0"/>
                <w:color w:val="000000" w:themeColor="text1"/>
                <w:sz w:val="24"/>
                <w:highlight w:val="yellow"/>
                <w:lang w:val="en-US" w:eastAsia="zh-CN"/>
                <w14:textFill>
                  <w14:solidFill>
                    <w14:schemeClr w14:val="tx1"/>
                  </w14:solidFill>
                </w14:textFill>
              </w:rPr>
              <w:t>备注：在合同签订前成交单位需以首次响应文件中的报价清单为基础，计算出总价的折扣率，然后将该折扣率分摊到报价清单的单价上，提供最终已标价的清单。</w:t>
            </w:r>
          </w:p>
        </w:tc>
      </w:tr>
      <w:tr w14:paraId="48F1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49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66BCA9D">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2072" w:type="dxa"/>
            <w:tcBorders>
              <w:top w:val="single" w:color="auto" w:sz="4" w:space="0"/>
              <w:left w:val="single" w:color="auto" w:sz="4" w:space="0"/>
              <w:bottom w:val="single" w:color="auto" w:sz="4" w:space="0"/>
              <w:right w:val="single" w:color="auto" w:sz="4" w:space="0"/>
            </w:tcBorders>
            <w:vAlign w:val="center"/>
          </w:tcPr>
          <w:p w14:paraId="6D926A7A">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代理服务费</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1675EE60">
            <w:pPr>
              <w:pStyle w:val="51"/>
              <w:keepNext w:val="0"/>
              <w:keepLines w:val="0"/>
              <w:pageBreakBefore w:val="0"/>
              <w:kinsoku/>
              <w:wordWrap/>
              <w:topLinePunct w:val="0"/>
              <w:bidi w:val="0"/>
              <w:spacing w:beforeAutospacing="0" w:afterAutospacing="0" w:line="360" w:lineRule="auto"/>
              <w:ind w:left="0" w:leftChars="0" w:right="0"/>
              <w:jc w:val="left"/>
              <w:rPr>
                <w:rFonts w:ascii="宋体" w:hAnsi="宋体" w:cs="宋体"/>
                <w:b w:val="0"/>
                <w:bCs w:val="0"/>
                <w:color w:val="000000" w:themeColor="text1"/>
                <w:sz w:val="24"/>
                <w:highlight w:val="none"/>
                <w14:textFill>
                  <w14:solidFill>
                    <w14:schemeClr w14:val="tx1"/>
                  </w14:solidFill>
                </w14:textFill>
              </w:rPr>
            </w:pPr>
            <w:bookmarkStart w:id="54" w:name="EBab54cac318db41e28e6dac8386188fc3"/>
            <w:bookmarkEnd w:id="54"/>
            <w:r>
              <w:rPr>
                <w:rFonts w:hint="eastAsia" w:ascii="宋体" w:hAnsi="宋体" w:cs="宋体"/>
                <w:b w:val="0"/>
                <w:bCs w:val="0"/>
                <w:color w:val="000000" w:themeColor="text1"/>
                <w:sz w:val="24"/>
                <w:highlight w:val="none"/>
                <w14:textFill>
                  <w14:solidFill>
                    <w14:schemeClr w14:val="tx1"/>
                  </w14:solidFill>
                </w14:textFill>
              </w:rPr>
              <w:t>交纳时间：中标（成交）单位在领取中标（成交）通知书时</w:t>
            </w:r>
          </w:p>
          <w:p w14:paraId="0370E9FD">
            <w:pPr>
              <w:pStyle w:val="51"/>
              <w:keepNext w:val="0"/>
              <w:keepLines w:val="0"/>
              <w:pageBreakBefore w:val="0"/>
              <w:kinsoku/>
              <w:wordWrap/>
              <w:topLinePunct w:val="0"/>
              <w:bidi w:val="0"/>
              <w:spacing w:beforeAutospacing="0" w:afterAutospacing="0" w:line="360" w:lineRule="auto"/>
              <w:ind w:left="0" w:leftChars="0" w:right="0"/>
              <w:jc w:val="left"/>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交纳金额：采购人委托了专业的招标代理机构实施本次招标工作。招标代理服务费根据本公司与采购人的代理协议约定，采购代理服务费由成交人向代理机构支付，采购代理服务费以成交金额作为收费的计算基数</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收费标准为1.5%。</w:t>
            </w:r>
          </w:p>
          <w:p w14:paraId="68BDF8DE">
            <w:pPr>
              <w:pStyle w:val="51"/>
              <w:keepNext w:val="0"/>
              <w:keepLines w:val="0"/>
              <w:pageBreakBefore w:val="0"/>
              <w:kinsoku/>
              <w:wordWrap/>
              <w:topLinePunct w:val="0"/>
              <w:bidi w:val="0"/>
              <w:spacing w:beforeAutospacing="0" w:afterAutospacing="0" w:line="360" w:lineRule="auto"/>
              <w:ind w:left="0" w:leftChars="0" w:right="0"/>
              <w:jc w:val="left"/>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根据上述文件的规定，本次招标代理服务费由</w:t>
            </w:r>
            <w:r>
              <w:rPr>
                <w:rFonts w:hint="eastAsia" w:ascii="宋体" w:hAnsi="宋体" w:cs="宋体"/>
                <w:b w:val="0"/>
                <w:bCs w:val="0"/>
                <w:color w:val="000000" w:themeColor="text1"/>
                <w:sz w:val="24"/>
                <w:highlight w:val="none"/>
                <w:lang w:val="en-US" w:eastAsia="zh-CN"/>
                <w14:textFill>
                  <w14:solidFill>
                    <w14:schemeClr w14:val="tx1"/>
                  </w14:solidFill>
                </w14:textFill>
              </w:rPr>
              <w:t>成交</w:t>
            </w:r>
            <w:r>
              <w:rPr>
                <w:rFonts w:hint="eastAsia" w:ascii="宋体" w:hAnsi="宋体" w:cs="宋体"/>
                <w:b w:val="0"/>
                <w:bCs w:val="0"/>
                <w:color w:val="000000" w:themeColor="text1"/>
                <w:sz w:val="24"/>
                <w:highlight w:val="none"/>
                <w14:textFill>
                  <w14:solidFill>
                    <w14:schemeClr w14:val="tx1"/>
                  </w14:solidFill>
                </w14:textFill>
              </w:rPr>
              <w:t>单位支付。</w:t>
            </w:r>
            <w:r>
              <w:rPr>
                <w:rFonts w:hint="eastAsia" w:ascii="宋体" w:hAnsi="宋体" w:cs="宋体"/>
                <w:b w:val="0"/>
                <w:bCs w:val="0"/>
                <w:color w:val="000000" w:themeColor="text1"/>
                <w:sz w:val="24"/>
                <w:highlight w:val="none"/>
                <w:lang w:eastAsia="zh-CN"/>
                <w14:textFill>
                  <w14:solidFill>
                    <w14:schemeClr w14:val="tx1"/>
                  </w14:solidFill>
                </w14:textFill>
              </w:rPr>
              <w:t>成交人</w:t>
            </w:r>
            <w:r>
              <w:rPr>
                <w:rFonts w:hint="eastAsia" w:ascii="宋体" w:hAnsi="宋体" w:cs="宋体"/>
                <w:b w:val="0"/>
                <w:bCs w:val="0"/>
                <w:color w:val="000000" w:themeColor="text1"/>
                <w:sz w:val="24"/>
                <w:highlight w:val="none"/>
                <w14:textFill>
                  <w14:solidFill>
                    <w14:schemeClr w14:val="tx1"/>
                  </w14:solidFill>
                </w14:textFill>
              </w:rPr>
              <w:t>不再支付其他任何费用和款项。</w:t>
            </w:r>
          </w:p>
          <w:p w14:paraId="5940F2F5">
            <w:pPr>
              <w:pStyle w:val="54"/>
              <w:keepNext w:val="0"/>
              <w:keepLines w:val="0"/>
              <w:pageBreakBefore w:val="0"/>
              <w:kinsoku/>
              <w:wordWrap/>
              <w:topLinePunct w:val="0"/>
              <w:bidi w:val="0"/>
              <w:spacing w:beforeAutospacing="0" w:afterAutospacing="0" w:line="360" w:lineRule="auto"/>
              <w:ind w:left="518" w:leftChars="0" w:right="0" w:hanging="518" w:hangingChars="216"/>
              <w:jc w:val="left"/>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代理服务费汇款信息：</w:t>
            </w:r>
          </w:p>
          <w:p w14:paraId="0325D478">
            <w:pPr>
              <w:pStyle w:val="54"/>
              <w:keepNext w:val="0"/>
              <w:keepLines w:val="0"/>
              <w:pageBreakBefore w:val="0"/>
              <w:kinsoku/>
              <w:wordWrap/>
              <w:topLinePunct w:val="0"/>
              <w:bidi w:val="0"/>
              <w:spacing w:beforeAutospacing="0" w:afterAutospacing="0" w:line="360" w:lineRule="auto"/>
              <w:ind w:left="518" w:leftChars="0" w:right="0" w:hanging="518" w:hangingChars="216"/>
              <w:jc w:val="left"/>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收款单位：新疆君凯杰工程项目管理有限公司</w:t>
            </w:r>
          </w:p>
          <w:p w14:paraId="213B5FFA">
            <w:pPr>
              <w:pStyle w:val="54"/>
              <w:keepNext w:val="0"/>
              <w:keepLines w:val="0"/>
              <w:pageBreakBefore w:val="0"/>
              <w:kinsoku/>
              <w:wordWrap/>
              <w:topLinePunct w:val="0"/>
              <w:bidi w:val="0"/>
              <w:spacing w:beforeAutospacing="0" w:afterAutospacing="0" w:line="360" w:lineRule="auto"/>
              <w:ind w:left="518" w:leftChars="0" w:right="0" w:hanging="518" w:hangingChars="216"/>
              <w:jc w:val="left"/>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开户银行：中国农业银行乌鲁木齐昆仑路支行</w:t>
            </w:r>
          </w:p>
          <w:p w14:paraId="0FE577DB">
            <w:pPr>
              <w:pStyle w:val="54"/>
              <w:keepNext w:val="0"/>
              <w:keepLines w:val="0"/>
              <w:pageBreakBefore w:val="0"/>
              <w:kinsoku/>
              <w:wordWrap/>
              <w:topLinePunct w:val="0"/>
              <w:bidi w:val="0"/>
              <w:spacing w:beforeAutospacing="0" w:afterAutospacing="0" w:line="360" w:lineRule="auto"/>
              <w:ind w:left="518" w:leftChars="0" w:right="0" w:hanging="518" w:hangingChars="216"/>
              <w:jc w:val="left"/>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银行账号：30006401040010690</w:t>
            </w:r>
          </w:p>
          <w:p w14:paraId="69A0280A">
            <w:pPr>
              <w:keepNext w:val="0"/>
              <w:keepLines w:val="0"/>
              <w:pageBreakBefore w:val="0"/>
              <w:widowControl/>
              <w:kinsoku/>
              <w:wordWrap/>
              <w:topLinePunct w:val="0"/>
              <w:bidi w:val="0"/>
              <w:spacing w:beforeAutospacing="0" w:afterAutospacing="0" w:line="360" w:lineRule="auto"/>
              <w:ind w:left="0" w:leftChars="0" w:right="0"/>
              <w:jc w:val="left"/>
              <w:textAlignment w:val="baseline"/>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开户行号：103881000646</w:t>
            </w:r>
          </w:p>
          <w:p w14:paraId="030E3893">
            <w:pPr>
              <w:pStyle w:val="11"/>
              <w:keepNext w:val="0"/>
              <w:keepLines w:val="0"/>
              <w:pageBreakBefore w:val="0"/>
              <w:kinsoku/>
              <w:wordWrap/>
              <w:topLinePunct w:val="0"/>
              <w:bidi w:val="0"/>
              <w:spacing w:beforeAutospacing="0" w:after="0" w:afterAutospacing="0" w:line="36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s="宋体"/>
                <w:b w:val="0"/>
                <w:bCs w:val="0"/>
                <w:color w:val="000000" w:themeColor="text1"/>
                <w:sz w:val="24"/>
                <w:highlight w:val="none"/>
                <w:lang w:val="zh-CN"/>
                <w14:textFill>
                  <w14:solidFill>
                    <w14:schemeClr w14:val="tx1"/>
                  </w14:solidFill>
                </w14:textFill>
              </w:rPr>
              <w:t>(注明项目编号、项目名称，以便登记、查询)。</w:t>
            </w:r>
          </w:p>
        </w:tc>
      </w:tr>
      <w:tr w14:paraId="2349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70E3063C">
            <w:pPr>
              <w:pStyle w:val="37"/>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27</w:t>
            </w:r>
          </w:p>
        </w:tc>
        <w:tc>
          <w:tcPr>
            <w:tcW w:w="2072" w:type="dxa"/>
            <w:tcBorders>
              <w:top w:val="single" w:color="auto" w:sz="4" w:space="0"/>
              <w:left w:val="single" w:color="auto" w:sz="4" w:space="0"/>
              <w:bottom w:val="single" w:color="auto" w:sz="4" w:space="0"/>
              <w:right w:val="single" w:color="auto" w:sz="4" w:space="0"/>
            </w:tcBorders>
            <w:vAlign w:val="center"/>
          </w:tcPr>
          <w:p w14:paraId="0EDB02C5">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争议的解决</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581B47D2">
            <w:pPr>
              <w:pStyle w:val="37"/>
              <w:keepNext w:val="0"/>
              <w:keepLines w:val="0"/>
              <w:pageBreakBefore w:val="0"/>
              <w:kinsoku/>
              <w:wordWrap/>
              <w:topLinePunct w:val="0"/>
              <w:bidi w:val="0"/>
              <w:spacing w:beforeAutospacing="0" w:afterAutospacing="0" w:line="360" w:lineRule="auto"/>
              <w:ind w:left="0" w:leftChars="0" w:right="0"/>
              <w:rPr>
                <w:rFonts w:ascii="宋体" w:hAnsi="宋体" w:eastAsia="宋体"/>
                <w:color w:val="000000" w:themeColor="text1"/>
                <w:sz w:val="24"/>
                <w:szCs w:val="22"/>
                <w:highlight w:val="none"/>
                <w14:textFill>
                  <w14:solidFill>
                    <w14:schemeClr w14:val="tx1"/>
                  </w14:solidFill>
                </w14:textFill>
              </w:rPr>
            </w:pPr>
            <w:bookmarkStart w:id="55" w:name="EB99761000dd4b46ac86a3f3daaf46418a"/>
            <w:bookmarkEnd w:id="55"/>
            <w:bookmarkStart w:id="56" w:name="EBfccade37b80d427c8050f6c32f24c7e6"/>
            <w:r>
              <w:rPr>
                <w:rFonts w:hint="eastAsia" w:ascii="宋体" w:hAnsi="宋体" w:eastAsia="宋体" w:cs="宋体"/>
                <w:color w:val="000000" w:themeColor="text1"/>
                <w:sz w:val="24"/>
                <w:szCs w:val="22"/>
                <w:highlight w:val="none"/>
                <w14:textFill>
                  <w14:solidFill>
                    <w14:schemeClr w14:val="tx1"/>
                  </w14:solidFill>
                </w14:textFill>
              </w:rPr>
              <w:t>若甲、乙双方发生纠纷，应首先友好协商解决，如不能达成一致意见，向采购单位所在地人民法院提起诉讼</w:t>
            </w:r>
            <w:bookmarkEnd w:id="56"/>
            <w:r>
              <w:rPr>
                <w:rFonts w:hint="eastAsia" w:ascii="宋体" w:hAnsi="宋体" w:eastAsia="宋体" w:cs="宋体"/>
                <w:color w:val="000000" w:themeColor="text1"/>
                <w:sz w:val="24"/>
                <w:szCs w:val="22"/>
                <w:highlight w:val="none"/>
                <w14:textFill>
                  <w14:solidFill>
                    <w14:schemeClr w14:val="tx1"/>
                  </w14:solidFill>
                </w14:textFill>
              </w:rPr>
              <w:t>。</w:t>
            </w:r>
          </w:p>
        </w:tc>
      </w:tr>
      <w:tr w14:paraId="586B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4179855">
            <w:pPr>
              <w:pStyle w:val="37"/>
              <w:keepNext w:val="0"/>
              <w:keepLines w:val="0"/>
              <w:pageBreakBefore w:val="0"/>
              <w:kinsoku/>
              <w:wordWrap/>
              <w:topLinePunct w:val="0"/>
              <w:bidi w:val="0"/>
              <w:spacing w:beforeAutospacing="0" w:afterAutospacing="0" w:line="36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28</w:t>
            </w:r>
          </w:p>
        </w:tc>
        <w:tc>
          <w:tcPr>
            <w:tcW w:w="2072" w:type="dxa"/>
            <w:tcBorders>
              <w:top w:val="single" w:color="auto" w:sz="4" w:space="0"/>
              <w:left w:val="single" w:color="auto" w:sz="4" w:space="0"/>
              <w:bottom w:val="single" w:color="auto" w:sz="4" w:space="0"/>
              <w:right w:val="single" w:color="auto" w:sz="4" w:space="0"/>
            </w:tcBorders>
            <w:vAlign w:val="center"/>
          </w:tcPr>
          <w:p w14:paraId="5ED262F3">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现场陈述</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7A39213E">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olor w:val="000000" w:themeColor="text1"/>
                <w:sz w:val="24"/>
                <w:szCs w:val="22"/>
                <w:highlight w:val="none"/>
                <w14:textFill>
                  <w14:solidFill>
                    <w14:schemeClr w14:val="tx1"/>
                  </w14:solidFill>
                </w14:textFill>
              </w:rPr>
            </w:pPr>
            <w:bookmarkStart w:id="57" w:name="EBb04aba7a60c0423082f0862a0509ef85"/>
            <w:bookmarkEnd w:id="57"/>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szCs w:val="22"/>
                <w:highlight w:val="none"/>
                <w14:textFill>
                  <w14:solidFill>
                    <w14:schemeClr w14:val="tx1"/>
                  </w14:solidFill>
                </w14:textFill>
              </w:rPr>
              <w:t>不需要</w:t>
            </w:r>
          </w:p>
          <w:p w14:paraId="189F1C15">
            <w:pPr>
              <w:pStyle w:val="37"/>
              <w:keepNext w:val="0"/>
              <w:keepLines w:val="0"/>
              <w:pageBreakBefore w:val="0"/>
              <w:kinsoku/>
              <w:wordWrap/>
              <w:topLinePunct w:val="0"/>
              <w:bidi w:val="0"/>
              <w:spacing w:beforeAutospacing="0" w:afterAutospacing="0" w:line="360" w:lineRule="auto"/>
              <w:ind w:left="0" w:leftChars="0" w:right="0"/>
              <w:rPr>
                <w:rFonts w:hint="eastAsia"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□需要，陈述要求如下：</w:t>
            </w:r>
          </w:p>
        </w:tc>
      </w:tr>
      <w:tr w14:paraId="1248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783B0E5">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29</w:t>
            </w:r>
          </w:p>
        </w:tc>
        <w:tc>
          <w:tcPr>
            <w:tcW w:w="2072" w:type="dxa"/>
            <w:tcBorders>
              <w:top w:val="single" w:color="auto" w:sz="4" w:space="0"/>
              <w:left w:val="single" w:color="auto" w:sz="4" w:space="0"/>
              <w:bottom w:val="single" w:color="auto" w:sz="4" w:space="0"/>
              <w:right w:val="single" w:color="auto" w:sz="4" w:space="0"/>
            </w:tcBorders>
            <w:vAlign w:val="center"/>
          </w:tcPr>
          <w:p w14:paraId="1A4C8EE8">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仿宋"/>
                <w:b/>
                <w:color w:val="000000" w:themeColor="text1"/>
                <w:kern w:val="0"/>
                <w:sz w:val="24"/>
                <w:szCs w:val="22"/>
                <w:highlight w:val="none"/>
                <w:lang w:eastAsia="zh-CN"/>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b/>
                <w:color w:val="000000" w:themeColor="text1"/>
                <w:kern w:val="0"/>
                <w:sz w:val="24"/>
                <w:szCs w:val="22"/>
                <w:highlight w:val="none"/>
                <w:lang w:eastAsia="zh-CN"/>
                <w14:textFill>
                  <w14:solidFill>
                    <w14:schemeClr w14:val="tx1"/>
                  </w14:solidFill>
                </w14:textFill>
              </w:rPr>
              <w:t>服务期限</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4C814843">
            <w:pPr>
              <w:pStyle w:val="21"/>
              <w:keepNext w:val="0"/>
              <w:keepLines w:val="0"/>
              <w:pageBreakBefore w:val="0"/>
              <w:widowControl/>
              <w:tabs>
                <w:tab w:val="left" w:pos="3570"/>
              </w:tabs>
              <w:kinsoku/>
              <w:wordWrap/>
              <w:topLinePunct w:val="0"/>
              <w:bidi w:val="0"/>
              <w:spacing w:beforeAutospacing="0" w:after="0" w:afterAutospacing="0" w:line="360" w:lineRule="auto"/>
              <w:ind w:left="0" w:leftChars="0" w:right="0"/>
              <w:jc w:val="left"/>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lang w:eastAsia="zh-CN"/>
                <w14:textFill>
                  <w14:solidFill>
                    <w14:schemeClr w14:val="tx1"/>
                  </w14:solidFill>
                </w14:textFill>
              </w:rPr>
              <w:t>合同签订</w:t>
            </w:r>
            <w:r>
              <w:rPr>
                <w:rFonts w:hint="eastAsia" w:ascii="宋体" w:hAnsi="宋体" w:cs="宋体"/>
                <w:color w:val="000000" w:themeColor="text1"/>
                <w:kern w:val="0"/>
                <w:szCs w:val="24"/>
                <w:highlight w:val="none"/>
                <w:lang w:val="en-US" w:eastAsia="zh-CN"/>
                <w14:textFill>
                  <w14:solidFill>
                    <w14:schemeClr w14:val="tx1"/>
                  </w14:solidFill>
                </w14:textFill>
              </w:rPr>
              <w:t>后</w:t>
            </w:r>
            <w:r>
              <w:rPr>
                <w:rFonts w:hint="eastAsia" w:ascii="宋体" w:hAnsi="宋体" w:cs="宋体"/>
                <w:color w:val="000000" w:themeColor="text1"/>
                <w:kern w:val="0"/>
                <w:szCs w:val="24"/>
                <w:highlight w:val="none"/>
                <w:lang w:eastAsia="zh-CN"/>
                <w14:textFill>
                  <w14:solidFill>
                    <w14:schemeClr w14:val="tx1"/>
                  </w14:solidFill>
                </w14:textFill>
              </w:rPr>
              <w:t>1年。</w:t>
            </w:r>
          </w:p>
        </w:tc>
      </w:tr>
      <w:tr w14:paraId="3F5B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1C3144A6">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30</w:t>
            </w:r>
          </w:p>
        </w:tc>
        <w:tc>
          <w:tcPr>
            <w:tcW w:w="2072" w:type="dxa"/>
            <w:tcBorders>
              <w:top w:val="single" w:color="auto" w:sz="4" w:space="0"/>
              <w:left w:val="single" w:color="auto" w:sz="4" w:space="0"/>
              <w:bottom w:val="single" w:color="auto" w:sz="4" w:space="0"/>
              <w:right w:val="single" w:color="auto" w:sz="4" w:space="0"/>
            </w:tcBorders>
            <w:vAlign w:val="center"/>
          </w:tcPr>
          <w:p w14:paraId="0698D24C">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仿宋"/>
                <w:b/>
                <w:color w:val="000000" w:themeColor="text1"/>
                <w:kern w:val="0"/>
                <w:sz w:val="24"/>
                <w:szCs w:val="22"/>
                <w:highlight w:val="none"/>
                <w:lang w:eastAsia="zh-CN"/>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b/>
                <w:color w:val="000000" w:themeColor="text1"/>
                <w:kern w:val="0"/>
                <w:sz w:val="24"/>
                <w:szCs w:val="22"/>
                <w:highlight w:val="none"/>
                <w:lang w:eastAsia="zh-CN"/>
                <w14:textFill>
                  <w14:solidFill>
                    <w14:schemeClr w14:val="tx1"/>
                  </w14:solidFill>
                </w14:textFill>
              </w:rPr>
              <w:t>服务地点</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3001104B">
            <w:pPr>
              <w:pStyle w:val="37"/>
              <w:keepNext w:val="0"/>
              <w:keepLines w:val="0"/>
              <w:pageBreakBefore w:val="0"/>
              <w:kinsoku/>
              <w:wordWrap/>
              <w:topLinePunct w:val="0"/>
              <w:bidi w:val="0"/>
              <w:spacing w:beforeAutospacing="0" w:afterAutospacing="0" w:line="360" w:lineRule="auto"/>
              <w:ind w:left="0" w:leftChars="0" w:right="0"/>
              <w:rPr>
                <w:rFonts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新疆乌鲁木齐市天山区团结路1551号新疆出入境边防检查总站机关及所属站级单位。</w:t>
            </w:r>
          </w:p>
        </w:tc>
      </w:tr>
      <w:tr w14:paraId="0902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5C900C87">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31</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39DED9AD">
            <w:pPr>
              <w:pStyle w:val="37"/>
              <w:keepNext w:val="0"/>
              <w:keepLines w:val="0"/>
              <w:pageBreakBefore w:val="0"/>
              <w:kinsoku/>
              <w:wordWrap/>
              <w:topLinePunct w:val="0"/>
              <w:bidi w:val="0"/>
              <w:spacing w:beforeAutospacing="0" w:afterAutospacing="0" w:line="360" w:lineRule="auto"/>
              <w:ind w:left="0" w:leftChars="0" w:right="0" w:rightChars="0"/>
              <w:jc w:val="center"/>
              <w:rPr>
                <w:rFonts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b/>
                <w:color w:val="000000" w:themeColor="text1"/>
                <w:kern w:val="0"/>
                <w:sz w:val="24"/>
                <w:szCs w:val="22"/>
                <w:highlight w:val="none"/>
                <w14:textFill>
                  <w14:solidFill>
                    <w14:schemeClr w14:val="tx1"/>
                  </w14:solidFill>
                </w14:textFill>
              </w:rPr>
              <w:t>付款方式</w:t>
            </w:r>
          </w:p>
        </w:tc>
        <w:tc>
          <w:tcPr>
            <w:tcW w:w="6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9A3AE6">
            <w:pPr>
              <w:pStyle w:val="57"/>
              <w:keepNext w:val="0"/>
              <w:keepLines w:val="0"/>
              <w:pageBreakBefore w:val="0"/>
              <w:kinsoku/>
              <w:wordWrap/>
              <w:topLinePunct w:val="0"/>
              <w:bidi w:val="0"/>
              <w:spacing w:beforeAutospacing="0" w:afterAutospacing="0" w:line="360" w:lineRule="auto"/>
              <w:ind w:left="0" w:leftChars="0" w:right="0" w:rightChars="0"/>
              <w:rPr>
                <w:rFonts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甲乙双方签订合同后30日内支付50%的合同款,服务期满6个月后支付40%的合同款，验收合格后支付10%的尾款 (具体金额以审计结果为准，项目验收完成后，由甲方审计部门审计， 出具审计报告书，乙方根据审计报告开具剩余金额项目款发票)。</w:t>
            </w:r>
          </w:p>
        </w:tc>
      </w:tr>
      <w:tr w14:paraId="1AC1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A834A27">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t>32</w:t>
            </w:r>
          </w:p>
        </w:tc>
        <w:tc>
          <w:tcPr>
            <w:tcW w:w="2072" w:type="dxa"/>
            <w:tcBorders>
              <w:top w:val="single" w:color="auto" w:sz="4" w:space="0"/>
              <w:left w:val="single" w:color="auto" w:sz="4" w:space="0"/>
              <w:bottom w:val="single" w:color="auto" w:sz="4" w:space="0"/>
              <w:right w:val="single" w:color="auto" w:sz="4" w:space="0"/>
            </w:tcBorders>
            <w:vAlign w:val="center"/>
          </w:tcPr>
          <w:p w14:paraId="7EC4F55A">
            <w:pPr>
              <w:pStyle w:val="37"/>
              <w:keepNext w:val="0"/>
              <w:keepLines w:val="0"/>
              <w:pageBreakBefore w:val="0"/>
              <w:kinsoku/>
              <w:wordWrap/>
              <w:topLinePunct w:val="0"/>
              <w:bidi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eastAsia="宋体"/>
                <w:b/>
                <w:color w:val="000000" w:themeColor="text1"/>
                <w:kern w:val="0"/>
                <w:sz w:val="24"/>
                <w:szCs w:val="22"/>
                <w:highlight w:val="none"/>
                <w14:textFill>
                  <w14:solidFill>
                    <w14:schemeClr w14:val="tx1"/>
                  </w14:solidFill>
                </w14:textFill>
              </w:rPr>
              <w:t>履约验收标准</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5CEB09A3">
            <w:pPr>
              <w:pStyle w:val="57"/>
              <w:keepNext w:val="0"/>
              <w:keepLines w:val="0"/>
              <w:pageBreakBefore w:val="0"/>
              <w:kinsoku/>
              <w:wordWrap/>
              <w:topLinePunct w:val="0"/>
              <w:bidi w:val="0"/>
              <w:spacing w:beforeAutospacing="0" w:afterAutospacing="0" w:line="360" w:lineRule="auto"/>
              <w:ind w:left="0" w:leftChars="0" w:right="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验收按照合同计划执行，验收人员由甲方相关人员与</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人员共同组成。由</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对维保服务进行总结，提供全年维护服务记录及相应佐证材料。</w:t>
            </w:r>
          </w:p>
        </w:tc>
      </w:tr>
      <w:tr w14:paraId="552B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7A4480A">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t>33</w:t>
            </w:r>
          </w:p>
        </w:tc>
        <w:tc>
          <w:tcPr>
            <w:tcW w:w="2072" w:type="dxa"/>
            <w:tcBorders>
              <w:top w:val="single" w:color="auto" w:sz="4" w:space="0"/>
              <w:left w:val="single" w:color="auto" w:sz="4" w:space="0"/>
              <w:bottom w:val="single" w:color="auto" w:sz="4" w:space="0"/>
              <w:right w:val="single" w:color="auto" w:sz="4" w:space="0"/>
            </w:tcBorders>
            <w:vAlign w:val="center"/>
          </w:tcPr>
          <w:p w14:paraId="5DC91969">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jc w:val="center"/>
              <w:rPr>
                <w:rFonts w:hint="eastAsia"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其他</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186C099C">
            <w:pPr>
              <w:pStyle w:val="59"/>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1、本项目的招标投标活动以及相关当事人须接受财政监督部门依法实施的监督。</w:t>
            </w:r>
          </w:p>
          <w:p w14:paraId="1C9A70D8">
            <w:pPr>
              <w:pStyle w:val="59"/>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 xml:space="preserve">3、本项目不接受任何可调整的报价及备选方案。 </w:t>
            </w:r>
          </w:p>
          <w:p w14:paraId="0FC7851F">
            <w:pPr>
              <w:pStyle w:val="59"/>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4、投标报价具有唯一性，未超过采购项目预算，本项目不接受选择性报价，对于出现的政采云平台开标唱标环节经投标供应商确认的投标报价与投标文件中报价一览表的报价不一致的现象，视作选择性报价，将被作为无效投标处理。</w:t>
            </w:r>
          </w:p>
          <w:p w14:paraId="590716D3">
            <w:pPr>
              <w:pStyle w:val="59"/>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5、在中标（成交）通知书发出之日起 30 日内，按照采购文件确定的事项签订采购合同，并在合同签订后将合同上传至政府采购网进行公示。</w:t>
            </w:r>
          </w:p>
          <w:p w14:paraId="5575D29D">
            <w:pPr>
              <w:pStyle w:val="59"/>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 xml:space="preserve">6、合同签订当日，中标供应商须将本项目《政府采购合同》 </w:t>
            </w:r>
          </w:p>
          <w:p w14:paraId="12EDDE5B">
            <w:pPr>
              <w:pStyle w:val="59"/>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 xml:space="preserve">扫描件发送至采购代理机构邮箱 983542424@qq.com。 </w:t>
            </w:r>
          </w:p>
          <w:p w14:paraId="4E6EF3D5">
            <w:pPr>
              <w:pStyle w:val="59"/>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lang w:val="en-US" w:eastAsia="zh-CN"/>
                <w14:textFill>
                  <w14:solidFill>
                    <w14:schemeClr w14:val="tx1"/>
                  </w14:solidFill>
                </w14:textFill>
              </w:rPr>
              <w:t>7、本《</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供应商</w:t>
            </w:r>
            <w:r>
              <w:rPr>
                <w:rFonts w:hint="eastAsia" w:ascii="宋体" w:hAnsi="宋体" w:eastAsia="宋体"/>
                <w:color w:val="000000" w:themeColor="text1"/>
                <w:sz w:val="24"/>
                <w:szCs w:val="22"/>
                <w:highlight w:val="none"/>
                <w:lang w:val="en-US" w:eastAsia="zh-CN"/>
                <w14:textFill>
                  <w14:solidFill>
                    <w14:schemeClr w14:val="tx1"/>
                  </w14:solidFill>
                </w14:textFill>
              </w:rPr>
              <w:t>须知前附表》是对《</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供应商</w:t>
            </w:r>
            <w:r>
              <w:rPr>
                <w:rFonts w:hint="eastAsia" w:ascii="宋体" w:hAnsi="宋体" w:eastAsia="宋体"/>
                <w:color w:val="000000" w:themeColor="text1"/>
                <w:sz w:val="24"/>
                <w:szCs w:val="22"/>
                <w:highlight w:val="none"/>
                <w:lang w:val="en-US" w:eastAsia="zh-CN"/>
                <w14:textFill>
                  <w14:solidFill>
                    <w14:schemeClr w14:val="tx1"/>
                  </w14:solidFill>
                </w14:textFill>
              </w:rPr>
              <w:t>须知正文》的强调、说明、修正或者补充，凡《</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供应商</w:t>
            </w:r>
            <w:r>
              <w:rPr>
                <w:rFonts w:hint="eastAsia" w:ascii="宋体" w:hAnsi="宋体" w:eastAsia="宋体"/>
                <w:color w:val="000000" w:themeColor="text1"/>
                <w:sz w:val="24"/>
                <w:szCs w:val="22"/>
                <w:highlight w:val="none"/>
                <w:lang w:val="en-US" w:eastAsia="zh-CN"/>
                <w14:textFill>
                  <w14:solidFill>
                    <w14:schemeClr w14:val="tx1"/>
                  </w14:solidFill>
                </w14:textFill>
              </w:rPr>
              <w:t>须知前附表》的相关内容与正文不一致的，以《</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供应商</w:t>
            </w:r>
            <w:r>
              <w:rPr>
                <w:rFonts w:hint="eastAsia" w:ascii="宋体" w:hAnsi="宋体" w:eastAsia="宋体"/>
                <w:color w:val="000000" w:themeColor="text1"/>
                <w:sz w:val="24"/>
                <w:szCs w:val="22"/>
                <w:highlight w:val="none"/>
                <w:lang w:val="en-US" w:eastAsia="zh-CN"/>
                <w14:textFill>
                  <w14:solidFill>
                    <w14:schemeClr w14:val="tx1"/>
                  </w14:solidFill>
                </w14:textFill>
              </w:rPr>
              <w:t>须知前附表》为准。</w:t>
            </w:r>
          </w:p>
        </w:tc>
      </w:tr>
      <w:tr w14:paraId="710A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066303F">
            <w:pPr>
              <w:pStyle w:val="37"/>
              <w:keepNext w:val="0"/>
              <w:keepLines w:val="0"/>
              <w:pageBreakBefore w:val="0"/>
              <w:kinsoku/>
              <w:wordWrap/>
              <w:topLinePunct w:val="0"/>
              <w:bidi w:val="0"/>
              <w:spacing w:beforeAutospacing="0" w:afterAutospacing="0" w:line="360" w:lineRule="auto"/>
              <w:ind w:left="0" w:leftChars="0" w:right="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34</w:t>
            </w:r>
          </w:p>
        </w:tc>
        <w:tc>
          <w:tcPr>
            <w:tcW w:w="2072" w:type="dxa"/>
            <w:tcBorders>
              <w:top w:val="single" w:color="auto" w:sz="4" w:space="0"/>
              <w:left w:val="single" w:color="auto" w:sz="4" w:space="0"/>
              <w:bottom w:val="single" w:color="auto" w:sz="4" w:space="0"/>
              <w:right w:val="single" w:color="auto" w:sz="4" w:space="0"/>
            </w:tcBorders>
            <w:vAlign w:val="center"/>
          </w:tcPr>
          <w:p w14:paraId="79EE6FDF">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ascii="宋体" w:hAnsi="宋体" w:eastAsia="宋体"/>
                <w:b/>
                <w:color w:val="000000" w:themeColor="text1"/>
                <w:kern w:val="0"/>
                <w:sz w:val="24"/>
                <w:szCs w:val="22"/>
                <w:highlight w:val="none"/>
                <w:lang w:val="en-US" w:eastAsia="zh-CN"/>
                <w14:textFill>
                  <w14:solidFill>
                    <w14:schemeClr w14:val="tx1"/>
                  </w14:solidFill>
                </w14:textFill>
              </w:rPr>
              <w:t>质疑的提出</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11D83F1B">
            <w:pPr>
              <w:pStyle w:val="4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lang w:val="en-US" w:eastAsia="zh-CN"/>
                <w14:textFill>
                  <w14:solidFill>
                    <w14:schemeClr w14:val="tx1"/>
                  </w14:solidFill>
                </w14:textFill>
              </w:rPr>
              <w:t>供应商应在法定质疑期内一次性提出针对同一采购程序环</w:t>
            </w:r>
            <w:r>
              <w:rPr>
                <w:rFonts w:hint="eastAsia" w:ascii="宋体" w:hAnsi="宋体" w:eastAsia="宋体" w:cs="宋体"/>
                <w:color w:val="000000" w:themeColor="text1"/>
                <w:sz w:val="24"/>
                <w:highlight w:val="none"/>
                <w:lang w:val="en-US" w:eastAsia="zh-CN"/>
                <w14:textFill>
                  <w14:solidFill>
                    <w14:schemeClr w14:val="tx1"/>
                  </w14:solidFill>
                </w14:textFill>
              </w:rPr>
              <w:t>节的质疑。逾期未提出的视同理解和接受。</w:t>
            </w:r>
          </w:p>
        </w:tc>
      </w:tr>
      <w:tr w14:paraId="4D45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797"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FBB7C15">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5</w:t>
            </w:r>
          </w:p>
        </w:tc>
        <w:tc>
          <w:tcPr>
            <w:tcW w:w="2072" w:type="dxa"/>
            <w:tcBorders>
              <w:top w:val="single" w:color="auto" w:sz="4" w:space="0"/>
              <w:left w:val="single" w:color="auto" w:sz="4" w:space="0"/>
              <w:bottom w:val="single" w:color="auto" w:sz="4" w:space="0"/>
              <w:right w:val="single" w:color="auto" w:sz="4" w:space="0"/>
            </w:tcBorders>
            <w:vAlign w:val="center"/>
          </w:tcPr>
          <w:p w14:paraId="3E715216">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ascii="宋体" w:hAnsi="宋体" w:eastAsia="宋体"/>
                <w:b/>
                <w:color w:val="000000" w:themeColor="text1"/>
                <w:kern w:val="0"/>
                <w:sz w:val="24"/>
                <w:szCs w:val="22"/>
                <w:highlight w:val="none"/>
                <w:lang w:val="en-US" w:eastAsia="zh-CN"/>
                <w14:textFill>
                  <w14:solidFill>
                    <w14:schemeClr w14:val="tx1"/>
                  </w14:solidFill>
                </w14:textFill>
              </w:rPr>
              <w:t>无效标条款</w:t>
            </w:r>
          </w:p>
        </w:tc>
        <w:tc>
          <w:tcPr>
            <w:tcW w:w="6583" w:type="dxa"/>
            <w:gridSpan w:val="2"/>
            <w:tcBorders>
              <w:top w:val="single" w:color="auto" w:sz="4" w:space="0"/>
              <w:left w:val="single" w:color="auto" w:sz="4" w:space="0"/>
              <w:bottom w:val="single" w:color="auto" w:sz="4" w:space="0"/>
              <w:right w:val="single" w:color="auto" w:sz="4" w:space="0"/>
            </w:tcBorders>
            <w:vAlign w:val="center"/>
          </w:tcPr>
          <w:p w14:paraId="13D84862">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bookmarkStart w:id="58" w:name="EB5de6db3070cf40db8b4846f11f653c14"/>
            <w:bookmarkEnd w:id="58"/>
            <w:r>
              <w:rPr>
                <w:rFonts w:ascii="宋体" w:hAnsi="宋体"/>
                <w:color w:val="000000" w:themeColor="text1"/>
                <w:sz w:val="24"/>
                <w:highlight w:val="none"/>
                <w:lang w:val="en-US" w:eastAsia="zh-CN"/>
                <w14:textFill>
                  <w14:solidFill>
                    <w14:schemeClr w14:val="tx1"/>
                  </w14:solidFill>
                </w14:textFill>
              </w:rPr>
              <w:t xml:space="preserve">有下列情况之一的，其投标视为响应无效： </w:t>
            </w:r>
          </w:p>
          <w:p w14:paraId="41D2540B">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1.供应商不具备《中华人民共和国政府采购法》第二十二条 </w:t>
            </w:r>
          </w:p>
          <w:p w14:paraId="15FE2215">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规定条件； </w:t>
            </w:r>
          </w:p>
          <w:p w14:paraId="496F786A">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2.采购响应文件没有按采购文件的要求盖章或签名； </w:t>
            </w:r>
          </w:p>
          <w:p w14:paraId="50A52455">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3.供应商不符合资格条件； </w:t>
            </w:r>
          </w:p>
          <w:p w14:paraId="4DCF24C1">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4.采购响应文件提供虚假材料； </w:t>
            </w:r>
          </w:p>
          <w:p w14:paraId="123C5FFB">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5.采购响应文件未完全满足采购文件中带“★”号的实质性条款或指标； </w:t>
            </w:r>
          </w:p>
          <w:p w14:paraId="6DFF4B01">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6.供应商报价不确定或超过采购文件中列出的采购预算(最高限价)； </w:t>
            </w:r>
          </w:p>
          <w:p w14:paraId="2F73A936">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7.联合体的供应商未提交各方共同签署的协议； </w:t>
            </w:r>
          </w:p>
          <w:p w14:paraId="750B01A6">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8.供应商未按采购文件要求交纳投标保证金； </w:t>
            </w:r>
          </w:p>
          <w:p w14:paraId="07CB3DB7">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9.供应商提供可调整的投标方案和报价； </w:t>
            </w:r>
          </w:p>
          <w:p w14:paraId="138490D8">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10.供应商投标文件填报的内容不详，或没有提供竞争性谈判文件中所要求的全部资料及数据的； </w:t>
            </w:r>
          </w:p>
          <w:p w14:paraId="43C12656">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11.评审期间，供应商没有按评标委员会的要求提交经授权代表签字的澄清、说明、补正或改变了采购响应文件的实质性内容； </w:t>
            </w:r>
          </w:p>
          <w:p w14:paraId="73EE4121">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12.供应商对采购人、采购代理机构、评标委员会及其工作人员施加影响，有碍公平、公正；</w:t>
            </w:r>
          </w:p>
          <w:p w14:paraId="0EADDDAA">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13.单位负责人为同一人或者存在直接控股、管理关系的不同供应商，参加同一合同项下的政府采购活动。 </w:t>
            </w:r>
          </w:p>
          <w:p w14:paraId="0123199C">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14. 受托为本采购项目提供整体设计、规范编制或者项目管理、监理、检测等服务的供应商，再参加该采购项目的其他采购活动。</w:t>
            </w:r>
          </w:p>
          <w:p w14:paraId="2713B3C6">
            <w:pPr>
              <w:pStyle w:val="5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15.法律、法规、规章及竞争性谈判中规定属于响应无效的其他情形。</w:t>
            </w:r>
          </w:p>
        </w:tc>
      </w:tr>
      <w:tr w14:paraId="74F5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625C72C2">
            <w:pPr>
              <w:pStyle w:val="37"/>
              <w:keepNext w:val="0"/>
              <w:keepLines w:val="0"/>
              <w:pageBreakBefore w:val="0"/>
              <w:kinsoku/>
              <w:wordWrap/>
              <w:topLinePunct w:val="0"/>
              <w:bidi w:val="0"/>
              <w:spacing w:beforeAutospacing="0" w:afterAutospacing="0" w:line="360" w:lineRule="auto"/>
              <w:ind w:left="0" w:leftChars="0" w:right="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2072" w:type="dxa"/>
            <w:tcBorders>
              <w:top w:val="single" w:color="auto" w:sz="4" w:space="0"/>
              <w:left w:val="single" w:color="auto" w:sz="4" w:space="0"/>
              <w:bottom w:val="single" w:color="auto" w:sz="4" w:space="0"/>
              <w:right w:val="single" w:color="auto" w:sz="4" w:space="0"/>
            </w:tcBorders>
            <w:vAlign w:val="center"/>
          </w:tcPr>
          <w:p w14:paraId="01BC7E5D">
            <w:pPr>
              <w:pStyle w:val="37"/>
              <w:keepNext w:val="0"/>
              <w:keepLines w:val="0"/>
              <w:pageBreakBefore w:val="0"/>
              <w:kinsoku/>
              <w:wordWrap/>
              <w:topLinePunct w:val="0"/>
              <w:autoSpaceDE w:val="0"/>
              <w:autoSpaceDN w:val="0"/>
              <w:bidi w:val="0"/>
              <w:adjustRightInd w:val="0"/>
              <w:spacing w:beforeAutospacing="0" w:afterAutospacing="0" w:line="360" w:lineRule="auto"/>
              <w:ind w:left="0" w:leftChars="0" w:right="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注意事项</w:t>
            </w:r>
          </w:p>
        </w:tc>
        <w:tc>
          <w:tcPr>
            <w:tcW w:w="6583" w:type="dxa"/>
            <w:gridSpan w:val="2"/>
            <w:tcBorders>
              <w:top w:val="single" w:color="auto" w:sz="4" w:space="0"/>
              <w:left w:val="single" w:color="auto" w:sz="4" w:space="0"/>
              <w:bottom w:val="single" w:color="auto" w:sz="4" w:space="0"/>
              <w:right w:val="single" w:color="auto" w:sz="4" w:space="0"/>
            </w:tcBorders>
          </w:tcPr>
          <w:p w14:paraId="52DB6507">
            <w:pPr>
              <w:pStyle w:val="4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s="宋体"/>
                <w:b w:val="0"/>
                <w:bCs w:val="0"/>
                <w:color w:val="000000" w:themeColor="text1"/>
                <w:sz w:val="24"/>
                <w:highlight w:val="none"/>
                <w14:textFill>
                  <w14:solidFill>
                    <w14:schemeClr w14:val="tx1"/>
                  </w14:solidFill>
                </w14:textFill>
              </w:rPr>
            </w:pPr>
            <w:bookmarkStart w:id="59" w:name="EB41dfe38d81d947088300a87cef519167"/>
            <w:bookmarkEnd w:id="59"/>
            <w:r>
              <w:rPr>
                <w:rFonts w:ascii="宋体" w:hAnsi="宋体" w:eastAsia="宋体" w:cs="宋体"/>
                <w:b w:val="0"/>
                <w:bCs w:val="0"/>
                <w:color w:val="000000" w:themeColor="text1"/>
                <w:sz w:val="24"/>
                <w:highlight w:val="none"/>
                <w:lang w:val="en-US" w:eastAsia="zh-CN"/>
                <w14:textFill>
                  <w14:solidFill>
                    <w14:schemeClr w14:val="tx1"/>
                  </w14:solidFill>
                </w14:textFill>
              </w:rPr>
              <w:t>1、第六部分</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响应</w:t>
            </w:r>
            <w:r>
              <w:rPr>
                <w:rFonts w:ascii="宋体" w:hAnsi="宋体" w:eastAsia="宋体" w:cs="宋体"/>
                <w:b w:val="0"/>
                <w:bCs w:val="0"/>
                <w:color w:val="000000" w:themeColor="text1"/>
                <w:sz w:val="24"/>
                <w:highlight w:val="none"/>
                <w:lang w:val="en-US" w:eastAsia="zh-CN"/>
                <w14:textFill>
                  <w14:solidFill>
                    <w14:schemeClr w14:val="tx1"/>
                  </w14:solidFill>
                </w14:textFill>
              </w:rPr>
              <w:t>文件格式文件要求盖单位章和（或）签字</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的地方，供应商均应使用 CA 数字证书加盖供应商的单位电子印章和（或）法定代表人的个人电子印章或电子签名章。</w:t>
            </w:r>
          </w:p>
          <w:p w14:paraId="58EC97DC">
            <w:pPr>
              <w:pStyle w:val="4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2、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服务。 </w:t>
            </w:r>
          </w:p>
          <w:p w14:paraId="5F2B7332">
            <w:pPr>
              <w:pStyle w:val="4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3、响应文件中有弄虚作假的内容，其响应文件视为无效。（如假证书、假业绩、隐瞒不良行为记录、夸大荣誉、使用非本单位在职员工的相关证件及不符合竞争性谈判文件规定的条款等）；在签订合同之前，采购人如发现供应商的响应文件有弄虚作假内容，采购人可拒绝与其签订合同。并将其列入政府采购黑名单库。 </w:t>
            </w:r>
          </w:p>
          <w:p w14:paraId="2D911092">
            <w:pPr>
              <w:pStyle w:val="41"/>
              <w:keepNext w:val="0"/>
              <w:keepLines w:val="0"/>
              <w:pageBreakBefore w:val="0"/>
              <w:kinsoku/>
              <w:wordWrap/>
              <w:topLinePunct w:val="0"/>
              <w:autoSpaceDE w:val="0"/>
              <w:autoSpaceDN w:val="0"/>
              <w:bidi w:val="0"/>
              <w:adjustRightInd w:val="0"/>
              <w:spacing w:beforeAutospacing="0" w:afterAutospacing="0" w:line="360" w:lineRule="auto"/>
              <w:ind w:left="0" w:leftChars="0" w:right="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4、供应商须按采购文件第二部分“供应商须知前附表”中规定的内容提交资格审查资料、商务文件、技术文件。并根据第六部分“响应文件格式”中的全部内容进行响应文件的编制，在评标过程中若发现供应商的响应文件内容未按照采购文件编制，编制内容存在缺失或提供无效资料的，将导致投标被拒绝。所有资料均不允许在投标截止时间后补正。</w:t>
            </w:r>
          </w:p>
        </w:tc>
      </w:tr>
    </w:tbl>
    <w:p w14:paraId="54ACA08F">
      <w:pPr>
        <w:pStyle w:val="37"/>
        <w:spacing w:line="360" w:lineRule="auto"/>
        <w:rPr>
          <w:rFonts w:ascii="宋体" w:hAnsi="宋体" w:eastAsia="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注：1、本表内容与</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竞争性谈判文件</w:t>
      </w:r>
      <w:r>
        <w:rPr>
          <w:rFonts w:hint="eastAsia" w:ascii="宋体" w:hAnsi="宋体" w:eastAsia="宋体" w:cs="宋体"/>
          <w:b/>
          <w:bCs/>
          <w:color w:val="000000" w:themeColor="text1"/>
          <w:kern w:val="0"/>
          <w:sz w:val="21"/>
          <w:szCs w:val="21"/>
          <w:highlight w:val="none"/>
          <w14:textFill>
            <w14:solidFill>
              <w14:schemeClr w14:val="tx1"/>
            </w14:solidFill>
          </w14:textFill>
        </w:rPr>
        <w:t>其它内容不一致的，应</w:t>
      </w:r>
      <w:r>
        <w:rPr>
          <w:rFonts w:hint="eastAsia" w:ascii="宋体" w:hAnsi="宋体" w:eastAsia="宋体"/>
          <w:b/>
          <w:bCs/>
          <w:color w:val="000000" w:themeColor="text1"/>
          <w:kern w:val="0"/>
          <w:sz w:val="21"/>
          <w:szCs w:val="21"/>
          <w:highlight w:val="none"/>
          <w14:textFill>
            <w14:solidFill>
              <w14:schemeClr w14:val="tx1"/>
            </w14:solidFill>
          </w14:textFill>
        </w:rPr>
        <w:t>当以本表内容为准。</w:t>
      </w:r>
    </w:p>
    <w:p w14:paraId="20827308">
      <w:pPr>
        <w:pStyle w:val="37"/>
        <w:spacing w:line="360" w:lineRule="auto"/>
        <w:rPr>
          <w:rFonts w:ascii="宋体" w:hAnsi="宋体" w:eastAsia="宋体"/>
          <w:b/>
          <w:bCs/>
          <w:color w:val="000000" w:themeColor="text1"/>
          <w:kern w:val="0"/>
          <w:sz w:val="21"/>
          <w:szCs w:val="21"/>
          <w:highlight w:val="none"/>
          <w14:textFill>
            <w14:solidFill>
              <w14:schemeClr w14:val="tx1"/>
            </w14:solidFill>
          </w14:textFill>
        </w:rPr>
      </w:pPr>
      <w:r>
        <w:rPr>
          <w:rFonts w:hint="eastAsia" w:ascii="宋体" w:hAnsi="宋体" w:eastAsia="宋体"/>
          <w:b/>
          <w:bCs/>
          <w:color w:val="000000" w:themeColor="text1"/>
          <w:kern w:val="0"/>
          <w:sz w:val="21"/>
          <w:szCs w:val="21"/>
          <w:highlight w:val="none"/>
          <w14:textFill>
            <w14:solidFill>
              <w14:schemeClr w14:val="tx1"/>
            </w14:solidFill>
          </w14:textFill>
        </w:rPr>
        <w:t>2、本表中“</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b/>
          <w:bCs/>
          <w:color w:val="000000" w:themeColor="text1"/>
          <w:kern w:val="0"/>
          <w:sz w:val="21"/>
          <w:szCs w:val="21"/>
          <w:highlight w:val="none"/>
          <w14:textFill>
            <w14:solidFill>
              <w14:schemeClr w14:val="tx1"/>
            </w14:solidFill>
          </w14:textFill>
        </w:rPr>
        <w:t>”</w:t>
      </w:r>
      <w:r>
        <w:rPr>
          <w:rFonts w:hint="eastAsia" w:ascii="宋体" w:hAnsi="宋体" w:eastAsia="宋体"/>
          <w:b/>
          <w:bCs/>
          <w:color w:val="000000" w:themeColor="text1"/>
          <w:kern w:val="0"/>
          <w:sz w:val="21"/>
          <w:szCs w:val="21"/>
          <w:highlight w:val="none"/>
          <w:lang w:eastAsia="zh-CN"/>
          <w14:textFill>
            <w14:solidFill>
              <w14:schemeClr w14:val="tx1"/>
            </w14:solidFill>
          </w14:textFill>
        </w:rPr>
        <w:t>表示</w:t>
      </w:r>
      <w:r>
        <w:rPr>
          <w:rFonts w:hint="eastAsia" w:ascii="宋体" w:hAnsi="宋体" w:eastAsia="宋体"/>
          <w:b/>
          <w:bCs/>
          <w:color w:val="000000" w:themeColor="text1"/>
          <w:kern w:val="0"/>
          <w:sz w:val="21"/>
          <w:szCs w:val="21"/>
          <w:highlight w:val="none"/>
          <w14:textFill>
            <w14:solidFill>
              <w14:schemeClr w14:val="tx1"/>
            </w14:solidFill>
          </w14:textFill>
        </w:rPr>
        <w:t>选择使用该项，“□”</w:t>
      </w:r>
      <w:r>
        <w:rPr>
          <w:rFonts w:hint="eastAsia" w:ascii="宋体" w:hAnsi="宋体" w:eastAsia="宋体"/>
          <w:b/>
          <w:bCs/>
          <w:color w:val="000000" w:themeColor="text1"/>
          <w:kern w:val="0"/>
          <w:sz w:val="21"/>
          <w:szCs w:val="21"/>
          <w:highlight w:val="none"/>
          <w:lang w:eastAsia="zh-CN"/>
          <w14:textFill>
            <w14:solidFill>
              <w14:schemeClr w14:val="tx1"/>
            </w14:solidFill>
          </w14:textFill>
        </w:rPr>
        <w:t>表示</w:t>
      </w:r>
      <w:r>
        <w:rPr>
          <w:rFonts w:hint="eastAsia" w:ascii="宋体" w:hAnsi="宋体" w:eastAsia="宋体"/>
          <w:b/>
          <w:bCs/>
          <w:color w:val="000000" w:themeColor="text1"/>
          <w:kern w:val="0"/>
          <w:sz w:val="21"/>
          <w:szCs w:val="21"/>
          <w:highlight w:val="none"/>
          <w14:textFill>
            <w14:solidFill>
              <w14:schemeClr w14:val="tx1"/>
            </w14:solidFill>
          </w14:textFill>
        </w:rPr>
        <w:t>不选择使用该项。</w:t>
      </w:r>
    </w:p>
    <w:p w14:paraId="67B0CEB8">
      <w:pPr>
        <w:pStyle w:val="37"/>
        <w:spacing w:line="360" w:lineRule="auto"/>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3、本表中加</w:t>
      </w:r>
      <w:r>
        <w:rPr>
          <w:rFonts w:hint="eastAsia" w:ascii="宋体" w:hAnsi="宋体" w:eastAsia="宋体" w:cs="宋体"/>
          <w:b/>
          <w:bCs/>
          <w:color w:val="000000" w:themeColor="text1"/>
          <w:kern w:val="0"/>
          <w:sz w:val="21"/>
          <w:szCs w:val="21"/>
          <w:highlight w:val="none"/>
          <w:lang w:val="zh-TW" w:eastAsia="zh-TW"/>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项目为实质性要求，若有缺失或无效，按无效投标处理。</w:t>
      </w:r>
    </w:p>
    <w:p w14:paraId="7D4CA0BD">
      <w:pPr>
        <w:pStyle w:val="37"/>
        <w:spacing w:line="360" w:lineRule="auto"/>
        <w:ind w:firstLine="0" w:firstLineChars="0"/>
        <w:jc w:val="center"/>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b/>
          <w:bCs/>
          <w:color w:val="000000" w:themeColor="text1"/>
          <w:kern w:val="0"/>
          <w:sz w:val="24"/>
          <w:szCs w:val="22"/>
          <w:highlight w:val="none"/>
          <w14:textFill>
            <w14:solidFill>
              <w14:schemeClr w14:val="tx1"/>
            </w14:solidFill>
          </w14:textFill>
        </w:rPr>
        <w:br w:type="page"/>
      </w:r>
      <w:bookmarkEnd w:id="35"/>
      <w:bookmarkEnd w:id="37"/>
      <w:bookmarkStart w:id="60" w:name="_Toc11022"/>
      <w:r>
        <w:rPr>
          <w:rFonts w:hint="eastAsia" w:ascii="宋体" w:hAnsi="宋体" w:eastAsia="宋体" w:cs="宋体"/>
          <w:b/>
          <w:color w:val="000000" w:themeColor="text1"/>
          <w:sz w:val="28"/>
          <w:szCs w:val="28"/>
          <w:highlight w:val="none"/>
          <w14:textFill>
            <w14:solidFill>
              <w14:schemeClr w14:val="tx1"/>
            </w14:solidFill>
          </w14:textFill>
        </w:rPr>
        <w:t>二、</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供应商须知正文部分</w:t>
      </w:r>
      <w:bookmarkEnd w:id="60"/>
    </w:p>
    <w:p w14:paraId="5B5B80BE">
      <w:pPr>
        <w:pStyle w:val="37"/>
        <w:spacing w:line="360" w:lineRule="auto"/>
        <w:ind w:firstLine="0" w:firstLineChars="0"/>
        <w:jc w:val="center"/>
        <w:outlineLvl w:val="9"/>
        <w:rPr>
          <w:rFonts w:hint="eastAsia" w:ascii="宋体" w:hAnsi="宋体" w:eastAsia="宋体" w:cs="宋体"/>
          <w:b/>
          <w:color w:val="000000" w:themeColor="text1"/>
          <w:sz w:val="28"/>
          <w:szCs w:val="28"/>
          <w:highlight w:val="none"/>
          <w14:textFill>
            <w14:solidFill>
              <w14:schemeClr w14:val="tx1"/>
            </w14:solidFill>
          </w14:textFill>
        </w:rPr>
      </w:pPr>
    </w:p>
    <w:p w14:paraId="7BCC98BE">
      <w:pPr>
        <w:pStyle w:val="61"/>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适用范围</w:t>
      </w:r>
    </w:p>
    <w:p w14:paraId="656BE5FB">
      <w:pPr>
        <w:pStyle w:val="61"/>
        <w:keepNext w:val="0"/>
        <w:keepLines w:val="0"/>
        <w:pageBreakBefore w:val="0"/>
        <w:widowControl w:val="0"/>
        <w:numPr>
          <w:ilvl w:val="1"/>
          <w:numId w:val="0"/>
        </w:numPr>
        <w:kinsoku/>
        <w:wordWrap/>
        <w:overflowPunct/>
        <w:topLinePunct w:val="0"/>
        <w:bidi w:val="0"/>
        <w:adjustRightInd/>
        <w:snapToGrid/>
        <w:spacing w:line="360" w:lineRule="auto"/>
        <w:ind w:left="0" w:lef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本谈判文件仅适用于本谈判邀请函中所述项目的货物及相关服务的采购</w:t>
      </w:r>
      <w:r>
        <w:rPr>
          <w:rFonts w:hint="eastAsia" w:ascii="宋体" w:hAnsi="宋体" w:cs="宋体"/>
          <w:color w:val="000000" w:themeColor="text1"/>
          <w:sz w:val="24"/>
          <w:szCs w:val="24"/>
          <w:highlight w:val="none"/>
          <w14:textFill>
            <w14:solidFill>
              <w14:schemeClr w14:val="tx1"/>
            </w14:solidFill>
          </w14:textFill>
        </w:rPr>
        <w:t>。</w:t>
      </w:r>
    </w:p>
    <w:p w14:paraId="1031422F">
      <w:pPr>
        <w:pStyle w:val="61"/>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定义</w:t>
      </w:r>
    </w:p>
    <w:p w14:paraId="0FC16248">
      <w:pPr>
        <w:pStyle w:val="61"/>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2.1“采购人”名称见本采购文件第二部分“供应商须知前附表”中。</w:t>
      </w:r>
    </w:p>
    <w:p w14:paraId="23858128">
      <w:pPr>
        <w:pStyle w:val="61"/>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2.2“供应商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pacing w:val="0"/>
          <w:sz w:val="24"/>
          <w:szCs w:val="24"/>
          <w:highlight w:val="none"/>
          <w14:textFill>
            <w14:solidFill>
              <w14:schemeClr w14:val="tx1"/>
            </w14:solidFill>
          </w14:textFill>
        </w:rPr>
        <w:t>符合本采购文件规定并</w:t>
      </w:r>
      <w:r>
        <w:rPr>
          <w:rFonts w:hint="eastAsia" w:ascii="宋体" w:hAnsi="宋体" w:cs="宋体"/>
          <w:color w:val="000000" w:themeColor="text1"/>
          <w:sz w:val="24"/>
          <w:szCs w:val="24"/>
          <w:highlight w:val="none"/>
          <w14:textFill>
            <w14:solidFill>
              <w14:schemeClr w14:val="tx1"/>
            </w14:solidFill>
          </w14:textFill>
        </w:rPr>
        <w:t>参加本项目采购的供应商。</w:t>
      </w:r>
    </w:p>
    <w:p w14:paraId="022D0133">
      <w:pPr>
        <w:pStyle w:val="61"/>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 “监管部门”</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财政监管部门。</w:t>
      </w:r>
    </w:p>
    <w:p w14:paraId="143761E0">
      <w:pPr>
        <w:pStyle w:val="61"/>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 “采购代理机构”</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：新疆君凯杰工程项目管理有限公司</w:t>
      </w:r>
      <w:r>
        <w:rPr>
          <w:rFonts w:hint="eastAsia" w:ascii="宋体" w:hAnsi="宋体" w:cs="宋体"/>
          <w:color w:val="000000" w:themeColor="text1"/>
          <w:sz w:val="24"/>
          <w:szCs w:val="24"/>
          <w:highlight w:val="none"/>
          <w14:textFill>
            <w14:solidFill>
              <w14:schemeClr w14:val="tx1"/>
            </w14:solidFill>
          </w14:textFill>
        </w:rPr>
        <w:t>。</w:t>
      </w:r>
    </w:p>
    <w:p w14:paraId="2B123346">
      <w:pPr>
        <w:pStyle w:val="61"/>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 “成交供应商”是指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经采购小组评审、推荐，采购人依法确定并授予合同的供应商。</w:t>
      </w:r>
    </w:p>
    <w:p w14:paraId="142D4F27">
      <w:pPr>
        <w:pStyle w:val="61"/>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2.6“货物”是</w:t>
      </w:r>
      <w:r>
        <w:rPr>
          <w:rFonts w:hint="eastAsia" w:ascii="宋体" w:hAnsi="宋体" w:cs="宋体"/>
          <w:color w:val="000000" w:themeColor="text1"/>
          <w:spacing w:val="-10"/>
          <w:sz w:val="24"/>
          <w:szCs w:val="24"/>
          <w:highlight w:val="none"/>
          <w14:textFill>
            <w14:solidFill>
              <w14:schemeClr w14:val="tx1"/>
            </w14:solidFill>
          </w14:textFill>
        </w:rPr>
        <w:t>指：各种形态和种类的物品，包括原材料、燃料、设备、产品等</w:t>
      </w:r>
      <w:r>
        <w:rPr>
          <w:rFonts w:hint="eastAsia" w:ascii="宋体" w:hAnsi="宋体" w:cs="宋体"/>
          <w:color w:val="000000" w:themeColor="text1"/>
          <w:sz w:val="24"/>
          <w:szCs w:val="24"/>
          <w:highlight w:val="none"/>
          <w14:textFill>
            <w14:solidFill>
              <w14:schemeClr w14:val="tx1"/>
            </w14:solidFill>
          </w14:textFill>
        </w:rPr>
        <w:t>。</w:t>
      </w:r>
    </w:p>
    <w:p w14:paraId="05086FB7">
      <w:pPr>
        <w:pStyle w:val="61"/>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2.7“服务”</w:t>
      </w:r>
      <w:r>
        <w:rPr>
          <w:rFonts w:hint="eastAsia" w:ascii="宋体" w:hAnsi="宋体" w:cs="宋体"/>
          <w:color w:val="000000" w:themeColor="text1"/>
          <w:spacing w:val="-10"/>
          <w:sz w:val="24"/>
          <w:szCs w:val="24"/>
          <w:highlight w:val="none"/>
          <w14:textFill>
            <w14:solidFill>
              <w14:schemeClr w14:val="tx1"/>
            </w14:solidFill>
          </w14:textFill>
        </w:rPr>
        <w:t>是指：除货物和工程以外的其他政府采购对象</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包括：政府自身需要的服务和政府向社会公众提供的公共服务。</w:t>
      </w:r>
    </w:p>
    <w:p w14:paraId="67B3EAAD">
      <w:pPr>
        <w:pStyle w:val="61"/>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2.8“响应文件”是指：供应商根据本文件要求，编制包含响应、技术和服务等所有内容的文件。</w:t>
      </w:r>
    </w:p>
    <w:p w14:paraId="0D4728C5">
      <w:pPr>
        <w:pStyle w:val="61"/>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2.9：“电子响应文件”是指：利用新疆</w:t>
      </w:r>
      <w:r>
        <w:rPr>
          <w:rFonts w:hint="eastAsia" w:ascii="宋体" w:hAnsi="宋体" w:cs="宋体"/>
          <w:color w:val="000000" w:themeColor="text1"/>
          <w:sz w:val="24"/>
          <w:szCs w:val="24"/>
          <w:highlight w:val="none"/>
          <w:lang w:eastAsia="zh-CN"/>
          <w14:textFill>
            <w14:solidFill>
              <w14:schemeClr w14:val="tx1"/>
            </w14:solidFill>
          </w14:textFill>
        </w:rPr>
        <w:t>政府采购</w:t>
      </w:r>
      <w:r>
        <w:rPr>
          <w:rFonts w:hint="eastAsia" w:ascii="宋体" w:hAnsi="宋体" w:cs="宋体"/>
          <w:color w:val="000000" w:themeColor="text1"/>
          <w:sz w:val="24"/>
          <w:szCs w:val="24"/>
          <w:highlight w:val="none"/>
          <w14:textFill>
            <w14:solidFill>
              <w14:schemeClr w14:val="tx1"/>
            </w14:solidFill>
          </w14:textFill>
        </w:rPr>
        <w:t>网提供的“电子响应文件制作工具”编制加密的响应文件。</w:t>
      </w:r>
    </w:p>
    <w:p w14:paraId="5FA97CD3">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.谈判费用</w:t>
      </w:r>
    </w:p>
    <w:p w14:paraId="239333C3">
      <w:pPr>
        <w:pStyle w:val="61"/>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宋体" w:hAnsi="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zh-CN" w:eastAsia="zh-CN"/>
          <w14:textFill>
            <w14:solidFill>
              <w14:schemeClr w14:val="tx1"/>
            </w14:solidFill>
          </w14:textFill>
        </w:rPr>
        <w:t>.1 供应商应承担所有与准备和参加竞争性谈判有关的费用。不论谈判的结果如何，采购单位均无义务和责任承担这些费用。</w:t>
      </w:r>
      <w:bookmarkStart w:id="61" w:name="_Toc22334"/>
    </w:p>
    <w:p w14:paraId="3D6F8CF8">
      <w:pPr>
        <w:pStyle w:val="61"/>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4、合格供应商的条件</w:t>
      </w:r>
    </w:p>
    <w:p w14:paraId="330916E0">
      <w:pPr>
        <w:pStyle w:val="61"/>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4.1 具有本项目生产、制造、供应或实施能力，符合、承认并承诺履行本文件各项规定的国内法人、其他组织或自然人均可参加投标。</w:t>
      </w:r>
    </w:p>
    <w:p w14:paraId="230DB505">
      <w:pPr>
        <w:pStyle w:val="61"/>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4.2 遵守有关的国家法律、法规和条例，具备《中华人民共和国政府采购法》和本文件中规定的条件：</w:t>
      </w:r>
    </w:p>
    <w:p w14:paraId="6EF2A8FF">
      <w:pPr>
        <w:pStyle w:val="61"/>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1)具有独立承担民事责任的能力；</w:t>
      </w:r>
    </w:p>
    <w:p w14:paraId="2C362AFD">
      <w:pPr>
        <w:pStyle w:val="61"/>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2)具有良好的商业信誉和健全的财务会计制度；</w:t>
      </w:r>
    </w:p>
    <w:p w14:paraId="190A4866">
      <w:pPr>
        <w:pStyle w:val="61"/>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3)具有履行合同所必需的设备和专业技术能力；</w:t>
      </w:r>
    </w:p>
    <w:p w14:paraId="44FC284A">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4)具有依法缴纳税收和社会保障资金的良好记录；</w:t>
      </w:r>
    </w:p>
    <w:p w14:paraId="3BAFBDE7">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5)参加政府采购活动前三年内，在经营活动中没有重大违法记录；</w:t>
      </w:r>
    </w:p>
    <w:p w14:paraId="46D2AB73">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6)法律、行政法规规定的其他条件；</w:t>
      </w:r>
    </w:p>
    <w:p w14:paraId="0D01AB11">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7)具有本谈判文件第二部分“供应商须知前附表”中规定的资格条件。</w:t>
      </w:r>
    </w:p>
    <w:p w14:paraId="1560CEF4">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.3 供应商之间如果存在下列情形之一的，不得同时参加同一包（标段）或者不分包（标段）的同一项目投标： </w:t>
      </w:r>
    </w:p>
    <w:p w14:paraId="19B4A0FC">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1）法定代表人为同一个人的两个及两个以上法人； </w:t>
      </w:r>
    </w:p>
    <w:p w14:paraId="706D6275">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2）母公司、全资子公司及其控股公司； </w:t>
      </w:r>
    </w:p>
    <w:p w14:paraId="6DAF133C">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3）参加投标的其他组织之间存在特殊的利害关系的； </w:t>
      </w:r>
    </w:p>
    <w:p w14:paraId="49AD84CA">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4）法律和行政法规规定的其他情形。 </w:t>
      </w:r>
    </w:p>
    <w:p w14:paraId="43D49CF9">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.4 供应商在</w:t>
      </w:r>
      <w:r>
        <w:rPr>
          <w:rFonts w:hint="eastAsia" w:ascii="宋体" w:hAnsi="宋体" w:cs="宋体"/>
          <w:color w:val="000000" w:themeColor="text1"/>
          <w:kern w:val="2"/>
          <w:sz w:val="24"/>
          <w:szCs w:val="24"/>
          <w:lang w:val="en-US" w:eastAsia="zh-CN" w:bidi="ar-SA"/>
          <w14:textFill>
            <w14:solidFill>
              <w14:schemeClr w14:val="tx1"/>
            </w14:solidFill>
          </w14:textFill>
        </w:rPr>
        <w:t>新疆</w:t>
      </w:r>
      <w:r>
        <w:rPr>
          <w:rFonts w:hint="eastAsia" w:ascii="宋体" w:hAnsi="宋体" w:eastAsia="宋体" w:cs="宋体"/>
          <w:color w:val="000000" w:themeColor="text1"/>
          <w:kern w:val="2"/>
          <w:sz w:val="24"/>
          <w:szCs w:val="24"/>
          <w:lang w:val="en-US" w:eastAsia="zh-CN" w:bidi="ar-SA"/>
          <w14:textFill>
            <w14:solidFill>
              <w14:schemeClr w14:val="tx1"/>
            </w14:solidFill>
          </w14:textFill>
        </w:rPr>
        <w:t>政府采购网（</w:t>
      </w:r>
      <w:r>
        <w:rPr>
          <w:rFonts w:hint="eastAsia" w:ascii="宋体" w:hAnsi="宋体" w:eastAsia="宋体" w:cs="宋体"/>
          <w:bCs/>
          <w:color w:val="000000" w:themeColor="text1"/>
          <w:sz w:val="21"/>
          <w:szCs w:val="21"/>
          <w:u w:val="none"/>
          <w14:textFill>
            <w14:solidFill>
              <w14:schemeClr w14:val="tx1"/>
            </w14:solidFill>
          </w14:textFill>
        </w:rPr>
        <w:t>http://www.ccgp-xinjiang.gov.cn</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）平台内针对本项目下载了电子采购文件。</w:t>
      </w:r>
    </w:p>
    <w:p w14:paraId="52034D64">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纪律 </w:t>
      </w:r>
    </w:p>
    <w:p w14:paraId="44124B81">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.1 供应商的投标行为应遵守中国的有关法律、法规和规章。 </w:t>
      </w:r>
    </w:p>
    <w:p w14:paraId="6C940167">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.2 供应商不得相互串通投标报价，不得妨碍其他供应商的公平竞争，不得损害采购人或其他供应商的合法权益，供应商不得以向采购人、评标委员会成员行贿或者采取其他不正当手段谋取中标。</w:t>
      </w:r>
    </w:p>
    <w:p w14:paraId="2FDDCA10">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.3 有下列情形之一的，属于供应商相互串通投标：</w:t>
      </w:r>
    </w:p>
    <w:p w14:paraId="4A2FD91F">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3.1</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供应商之间协商投标报价等投标文件的实质性内容； </w:t>
      </w:r>
    </w:p>
    <w:p w14:paraId="18C2BCDC">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3.2</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供应商之间约定中标人； </w:t>
      </w:r>
    </w:p>
    <w:p w14:paraId="5DB84194">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3.3</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供应商之间约定部分供应商放弃投标或者中标； </w:t>
      </w:r>
    </w:p>
    <w:p w14:paraId="5EE96CE1">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3.4</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属于同一集团、协会、商会等组织成员的供应商按照该组织要求协同投标；</w:t>
      </w:r>
    </w:p>
    <w:p w14:paraId="578C2636">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3.5</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供应商之间为谋取中标或者排斥特定供应商而采取的其他联合行动。</w:t>
      </w:r>
    </w:p>
    <w:p w14:paraId="74ACF2A9">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3.6</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有下列情形之一的，视为供应商相互串通投标：</w:t>
      </w:r>
    </w:p>
    <w:p w14:paraId="0C14DF5D">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3.7</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不同供应商的投标文件由同一单位或者个人编制；</w:t>
      </w:r>
    </w:p>
    <w:p w14:paraId="20EB2208">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3.8</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不同供应商委托同一单位或者个人办理投标事宜，或制作电子投标文件的文件制作机器码（mac 地址）一致，或制作电子投标文件的文件创建标识码一致； </w:t>
      </w:r>
    </w:p>
    <w:p w14:paraId="73789F43">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3.9</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不同供应商的投标文件载明的项目管理成员为同一人；</w:t>
      </w:r>
    </w:p>
    <w:p w14:paraId="28983906">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3.10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不同供应商的投标文件异常一致或者投标报价呈规律性差异；</w:t>
      </w:r>
    </w:p>
    <w:p w14:paraId="1FE2DD10">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3.11</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不同供应商的投标文件相互混装；</w:t>
      </w:r>
    </w:p>
    <w:p w14:paraId="7A29B296">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通知 </w:t>
      </w:r>
    </w:p>
    <w:p w14:paraId="45F8ECE2">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.1 对与本项目有关的通知，采购代理机构将以书面（包括书面材料、信函、传真等，下同）或在本次招标公告刊登的媒体上发布公告并在新疆政府采购网（http://www.ccgp-xinjiang.gov.cn/）内发送变更通知及/或答疑文件的形式，向潜在供应商发出，由潜在供应商自行下载查看。</w:t>
      </w:r>
    </w:p>
    <w:p w14:paraId="34F9DE86">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踏勘现场 </w:t>
      </w:r>
    </w:p>
    <w:p w14:paraId="149612FC">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.1 本项目是否统一组织供应商踏勘现场见谈判文件第二部分“供应商须知前附表”中的规定。无论是否统一组织，供应商应对供货现场和周围环境进行勘察，以获取编制投标文件所需的资料。 </w:t>
      </w:r>
    </w:p>
    <w:p w14:paraId="40565EEA">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2 踏勘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 </w:t>
      </w:r>
    </w:p>
    <w:p w14:paraId="5DA1131B">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en-US" w:eastAsia="zh-CN" w:bidi="ar-SA"/>
          <w14:textFill>
            <w14:solidFill>
              <w14:schemeClr w14:val="tx1"/>
            </w14:solidFill>
          </w14:textFill>
        </w:rPr>
        <w:t>.3 除非有特殊要求，谈判文件不单独提供供货使用地的自然环境、气候条件、公用设施等情况，供应商被视为熟悉上述与履行合同有关的一切情况。</w:t>
      </w:r>
    </w:p>
    <w:p w14:paraId="5367FB29">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en-US" w:eastAsia="zh-CN" w:bidi="ar-SA"/>
          <w14:textFill>
            <w14:solidFill>
              <w14:schemeClr w14:val="tx1"/>
            </w14:solidFill>
          </w14:textFill>
        </w:rPr>
        <w:t>.4 除采购人原因外，供应商自行负责在踏勘现场中所发生的人员伤亡和财产损失。</w:t>
      </w:r>
    </w:p>
    <w:p w14:paraId="76DAA5DB">
      <w:pPr>
        <w:pStyle w:val="61"/>
        <w:numPr>
          <w:ilvl w:val="0"/>
          <w:numId w:val="0"/>
        </w:numPr>
        <w:autoSpaceDE w:val="0"/>
        <w:autoSpaceDN w:val="0"/>
        <w:spacing w:line="360" w:lineRule="auto"/>
        <w:ind w:left="420" w:leftChars="0" w:hanging="42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22A1CB20">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62" w:name="_Toc21386"/>
      <w:r>
        <w:rPr>
          <w:rFonts w:hint="eastAsia" w:ascii="宋体" w:hAnsi="宋体"/>
          <w:b/>
          <w:color w:val="000000" w:themeColor="text1"/>
          <w:sz w:val="28"/>
          <w:szCs w:val="28"/>
          <w:highlight w:val="none"/>
          <w14:textFill>
            <w14:solidFill>
              <w14:schemeClr w14:val="tx1"/>
            </w14:solidFill>
          </w14:textFill>
        </w:rPr>
        <w:t>三、响应文件的编制</w:t>
      </w:r>
      <w:bookmarkEnd w:id="61"/>
      <w:bookmarkEnd w:id="62"/>
    </w:p>
    <w:p w14:paraId="1DF17626">
      <w:pPr>
        <w:pStyle w:val="6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响应文件编制基本要求</w:t>
      </w:r>
    </w:p>
    <w:p w14:paraId="4ADBD23D">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3544AB9B">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.2供应商应认真阅读、并充分理解本文件的全部内容（包括所有的补充、修改内容），承诺并履行本文件中各项条款规定及要求。</w:t>
      </w:r>
    </w:p>
    <w:p w14:paraId="5AED8AE3">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.3响应文件必须按本文件的全部内容，包括所有的补充通知及附件进行编制。</w:t>
      </w:r>
    </w:p>
    <w:p w14:paraId="2214DDC0">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.4如因供应商只填写和提供了本文件要求的部分内容和附件，而给评审造成困难，其可能导致的结果和责任由供应商自行承担。</w:t>
      </w:r>
    </w:p>
    <w:p w14:paraId="0583B94F">
      <w:pPr>
        <w:pStyle w:val="6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9</w:t>
      </w:r>
      <w:r>
        <w:rPr>
          <w:rFonts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响应文件的组成</w:t>
      </w:r>
    </w:p>
    <w:p w14:paraId="64313658">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cs="宋体"/>
          <w:bCs/>
          <w:color w:val="000000" w:themeColor="text1"/>
          <w:sz w:val="24"/>
          <w:szCs w:val="24"/>
          <w:highlight w:val="none"/>
          <w14:textFill>
            <w14:solidFill>
              <w14:schemeClr w14:val="tx1"/>
            </w14:solidFill>
          </w14:textFill>
        </w:rPr>
        <w:t>.1响应文件由以下内容组成：</w:t>
      </w:r>
    </w:p>
    <w:p w14:paraId="57E093E1">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.1.1响应文件分为资格审查资料、商务文件、技术文件。</w:t>
      </w:r>
    </w:p>
    <w:p w14:paraId="52761899">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商务文件指投标供应商提交的证明其有资格参加投标和中标后有能力履行合同的文件。技术文件指投标供应商提交的能够证明其提供的货物及服务符合</w:t>
      </w:r>
      <w:r>
        <w:rPr>
          <w:rFonts w:hint="eastAsia" w:ascii="宋体" w:hAnsi="宋体" w:cs="宋体"/>
          <w:color w:val="000000" w:themeColor="text1"/>
          <w:sz w:val="24"/>
          <w:szCs w:val="24"/>
          <w:highlight w:val="none"/>
          <w:lang w:val="en-US" w:eastAsia="zh-CN"/>
          <w14:textFill>
            <w14:solidFill>
              <w14:schemeClr w14:val="tx1"/>
            </w14:solidFill>
          </w14:textFill>
        </w:rPr>
        <w:t>竞争性谈判</w:t>
      </w:r>
      <w:r>
        <w:rPr>
          <w:rFonts w:hint="eastAsia" w:ascii="宋体" w:hAnsi="宋体" w:cs="宋体"/>
          <w:color w:val="000000" w:themeColor="text1"/>
          <w:sz w:val="24"/>
          <w:szCs w:val="24"/>
          <w:highlight w:val="none"/>
          <w14:textFill>
            <w14:solidFill>
              <w14:schemeClr w14:val="tx1"/>
            </w14:solidFill>
          </w14:textFill>
        </w:rPr>
        <w:t>文件规定的文件。本次招标，投标供应商须按</w:t>
      </w:r>
      <w:r>
        <w:rPr>
          <w:rFonts w:hint="eastAsia" w:ascii="宋体" w:hAnsi="宋体" w:cs="宋体"/>
          <w:color w:val="000000" w:themeColor="text1"/>
          <w:sz w:val="24"/>
          <w:szCs w:val="24"/>
          <w:highlight w:val="none"/>
          <w:lang w:val="en-US" w:eastAsia="zh-CN"/>
          <w14:textFill>
            <w14:solidFill>
              <w14:schemeClr w14:val="tx1"/>
            </w14:solidFill>
          </w14:textFill>
        </w:rPr>
        <w:t>竞争性谈判</w:t>
      </w:r>
      <w:r>
        <w:rPr>
          <w:rFonts w:hint="eastAsia" w:ascii="宋体" w:hAnsi="宋体" w:cs="宋体"/>
          <w:color w:val="000000" w:themeColor="text1"/>
          <w:sz w:val="24"/>
          <w:szCs w:val="24"/>
          <w:highlight w:val="none"/>
          <w14:textFill>
            <w14:solidFill>
              <w14:schemeClr w14:val="tx1"/>
            </w14:solidFill>
          </w14:textFill>
        </w:rPr>
        <w:t>文件第二章“供应商须知前附表”中</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规定提交资格审查资料、商务文件、技术文件，其中加★项目若有缺失或无效，将导致投标被拒绝且不允许在开标后补正。</w:t>
      </w:r>
    </w:p>
    <w:p w14:paraId="270842E5">
      <w:pPr>
        <w:pStyle w:val="6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kern w:val="2"/>
          <w:sz w:val="24"/>
          <w:szCs w:val="24"/>
          <w:lang w:val="en-US" w:eastAsia="zh-CN" w:bidi="ar-SA"/>
          <w14:textFill>
            <w14:solidFill>
              <w14:schemeClr w14:val="tx1"/>
            </w14:solidFill>
          </w14:textFill>
        </w:rPr>
        <w:t>10</w:t>
      </w:r>
      <w:r>
        <w:rPr>
          <w:rFonts w:ascii="宋体" w:hAnsi="宋体" w:eastAsia="宋体" w:cs="宋体"/>
          <w:bCs/>
          <w:color w:val="000000" w:themeColor="text1"/>
          <w:kern w:val="2"/>
          <w:sz w:val="24"/>
          <w:szCs w:val="24"/>
          <w:lang w:val="en-US" w:eastAsia="zh-CN" w:bidi="ar-SA"/>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响应文件的编制</w:t>
      </w:r>
    </w:p>
    <w:p w14:paraId="05327731">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详见须知前附表。</w:t>
      </w:r>
    </w:p>
    <w:p w14:paraId="717BA30C">
      <w:pPr>
        <w:pStyle w:val="6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11</w:t>
      </w:r>
      <w:r>
        <w:rPr>
          <w:rFonts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计量单位</w:t>
      </w:r>
    </w:p>
    <w:p w14:paraId="6B08D5A6">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.1除技术要求中另有规定外，本文件所要求使用的计量单位均应采用国家法定计量单位。</w:t>
      </w:r>
    </w:p>
    <w:p w14:paraId="23E84274">
      <w:pPr>
        <w:pStyle w:val="6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12</w:t>
      </w:r>
      <w:r>
        <w:rPr>
          <w:rFonts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响应要求</w:t>
      </w:r>
    </w:p>
    <w:p w14:paraId="7F8E7631">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.1供应商所提供的货物和服务均以人民币为单位报价。</w:t>
      </w:r>
    </w:p>
    <w:p w14:paraId="16C1CEC6">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.2总报价应是</w:t>
      </w:r>
      <w:r>
        <w:rPr>
          <w:rFonts w:hint="eastAsia" w:ascii="宋体" w:hAnsi="宋体" w:cs="宋体"/>
          <w:color w:val="000000" w:themeColor="text1"/>
          <w:sz w:val="24"/>
          <w:highlight w:val="none"/>
          <w14:textFill>
            <w14:solidFill>
              <w14:schemeClr w14:val="tx1"/>
            </w14:solidFill>
          </w14:textFill>
        </w:rPr>
        <w:t>报价费用包括但不限于产品的制造、包装、运输、装卸、供货、验收、售后服务等相关所有费用。投标人应充分考虑本项目实施期间所发生的一切费用，并承担由此带来的风险，凡投标人在报价中未列明的费用，造成的损失有投标人自行承担。</w:t>
      </w:r>
    </w:p>
    <w:p w14:paraId="0818F7C7">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.3对于本文件中未列明，而供应商认为必需的费用也需列入总报价。在合同实施时，采购人将不予支付成交供应商没有列入的项目费用，并认为此项目的费用已包括在总报价中。</w:t>
      </w:r>
    </w:p>
    <w:p w14:paraId="5FBC1392">
      <w:pPr>
        <w:pStyle w:val="6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.4供应商要详细填写“</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14:textFill>
            <w14:solidFill>
              <w14:schemeClr w14:val="tx1"/>
            </w14:solidFill>
          </w14:textFill>
        </w:rPr>
        <w:t>一览表”和“</w:t>
      </w:r>
      <w:r>
        <w:rPr>
          <w:rFonts w:hint="eastAsia" w:ascii="宋体" w:hAnsi="宋体" w:cs="宋体"/>
          <w:color w:val="000000" w:themeColor="text1"/>
          <w:sz w:val="24"/>
          <w:szCs w:val="24"/>
          <w:highlight w:val="none"/>
          <w:lang w:val="en-US" w:eastAsia="zh-CN"/>
          <w14:textFill>
            <w14:solidFill>
              <w14:schemeClr w14:val="tx1"/>
            </w14:solidFill>
          </w14:textFill>
        </w:rPr>
        <w:t>报价明细表</w:t>
      </w:r>
      <w:r>
        <w:rPr>
          <w:rFonts w:hint="eastAsia" w:ascii="宋体" w:hAnsi="宋体" w:cs="宋体"/>
          <w:color w:val="000000" w:themeColor="text1"/>
          <w:sz w:val="24"/>
          <w:szCs w:val="24"/>
          <w:highlight w:val="none"/>
          <w14:textFill>
            <w14:solidFill>
              <w14:schemeClr w14:val="tx1"/>
            </w14:solidFill>
          </w14:textFill>
        </w:rPr>
        <w:t>”中的内容，由法定代表人或授权代表签字确认，并加盖单位公章。电子响应文件须用供应商单位公章的CA电子签章以及法定代表人的CA电子签章。</w:t>
      </w:r>
    </w:p>
    <w:p w14:paraId="24DD30C2">
      <w:pPr>
        <w:pStyle w:val="61"/>
        <w:spacing w:line="360" w:lineRule="auto"/>
        <w:rPr>
          <w:rFonts w:ascii="宋体" w:hAnsi="宋体" w:cs="宋体"/>
          <w:color w:val="000000" w:themeColor="text1"/>
          <w:highlight w:val="none"/>
          <w14:textFill>
            <w14:solidFill>
              <w14:schemeClr w14:val="tx1"/>
            </w14:solidFill>
          </w14:textFill>
        </w:rPr>
      </w:pPr>
    </w:p>
    <w:p w14:paraId="03CE93D9">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63" w:name="_Toc20170"/>
      <w:bookmarkStart w:id="64" w:name="_Toc22097"/>
      <w:r>
        <w:rPr>
          <w:rFonts w:hint="eastAsia" w:ascii="宋体" w:hAnsi="宋体"/>
          <w:b/>
          <w:color w:val="000000" w:themeColor="text1"/>
          <w:sz w:val="28"/>
          <w:szCs w:val="28"/>
          <w:highlight w:val="none"/>
          <w14:textFill>
            <w14:solidFill>
              <w14:schemeClr w14:val="tx1"/>
            </w14:solidFill>
          </w14:textFill>
        </w:rPr>
        <w:t>四、响应文件的份数、封装和递交</w:t>
      </w:r>
      <w:bookmarkEnd w:id="63"/>
      <w:bookmarkEnd w:id="64"/>
    </w:p>
    <w:p w14:paraId="4B1853EF">
      <w:pPr>
        <w:pStyle w:val="6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 响应文件的份数</w:t>
      </w:r>
    </w:p>
    <w:p w14:paraId="5CD65BA7">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.1供应商应通过政采云投标客户端编制响应文件，将编制完成的响应文件，在投标截止时间前上传至新疆政府采购网政采云平台相应位置；若未按规定的方式编制和提交响应文件的，采购代理机构不予受理。</w:t>
      </w:r>
    </w:p>
    <w:p w14:paraId="2530CA6F">
      <w:pPr>
        <w:pStyle w:val="6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 响应文件的密封和标记</w:t>
      </w:r>
    </w:p>
    <w:p w14:paraId="46B8F4E3">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.1电子响应文件的密封和标记。电子响应文件的内容通过数字证书进行加密并签章。未按要求加密和数字证书认证的响应文件，电子开标软件将无法接受, 采购代理机构不予受理。</w:t>
      </w:r>
    </w:p>
    <w:p w14:paraId="6C05480D">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.2是否采用不见面开标方式详见投标供应商须知前附表，若本项目采用不见面开标，无需提供电子响应文件U盘、纸质响应文件。</w:t>
      </w:r>
    </w:p>
    <w:p w14:paraId="60AB849E">
      <w:pPr>
        <w:pStyle w:val="6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 响应文件的递交</w:t>
      </w:r>
    </w:p>
    <w:p w14:paraId="36C20AAA">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14:paraId="16FFE00B">
      <w:pPr>
        <w:pStyle w:val="6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 迟交的响应文件</w:t>
      </w:r>
    </w:p>
    <w:p w14:paraId="4EB9442F">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 xml:space="preserve">.1采购代理机构将拒绝在其规定的递交响应文件截止时间之后送达的任何响应文件。由于对网上操作不熟悉或自身电脑、网络的原因导致不能在响应文件递交截止时间之前上传响应文件，采购代理机构不负任何责任。建议于响应文件递交截止时间前1个工作日完成响应文件的制作与上传。 </w:t>
      </w:r>
    </w:p>
    <w:p w14:paraId="30D1FCF3">
      <w:pPr>
        <w:pStyle w:val="6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000000" w:themeColor="text1"/>
          <w:sz w:val="24"/>
          <w:szCs w:val="24"/>
          <w:highlight w:val="none"/>
          <w14:textFill>
            <w14:solidFill>
              <w14:schemeClr w14:val="tx1"/>
            </w14:solidFill>
          </w14:textFill>
        </w:rPr>
      </w:pPr>
      <w:bookmarkStart w:id="65" w:name="_Toc14183"/>
      <w:r>
        <w:rPr>
          <w:rFonts w:hint="eastAsia" w:ascii="宋体" w:hAnsi="宋体" w:cs="宋体"/>
          <w:color w:val="000000" w:themeColor="text1"/>
          <w:sz w:val="24"/>
          <w:szCs w:val="24"/>
          <w:highlight w:val="none"/>
          <w:lang w:val="en-US" w:eastAsia="zh-CN"/>
          <w14:textFill>
            <w14:solidFill>
              <w14:schemeClr w14:val="tx1"/>
            </w14:solidFill>
          </w14:textFill>
        </w:rPr>
        <w:t xml:space="preserve">17. 响应文件的修改和撤回 </w:t>
      </w:r>
    </w:p>
    <w:p w14:paraId="00560E54">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17.1 供应商在谈判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4D2EE40">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17.2 供应商所提交的响应文件在评审结束后，无论中标与否都不退还。</w:t>
      </w:r>
    </w:p>
    <w:p w14:paraId="693103FC">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66" w:name="_Toc18206"/>
      <w:r>
        <w:rPr>
          <w:rFonts w:hint="eastAsia" w:ascii="宋体" w:hAnsi="宋体"/>
          <w:b/>
          <w:color w:val="000000" w:themeColor="text1"/>
          <w:sz w:val="28"/>
          <w:szCs w:val="28"/>
          <w:highlight w:val="none"/>
          <w14:textFill>
            <w14:solidFill>
              <w14:schemeClr w14:val="tx1"/>
            </w14:solidFill>
          </w14:textFill>
        </w:rPr>
        <w:t>五、</w:t>
      </w:r>
      <w:bookmarkEnd w:id="65"/>
      <w:r>
        <w:rPr>
          <w:rFonts w:hint="eastAsia" w:ascii="宋体" w:hAnsi="宋体"/>
          <w:b/>
          <w:color w:val="000000" w:themeColor="text1"/>
          <w:sz w:val="28"/>
          <w:szCs w:val="28"/>
          <w:highlight w:val="none"/>
          <w:lang w:val="en-US" w:eastAsia="zh-CN"/>
          <w14:textFill>
            <w14:solidFill>
              <w14:schemeClr w14:val="tx1"/>
            </w14:solidFill>
          </w14:textFill>
        </w:rPr>
        <w:t>竞争性谈判程序</w:t>
      </w:r>
      <w:bookmarkEnd w:id="66"/>
    </w:p>
    <w:p w14:paraId="4DBE9FCE">
      <w:pPr>
        <w:pStyle w:val="61"/>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 成立</w:t>
      </w:r>
      <w:r>
        <w:rPr>
          <w:rFonts w:hint="eastAsia" w:ascii="宋体" w:hAnsi="宋体" w:cs="宋体"/>
          <w:color w:val="000000" w:themeColor="text1"/>
          <w:sz w:val="24"/>
          <w:szCs w:val="24"/>
          <w:highlight w:val="none"/>
          <w:lang w:val="en-US"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小组</w:t>
      </w:r>
    </w:p>
    <w:p w14:paraId="3C47999B">
      <w:pPr>
        <w:pStyle w:val="61"/>
        <w:keepNext w:val="0"/>
        <w:keepLines w:val="0"/>
        <w:pageBreakBefore w:val="0"/>
        <w:widowControl w:val="0"/>
        <w:tabs>
          <w:tab w:val="left" w:pos="540"/>
        </w:tabs>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小组由采购人代表和有关专家共3人以上的单数组成，其中专家的人数不少于采购小组成员总数的三分之二。专家成员依法从政府采购专家库中随机抽取。</w:t>
      </w:r>
    </w:p>
    <w:p w14:paraId="3810645D">
      <w:pPr>
        <w:pStyle w:val="61"/>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 谈判方法 </w:t>
      </w:r>
    </w:p>
    <w:p w14:paraId="5CFC75F8">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19.1 谈判响应文件的审核 </w:t>
      </w:r>
    </w:p>
    <w:p w14:paraId="2AF402EE">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19.1.1 资格性检查和符合性检查内容及标准：详见评审标准 </w:t>
      </w:r>
    </w:p>
    <w:p w14:paraId="3BFE95AE">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19.2 谈判小组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4F24DE53">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19.3 响应文件的初审 </w:t>
      </w:r>
    </w:p>
    <w:p w14:paraId="64F26A49">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初审分为资格性检查和符合性检查。 </w:t>
      </w:r>
    </w:p>
    <w:p w14:paraId="2A10396F">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19.3.1 资格性检查 </w:t>
      </w:r>
    </w:p>
    <w:p w14:paraId="1B1177DC">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（1）检查内容必须全部符合检查标准，否则为无效标 </w:t>
      </w:r>
    </w:p>
    <w:p w14:paraId="643448FD">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（2）谈判小组在进行资格检查时，不得改变谈判文件中已载明的资格条件、标准和办法。资格性检查不合格的供应商的响应文件作无效文件处理。 </w:t>
      </w:r>
    </w:p>
    <w:p w14:paraId="384A1844">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（3）供应商在递交响应文件的同时，应逐项对照上述资格性检查要求提交相应的资格证明文件供谈判小组核查，否则评委将不予采信。</w:t>
      </w:r>
    </w:p>
    <w:p w14:paraId="55529C81">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（4）谈判小组在评审中必要时可按供应商提供的联系方式就有关问题进行查询核实，或要求供应商做出书面澄清，查询及澄清结果将作为审查的依据。</w:t>
      </w:r>
    </w:p>
    <w:p w14:paraId="696AFF19">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（5）通过全部资格性检查条件合格的供应商才能通过资格检查，其响应文件方可进入下一个检查阶段。</w:t>
      </w:r>
    </w:p>
    <w:p w14:paraId="014E99A5">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19.3.2 符合性检查 </w:t>
      </w:r>
    </w:p>
    <w:p w14:paraId="433846D4">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谈判小组根据评审办法前附表规定的评审因素和评审标准，对供应商的响应文件进行符合性检查。符合性检查不合格的供应商的响应文件作无效文件处理。</w:t>
      </w:r>
    </w:p>
    <w:p w14:paraId="74224739">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19.3.3 评标委员会审查投标文件是否实质上响应谈判文件的要求。 </w:t>
      </w:r>
    </w:p>
    <w:p w14:paraId="148AF5C2">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1）实质上响应的投标是指与谈判文件上的条款、条件和规格相符，没有重大偏离或保留，否则将视为无效投标。 </w:t>
      </w:r>
    </w:p>
    <w:p w14:paraId="648438CE">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2）重大偏离或保留系指投标货物的质量、数量和交付日期等明显不能满足</w:t>
      </w:r>
    </w:p>
    <w:p w14:paraId="6A4B0694">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谈判文件的要求，或者实质上与谈判文件不一致，纠正这些偏离或保留将对其他实质上响应要求的供应商的竞争地位产生不公正的影响。包括但不限于：</w:t>
      </w:r>
    </w:p>
    <w:p w14:paraId="134940E6">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A、谈判文件第二部分“供应商须知前附表”“响应文件组成”部分； </w:t>
      </w:r>
    </w:p>
    <w:p w14:paraId="323F92B3">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B、投标文件未按谈判文件的规定签章的； </w:t>
      </w:r>
    </w:p>
    <w:p w14:paraId="41FFF73B">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C、未按投标文件份数要求提交投标文件的； </w:t>
      </w:r>
    </w:p>
    <w:p w14:paraId="3C29176D">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D、谈判文件带“★”号部分任意一款不满足要求的； </w:t>
      </w:r>
    </w:p>
    <w:p w14:paraId="19A2CC13">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E、报价超过项目预算或经评标委员会认定低于成本的； </w:t>
      </w:r>
    </w:p>
    <w:p w14:paraId="4783A0E9">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F、投标有效期不足的； </w:t>
      </w:r>
    </w:p>
    <w:p w14:paraId="617F3801">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G、联合体投标文件未附联合体投标协议书的； </w:t>
      </w:r>
    </w:p>
    <w:p w14:paraId="0BF7499C">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H、不符合谈判文件中有关分包规定的； </w:t>
      </w:r>
    </w:p>
    <w:p w14:paraId="1DD6BF5B">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I、有串通投标或弄虚作假或有其他违法行为的； </w:t>
      </w:r>
    </w:p>
    <w:p w14:paraId="023E0153">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J、供应商递交的加密电子投标文件无法满足正常开标、评标使用功能的； </w:t>
      </w:r>
    </w:p>
    <w:p w14:paraId="22558BF9">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K、供应商名称或组织结构与领取采购文件时不一致且无有效变更证明的； </w:t>
      </w:r>
    </w:p>
    <w:p w14:paraId="180A69C8">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L、不符合谈判文件中规定的其他实质性要求。</w:t>
      </w:r>
    </w:p>
    <w:p w14:paraId="3E33AC3A">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19.4 违法违规行为 </w:t>
      </w:r>
    </w:p>
    <w:p w14:paraId="0087F0D1">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19.4.1 在评审过程中，谈判小组发现供应商有下列情形之一的，作无效文件处理： </w:t>
      </w:r>
    </w:p>
    <w:p w14:paraId="27FDC3AD">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（1）属于同一集团、协会、商会等组织成员的供应商按照该组织要求协同投标； </w:t>
      </w:r>
    </w:p>
    <w:p w14:paraId="58B49C94">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（2）不同供应商的响应文件由同一单位或者个人编制； </w:t>
      </w:r>
    </w:p>
    <w:p w14:paraId="08FF5E2A">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（3）不同供应商委托同一单位或者个人办理投标事宜； </w:t>
      </w:r>
    </w:p>
    <w:p w14:paraId="243D7D0C">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（4）不同供应商的响应文件载明的项目管理成员为同一人； </w:t>
      </w:r>
    </w:p>
    <w:p w14:paraId="003DEE92">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（5）不同供应商的响应文件异常一致或者投标报价呈规律性差异； </w:t>
      </w:r>
    </w:p>
    <w:p w14:paraId="13DD6F6A">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（6）不同供应商的响应文件相互混装； </w:t>
      </w:r>
    </w:p>
    <w:p w14:paraId="5AF20300">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（7）不同供应商的投标保证金从同一单位或者个人的账户转出； </w:t>
      </w:r>
    </w:p>
    <w:p w14:paraId="59D1CB44">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（8）使用伪造、变造的行政许可证件； </w:t>
      </w:r>
    </w:p>
    <w:p w14:paraId="62D83B2D">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（9）提供虚假的财务状况或者业绩； </w:t>
      </w:r>
    </w:p>
    <w:p w14:paraId="4F3D4AE0">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（10）提供虚假的项目负责人或者主要技术人员简历、劳动关系证明； </w:t>
      </w:r>
    </w:p>
    <w:p w14:paraId="73648322">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（11）提供虚假的信用状况； </w:t>
      </w:r>
    </w:p>
    <w:p w14:paraId="2983F6C0">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（12）其他弄虚作假的行为。 </w:t>
      </w:r>
    </w:p>
    <w:p w14:paraId="124EB7C0">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19.5 谈判小组审查响应文件是否完整、有无计算上的错误等。 </w:t>
      </w:r>
    </w:p>
    <w:p w14:paraId="7B572F9D">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19.5.1 响应文件的修正及澄清 </w:t>
      </w:r>
    </w:p>
    <w:p w14:paraId="53154FF3">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（1）谈判小组对确定为实质上响应谈判文件要求的响应文件进行校核，看其是否有计算或表达上的错误，算术错误将按以下方法更正： </w:t>
      </w:r>
    </w:p>
    <w:p w14:paraId="6BC61053">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 </w:t>
      </w:r>
    </w:p>
    <w:p w14:paraId="1505980A">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19.5.2 评审之前，谈判小组要审查每份响应文件是否实质上响应了谈判文件的要求。实质上响应的响应文件应该是与谈判文件要求的关键条款、条件和规格相符没有重大偏离的响应文件。对关键条款的偏离或反对将被认定为是实质上的不响应。谈判小组决定响应文件的响应性只根据响应文件本身的真实无误的内容，而不依据外部的证据。但响应文件有不真实不正确的内容的除外。</w:t>
      </w:r>
    </w:p>
    <w:p w14:paraId="1CF2FD76">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19.5.3 实质上没有响应谈判文件要求的响应文件将被视为无效文件。供应商不得通过修正或撤销不合要求的偏离从而使其成为实质上响应的文件。</w:t>
      </w:r>
    </w:p>
    <w:p w14:paraId="47866720">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19.5.4 评审期间，谈判小组有权要求供应商对其响应文件中含义不明确、同类问题表述不一致或者有明显文字和计算错误的内容等作必要的澄清、说明或者补正。供应商必须按照谈判小组要求的澄清内容和时间做出澄清。除按本谈判文件规定改正算术错误外，供应商对响应文件的澄清不得超出响应文件的范围或者改变响应文件的实质性内容。在评审期间,谈判小组可要求供应商对其响应文件进行澄清，但不得寻求、提供或允许供应商对投标报价等实质性内容做任何更改。有关澄清的答复均应由供应商的法定代表人或授权代表以书面形式作出并签字。 </w:t>
      </w:r>
    </w:p>
    <w:p w14:paraId="2EF1FD98">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19.5.5 供应商的澄清文件是其响应文件的组成部分。</w:t>
      </w:r>
    </w:p>
    <w:p w14:paraId="03669C9A">
      <w:pPr>
        <w:pStyle w:val="61"/>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bookmarkStart w:id="67" w:name="_Toc26019"/>
      <w:r>
        <w:rPr>
          <w:rFonts w:hint="eastAsia" w:ascii="宋体" w:hAnsi="宋体" w:cs="宋体"/>
          <w:color w:val="000000" w:themeColor="text1"/>
          <w:sz w:val="24"/>
          <w:szCs w:val="24"/>
          <w:highlight w:val="none"/>
          <w:lang w:val="en-US" w:eastAsia="zh-CN"/>
          <w14:textFill>
            <w14:solidFill>
              <w14:schemeClr w14:val="tx1"/>
            </w14:solidFill>
          </w14:textFill>
        </w:rPr>
        <w:t xml:space="preserve">20 谈判 </w:t>
      </w:r>
    </w:p>
    <w:p w14:paraId="1A2AE754">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采用不见面开标方式</w:t>
      </w:r>
    </w:p>
    <w:p w14:paraId="0A47647B">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采购人在规定的投标截止时间（开标时间）和供应商须知前附表规定的地点开标。供应商的法定代表人或其委托代理人无需到达开标现场，仅需在任意地点通过兵团政府采购网政采云远程开标大厅，使用 CA 密钥完成远程解密、提疑澄清、开标唱标、结果公布等交互环节。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7851436C">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68" w:name="_Toc1882"/>
      <w:r>
        <w:rPr>
          <w:rFonts w:hint="eastAsia" w:ascii="宋体" w:hAnsi="宋体"/>
          <w:b/>
          <w:color w:val="000000" w:themeColor="text1"/>
          <w:sz w:val="28"/>
          <w:szCs w:val="28"/>
          <w:highlight w:val="none"/>
          <w14:textFill>
            <w14:solidFill>
              <w14:schemeClr w14:val="tx1"/>
            </w14:solidFill>
          </w14:textFill>
        </w:rPr>
        <w:t>六、确定成交供应商办法</w:t>
      </w:r>
      <w:bookmarkEnd w:id="67"/>
      <w:bookmarkEnd w:id="68"/>
    </w:p>
    <w:p w14:paraId="2C0A656E">
      <w:pPr>
        <w:pStyle w:val="61"/>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谈判小组根据符合采购需求、质量和服务相等且报价最低的原则推荐成交候选供应商。</w:t>
      </w:r>
    </w:p>
    <w:p w14:paraId="38360E6D">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最低报价不是成交的唯一标准。但是，在符合采购需求、质量和服务相等的情况下，报价是确定成交的关键因素。</w:t>
      </w:r>
    </w:p>
    <w:p w14:paraId="1AE10A45">
      <w:pPr>
        <w:pStyle w:val="6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谈判小组按照最后报价由低到高的顺序向采购人推荐三名成交候选人。</w:t>
      </w:r>
    </w:p>
    <w:p w14:paraId="521156F9">
      <w:pPr>
        <w:pStyle w:val="61"/>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成交供应商确定后，采购代理机构将在政府采购监管部门指定的媒体上发布成交公告，同时向成交供应商发出《成交通知书》。</w:t>
      </w:r>
    </w:p>
    <w:p w14:paraId="12955EF4">
      <w:pPr>
        <w:pStyle w:val="61"/>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21.3</w:t>
      </w:r>
      <w:r>
        <w:rPr>
          <w:rFonts w:hint="eastAsia" w:ascii="宋体" w:hAnsi="宋体" w:cs="宋体"/>
          <w:color w:val="000000" w:themeColor="text1"/>
          <w:sz w:val="24"/>
          <w:szCs w:val="24"/>
          <w:highlight w:val="none"/>
          <w14:textFill>
            <w14:solidFill>
              <w14:schemeClr w14:val="tx1"/>
            </w14:solidFill>
          </w14:textFill>
        </w:rPr>
        <w:t>《成交通知书》是合同的组成部分,对成交供应商和采购人具有同等法律效力。</w:t>
      </w:r>
    </w:p>
    <w:p w14:paraId="2EA71548">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69" w:name="_Toc24868"/>
      <w:bookmarkStart w:id="70" w:name="_Toc21682"/>
      <w:r>
        <w:rPr>
          <w:rFonts w:hint="eastAsia" w:ascii="宋体" w:hAnsi="宋体"/>
          <w:b/>
          <w:color w:val="000000" w:themeColor="text1"/>
          <w:sz w:val="28"/>
          <w:szCs w:val="28"/>
          <w:highlight w:val="none"/>
          <w14:textFill>
            <w14:solidFill>
              <w14:schemeClr w14:val="tx1"/>
            </w14:solidFill>
          </w14:textFill>
        </w:rPr>
        <w:t>七、签订合同</w:t>
      </w:r>
      <w:bookmarkEnd w:id="69"/>
      <w:bookmarkEnd w:id="70"/>
    </w:p>
    <w:p w14:paraId="167928E3">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22.1采购人应按谈判文件要求和中标人的响应文件承诺订立书面合同，不得超出谈判文件和中标人响应文件的范围，也不得再另行订立背离合同实质性内容的其他协议。 </w:t>
      </w:r>
    </w:p>
    <w:p w14:paraId="4D9C0AD1">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22.2 采购人应在《成交通知书》发出之日起 30 天内与成交供应商签订政府采购合同。签订政府采购合同后，采购人应将政府采购合同副本报政府采购监管部门和政府采购代理机构备案。 </w:t>
      </w:r>
    </w:p>
    <w:p w14:paraId="1B08EEB1">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22.3 采购人如需追加与合同标的相同的货物，在不改变合同其他条款的前提下，提交追加合同的申请报经同级财政部门、经同级财政部门审核后，可与中标人签订补充合同，但所有补充合同的采购金额不得超过原合同金额的百分之十。 </w:t>
      </w:r>
    </w:p>
    <w:p w14:paraId="7E63E7B3">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22.4 中标人一旦中标及签订合同后，不得转包，亦不得将合同全部及任何权利、义务向第三方转让。 </w:t>
      </w:r>
    </w:p>
    <w:p w14:paraId="30B382C0">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22.5 中标人不履行合同的，采购人可在报经同级人民政府财政部门核准后，与排位在中标人之后的第一位中标候选供应商签订合同，以此类推；或在报经同级人民政府财政部门核准后重新组织采购。</w:t>
      </w:r>
    </w:p>
    <w:p w14:paraId="72605635">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23 合同公示 </w:t>
      </w:r>
    </w:p>
    <w:p w14:paraId="774F91BB">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采购人应当自政府采购合同签订后，将政府采购合同在省级以上人民政府财政部门指定的媒体上公告，但政府采购合同中涉及国家秘密、商业秘密的内容除外。</w:t>
      </w:r>
    </w:p>
    <w:p w14:paraId="234D2EEE">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71" w:name="_Toc25972"/>
      <w:bookmarkStart w:id="72" w:name="_Toc11253"/>
      <w:r>
        <w:rPr>
          <w:rFonts w:hint="eastAsia" w:ascii="宋体" w:hAnsi="宋体"/>
          <w:b/>
          <w:color w:val="000000" w:themeColor="text1"/>
          <w:sz w:val="28"/>
          <w:szCs w:val="28"/>
          <w:highlight w:val="none"/>
          <w14:textFill>
            <w14:solidFill>
              <w14:schemeClr w14:val="tx1"/>
            </w14:solidFill>
          </w14:textFill>
        </w:rPr>
        <w:t>八、项目验收</w:t>
      </w:r>
      <w:bookmarkEnd w:id="71"/>
      <w:bookmarkEnd w:id="72"/>
    </w:p>
    <w:p w14:paraId="26FD6055">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24.1</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采购单位按照政府采购合同规定的技术、服务、安全标准对供应商履约情况进行验收，并出具验收书。验收书包括每一项技术、服务、安全标准的履约情况。</w:t>
      </w:r>
    </w:p>
    <w:p w14:paraId="17DA4339">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24</w:t>
      </w:r>
      <w:r>
        <w:rPr>
          <w:rFonts w:hint="eastAsia" w:ascii="宋体" w:hAnsi="宋体" w:cs="宋体"/>
          <w:color w:val="000000" w:themeColor="text1"/>
          <w:sz w:val="24"/>
          <w:szCs w:val="24"/>
          <w:highlight w:val="none"/>
          <w14:textFill>
            <w14:solidFill>
              <w14:schemeClr w14:val="tx1"/>
            </w14:solidFill>
          </w14:textFill>
        </w:rPr>
        <w:t>.2 验收标准:采购文件、响应文件、政府采购合同规定的标准。</w:t>
      </w:r>
    </w:p>
    <w:p w14:paraId="584942E7">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73" w:name="_Toc25520"/>
      <w:bookmarkStart w:id="74" w:name="_Toc8187"/>
      <w:r>
        <w:rPr>
          <w:rFonts w:hint="eastAsia" w:ascii="宋体" w:hAnsi="宋体"/>
          <w:b/>
          <w:color w:val="000000" w:themeColor="text1"/>
          <w:sz w:val="28"/>
          <w:szCs w:val="28"/>
          <w:highlight w:val="none"/>
          <w14:textFill>
            <w14:solidFill>
              <w14:schemeClr w14:val="tx1"/>
            </w14:solidFill>
          </w14:textFill>
        </w:rPr>
        <w:t>九、适用法律</w:t>
      </w:r>
      <w:bookmarkEnd w:id="73"/>
      <w:bookmarkEnd w:id="74"/>
    </w:p>
    <w:p w14:paraId="33711016">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25.1</w:t>
      </w:r>
      <w:r>
        <w:rPr>
          <w:rFonts w:hint="eastAsia" w:ascii="宋体" w:hAnsi="宋体" w:cs="宋体"/>
          <w:color w:val="000000" w:themeColor="text1"/>
          <w:sz w:val="24"/>
          <w:szCs w:val="24"/>
          <w:highlight w:val="none"/>
          <w14:textFill>
            <w14:solidFill>
              <w14:schemeClr w14:val="tx1"/>
            </w14:solidFill>
          </w14:textFill>
        </w:rPr>
        <w:t>采购当事人</w:t>
      </w:r>
      <w:r>
        <w:rPr>
          <w:rFonts w:hint="eastAsia" w:ascii="宋体" w:hAnsi="宋体" w:cs="宋体"/>
          <w:color w:val="000000" w:themeColor="text1"/>
          <w:sz w:val="24"/>
          <w:szCs w:val="24"/>
          <w:highlight w:val="none"/>
          <w:lang w:val="en-US" w:eastAsia="zh-CN"/>
          <w14:textFill>
            <w14:solidFill>
              <w14:schemeClr w14:val="tx1"/>
            </w14:solidFill>
          </w14:textFill>
        </w:rPr>
        <w:t>和供应商的一切招标投标活动均适用于《政府采购法》、《政府采购实施条例》、《政府采购非招标采购方式管理办法》等相关规定。</w:t>
      </w:r>
    </w:p>
    <w:p w14:paraId="57969973">
      <w:pPr>
        <w:spacing w:line="360" w:lineRule="auto"/>
        <w:jc w:val="center"/>
        <w:outlineLvl w:val="1"/>
        <w:rPr>
          <w:rFonts w:hint="eastAsia" w:ascii="宋体" w:hAnsi="宋体"/>
          <w:b/>
          <w:color w:val="000000" w:themeColor="text1"/>
          <w:sz w:val="28"/>
          <w:szCs w:val="28"/>
          <w:highlight w:val="none"/>
          <w14:textFill>
            <w14:solidFill>
              <w14:schemeClr w14:val="tx1"/>
            </w14:solidFill>
          </w14:textFill>
        </w:rPr>
      </w:pPr>
      <w:bookmarkStart w:id="75" w:name="_Toc25715"/>
      <w:r>
        <w:rPr>
          <w:rFonts w:hint="eastAsia" w:ascii="宋体" w:hAnsi="宋体"/>
          <w:b/>
          <w:color w:val="000000" w:themeColor="text1"/>
          <w:sz w:val="28"/>
          <w:szCs w:val="28"/>
          <w:highlight w:val="none"/>
          <w:lang w:val="en-US" w:eastAsia="zh-CN"/>
          <w14:textFill>
            <w14:solidFill>
              <w14:schemeClr w14:val="tx1"/>
            </w14:solidFill>
          </w14:textFill>
        </w:rPr>
        <w:t>十、谈判文件的解释权</w:t>
      </w:r>
      <w:bookmarkEnd w:id="75"/>
    </w:p>
    <w:p w14:paraId="627D1CA5">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26.1</w:t>
      </w:r>
      <w:r>
        <w:rPr>
          <w:rFonts w:ascii="宋体" w:hAnsi="宋体"/>
          <w:color w:val="000000" w:themeColor="text1"/>
          <w:sz w:val="24"/>
          <w:szCs w:val="24"/>
          <w:highlight w:val="none"/>
          <w:lang w:val="en-US" w:eastAsia="zh-CN"/>
          <w14:textFill>
            <w14:solidFill>
              <w14:schemeClr w14:val="tx1"/>
            </w14:solidFill>
          </w14:textFill>
        </w:rPr>
        <w:t>本项目谈判文件的最终解释权为</w:t>
      </w:r>
      <w:r>
        <w:rPr>
          <w:rFonts w:hint="eastAsia" w:ascii="宋体" w:hAnsi="宋体"/>
          <w:color w:val="000000" w:themeColor="text1"/>
          <w:sz w:val="24"/>
          <w:szCs w:val="24"/>
          <w:highlight w:val="none"/>
          <w:lang w:val="en-US" w:eastAsia="zh-CN"/>
          <w14:textFill>
            <w14:solidFill>
              <w14:schemeClr w14:val="tx1"/>
            </w14:solidFill>
          </w14:textFill>
        </w:rPr>
        <w:t>本公司</w:t>
      </w:r>
      <w:r>
        <w:rPr>
          <w:rFonts w:ascii="宋体" w:hAnsi="宋体"/>
          <w:color w:val="000000" w:themeColor="text1"/>
          <w:sz w:val="24"/>
          <w:szCs w:val="24"/>
          <w:highlight w:val="none"/>
          <w:lang w:val="en-US" w:eastAsia="zh-CN"/>
          <w14:textFill>
            <w14:solidFill>
              <w14:schemeClr w14:val="tx1"/>
            </w14:solidFill>
          </w14:textFill>
        </w:rPr>
        <w:t>所有</w:t>
      </w:r>
    </w:p>
    <w:p w14:paraId="686702D3">
      <w:pPr>
        <w:spacing w:line="360" w:lineRule="auto"/>
        <w:jc w:val="center"/>
        <w:outlineLvl w:val="1"/>
        <w:rPr>
          <w:rFonts w:hint="eastAsia" w:ascii="宋体" w:hAnsi="宋体"/>
          <w:b/>
          <w:color w:val="000000" w:themeColor="text1"/>
          <w:sz w:val="28"/>
          <w:szCs w:val="28"/>
          <w:highlight w:val="none"/>
          <w:lang w:val="en-US" w:eastAsia="zh-CN"/>
          <w14:textFill>
            <w14:solidFill>
              <w14:schemeClr w14:val="tx1"/>
            </w14:solidFill>
          </w14:textFill>
        </w:rPr>
      </w:pPr>
      <w:bookmarkStart w:id="76" w:name="_Toc19350"/>
      <w:r>
        <w:rPr>
          <w:rFonts w:hint="eastAsia" w:ascii="宋体" w:hAnsi="宋体"/>
          <w:b/>
          <w:color w:val="000000" w:themeColor="text1"/>
          <w:sz w:val="28"/>
          <w:szCs w:val="28"/>
          <w:highlight w:val="none"/>
          <w:lang w:val="en-US" w:eastAsia="zh-CN"/>
          <w14:textFill>
            <w14:solidFill>
              <w14:schemeClr w14:val="tx1"/>
            </w14:solidFill>
          </w14:textFill>
        </w:rPr>
        <w:t>十一、其他注意事项</w:t>
      </w:r>
      <w:bookmarkEnd w:id="76"/>
      <w:r>
        <w:rPr>
          <w:rFonts w:hint="eastAsia" w:ascii="宋体" w:hAnsi="宋体"/>
          <w:b/>
          <w:color w:val="000000" w:themeColor="text1"/>
          <w:sz w:val="28"/>
          <w:szCs w:val="28"/>
          <w:highlight w:val="none"/>
          <w:lang w:val="en-US" w:eastAsia="zh-CN"/>
          <w14:textFill>
            <w14:solidFill>
              <w14:schemeClr w14:val="tx1"/>
            </w14:solidFill>
          </w14:textFill>
        </w:rPr>
        <w:t xml:space="preserve"> </w:t>
      </w:r>
    </w:p>
    <w:p w14:paraId="1B66DF02">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27.1 单位负责人为同一人或者存在直接控股、管理关系的不同供应商，不得参加同一合同项下的政府采购活动。 </w:t>
      </w:r>
    </w:p>
    <w:p w14:paraId="4F99C682">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27.2 供应商为采购项目提供整体设计、规范编制或者项目管理、监理、检测等服务的供应商，不得再参加该采购项目的其他采购活动。 </w:t>
      </w:r>
    </w:p>
    <w:p w14:paraId="7F759C97">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27.3 政府采购法第二十二条第一款第五项所称重大违法记录，是指供应商因违法经营受到刑事处罚或者责令停产停业、吊销许可证或者执照、较大数额罚款等行政处罚。</w:t>
      </w:r>
    </w:p>
    <w:p w14:paraId="61B05AAD">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27.4 按照财政部《关于规范政府采购行政处罚有关问题的通知》的规定，各级人民政府财政部门依法对参加政府采购活动的供应商作出的禁止参加政府采购活动等行政处罚决定在全国范围内生效。</w:t>
      </w:r>
    </w:p>
    <w:p w14:paraId="7F9746DE">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27.5 供应商在参加政府采购活动前 3 年内因违法经营被禁止在一定期限内参加政府采购活动，期限届满的，可以参加政府采购活动。</w:t>
      </w:r>
    </w:p>
    <w:p w14:paraId="0C1B6D07">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27.6 出现下列情形之一的，采购人或者采购代理机构应当终止竞争性谈判采购活动，发布项目终止公告并说明原因，重新开展采购活动：</w:t>
      </w:r>
    </w:p>
    <w:p w14:paraId="306B4007">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（一）因情况变化，不再符合规定的竞争性谈判采购方式适用情形的； </w:t>
      </w:r>
    </w:p>
    <w:p w14:paraId="68744FC7">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（二）出现影响采购公正的违法、违规行为的； </w:t>
      </w:r>
    </w:p>
    <w:p w14:paraId="03EAF0CB">
      <w:pPr>
        <w:pStyle w:val="6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（三）在采购过程中符合要求的供应商或者报价未超过采购预算的供应商不足 3 家的，除《政府采购非招标采购方式管理办法》第二十七条第二款规定的情形陈外。</w:t>
      </w:r>
    </w:p>
    <w:p w14:paraId="16DC2BB7">
      <w:pPr>
        <w:pStyle w:val="61"/>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p>
    <w:p w14:paraId="4BE7254A">
      <w:pPr>
        <w:spacing w:line="360" w:lineRule="auto"/>
        <w:ind w:firstLine="480" w:firstLineChars="200"/>
        <w:rPr>
          <w:rFonts w:hint="eastAsia"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br w:type="page"/>
      </w:r>
    </w:p>
    <w:p w14:paraId="55372526">
      <w:pPr>
        <w:pStyle w:val="2"/>
        <w:spacing w:line="360" w:lineRule="auto"/>
        <w:jc w:val="center"/>
        <w:rPr>
          <w:rFonts w:ascii="宋体" w:hAnsi="宋体"/>
          <w:color w:val="000000" w:themeColor="text1"/>
          <w:sz w:val="36"/>
          <w:highlight w:val="none"/>
          <w14:textFill>
            <w14:solidFill>
              <w14:schemeClr w14:val="tx1"/>
            </w14:solidFill>
          </w14:textFill>
        </w:rPr>
      </w:pPr>
      <w:bookmarkStart w:id="77" w:name="_Toc1660"/>
      <w:r>
        <w:rPr>
          <w:rFonts w:hint="eastAsia" w:ascii="宋体" w:hAnsi="宋体"/>
          <w:color w:val="000000" w:themeColor="text1"/>
          <w:sz w:val="36"/>
          <w:highlight w:val="none"/>
          <w14:textFill>
            <w14:solidFill>
              <w14:schemeClr w14:val="tx1"/>
            </w14:solidFill>
          </w14:textFill>
        </w:rPr>
        <w:t>第三部分   采购需求</w:t>
      </w:r>
      <w:bookmarkEnd w:id="77"/>
    </w:p>
    <w:p w14:paraId="2B2E8B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一、商务要求：</w:t>
      </w:r>
    </w:p>
    <w:p w14:paraId="4E751A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（一）、项目概况</w:t>
      </w:r>
    </w:p>
    <w:p w14:paraId="62A18E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hd w:val="clear" w:color="auto" w:fill="auto"/>
          <w:lang w:val="en-US" w:eastAsia="zh-CN"/>
          <w14:textFill>
            <w14:solidFill>
              <w14:schemeClr w14:val="tx1"/>
            </w14:solidFill>
          </w14:textFill>
        </w:rPr>
        <w:t>视频会议系统</w:t>
      </w:r>
      <w:r>
        <w:rPr>
          <w:rFonts w:hint="eastAsia" w:ascii="宋体" w:hAnsi="宋体" w:eastAsia="宋体" w:cs="宋体"/>
          <w:b w:val="0"/>
          <w:bCs/>
          <w:color w:val="000000" w:themeColor="text1"/>
          <w:sz w:val="24"/>
          <w:shd w:val="clear" w:color="auto" w:fill="auto"/>
          <w14:textFill>
            <w14:solidFill>
              <w14:schemeClr w14:val="tx1"/>
            </w14:solidFill>
          </w14:textFill>
        </w:rPr>
        <w:t>驻场及维保服务主要包括总站机关驻场服务、基层单位设备维护服务和故障维修服务</w:t>
      </w:r>
      <w:r>
        <w:rPr>
          <w:rFonts w:hint="eastAsia" w:ascii="宋体" w:hAnsi="宋体" w:eastAsia="宋体" w:cs="宋体"/>
          <w:b w:val="0"/>
          <w:bCs/>
          <w:color w:val="000000" w:themeColor="text1"/>
          <w:sz w:val="24"/>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hd w:val="clear" w:color="auto" w:fill="auto"/>
          <w14:textFill>
            <w14:solidFill>
              <w14:schemeClr w14:val="tx1"/>
            </w14:solidFill>
          </w14:textFill>
        </w:rPr>
        <w:t>以及其他涉及视频会议系统运维的服务内容。</w:t>
      </w:r>
    </w:p>
    <w:p w14:paraId="184E75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（二）、服务要求</w:t>
      </w:r>
    </w:p>
    <w:p w14:paraId="32B2ECE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1.总站机关驻场服务：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主要包括总站机关及基层单位视频会议系统的7×12小时驻场值守、系统运行监控服务，及总站机关10台视频会议终端、3台MCU、1台录播服务器系统运维服务。</w:t>
      </w:r>
    </w:p>
    <w:p w14:paraId="099388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服务地点：新疆出入境边防检查总站指挥中心。</w:t>
      </w:r>
    </w:p>
    <w:p w14:paraId="6BC718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服务地址：新疆乌鲁木齐市天山区团结路1551号</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5E06C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基层单位设备维护服务: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主要包括总站</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及</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基层单位69</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台视频会议终端、会议mcu及配套VPM220&amp;VPM200麦克风，VPC600&amp;VPC620会议摄像机7*24小时远程故障（软件及系统错误）、软件升级更新、疑难解答、运维服务热线值守服务。</w:t>
      </w:r>
    </w:p>
    <w:p w14:paraId="732060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故障维修服务: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主要包括总站范围内</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699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台视频会议终端、mcu设备软、硬件设备故障，总站指挥中心及俱乐部5处led屏幕维修服务。</w:t>
      </w:r>
    </w:p>
    <w:p w14:paraId="2B1EF1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服务地点：1.伊犁边境管理支队：伊宁市斯大林街五巷五号；2.塔城边境管理支队：塔城市新南街128号；3.阿勒泰边境管理支队：阿勒泰市解放路1号；4.克州边境管理支队：阿图什市帕米尔路东76号院；5.博州边境管理支队：博乐市和平路183号；6.哈密边境管理支队：哈密市伊州区青年南路45号 ；7.阿克苏边境管理支队：阿克苏市兰干街道兰干社区复兴大道东一巷4号；8.喀什边境管理支队：喀什市天山东路边境管理支队；9.昌吉边境管理支队：昌吉市北外环西路昌吉边境管理支队；10.和田边境管理支队：和田市迎宾路556号；11.乌鲁木齐出入境边防检查站：乌鲁木齐市迎宾路1341号；12.阿拉山口出入境边防检查站：博州阿拉山口市西迁路26号；13.霍尔果斯出入境边防检查站：伊犁霍尔果斯市亚欧南路1号；14.巴克图出入境边防检查站：塔城市迎宾北路西侧6号；15.红其拉甫出入境边防检查站：喀什塔什库尔干县中巴友谊路5号；16.吐尔尕特出入境边防检查站：克州乌恰县托帕口岸民主路1号；17.吉木乃出入境边防检查站：阿勒泰吉木乃县186团戍边路；18.伊尔克什坦出入境边防检查站：克州乌恰县胜利路1号；19.都拉塔出入境边防检查站：伊犁察布查尔县都拉塔大道13号；20.喀什出入境边防检查站：喀什市迎宾大道机场路440号；21.塔克什肯出入境边防检查站：阿勒泰市团结南路204号；22.老爷庙出入境边防检查站：哈密市伊州区八一路97号；23.乌拉斯台出入境边防检查站：昌吉市北京南路1099号；24.红山嘴出入境边防检查站：阿勒泰市迎宾路76号；25.卡拉苏出入境边防检查站：喀什塔什库尔干县乔戈里路40号；26.伊宁出入境边防检查站：伊宁市飞机场北路130号；27.北疆轮训大队：昌吉市西外环北路98号；28.南疆轮训大队：喀什市西域大道。29.新疆出入境边防检查总站指挥中心及俱乐部。</w:t>
      </w:r>
    </w:p>
    <w:p w14:paraId="1BAE96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0" w:leftChars="0"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服务地址：新疆乌鲁木齐市天山区团结路1551号</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45595C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其他服务：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主要包括提升总站各级视频会议维护能力的培训服务，技术支持及咨询服务以及甲方安排的其他涉及视频会议系统运维的服务内容。服务期：1年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4018B5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（三）</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行业标准及产品要求</w:t>
      </w:r>
    </w:p>
    <w:p w14:paraId="6BAA21FD">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《公安图像控制中心技术规范》GA T 1793-2021</w:t>
      </w:r>
    </w:p>
    <w:p w14:paraId="23EDF885">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《公安视频会议室技术规范》GA T 1794-2021</w:t>
      </w:r>
    </w:p>
    <w:p w14:paraId="5439F4D6">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（四）、服务地点：新疆乌鲁木齐市天山区团结路1551号新疆出入境边防检查总站机关及所属站级单位。</w:t>
      </w:r>
    </w:p>
    <w:p w14:paraId="6E40796F">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（五）、合同履行期限：合同签订后1年。</w:t>
      </w:r>
    </w:p>
    <w:p w14:paraId="0CEC4D7F">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（六）、售后服务及质保时间：自合同签订后至维保服务完成为止。</w:t>
      </w:r>
    </w:p>
    <w:p w14:paraId="16977502">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七）、技术履约内容：维保单位向采购单位提供项目维保资料（包含维保记录、维保方案、维保说明、预算清单），本维保方案应符合现行国家、地方有关规范和标准具体要求，如在设计工作中有新标准和规范出台，则按最新的标准和规范执行。经甲方签字确认，且主管部门审核通过后，装订成册作为验收依据。</w:t>
      </w:r>
    </w:p>
    <w:p w14:paraId="39477AA4">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（九）、验收方式及标准：</w:t>
      </w:r>
      <w:r>
        <w:rPr>
          <w:rFonts w:hint="eastAsia" w:ascii="宋体" w:hAnsi="宋体" w:cs="宋体"/>
          <w:color w:val="000000" w:themeColor="text1"/>
          <w:sz w:val="24"/>
          <w:highlight w:val="none"/>
          <w14:textFill>
            <w14:solidFill>
              <w14:schemeClr w14:val="tx1"/>
            </w14:solidFill>
          </w14:textFill>
        </w:rPr>
        <w:t>验收按照合同计划执行，验收人员由甲方相关人员与</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人员共同组成。由</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对维保服务进行总结，提供全年维护服务记录及相应佐证材料。</w:t>
      </w:r>
    </w:p>
    <w:p w14:paraId="4E4D2A5B">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（十）、</w:t>
      </w:r>
      <w:r>
        <w:rPr>
          <w:rFonts w:ascii="宋体" w:hAnsi="宋体" w:eastAsia="宋体" w:cs="宋体"/>
          <w:color w:val="000000" w:themeColor="text1"/>
          <w:sz w:val="24"/>
          <w:szCs w:val="24"/>
          <w14:textFill>
            <w14:solidFill>
              <w14:schemeClr w14:val="tx1"/>
            </w14:solidFill>
          </w14:textFill>
        </w:rPr>
        <w:t>付款方式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甲乙双方签订合同后30日内支付50%的合同款,服务期满6个月后支付40%的合同款，验收合格后支付10%的尾款 (具体金额以审计结果为准，项目验收完成后，由甲方审计部门审计， 出具审计报告书，乙方根据审计报告开具剩余金额项目款发票)。</w:t>
      </w:r>
    </w:p>
    <w:p w14:paraId="1A8402D6">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（十一）、维修时间要求：</w:t>
      </w:r>
    </w:p>
    <w:p w14:paraId="5F0D1370">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设备出现故障时，单位驻地在乌鲁木齐市、昌吉市的，乙方应在接到通知后2小时内指派专业人员进行现场检查和维修。夜间接到通知应在2小时内到达现场，节假日应在接到通知后4小时内到达现场；单位驻地在非乌鲁木齐市、昌吉市出现设备故障时，乙方应在接到通知后24小时内指派专业人员进行现场检查和维修。以上响应时间不可抗力除外，并需向甲方及时告知。</w:t>
      </w:r>
    </w:p>
    <w:p w14:paraId="57A01B6A">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2.如故障在到达现场24小时之内无法维系或需要异地维修的，应提供可替换备品备件供甲方使用（视频会议MCU设备除外）。</w:t>
      </w:r>
    </w:p>
    <w:p w14:paraId="699C2A06">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（十二）、人员要求</w:t>
      </w:r>
    </w:p>
    <w:p w14:paraId="6B96E01C">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视频会议系统保障的的要求，维保服务公司应准备不少于2位运维工程师，长期值守为1人。当系统发生故障时，运维工程师进行故障排除，如运维工程师现场无法自己解决问题时，维保服务公司必须有强大的专家团队通过远程支持等方式进行支持处理，如24小时内无法解决故障，维保服务公司将应派出相应的专家赴现场进行处理。（人员须提供身份证明、劳动关系证明、学历和技术专业资质证明）</w:t>
      </w:r>
    </w:p>
    <w:p w14:paraId="33B1139E">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b w:val="0"/>
          <w:bCs w:val="0"/>
          <w:color w:val="000000" w:themeColor="text1"/>
          <w:sz w:val="24"/>
          <w:szCs w:val="24"/>
          <w:highlight w:val="none"/>
          <w:lang w:val="zh-TW" w:eastAsia="zh-TW"/>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（十三）、</w:t>
      </w:r>
      <w:r>
        <w:rPr>
          <w:rFonts w:hint="eastAsia" w:ascii="宋体" w:hAnsi="宋体" w:eastAsia="宋体" w:cs="宋体"/>
          <w:color w:val="000000" w:themeColor="text1"/>
          <w:sz w:val="24"/>
          <w:szCs w:val="24"/>
          <w:lang w:val="en-US" w:eastAsia="zh-CN"/>
          <w14:textFill>
            <w14:solidFill>
              <w14:schemeClr w14:val="tx1"/>
            </w14:solidFill>
          </w14:textFill>
        </w:rPr>
        <w:t>服务方式</w:t>
      </w:r>
    </w:p>
    <w:p w14:paraId="31DBF1F5">
      <w:pPr>
        <w:pStyle w:val="1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新疆出入境边防检查总站视频会议系统在日常工作中非常重要，要求各系统7*24小时无故障运行，且对在系统使用过程中的突发性故障、各种临时事件要求立即恢复正常运行；基于以上，为了体现运维服务的重要性和专业性，应采用工程师驻场维护的方式。</w:t>
      </w:r>
      <w:r>
        <w:rPr>
          <w:rFonts w:hint="eastAsia" w:ascii="宋体" w:hAnsi="宋体" w:eastAsia="宋体" w:cs="宋体"/>
          <w:color w:val="000000" w:themeColor="text1"/>
          <w:sz w:val="24"/>
          <w:szCs w:val="24"/>
          <w:lang w:val="en-US" w:eastAsia="zh-CN"/>
          <w14:textFill>
            <w14:solidFill>
              <w14:schemeClr w14:val="tx1"/>
            </w14:solidFill>
          </w14:textFill>
        </w:rPr>
        <w:br w:type="page"/>
      </w:r>
    </w:p>
    <w:p w14:paraId="0AD806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二、技术要求：</w:t>
      </w:r>
    </w:p>
    <w:p w14:paraId="0AA20A1E">
      <w:pPr>
        <w:jc w:val="both"/>
        <w:rPr>
          <w:rFonts w:hint="eastAsia" w:ascii="宋体" w:hAnsi="宋体" w:eastAsia="宋体" w:cs="宋体"/>
          <w:b/>
          <w:bCs/>
          <w:color w:val="000000" w:themeColor="text1"/>
          <w:sz w:val="52"/>
          <w:szCs w:val="52"/>
          <w14:textFill>
            <w14:solidFill>
              <w14:schemeClr w14:val="tx1"/>
            </w14:solidFill>
          </w14:textFill>
        </w:rPr>
      </w:pPr>
    </w:p>
    <w:p w14:paraId="424B0971">
      <w:pPr>
        <w:jc w:val="center"/>
        <w:rPr>
          <w:rFonts w:hint="eastAsia" w:ascii="宋体" w:hAnsi="宋体" w:eastAsia="宋体" w:cs="宋体"/>
          <w:b/>
          <w:bCs/>
          <w:color w:val="000000" w:themeColor="text1"/>
          <w:sz w:val="48"/>
          <w:szCs w:val="48"/>
          <w14:textFill>
            <w14:solidFill>
              <w14:schemeClr w14:val="tx1"/>
            </w14:solidFill>
          </w14:textFill>
        </w:rPr>
      </w:pPr>
    </w:p>
    <w:p w14:paraId="40DF152A">
      <w:pPr>
        <w:jc w:val="center"/>
        <w:rPr>
          <w:rFonts w:hint="eastAsia" w:ascii="宋体" w:hAnsi="宋体" w:eastAsia="宋体" w:cs="宋体"/>
          <w:b/>
          <w:bCs/>
          <w:color w:val="000000" w:themeColor="text1"/>
          <w:sz w:val="48"/>
          <w:szCs w:val="48"/>
          <w14:textFill>
            <w14:solidFill>
              <w14:schemeClr w14:val="tx1"/>
            </w14:solidFill>
          </w14:textFill>
        </w:rPr>
      </w:pPr>
    </w:p>
    <w:p w14:paraId="3ED61E9D">
      <w:pPr>
        <w:jc w:val="center"/>
        <w:rPr>
          <w:rFonts w:hint="eastAsia" w:ascii="宋体" w:hAnsi="宋体" w:eastAsia="宋体" w:cs="宋体"/>
          <w:b/>
          <w:bCs/>
          <w:color w:val="000000" w:themeColor="text1"/>
          <w:sz w:val="48"/>
          <w:szCs w:val="48"/>
          <w14:textFill>
            <w14:solidFill>
              <w14:schemeClr w14:val="tx1"/>
            </w14:solidFill>
          </w14:textFill>
        </w:rPr>
      </w:pPr>
    </w:p>
    <w:p w14:paraId="4BD20252">
      <w:pPr>
        <w:jc w:val="center"/>
        <w:rPr>
          <w:rFonts w:hint="eastAsia" w:ascii="宋体" w:hAnsi="宋体" w:eastAsia="宋体" w:cs="宋体"/>
          <w:b/>
          <w:bCs/>
          <w:color w:val="000000" w:themeColor="text1"/>
          <w:sz w:val="48"/>
          <w:szCs w:val="48"/>
          <w14:textFill>
            <w14:solidFill>
              <w14:schemeClr w14:val="tx1"/>
            </w14:solidFill>
          </w14:textFill>
        </w:rPr>
      </w:pPr>
    </w:p>
    <w:p w14:paraId="76160F04">
      <w:pPr>
        <w:jc w:val="center"/>
        <w:rPr>
          <w:rFonts w:hint="eastAsia" w:ascii="宋体" w:hAnsi="宋体" w:eastAsia="宋体" w:cs="宋体"/>
          <w:b/>
          <w:bCs/>
          <w:color w:val="000000" w:themeColor="text1"/>
          <w:sz w:val="48"/>
          <w:szCs w:val="48"/>
          <w14:textFill>
            <w14:solidFill>
              <w14:schemeClr w14:val="tx1"/>
            </w14:solidFill>
          </w14:textFill>
        </w:rPr>
      </w:pPr>
    </w:p>
    <w:p w14:paraId="210BD28A">
      <w:pPr>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14:textFill>
            <w14:solidFill>
              <w14:schemeClr w14:val="tx1"/>
            </w14:solidFill>
          </w14:textFill>
        </w:rPr>
        <w:t>新疆出入境边防检查总站</w:t>
      </w:r>
    </w:p>
    <w:p w14:paraId="4F82D9C6">
      <w:pPr>
        <w:jc w:val="center"/>
        <w:outlineLvl w:val="1"/>
        <w:rPr>
          <w:rFonts w:hint="eastAsia" w:ascii="宋体" w:hAnsi="宋体" w:eastAsia="宋体" w:cs="宋体"/>
          <w:b/>
          <w:bCs/>
          <w:color w:val="000000" w:themeColor="text1"/>
          <w:sz w:val="48"/>
          <w:szCs w:val="48"/>
          <w14:textFill>
            <w14:solidFill>
              <w14:schemeClr w14:val="tx1"/>
            </w14:solidFill>
          </w14:textFill>
        </w:rPr>
      </w:pPr>
      <w:bookmarkStart w:id="78" w:name="_Toc6923"/>
      <w:r>
        <w:rPr>
          <w:rFonts w:hint="eastAsia" w:ascii="宋体" w:hAnsi="宋体" w:eastAsia="宋体" w:cs="宋体"/>
          <w:b/>
          <w:bCs/>
          <w:color w:val="000000" w:themeColor="text1"/>
          <w:sz w:val="48"/>
          <w:szCs w:val="48"/>
          <w14:textFill>
            <w14:solidFill>
              <w14:schemeClr w14:val="tx1"/>
            </w14:solidFill>
          </w14:textFill>
        </w:rPr>
        <w:t>高清视频会议系统驻场及维保服务方案</w:t>
      </w:r>
      <w:bookmarkEnd w:id="78"/>
    </w:p>
    <w:p w14:paraId="267F47DF">
      <w:pPr>
        <w:spacing w:after="100" w:afterAutospacing="1" w:line="480" w:lineRule="exact"/>
        <w:jc w:val="center"/>
        <w:rPr>
          <w:rFonts w:hint="eastAsia" w:ascii="宋体" w:hAnsi="宋体" w:eastAsia="宋体" w:cs="宋体"/>
          <w:b/>
          <w:color w:val="000000" w:themeColor="text1"/>
          <w:sz w:val="72"/>
          <w:szCs w:val="72"/>
          <w14:textFill>
            <w14:solidFill>
              <w14:schemeClr w14:val="tx1"/>
            </w14:solidFill>
          </w14:textFill>
        </w:rPr>
      </w:pPr>
    </w:p>
    <w:p w14:paraId="7B920AC9">
      <w:pPr>
        <w:spacing w:after="100" w:afterAutospacing="1" w:line="480" w:lineRule="exact"/>
        <w:jc w:val="center"/>
        <w:rPr>
          <w:rFonts w:hint="eastAsia" w:ascii="宋体" w:hAnsi="宋体" w:eastAsia="宋体" w:cs="宋体"/>
          <w:b/>
          <w:color w:val="000000" w:themeColor="text1"/>
          <w:sz w:val="72"/>
          <w:szCs w:val="72"/>
          <w14:textFill>
            <w14:solidFill>
              <w14:schemeClr w14:val="tx1"/>
            </w14:solidFill>
          </w14:textFill>
        </w:rPr>
      </w:pPr>
    </w:p>
    <w:p w14:paraId="07DD0843">
      <w:pPr>
        <w:spacing w:after="100" w:afterAutospacing="1" w:line="480" w:lineRule="exact"/>
        <w:jc w:val="center"/>
        <w:rPr>
          <w:rFonts w:hint="eastAsia" w:ascii="宋体" w:hAnsi="宋体" w:eastAsia="宋体" w:cs="宋体"/>
          <w:b/>
          <w:color w:val="000000" w:themeColor="text1"/>
          <w:sz w:val="72"/>
          <w:szCs w:val="72"/>
          <w14:textFill>
            <w14:solidFill>
              <w14:schemeClr w14:val="tx1"/>
            </w14:solidFill>
          </w14:textFill>
        </w:rPr>
      </w:pPr>
    </w:p>
    <w:p w14:paraId="67BB3CCE">
      <w:pPr>
        <w:spacing w:after="100" w:afterAutospacing="1" w:line="480" w:lineRule="exact"/>
        <w:jc w:val="center"/>
        <w:rPr>
          <w:rFonts w:hint="eastAsia" w:ascii="宋体" w:hAnsi="宋体" w:eastAsia="宋体" w:cs="宋体"/>
          <w:b/>
          <w:color w:val="000000" w:themeColor="text1"/>
          <w:sz w:val="72"/>
          <w:szCs w:val="72"/>
          <w14:textFill>
            <w14:solidFill>
              <w14:schemeClr w14:val="tx1"/>
            </w14:solidFill>
          </w14:textFill>
        </w:rPr>
      </w:pPr>
    </w:p>
    <w:p w14:paraId="73D43E3C">
      <w:pPr>
        <w:spacing w:after="100" w:afterAutospacing="1" w:line="480" w:lineRule="exact"/>
        <w:jc w:val="center"/>
        <w:rPr>
          <w:rFonts w:hint="eastAsia" w:ascii="宋体" w:hAnsi="宋体" w:eastAsia="宋体" w:cs="宋体"/>
          <w:b/>
          <w:color w:val="000000" w:themeColor="text1"/>
          <w:sz w:val="72"/>
          <w:szCs w:val="72"/>
          <w14:textFill>
            <w14:solidFill>
              <w14:schemeClr w14:val="tx1"/>
            </w14:solidFill>
          </w14:textFill>
        </w:rPr>
      </w:pPr>
    </w:p>
    <w:p w14:paraId="456897CE">
      <w:pPr>
        <w:spacing w:after="100" w:afterAutospacing="1" w:line="480" w:lineRule="exact"/>
        <w:jc w:val="left"/>
        <w:rPr>
          <w:rFonts w:hint="eastAsia" w:ascii="宋体" w:hAnsi="宋体" w:eastAsia="宋体" w:cs="宋体"/>
          <w:b/>
          <w:color w:val="000000" w:themeColor="text1"/>
          <w:sz w:val="32"/>
          <w:szCs w:val="32"/>
          <w14:textFill>
            <w14:solidFill>
              <w14:schemeClr w14:val="tx1"/>
            </w14:solidFill>
          </w14:textFill>
        </w:rPr>
      </w:pPr>
    </w:p>
    <w:p w14:paraId="4665B3E5">
      <w:pPr>
        <w:spacing w:after="100" w:afterAutospacing="1" w:line="480" w:lineRule="exact"/>
        <w:jc w:val="center"/>
        <w:rPr>
          <w:rFonts w:hint="eastAsia" w:ascii="宋体" w:hAnsi="宋体" w:eastAsia="宋体" w:cs="宋体"/>
          <w:b w:val="0"/>
          <w:bCs w:val="0"/>
          <w:color w:val="000000" w:themeColor="text1"/>
          <w:sz w:val="72"/>
          <w:szCs w:val="72"/>
          <w14:textFill>
            <w14:solidFill>
              <w14:schemeClr w14:val="tx1"/>
            </w14:solidFill>
          </w14:textFill>
        </w:rPr>
      </w:pPr>
    </w:p>
    <w:p w14:paraId="60FE4D1D">
      <w:pPr>
        <w:spacing w:after="100" w:afterAutospacing="1" w:line="480" w:lineRule="exact"/>
        <w:jc w:val="center"/>
        <w:rPr>
          <w:rFonts w:hint="eastAsia" w:ascii="宋体" w:hAnsi="宋体" w:eastAsia="宋体" w:cs="宋体"/>
          <w:b w:val="0"/>
          <w:bCs w:val="0"/>
          <w:color w:val="000000" w:themeColor="text1"/>
          <w:sz w:val="72"/>
          <w:szCs w:val="72"/>
          <w14:textFill>
            <w14:solidFill>
              <w14:schemeClr w14:val="tx1"/>
            </w14:solidFill>
          </w14:textFill>
        </w:rPr>
      </w:pPr>
    </w:p>
    <w:p w14:paraId="7C6AB200">
      <w:pPr>
        <w:spacing w:after="100" w:afterAutospacing="1" w:line="480" w:lineRule="exact"/>
        <w:jc w:val="center"/>
        <w:rPr>
          <w:rFonts w:hint="eastAsia" w:ascii="宋体" w:hAnsi="宋体" w:eastAsia="宋体" w:cs="宋体"/>
          <w:b w:val="0"/>
          <w:bCs w:val="0"/>
          <w:color w:val="000000" w:themeColor="text1"/>
          <w:sz w:val="32"/>
          <w:szCs w:val="32"/>
          <w14:textFill>
            <w14:solidFill>
              <w14:schemeClr w14:val="tx1"/>
            </w14:solidFill>
          </w14:textFill>
        </w:rPr>
      </w:pPr>
    </w:p>
    <w:p w14:paraId="315CA570">
      <w:pPr>
        <w:pStyle w:val="18"/>
        <w:pageBreakBefore w:val="0"/>
        <w:tabs>
          <w:tab w:val="right" w:leader="dot" w:pos="906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br w:type="page"/>
      </w:r>
      <w:bookmarkStart w:id="79" w:name="_Toc97807525"/>
      <w:r>
        <w:rPr>
          <w:rFonts w:hint="eastAsia" w:ascii="宋体" w:hAnsi="宋体" w:eastAsia="宋体" w:cs="宋体"/>
          <w:b w:val="0"/>
          <w:bCs w:val="0"/>
          <w:color w:val="000000" w:themeColor="text1"/>
          <w:sz w:val="24"/>
          <w:szCs w:val="24"/>
          <w14:textFill>
            <w14:solidFill>
              <w14:schemeClr w14:val="tx1"/>
            </w14:solidFill>
          </w14:textFill>
        </w:rPr>
        <w:t>1、需求分析</w:t>
      </w:r>
      <w:bookmarkEnd w:id="79"/>
    </w:p>
    <w:p w14:paraId="798DFC39">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随着建设工作从大规模建设阶段逐步转型到“建设和运维”并举的发展阶段，系统建设压力逐步减小，系统维护压力逐步增大，系统运维人员需要管理越来越庞大的信息系统，信息化管理部门将承担着“建设和运维”的双重任务。指挥中心自行运维导致内部会议保障人员到处“救火”，无法解决日益复杂、专业性越来越强的运维问题 。因此，在保障会议的过程中，难免会出现不可避免的问题，使得保障工作变得被动。</w:t>
      </w:r>
    </w:p>
    <w:p w14:paraId="56716F6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经过调研和分析，我们认为视频会议系统运行中，可能会面临以下问题：</w:t>
      </w:r>
    </w:p>
    <w:p w14:paraId="1BAFCD13">
      <w:pPr>
        <w:pageBreakBefore w:val="0"/>
        <w:numPr>
          <w:ilvl w:val="0"/>
          <w:numId w:val="3"/>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会议保障的人员有限，保障人员的精力有限</w:t>
      </w:r>
    </w:p>
    <w:p w14:paraId="10550286">
      <w:pPr>
        <w:pageBreakBefore w:val="0"/>
        <w:numPr>
          <w:ilvl w:val="0"/>
          <w:numId w:val="3"/>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维护技术能力方面或多或少的存在一定的限制</w:t>
      </w:r>
    </w:p>
    <w:p w14:paraId="0081B574">
      <w:pPr>
        <w:pageBreakBefore w:val="0"/>
        <w:numPr>
          <w:ilvl w:val="0"/>
          <w:numId w:val="3"/>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视频会议系统包含设备众多，维护、升级不及时</w:t>
      </w:r>
    </w:p>
    <w:p w14:paraId="2F25BF9D">
      <w:pPr>
        <w:pageBreakBefore w:val="0"/>
        <w:numPr>
          <w:ilvl w:val="0"/>
          <w:numId w:val="3"/>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海量事件无法及时处理</w:t>
      </w:r>
    </w:p>
    <w:p w14:paraId="34D35056">
      <w:pPr>
        <w:pageBreakBefore w:val="0"/>
        <w:numPr>
          <w:ilvl w:val="0"/>
          <w:numId w:val="3"/>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异常操作行为无法及时预警</w:t>
      </w:r>
    </w:p>
    <w:p w14:paraId="3B52A883">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因此，为了保证新疆出入境边防检查总站视频会议系统在使用过程中的高效和平稳，运维成为了贯穿使用过程最重要的保障手段，所以应该通过引入专业的驻场运维服务团队，来保障自身系统的稳定安全运行。</w:t>
      </w:r>
    </w:p>
    <w:p w14:paraId="64BB8DCB">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80" w:name="_Toc97807526"/>
      <w:r>
        <w:rPr>
          <w:rFonts w:hint="eastAsia" w:ascii="宋体" w:hAnsi="宋体" w:eastAsia="宋体" w:cs="宋体"/>
          <w:b w:val="0"/>
          <w:bCs w:val="0"/>
          <w:color w:val="000000" w:themeColor="text1"/>
          <w:sz w:val="24"/>
          <w:szCs w:val="24"/>
          <w14:textFill>
            <w14:solidFill>
              <w14:schemeClr w14:val="tx1"/>
            </w14:solidFill>
          </w14:textFill>
        </w:rPr>
        <w:t>2、服务目标</w:t>
      </w:r>
      <w:bookmarkEnd w:id="80"/>
    </w:p>
    <w:p w14:paraId="19A73A38">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结合新疆出入境边防检查总站视频会议系统实际，保障新疆出入境边防检查总站视频会议系统整体平稳、高效地运行，满足日常的会议需求等等；优化视频会议系统，保障视频会议业务运行通畅。同时，完善运维管理体系的建设，“以流程为导向，以服务为核心”提高服务质量水平、转变服务理念、拓宽服务范围、提高服务效率、提升用户服务满意度。</w:t>
      </w:r>
    </w:p>
    <w:p w14:paraId="7B607803">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81" w:name="_Toc97807527"/>
      <w:r>
        <w:rPr>
          <w:rFonts w:hint="eastAsia" w:ascii="宋体" w:hAnsi="宋体" w:eastAsia="宋体" w:cs="宋体"/>
          <w:b w:val="0"/>
          <w:bCs w:val="0"/>
          <w:color w:val="000000" w:themeColor="text1"/>
          <w:sz w:val="24"/>
          <w:szCs w:val="24"/>
          <w14:textFill>
            <w14:solidFill>
              <w14:schemeClr w14:val="tx1"/>
            </w14:solidFill>
          </w14:textFill>
        </w:rPr>
        <w:t>3、服务方式</w:t>
      </w:r>
      <w:bookmarkEnd w:id="81"/>
    </w:p>
    <w:p w14:paraId="3D81730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新疆出入境边防检查总站视频会议系统在日常工作中非常重要，要求各系统7*24小时无故障运行，且对在系统使用过程中的突发性故障、各种临时事件要求立即恢复正常运行；基于以上，为了体现运维服务的重要性和专业性，应采用工程师驻场维护的方式。</w:t>
      </w:r>
    </w:p>
    <w:p w14:paraId="5199FB00">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82" w:name="_Toc97807528"/>
      <w:r>
        <w:rPr>
          <w:rFonts w:hint="eastAsia" w:ascii="宋体" w:hAnsi="宋体" w:eastAsia="宋体" w:cs="宋体"/>
          <w:b w:val="0"/>
          <w:bCs w:val="0"/>
          <w:color w:val="000000" w:themeColor="text1"/>
          <w:sz w:val="24"/>
          <w:szCs w:val="24"/>
          <w14:textFill>
            <w14:solidFill>
              <w14:schemeClr w14:val="tx1"/>
            </w14:solidFill>
          </w14:textFill>
        </w:rPr>
        <w:t>4、驻场及维保服务内容</w:t>
      </w:r>
      <w:bookmarkEnd w:id="82"/>
    </w:p>
    <w:p w14:paraId="3367C5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驻场及维保服务主要包括针对视频会议系统，进行设备维护、终端维护、故障处理、性能测试、变更调试等驻场维护，故障处理和应急服务，具体服务方式及内容如下： </w:t>
      </w:r>
    </w:p>
    <w:p w14:paraId="354680C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①驻场服务，主要包含总站机关365天7*12小时驻场服务，现场运维总站机关视频会议系统设备。</w:t>
      </w:r>
    </w:p>
    <w:p w14:paraId="67898A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②运维服务，主要包括全疆699台视频会议设备故障处理，硬件故障维修服务。</w:t>
      </w:r>
    </w:p>
    <w:p w14:paraId="223CCE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③应急服务，主要包括24小时工程师远程服务和现场故障应急处理服务。</w:t>
      </w:r>
    </w:p>
    <w:p w14:paraId="6F9C2DF7">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83" w:name="_Toc97807529"/>
      <w:r>
        <w:rPr>
          <w:rFonts w:hint="eastAsia" w:ascii="宋体" w:hAnsi="宋体" w:eastAsia="宋体" w:cs="宋体"/>
          <w:b w:val="0"/>
          <w:bCs w:val="0"/>
          <w:color w:val="000000" w:themeColor="text1"/>
          <w:sz w:val="24"/>
          <w:szCs w:val="24"/>
          <w14:textFill>
            <w14:solidFill>
              <w14:schemeClr w14:val="tx1"/>
            </w14:solidFill>
          </w14:textFill>
        </w:rPr>
        <w:t>4.1、信息资产统计及标注服务</w:t>
      </w:r>
      <w:bookmarkEnd w:id="83"/>
    </w:p>
    <w:p w14:paraId="5B2FE4F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此项服务为基本服务，包含在运行维护服务中，对现有的信息资产情况进行了解，更好的提供系统的运行维护服务，同时为统计固定资产提供可靠数据。</w:t>
      </w:r>
    </w:p>
    <w:p w14:paraId="58EFF2F2">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服务内容包括：</w:t>
      </w:r>
    </w:p>
    <w:p w14:paraId="52C4D6BE">
      <w:pPr>
        <w:pageBreakBefore w:val="0"/>
        <w:kinsoku/>
        <w:wordWrap/>
        <w:overflowPunct/>
        <w:topLinePunct w:val="0"/>
        <w:bidi w:val="0"/>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1、硬件设备型号、数量、版本等信息统计记录；</w:t>
      </w:r>
    </w:p>
    <w:p w14:paraId="13443EE1">
      <w:pPr>
        <w:pageBreakBefore w:val="0"/>
        <w:kinsoku/>
        <w:wordWrap/>
        <w:overflowPunct/>
        <w:topLinePunct w:val="0"/>
        <w:bidi w:val="0"/>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2、软件产品型号、版本和补丁等信息统计记录；</w:t>
      </w:r>
    </w:p>
    <w:p w14:paraId="2D145BCE">
      <w:pPr>
        <w:pageBreakBefore w:val="0"/>
        <w:kinsoku/>
        <w:wordWrap/>
        <w:overflowPunct/>
        <w:topLinePunct w:val="0"/>
        <w:bidi w:val="0"/>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3、视频会议系统结构、网络IP地址统计记录；</w:t>
      </w:r>
    </w:p>
    <w:p w14:paraId="612D6043">
      <w:pPr>
        <w:pageBreakBefore w:val="0"/>
        <w:kinsoku/>
        <w:wordWrap/>
        <w:overflowPunct/>
        <w:topLinePunct w:val="0"/>
        <w:bidi w:val="0"/>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4、各设备标签的打印及标注；</w:t>
      </w:r>
    </w:p>
    <w:p w14:paraId="7FA6C771">
      <w:pPr>
        <w:pageBreakBefore w:val="0"/>
        <w:kinsoku/>
        <w:wordWrap/>
        <w:overflowPunct/>
        <w:topLinePunct w:val="0"/>
        <w:bidi w:val="0"/>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5、其它附属设备的统计记录。</w:t>
      </w:r>
    </w:p>
    <w:p w14:paraId="611D1D90">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84" w:name="_Toc97807530"/>
      <w:r>
        <w:rPr>
          <w:rFonts w:hint="eastAsia" w:ascii="宋体" w:hAnsi="宋体" w:eastAsia="宋体" w:cs="宋体"/>
          <w:b w:val="0"/>
          <w:bCs w:val="0"/>
          <w:color w:val="000000" w:themeColor="text1"/>
          <w:sz w:val="24"/>
          <w:szCs w:val="24"/>
          <w14:textFill>
            <w14:solidFill>
              <w14:schemeClr w14:val="tx1"/>
            </w14:solidFill>
          </w14:textFill>
        </w:rPr>
        <w:t>4.2、设备清洁</w:t>
      </w:r>
      <w:bookmarkEnd w:id="84"/>
    </w:p>
    <w:p w14:paraId="1DA24D43">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设备清洁服务内容如下：</w:t>
      </w:r>
    </w:p>
    <w:p w14:paraId="0F5BDF61">
      <w:pPr>
        <w:pageBreakBefore w:val="0"/>
        <w:widowControl/>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1.清理前的准备</w:t>
      </w:r>
    </w:p>
    <w:p w14:paraId="72063F1E">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设定除尘周期</w:t>
      </w:r>
    </w:p>
    <w:p w14:paraId="5A7F0FC8">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谨防静电危害</w:t>
      </w:r>
    </w:p>
    <w:p w14:paraId="57D9C356">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了解设备结构</w:t>
      </w:r>
    </w:p>
    <w:p w14:paraId="1821FD07">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清洁工具的选择</w:t>
      </w:r>
    </w:p>
    <w:p w14:paraId="69477B3B">
      <w:pPr>
        <w:pageBreakBefore w:val="0"/>
        <w:widowControl/>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2.重点部件的清洁</w:t>
      </w:r>
    </w:p>
    <w:p w14:paraId="4969D093">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插接件的处理</w:t>
      </w:r>
    </w:p>
    <w:p w14:paraId="7244751A">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风扇的清洁</w:t>
      </w:r>
    </w:p>
    <w:p w14:paraId="4D10D710">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箱体表面清洁</w:t>
      </w:r>
    </w:p>
    <w:p w14:paraId="3B279E43">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外围插头、插座清洁</w:t>
      </w:r>
    </w:p>
    <w:p w14:paraId="0DCE3F16">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电源</w:t>
      </w:r>
    </w:p>
    <w:p w14:paraId="4D8441D8">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85" w:name="_Toc97807531"/>
      <w:r>
        <w:rPr>
          <w:rFonts w:hint="eastAsia" w:ascii="宋体" w:hAnsi="宋体" w:eastAsia="宋体" w:cs="宋体"/>
          <w:b w:val="0"/>
          <w:bCs w:val="0"/>
          <w:color w:val="000000" w:themeColor="text1"/>
          <w:sz w:val="24"/>
          <w:szCs w:val="24"/>
          <w14:textFill>
            <w14:solidFill>
              <w14:schemeClr w14:val="tx1"/>
            </w14:solidFill>
          </w14:textFill>
        </w:rPr>
        <w:t>4.3、设备健康检查</w:t>
      </w:r>
      <w:bookmarkEnd w:id="85"/>
    </w:p>
    <w:p w14:paraId="2B2AFDE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维保服务供应商将根据服务计划做出的安排，定期对视频会议系统相关设备进行预防性检查，以确保系统或设备处于良好的工作状态。</w:t>
      </w:r>
    </w:p>
    <w:p w14:paraId="3F2013BB">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对服务器系统的检查内容包括：</w:t>
      </w:r>
    </w:p>
    <w:p w14:paraId="5E420537">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检查系统日志及系统邮件</w:t>
      </w:r>
    </w:p>
    <w:p w14:paraId="7A3197ED">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硬件检测</w:t>
      </w:r>
    </w:p>
    <w:p w14:paraId="5BAD2A83">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检查操作系统修补软件和维护版本</w:t>
      </w:r>
    </w:p>
    <w:p w14:paraId="0EDC5FBF">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设备清洁</w:t>
      </w:r>
    </w:p>
    <w:p w14:paraId="1A9D803E">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服务器系统性能评估及优化</w:t>
      </w:r>
    </w:p>
    <w:p w14:paraId="2F2DF8E8">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操作系统备份及恢复测试</w:t>
      </w:r>
    </w:p>
    <w:p w14:paraId="2C44CC7F">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86" w:name="_Toc97807532"/>
      <w:r>
        <w:rPr>
          <w:rFonts w:hint="eastAsia" w:ascii="宋体" w:hAnsi="宋体" w:eastAsia="宋体" w:cs="宋体"/>
          <w:b w:val="0"/>
          <w:bCs w:val="0"/>
          <w:color w:val="000000" w:themeColor="text1"/>
          <w:sz w:val="24"/>
          <w:szCs w:val="24"/>
          <w14:textFill>
            <w14:solidFill>
              <w14:schemeClr w14:val="tx1"/>
            </w14:solidFill>
          </w14:textFill>
        </w:rPr>
        <w:t>4.4、系统安装、升级、配置</w:t>
      </w:r>
      <w:bookmarkEnd w:id="86"/>
    </w:p>
    <w:p w14:paraId="2B1F3DED">
      <w:pPr>
        <w:pageBreakBefore w:val="0"/>
        <w:tabs>
          <w:tab w:val="left" w:pos="851"/>
        </w:tabs>
        <w:kinsoku/>
        <w:wordWrap/>
        <w:overflowPunct/>
        <w:topLinePunct w:val="0"/>
        <w:autoSpaceDE w:val="0"/>
        <w:autoSpaceDN w:val="0"/>
        <w:bidi w:val="0"/>
        <w:adjustRightIn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系统运行期间的系统安装、升级、配置的更新服务。当用户所用的操作系统有更新的版本出现；或者使用的应用软件需要更新的操作系统支持；或者有更新的硬件部件可以应用到系统上时，将及时向用户做出通知并根据实际情况做出操作系统升级的方案。</w:t>
      </w:r>
    </w:p>
    <w:p w14:paraId="09004A83">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87" w:name="_Toc97807533"/>
      <w:r>
        <w:rPr>
          <w:rFonts w:hint="eastAsia" w:ascii="宋体" w:hAnsi="宋体" w:eastAsia="宋体" w:cs="宋体"/>
          <w:b w:val="0"/>
          <w:bCs w:val="0"/>
          <w:color w:val="000000" w:themeColor="text1"/>
          <w:sz w:val="24"/>
          <w:szCs w:val="24"/>
          <w14:textFill>
            <w14:solidFill>
              <w14:schemeClr w14:val="tx1"/>
            </w14:solidFill>
          </w14:textFill>
        </w:rPr>
        <w:t>5、驻场及维保服务计划方案</w:t>
      </w:r>
      <w:bookmarkEnd w:id="87"/>
    </w:p>
    <w:p w14:paraId="3DB179E0">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88" w:name="_Toc97807534"/>
      <w:bookmarkStart w:id="89" w:name="_Toc153907610"/>
      <w:bookmarkStart w:id="90" w:name="_Toc288752251"/>
      <w:r>
        <w:rPr>
          <w:rFonts w:hint="eastAsia" w:ascii="宋体" w:hAnsi="宋体" w:eastAsia="宋体" w:cs="宋体"/>
          <w:b w:val="0"/>
          <w:bCs w:val="0"/>
          <w:color w:val="000000" w:themeColor="text1"/>
          <w:sz w:val="24"/>
          <w:szCs w:val="24"/>
          <w14:textFill>
            <w14:solidFill>
              <w14:schemeClr w14:val="tx1"/>
            </w14:solidFill>
          </w14:textFill>
        </w:rPr>
        <w:t>5.1、运维服务准备</w:t>
      </w:r>
      <w:bookmarkEnd w:id="88"/>
      <w:bookmarkEnd w:id="89"/>
      <w:bookmarkEnd w:id="90"/>
    </w:p>
    <w:p w14:paraId="63B24EE3">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做好运维服务项目的准备工作是项目顺利完成的前提条件。在运维服务项目开始前，专业运维公司将积极做好前期准备工作，在这个阶段，有三个主要步骤：</w:t>
      </w:r>
    </w:p>
    <w:p w14:paraId="299BE5D1">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91" w:name="_Toc97807535"/>
      <w:bookmarkStart w:id="92" w:name="_Toc288752253"/>
      <w:bookmarkStart w:id="93" w:name="_Toc153907612"/>
      <w:r>
        <w:rPr>
          <w:rFonts w:hint="eastAsia" w:ascii="宋体" w:hAnsi="宋体" w:eastAsia="宋体" w:cs="宋体"/>
          <w:b w:val="0"/>
          <w:bCs w:val="0"/>
          <w:color w:val="000000" w:themeColor="text1"/>
          <w:sz w:val="24"/>
          <w:szCs w:val="24"/>
          <w14:textFill>
            <w14:solidFill>
              <w14:schemeClr w14:val="tx1"/>
            </w14:solidFill>
          </w14:textFill>
        </w:rPr>
        <w:t>5.1.2、人员准备</w:t>
      </w:r>
      <w:bookmarkEnd w:id="91"/>
      <w:bookmarkEnd w:id="92"/>
      <w:bookmarkEnd w:id="93"/>
      <w:r>
        <w:rPr>
          <w:rFonts w:hint="eastAsia" w:ascii="宋体" w:hAnsi="宋体" w:eastAsia="宋体" w:cs="宋体"/>
          <w:b w:val="0"/>
          <w:bCs w:val="0"/>
          <w:color w:val="000000" w:themeColor="text1"/>
          <w:sz w:val="24"/>
          <w:szCs w:val="24"/>
          <w14:textFill>
            <w14:solidFill>
              <w14:schemeClr w14:val="tx1"/>
            </w14:solidFill>
          </w14:textFill>
        </w:rPr>
        <w:t xml:space="preserve"> </w:t>
      </w:r>
    </w:p>
    <w:p w14:paraId="23EF60B5">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依据服务方案，培训相应数量、具备相应技术资质的专业服务人员，并提供这些服务人员的：</w:t>
      </w:r>
    </w:p>
    <w:p w14:paraId="56BF5B63">
      <w:pPr>
        <w:pageBreakBefore w:val="0"/>
        <w:numPr>
          <w:ilvl w:val="0"/>
          <w:numId w:val="6"/>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身份证明；</w:t>
      </w:r>
    </w:p>
    <w:p w14:paraId="303C0159">
      <w:pPr>
        <w:pageBreakBefore w:val="0"/>
        <w:numPr>
          <w:ilvl w:val="0"/>
          <w:numId w:val="6"/>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劳动关系证明；</w:t>
      </w:r>
    </w:p>
    <w:p w14:paraId="7018CF3E">
      <w:pPr>
        <w:pageBreakBefore w:val="0"/>
        <w:numPr>
          <w:ilvl w:val="0"/>
          <w:numId w:val="6"/>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学历和技术专业资质证明；</w:t>
      </w:r>
    </w:p>
    <w:p w14:paraId="1AF3B0AB">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94" w:name="_Toc97807536"/>
      <w:bookmarkStart w:id="95" w:name="_Toc153907613"/>
      <w:bookmarkStart w:id="96" w:name="_Toc288752254"/>
      <w:r>
        <w:rPr>
          <w:rFonts w:hint="eastAsia" w:ascii="宋体" w:hAnsi="宋体" w:eastAsia="宋体" w:cs="宋体"/>
          <w:b w:val="0"/>
          <w:bCs w:val="0"/>
          <w:color w:val="000000" w:themeColor="text1"/>
          <w:sz w:val="24"/>
          <w:szCs w:val="24"/>
          <w14:textFill>
            <w14:solidFill>
              <w14:schemeClr w14:val="tx1"/>
            </w14:solidFill>
          </w14:textFill>
        </w:rPr>
        <w:t>5.1.3、工具准备</w:t>
      </w:r>
      <w:bookmarkEnd w:id="94"/>
      <w:bookmarkEnd w:id="95"/>
      <w:bookmarkEnd w:id="96"/>
      <w:r>
        <w:rPr>
          <w:rFonts w:hint="eastAsia" w:ascii="宋体" w:hAnsi="宋体" w:eastAsia="宋体" w:cs="宋体"/>
          <w:b w:val="0"/>
          <w:bCs w:val="0"/>
          <w:color w:val="000000" w:themeColor="text1"/>
          <w:sz w:val="24"/>
          <w:szCs w:val="24"/>
          <w14:textFill>
            <w14:solidFill>
              <w14:schemeClr w14:val="tx1"/>
            </w14:solidFill>
          </w14:textFill>
        </w:rPr>
        <w:t xml:space="preserve"> </w:t>
      </w:r>
    </w:p>
    <w:p w14:paraId="7E9C9125">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依据服务方案，针对企业的IT资产类别、数量等为服务外包项目准备相应的备机、备件以及工具。</w:t>
      </w:r>
    </w:p>
    <w:p w14:paraId="00246775">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服务工具包括软性工具和硬性工具，软性工具包括各类排故软件、知识库系统、；硬件工具指维修、保养、检测工具及调测仪器等。</w:t>
      </w:r>
    </w:p>
    <w:p w14:paraId="2F099888">
      <w:pPr>
        <w:pageBreakBefore w:val="0"/>
        <w:kinsoku/>
        <w:wordWrap/>
        <w:overflowPunct/>
        <w:topLinePunct w:val="0"/>
        <w:bidi w:val="0"/>
        <w:spacing w:before="0" w:beforeAutospacing="0" w:after="0" w:afterAutospacing="0" w:line="360" w:lineRule="auto"/>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97" w:name="_Toc288752255"/>
      <w:bookmarkStart w:id="98" w:name="_Toc153735695"/>
      <w:bookmarkStart w:id="99" w:name="_Toc97807537"/>
      <w:bookmarkStart w:id="100" w:name="_Toc153907614"/>
      <w:r>
        <w:rPr>
          <w:rFonts w:hint="eastAsia" w:ascii="宋体" w:hAnsi="宋体" w:eastAsia="宋体" w:cs="宋体"/>
          <w:b w:val="0"/>
          <w:bCs w:val="0"/>
          <w:color w:val="000000" w:themeColor="text1"/>
          <w:sz w:val="24"/>
          <w:szCs w:val="24"/>
          <w14:textFill>
            <w14:solidFill>
              <w14:schemeClr w14:val="tx1"/>
            </w14:solidFill>
          </w14:textFill>
        </w:rPr>
        <w:t>5.2、项目人员组织</w:t>
      </w:r>
      <w:bookmarkEnd w:id="97"/>
      <w:bookmarkEnd w:id="98"/>
      <w:bookmarkEnd w:id="99"/>
      <w:bookmarkEnd w:id="100"/>
    </w:p>
    <w:p w14:paraId="48BC0F09">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01" w:name="_Toc288752256"/>
      <w:bookmarkStart w:id="102" w:name="_Toc97807538"/>
      <w:bookmarkStart w:id="103" w:name="_Toc153735696"/>
      <w:bookmarkStart w:id="104" w:name="_Toc153907615"/>
      <w:r>
        <w:rPr>
          <w:rFonts w:hint="eastAsia" w:ascii="宋体" w:hAnsi="宋体" w:eastAsia="宋体" w:cs="宋体"/>
          <w:b w:val="0"/>
          <w:bCs w:val="0"/>
          <w:color w:val="000000" w:themeColor="text1"/>
          <w:sz w:val="24"/>
          <w:szCs w:val="24"/>
          <w14:textFill>
            <w14:solidFill>
              <w14:schemeClr w14:val="tx1"/>
            </w14:solidFill>
          </w14:textFill>
        </w:rPr>
        <w:t>5.2.1、人员结构</w:t>
      </w:r>
      <w:bookmarkEnd w:id="101"/>
      <w:bookmarkEnd w:id="102"/>
      <w:bookmarkEnd w:id="103"/>
      <w:bookmarkEnd w:id="104"/>
    </w:p>
    <w:p w14:paraId="00017B82">
      <w:pPr>
        <w:pageBreakBefore w:val="0"/>
        <w:tabs>
          <w:tab w:val="left" w:pos="1260"/>
        </w:tabs>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根据视频会议系统保障的的要求，维保服务公司应</w:t>
      </w:r>
      <w:r>
        <w:rPr>
          <w:rFonts w:hint="eastAsia" w:ascii="宋体" w:hAnsi="宋体" w:eastAsia="宋体" w:cs="宋体"/>
          <w:b w:val="0"/>
          <w:bCs w:val="0"/>
          <w:color w:val="000000" w:themeColor="text1"/>
          <w:sz w:val="24"/>
          <w:szCs w:val="24"/>
          <w:lang w:val="en-US" w:eastAsia="zh-CN"/>
          <w14:textFill>
            <w14:solidFill>
              <w14:schemeClr w14:val="tx1"/>
            </w14:solidFill>
          </w14:textFill>
        </w:rPr>
        <w:t>准备</w:t>
      </w:r>
      <w:r>
        <w:rPr>
          <w:rFonts w:hint="eastAsia" w:ascii="宋体" w:hAnsi="宋体" w:eastAsia="宋体" w:cs="宋体"/>
          <w:b w:val="0"/>
          <w:bCs w:val="0"/>
          <w:color w:val="000000" w:themeColor="text1"/>
          <w:sz w:val="24"/>
          <w:szCs w:val="24"/>
          <w14:textFill>
            <w14:solidFill>
              <w14:schemeClr w14:val="tx1"/>
            </w14:solidFill>
          </w14:textFill>
        </w:rPr>
        <w:t>不少于</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位运维工程师，长期值守为1人。当系统发生故障时，运维工程师进行故障排除，如运维工程师现场无法自己解决问题时，维保服务公司必须有强大的专家团队通过远程支持等方式进行支持处理，如24小时内无法解决故障，维保服务公司将应派出相应的专家赴现场进行处理。</w:t>
      </w:r>
    </w:p>
    <w:p w14:paraId="391E9140">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05" w:name="_Toc153703254"/>
      <w:bookmarkEnd w:id="105"/>
      <w:bookmarkStart w:id="106" w:name="_Toc153702621"/>
      <w:bookmarkEnd w:id="106"/>
      <w:bookmarkStart w:id="107" w:name="_Toc153703887"/>
      <w:bookmarkEnd w:id="107"/>
      <w:bookmarkStart w:id="108" w:name="_Toc97807539"/>
      <w:bookmarkStart w:id="109" w:name="_Toc288752257"/>
      <w:bookmarkStart w:id="110" w:name="_Toc153735697"/>
      <w:bookmarkStart w:id="111" w:name="_Toc153907616"/>
      <w:r>
        <w:rPr>
          <w:rFonts w:hint="eastAsia" w:ascii="宋体" w:hAnsi="宋体" w:eastAsia="宋体" w:cs="宋体"/>
          <w:b w:val="0"/>
          <w:bCs w:val="0"/>
          <w:color w:val="000000" w:themeColor="text1"/>
          <w:sz w:val="24"/>
          <w:szCs w:val="24"/>
          <w14:textFill>
            <w14:solidFill>
              <w14:schemeClr w14:val="tx1"/>
            </w14:solidFill>
          </w14:textFill>
        </w:rPr>
        <w:t>5.2.2、人员职责与岗位要求</w:t>
      </w:r>
      <w:bookmarkEnd w:id="108"/>
      <w:bookmarkEnd w:id="109"/>
      <w:bookmarkEnd w:id="110"/>
      <w:bookmarkEnd w:id="111"/>
    </w:p>
    <w:p w14:paraId="746F00B6">
      <w:pPr>
        <w:pageBreakBefore w:val="0"/>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驻场及维保服务组的要求为：</w:t>
      </w:r>
    </w:p>
    <w:p w14:paraId="4EDAC292">
      <w:pPr>
        <w:pageBreakBefore w:val="0"/>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运维工程师：至少1年视频会议系统维护经验，相关专业资质认证，具有良好的客户服务意识。</w:t>
      </w:r>
    </w:p>
    <w:p w14:paraId="71F96F25">
      <w:pPr>
        <w:pageBreakBefore w:val="0"/>
        <w:kinsoku/>
        <w:wordWrap/>
        <w:overflowPunct/>
        <w:topLinePunct w:val="0"/>
        <w:bidi w:val="0"/>
        <w:spacing w:before="0" w:beforeAutospacing="0" w:after="0" w:afterAutospacing="0" w:line="360" w:lineRule="auto"/>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12" w:name="_Toc288752258"/>
      <w:bookmarkStart w:id="113" w:name="_Toc97807540"/>
      <w:bookmarkStart w:id="114" w:name="_Toc153907617"/>
      <w:r>
        <w:rPr>
          <w:rFonts w:hint="eastAsia" w:ascii="宋体" w:hAnsi="宋体" w:eastAsia="宋体" w:cs="宋体"/>
          <w:b w:val="0"/>
          <w:bCs w:val="0"/>
          <w:color w:val="000000" w:themeColor="text1"/>
          <w:sz w:val="24"/>
          <w:szCs w:val="24"/>
          <w14:textFill>
            <w14:solidFill>
              <w14:schemeClr w14:val="tx1"/>
            </w14:solidFill>
          </w14:textFill>
        </w:rPr>
        <w:t>5.3、驻场及维保服务计划</w:t>
      </w:r>
      <w:bookmarkEnd w:id="112"/>
      <w:bookmarkEnd w:id="113"/>
      <w:bookmarkEnd w:id="114"/>
      <w:r>
        <w:rPr>
          <w:rFonts w:hint="eastAsia" w:ascii="宋体" w:hAnsi="宋体" w:eastAsia="宋体" w:cs="宋体"/>
          <w:b w:val="0"/>
          <w:bCs w:val="0"/>
          <w:color w:val="000000" w:themeColor="text1"/>
          <w:sz w:val="24"/>
          <w:szCs w:val="24"/>
          <w14:textFill>
            <w14:solidFill>
              <w14:schemeClr w14:val="tx1"/>
            </w14:solidFill>
          </w14:textFill>
        </w:rPr>
        <w:t xml:space="preserve"> </w:t>
      </w:r>
    </w:p>
    <w:p w14:paraId="36A2DFA9">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15" w:name="_Toc97807541"/>
      <w:bookmarkStart w:id="116" w:name="_Toc153907618"/>
      <w:bookmarkStart w:id="117" w:name="_Toc288752259"/>
      <w:r>
        <w:rPr>
          <w:rFonts w:hint="eastAsia" w:ascii="宋体" w:hAnsi="宋体" w:eastAsia="宋体" w:cs="宋体"/>
          <w:b w:val="0"/>
          <w:bCs w:val="0"/>
          <w:color w:val="000000" w:themeColor="text1"/>
          <w:sz w:val="24"/>
          <w:szCs w:val="24"/>
          <w14:textFill>
            <w14:solidFill>
              <w14:schemeClr w14:val="tx1"/>
            </w14:solidFill>
          </w14:textFill>
        </w:rPr>
        <w:t>5.3.1、驻场及维保服务时间</w:t>
      </w:r>
      <w:bookmarkEnd w:id="115"/>
    </w:p>
    <w:p w14:paraId="1E228939">
      <w:pPr>
        <w:pageBreakBefore w:val="0"/>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服务期的服务采购为</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年。</w:t>
      </w:r>
    </w:p>
    <w:bookmarkEnd w:id="116"/>
    <w:bookmarkEnd w:id="117"/>
    <w:p w14:paraId="17B4C1F9">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18" w:name="_Toc125618425"/>
      <w:bookmarkStart w:id="119" w:name="_Toc97807542"/>
      <w:bookmarkStart w:id="120" w:name="_Toc125804860"/>
      <w:bookmarkStart w:id="121" w:name="_Toc153907620"/>
      <w:bookmarkStart w:id="122" w:name="_Toc288752261"/>
      <w:r>
        <w:rPr>
          <w:rFonts w:hint="eastAsia" w:ascii="宋体" w:hAnsi="宋体" w:eastAsia="宋体" w:cs="宋体"/>
          <w:b w:val="0"/>
          <w:bCs w:val="0"/>
          <w:color w:val="000000" w:themeColor="text1"/>
          <w:sz w:val="24"/>
          <w:szCs w:val="24"/>
          <w14:textFill>
            <w14:solidFill>
              <w14:schemeClr w14:val="tx1"/>
            </w14:solidFill>
          </w14:textFill>
        </w:rPr>
        <w:t>5.3.2、第一个服务阶段</w:t>
      </w:r>
      <w:bookmarkEnd w:id="118"/>
      <w:bookmarkEnd w:id="119"/>
      <w:bookmarkEnd w:id="120"/>
      <w:bookmarkEnd w:id="121"/>
      <w:bookmarkEnd w:id="122"/>
    </w:p>
    <w:p w14:paraId="687086F0">
      <w:pPr>
        <w:pageBreakBefore w:val="0"/>
        <w:tabs>
          <w:tab w:val="left" w:pos="1260"/>
        </w:tabs>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在为期</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年的驻场及维保服务项目中，第一季度必须从管理与技术两个方面打好基础。除了日常的服务响应之外，其他重要工作包括：</w:t>
      </w:r>
    </w:p>
    <w:p w14:paraId="00138CAA">
      <w:pPr>
        <w:pageBreakBefore w:val="0"/>
        <w:tabs>
          <w:tab w:val="left" w:pos="1260"/>
        </w:tabs>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1）知识库建立</w:t>
      </w:r>
    </w:p>
    <w:p w14:paraId="75E65CC1">
      <w:pPr>
        <w:pageBreakBefore w:val="0"/>
        <w:tabs>
          <w:tab w:val="left" w:pos="1260"/>
        </w:tabs>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完成时间：入场后第一个月</w:t>
      </w:r>
    </w:p>
    <w:p w14:paraId="6DB80B11">
      <w:pPr>
        <w:pageBreakBefore w:val="0"/>
        <w:tabs>
          <w:tab w:val="left" w:pos="1260"/>
        </w:tabs>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内容与目的：自入场开始，维保服务公司的服务人员将承担各类技术服务请求，这些信息，将被完整的录入在线知识库系统。</w:t>
      </w:r>
    </w:p>
    <w:p w14:paraId="5270E1D2">
      <w:pPr>
        <w:pageBreakBefore w:val="0"/>
        <w:tabs>
          <w:tab w:val="left" w:pos="1260"/>
        </w:tabs>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2）技术文档和驱动程序库的建立</w:t>
      </w:r>
    </w:p>
    <w:p w14:paraId="0742E69F">
      <w:pPr>
        <w:pageBreakBefore w:val="0"/>
        <w:tabs>
          <w:tab w:val="left" w:pos="1260"/>
        </w:tabs>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完成时间：入场后第二个月</w:t>
      </w:r>
    </w:p>
    <w:p w14:paraId="34F87A8A">
      <w:pPr>
        <w:pageBreakBefore w:val="0"/>
        <w:tabs>
          <w:tab w:val="left" w:pos="1260"/>
        </w:tabs>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内容与目的：技术文档和驱动程序库包括了大楼应用设备及软件系统的软硬件兼容性列表；其他各系统设备的配置信息。 </w:t>
      </w:r>
    </w:p>
    <w:p w14:paraId="3127A0ED">
      <w:pPr>
        <w:pageBreakBefore w:val="0"/>
        <w:tabs>
          <w:tab w:val="left" w:pos="1260"/>
        </w:tabs>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3）整理《基础架构服务工作指南》</w:t>
      </w:r>
    </w:p>
    <w:p w14:paraId="6CC97C41">
      <w:pPr>
        <w:pageBreakBefore w:val="0"/>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完成时间：入场后第一个月</w:t>
      </w:r>
    </w:p>
    <w:p w14:paraId="009B8E3F">
      <w:pPr>
        <w:pageBreakBefore w:val="0"/>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内容与目的：全面形成《视频会议</w:t>
      </w:r>
      <w:r>
        <w:rPr>
          <w:rFonts w:hint="eastAsia" w:ascii="宋体" w:hAnsi="宋体" w:eastAsia="宋体" w:cs="宋体"/>
          <w:b w:val="0"/>
          <w:bCs w:val="0"/>
          <w:color w:val="000000" w:themeColor="text1"/>
          <w:sz w:val="24"/>
          <w:szCs w:val="24"/>
          <w:lang w:val="en-US" w:eastAsia="zh-CN"/>
          <w14:textFill>
            <w14:solidFill>
              <w14:schemeClr w14:val="tx1"/>
            </w14:solidFill>
          </w14:textFill>
        </w:rPr>
        <w:t>维护</w:t>
      </w:r>
      <w:r>
        <w:rPr>
          <w:rFonts w:hint="eastAsia" w:ascii="宋体" w:hAnsi="宋体" w:eastAsia="宋体" w:cs="宋体"/>
          <w:b w:val="0"/>
          <w:bCs w:val="0"/>
          <w:color w:val="000000" w:themeColor="text1"/>
          <w:sz w:val="24"/>
          <w:szCs w:val="24"/>
          <w14:textFill>
            <w14:solidFill>
              <w14:schemeClr w14:val="tx1"/>
            </w14:solidFill>
          </w14:textFill>
        </w:rPr>
        <w:t>指南》，确保服务质量的持续稳定。</w:t>
      </w:r>
    </w:p>
    <w:p w14:paraId="69C26EBE">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23" w:name="_Toc288752262"/>
      <w:bookmarkStart w:id="124" w:name="_Toc125618426"/>
      <w:bookmarkStart w:id="125" w:name="_Toc97807543"/>
      <w:bookmarkStart w:id="126" w:name="_Toc125804861"/>
      <w:bookmarkStart w:id="127" w:name="_Toc153907621"/>
      <w:r>
        <w:rPr>
          <w:rFonts w:hint="eastAsia" w:ascii="宋体" w:hAnsi="宋体" w:eastAsia="宋体" w:cs="宋体"/>
          <w:b w:val="0"/>
          <w:bCs w:val="0"/>
          <w:color w:val="000000" w:themeColor="text1"/>
          <w:sz w:val="24"/>
          <w:szCs w:val="24"/>
          <w14:textFill>
            <w14:solidFill>
              <w14:schemeClr w14:val="tx1"/>
            </w14:solidFill>
          </w14:textFill>
        </w:rPr>
        <w:t>5.3.3、第二个服务阶段</w:t>
      </w:r>
      <w:bookmarkEnd w:id="123"/>
      <w:bookmarkEnd w:id="124"/>
      <w:bookmarkEnd w:id="125"/>
      <w:bookmarkEnd w:id="126"/>
      <w:bookmarkEnd w:id="127"/>
    </w:p>
    <w:p w14:paraId="31CE3569">
      <w:pPr>
        <w:pageBreakBefore w:val="0"/>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在驻场运维服务项目中，必须以3个月为单位定制切实可行的服务目标。在本项目的前3个月服务期内，本项目的总体服务目标是视频会议系统稳定运行的基础上同时帮助基层单位建立完善的视频会议</w:t>
      </w:r>
      <w:r>
        <w:rPr>
          <w:rFonts w:hint="eastAsia" w:ascii="宋体" w:hAnsi="宋体" w:eastAsia="宋体" w:cs="宋体"/>
          <w:b w:val="0"/>
          <w:bCs w:val="0"/>
          <w:color w:val="000000" w:themeColor="text1"/>
          <w:sz w:val="24"/>
          <w:szCs w:val="24"/>
          <w:lang w:val="en-US" w:eastAsia="zh-CN"/>
          <w14:textFill>
            <w14:solidFill>
              <w14:schemeClr w14:val="tx1"/>
            </w14:solidFill>
          </w14:textFill>
        </w:rPr>
        <w:t>维护</w:t>
      </w:r>
      <w:r>
        <w:rPr>
          <w:rFonts w:hint="eastAsia" w:ascii="宋体" w:hAnsi="宋体" w:eastAsia="宋体" w:cs="宋体"/>
          <w:b w:val="0"/>
          <w:bCs w:val="0"/>
          <w:color w:val="000000" w:themeColor="text1"/>
          <w:sz w:val="24"/>
          <w:szCs w:val="24"/>
          <w14:textFill>
            <w14:solidFill>
              <w14:schemeClr w14:val="tx1"/>
            </w14:solidFill>
          </w14:textFill>
        </w:rPr>
        <w:t>体系，确保服务的标准化和客户满意度的持续提升。</w:t>
      </w:r>
    </w:p>
    <w:p w14:paraId="00E1394A">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28" w:name="_Toc97807544"/>
      <w:bookmarkStart w:id="129" w:name="_Toc125804863"/>
      <w:bookmarkStart w:id="130" w:name="_Toc288752263"/>
      <w:bookmarkStart w:id="131" w:name="_Toc153907622"/>
      <w:bookmarkStart w:id="132" w:name="_Toc125618428"/>
      <w:r>
        <w:rPr>
          <w:rFonts w:hint="eastAsia" w:ascii="宋体" w:hAnsi="宋体" w:eastAsia="宋体" w:cs="宋体"/>
          <w:b w:val="0"/>
          <w:bCs w:val="0"/>
          <w:color w:val="000000" w:themeColor="text1"/>
          <w:sz w:val="24"/>
          <w:szCs w:val="24"/>
          <w14:textFill>
            <w14:solidFill>
              <w14:schemeClr w14:val="tx1"/>
            </w14:solidFill>
          </w14:textFill>
        </w:rPr>
        <w:t>5.3.4、服务总结和延续阶段</w:t>
      </w:r>
      <w:bookmarkEnd w:id="128"/>
      <w:bookmarkEnd w:id="129"/>
      <w:bookmarkEnd w:id="130"/>
      <w:bookmarkEnd w:id="131"/>
      <w:bookmarkEnd w:id="132"/>
    </w:p>
    <w:p w14:paraId="6B24B95F">
      <w:pPr>
        <w:pageBreakBefore w:val="0"/>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在服务期结束前一个月开始，专业运维公司将全面整理整个服务项目内完成的各项文档、数据，进行必要的资源移交工作，形成下一期服务的整体规划方案。为服务项目的延续做好充分准备。</w:t>
      </w:r>
    </w:p>
    <w:p w14:paraId="60022FF2">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33" w:name="_Toc300902775"/>
      <w:bookmarkStart w:id="134" w:name="_Toc97807545"/>
      <w:r>
        <w:rPr>
          <w:rFonts w:hint="eastAsia" w:ascii="宋体" w:hAnsi="宋体" w:eastAsia="宋体" w:cs="宋体"/>
          <w:b w:val="0"/>
          <w:bCs w:val="0"/>
          <w:color w:val="000000" w:themeColor="text1"/>
          <w:sz w:val="24"/>
          <w:szCs w:val="24"/>
          <w14:textFill>
            <w14:solidFill>
              <w14:schemeClr w14:val="tx1"/>
            </w14:solidFill>
          </w14:textFill>
        </w:rPr>
        <w:t>6、驻场及维保服务质量保证体系及措施</w:t>
      </w:r>
      <w:bookmarkEnd w:id="133"/>
      <w:bookmarkEnd w:id="134"/>
    </w:p>
    <w:p w14:paraId="0CCD39FA">
      <w:pPr>
        <w:pageBreakBefore w:val="0"/>
        <w:kinsoku/>
        <w:wordWrap/>
        <w:overflowPunct/>
        <w:topLinePunct w:val="0"/>
        <w:bidi w:val="0"/>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维保服务公司所派遣驻场及维保服务团队将严格按照ISO9001的要求进行质量管理。其中的重点包括：</w:t>
      </w:r>
    </w:p>
    <w:p w14:paraId="02032C21">
      <w:pPr>
        <w:pageBreakBefore w:val="0"/>
        <w:kinsoku/>
        <w:wordWrap/>
        <w:overflowPunct/>
        <w:topLinePunct w:val="0"/>
        <w:bidi w:val="0"/>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1）提高服务质量</w:t>
      </w:r>
    </w:p>
    <w:p w14:paraId="003CA295">
      <w:pPr>
        <w:pageBreakBefore w:val="0"/>
        <w:kinsoku/>
        <w:wordWrap/>
        <w:overflowPunct/>
        <w:topLinePunct w:val="0"/>
        <w:bidi w:val="0"/>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为了确保短期高效实现故障处理，和用户的交流和沟通是必不可少的，分清主次，优先处理重要故障。</w:t>
      </w:r>
    </w:p>
    <w:p w14:paraId="55DD57EB">
      <w:pPr>
        <w:pageBreakBefore w:val="0"/>
        <w:kinsoku/>
        <w:wordWrap/>
        <w:overflowPunct/>
        <w:topLinePunct w:val="0"/>
        <w:bidi w:val="0"/>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2）质量回访</w:t>
      </w:r>
    </w:p>
    <w:p w14:paraId="48F09D6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在平时由维保服务公司质量监督人员主动向用户电话询问维护情况和服务满意度调查，对维保服务公司的服务质量和水平进行考评，并针对用户反映的问题，要求相关部门和人员限期整改，并检查整改完成情况。</w:t>
      </w:r>
    </w:p>
    <w:p w14:paraId="01EAA05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3）总结和改善</w:t>
      </w:r>
    </w:p>
    <w:p w14:paraId="6C353F1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每个月对运维情况进行总结，提出改善要点和改进建议。</w:t>
      </w:r>
    </w:p>
    <w:p w14:paraId="4B39F6F7">
      <w:pPr>
        <w:keepNext w:val="0"/>
        <w:keepLines w:val="0"/>
        <w:pageBreakBefore w:val="0"/>
        <w:widowControl w:val="0"/>
        <w:numPr>
          <w:ilvl w:val="0"/>
          <w:numId w:val="7"/>
        </w:numPr>
        <w:kinsoku/>
        <w:wordWrap/>
        <w:overflowPunct/>
        <w:topLinePunct w:val="0"/>
        <w:autoSpaceDE/>
        <w:autoSpaceDN/>
        <w:bidi w:val="0"/>
        <w:adjustRightInd/>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记录完善</w:t>
      </w:r>
    </w:p>
    <w:p w14:paraId="225343B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故障处理、维修、</w:t>
      </w:r>
      <w:r>
        <w:rPr>
          <w:rFonts w:hint="eastAsia" w:ascii="宋体" w:hAnsi="宋体" w:eastAsia="宋体" w:cs="宋体"/>
          <w:b w:val="0"/>
          <w:bCs w:val="0"/>
          <w:color w:val="000000" w:themeColor="text1"/>
          <w:sz w:val="24"/>
          <w:szCs w:val="24"/>
          <w:lang w:val="en-US" w:eastAsia="zh-CN"/>
          <w14:textFill>
            <w14:solidFill>
              <w14:schemeClr w14:val="tx1"/>
            </w14:solidFill>
          </w14:textFill>
        </w:rPr>
        <w:t>维护</w:t>
      </w:r>
      <w:r>
        <w:rPr>
          <w:rFonts w:hint="eastAsia" w:ascii="宋体" w:hAnsi="宋体" w:eastAsia="宋体" w:cs="宋体"/>
          <w:b w:val="0"/>
          <w:bCs w:val="0"/>
          <w:color w:val="000000" w:themeColor="text1"/>
          <w:sz w:val="24"/>
          <w:szCs w:val="24"/>
          <w14:textFill>
            <w14:solidFill>
              <w14:schemeClr w14:val="tx1"/>
            </w14:solidFill>
          </w14:textFill>
        </w:rPr>
        <w:t>、培训等各项运维作业均应有相应的记录，记录周全，以便查询。</w:t>
      </w:r>
    </w:p>
    <w:p w14:paraId="63694A3F">
      <w:pPr>
        <w:keepNext w:val="0"/>
        <w:keepLines w:val="0"/>
        <w:pageBreakBefore w:val="0"/>
        <w:widowControl w:val="0"/>
        <w:numPr>
          <w:ilvl w:val="0"/>
          <w:numId w:val="7"/>
        </w:numPr>
        <w:kinsoku/>
        <w:wordWrap/>
        <w:overflowPunct/>
        <w:topLinePunct w:val="0"/>
        <w:autoSpaceDE/>
        <w:autoSpaceDN/>
        <w:bidi w:val="0"/>
        <w:adjustRightInd/>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资质证书</w:t>
      </w:r>
    </w:p>
    <w:p w14:paraId="5E39954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质量管理ISO9001证书</w:t>
      </w:r>
    </w:p>
    <w:p w14:paraId="4FFF0F4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ITSS证书</w:t>
      </w:r>
    </w:p>
    <w:p w14:paraId="645B714A">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35" w:name="_Toc97807546"/>
      <w:r>
        <w:rPr>
          <w:rFonts w:hint="eastAsia" w:ascii="宋体" w:hAnsi="宋体" w:eastAsia="宋体" w:cs="宋体"/>
          <w:b w:val="0"/>
          <w:bCs w:val="0"/>
          <w:color w:val="000000" w:themeColor="text1"/>
          <w:sz w:val="24"/>
          <w:szCs w:val="24"/>
          <w14:textFill>
            <w14:solidFill>
              <w14:schemeClr w14:val="tx1"/>
            </w14:solidFill>
          </w14:textFill>
        </w:rPr>
        <w:t>7、维保服务解决方案编制说明</w:t>
      </w:r>
      <w:bookmarkEnd w:id="135"/>
    </w:p>
    <w:p w14:paraId="1F90A044">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36" w:name="_Toc97807547"/>
      <w:r>
        <w:rPr>
          <w:rFonts w:hint="eastAsia" w:ascii="宋体" w:hAnsi="宋体" w:eastAsia="宋体" w:cs="宋体"/>
          <w:b w:val="0"/>
          <w:bCs w:val="0"/>
          <w:color w:val="000000" w:themeColor="text1"/>
          <w:sz w:val="24"/>
          <w:szCs w:val="24"/>
          <w14:textFill>
            <w14:solidFill>
              <w14:schemeClr w14:val="tx1"/>
            </w14:solidFill>
          </w14:textFill>
        </w:rPr>
        <w:t>7.1、华为视频会议终端维保服务说明</w:t>
      </w:r>
      <w:bookmarkEnd w:id="136"/>
    </w:p>
    <w:p w14:paraId="21B2B6ED">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37" w:name="_Toc97807548"/>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137"/>
      <w:bookmarkStart w:id="138" w:name="_Toc241641296"/>
    </w:p>
    <w:p w14:paraId="402D1B39">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维护工程师在接到华为视频会设备故障申报后，将首先进行远程故障分析与处理，及时排除故障。远程问题处理包括电话支持和远程接入。</w:t>
      </w:r>
    </w:p>
    <w:p w14:paraId="32CB39FA">
      <w:pPr>
        <w:keepLines w:val="0"/>
        <w:pageBreakBefore w:val="0"/>
        <w:numPr>
          <w:ilvl w:val="0"/>
          <w:numId w:val="8"/>
        </w:numPr>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39" w:name="_Toc243986884"/>
      <w:bookmarkStart w:id="140" w:name="_Toc243968450"/>
      <w:bookmarkStart w:id="141" w:name="_Toc97807549"/>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139"/>
      <w:bookmarkEnd w:id="140"/>
      <w:bookmarkEnd w:id="141"/>
    </w:p>
    <w:p w14:paraId="1B27718B">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维护工程师接到华为视频会设备故障服务请求后，将立即通过电话支持进行响应，帮助客户对华为视频会设备故障问题进行分析、诊断以及定位，提供解决问题的方案，并引导客户实施。</w:t>
      </w:r>
    </w:p>
    <w:p w14:paraId="3EDA4366">
      <w:pPr>
        <w:keepLines w:val="0"/>
        <w:pageBreakBefore w:val="0"/>
        <w:numPr>
          <w:ilvl w:val="0"/>
          <w:numId w:val="8"/>
        </w:numPr>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42" w:name="_Toc243968451"/>
      <w:bookmarkStart w:id="143" w:name="_Toc97807550"/>
      <w:bookmarkStart w:id="144" w:name="_Toc243986885"/>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142"/>
      <w:bookmarkEnd w:id="143"/>
      <w:bookmarkEnd w:id="144"/>
    </w:p>
    <w:p w14:paraId="49E190B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对于通过电话支持服务不能解决的故障或问题，维护工程师在征得用户同意后，通过远程终端登陆到故障设备调查和收集数据，分析故障原因，提出解决方案，指导客户实施，必要时可以提供远程操作。</w:t>
      </w:r>
      <w:bookmarkEnd w:id="138"/>
      <w:bookmarkStart w:id="145" w:name="_Ref245541871"/>
    </w:p>
    <w:p w14:paraId="5F17D4B9">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远程问题处理服务中双方的职责分工：</w:t>
      </w:r>
    </w:p>
    <w:tbl>
      <w:tblPr>
        <w:tblStyle w:val="23"/>
        <w:tblW w:w="91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5901"/>
        <w:gridCol w:w="1199"/>
        <w:gridCol w:w="1299"/>
      </w:tblGrid>
      <w:tr w14:paraId="5059D9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799" w:type="dxa"/>
            <w:shd w:val="clear" w:color="auto" w:fill="D9D9D9"/>
            <w:noWrap w:val="0"/>
            <w:vAlign w:val="center"/>
          </w:tcPr>
          <w:p w14:paraId="6135D76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901" w:type="dxa"/>
            <w:shd w:val="clear" w:color="auto" w:fill="D9D9D9"/>
            <w:noWrap w:val="0"/>
            <w:vAlign w:val="center"/>
          </w:tcPr>
          <w:p w14:paraId="7C4A3E8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199" w:type="dxa"/>
            <w:tcBorders>
              <w:right w:val="single" w:color="auto" w:sz="4" w:space="0"/>
            </w:tcBorders>
            <w:shd w:val="clear" w:color="auto" w:fill="D9D9D9"/>
            <w:noWrap w:val="0"/>
            <w:vAlign w:val="center"/>
          </w:tcPr>
          <w:p w14:paraId="318CD1F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299" w:type="dxa"/>
            <w:tcBorders>
              <w:left w:val="single" w:color="auto" w:sz="4" w:space="0"/>
            </w:tcBorders>
            <w:shd w:val="clear" w:color="auto" w:fill="D9D9D9"/>
            <w:noWrap w:val="0"/>
            <w:vAlign w:val="center"/>
          </w:tcPr>
          <w:p w14:paraId="47D15D9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3BB72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799" w:type="dxa"/>
            <w:noWrap/>
            <w:vAlign w:val="center"/>
          </w:tcPr>
          <w:p w14:paraId="6DF2C46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901" w:type="dxa"/>
            <w:noWrap w:val="0"/>
            <w:vAlign w:val="center"/>
          </w:tcPr>
          <w:p w14:paraId="6FC7737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199" w:type="dxa"/>
            <w:noWrap/>
            <w:vAlign w:val="center"/>
          </w:tcPr>
          <w:p w14:paraId="5B5B9E7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299" w:type="dxa"/>
            <w:noWrap/>
            <w:vAlign w:val="center"/>
          </w:tcPr>
          <w:p w14:paraId="0AB1A76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3D55C3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799" w:type="dxa"/>
            <w:noWrap/>
            <w:vAlign w:val="center"/>
          </w:tcPr>
          <w:p w14:paraId="1B8BAD2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901" w:type="dxa"/>
            <w:noWrap w:val="0"/>
            <w:vAlign w:val="center"/>
          </w:tcPr>
          <w:p w14:paraId="58C5A90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在规定的SLA内响应服务请求。</w:t>
            </w:r>
          </w:p>
        </w:tc>
        <w:tc>
          <w:tcPr>
            <w:tcW w:w="1199" w:type="dxa"/>
            <w:noWrap/>
            <w:vAlign w:val="center"/>
          </w:tcPr>
          <w:p w14:paraId="0F4F18A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299" w:type="dxa"/>
            <w:noWrap/>
            <w:vAlign w:val="center"/>
          </w:tcPr>
          <w:p w14:paraId="7BF8025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61074D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799" w:type="dxa"/>
            <w:noWrap/>
            <w:vAlign w:val="center"/>
          </w:tcPr>
          <w:p w14:paraId="72B5F36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901" w:type="dxa"/>
            <w:noWrap w:val="0"/>
            <w:vAlign w:val="center"/>
          </w:tcPr>
          <w:p w14:paraId="4C52701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199" w:type="dxa"/>
            <w:noWrap/>
            <w:vAlign w:val="center"/>
          </w:tcPr>
          <w:p w14:paraId="7D337F1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299" w:type="dxa"/>
            <w:noWrap/>
            <w:vAlign w:val="center"/>
          </w:tcPr>
          <w:p w14:paraId="2E6BB1C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43B2B1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4" w:hRule="atLeast"/>
          <w:jc w:val="center"/>
        </w:trPr>
        <w:tc>
          <w:tcPr>
            <w:tcW w:w="799" w:type="dxa"/>
            <w:noWrap/>
            <w:vAlign w:val="center"/>
          </w:tcPr>
          <w:p w14:paraId="1E4EFBA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901" w:type="dxa"/>
            <w:noWrap w:val="0"/>
            <w:vAlign w:val="center"/>
          </w:tcPr>
          <w:p w14:paraId="589C906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设备ViewPoint 9039S序列号或条码以及设备使用地、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199" w:type="dxa"/>
            <w:noWrap/>
            <w:vAlign w:val="center"/>
          </w:tcPr>
          <w:p w14:paraId="4DD3055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299" w:type="dxa"/>
            <w:noWrap/>
            <w:vAlign w:val="center"/>
          </w:tcPr>
          <w:p w14:paraId="0A0FFA1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64463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799" w:type="dxa"/>
            <w:noWrap/>
            <w:vAlign w:val="center"/>
          </w:tcPr>
          <w:p w14:paraId="48C460D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901" w:type="dxa"/>
            <w:noWrap w:val="0"/>
            <w:vAlign w:val="center"/>
          </w:tcPr>
          <w:p w14:paraId="554F204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199" w:type="dxa"/>
            <w:noWrap/>
            <w:vAlign w:val="center"/>
          </w:tcPr>
          <w:p w14:paraId="5CD9654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299" w:type="dxa"/>
            <w:noWrap/>
            <w:vAlign w:val="center"/>
          </w:tcPr>
          <w:p w14:paraId="498EC7F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7082E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799" w:type="dxa"/>
            <w:noWrap/>
            <w:vAlign w:val="center"/>
          </w:tcPr>
          <w:p w14:paraId="20FAB91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901" w:type="dxa"/>
            <w:noWrap w:val="0"/>
            <w:vAlign w:val="center"/>
          </w:tcPr>
          <w:p w14:paraId="71EFBC4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199" w:type="dxa"/>
            <w:noWrap/>
            <w:vAlign w:val="center"/>
          </w:tcPr>
          <w:p w14:paraId="310AF2E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299" w:type="dxa"/>
            <w:noWrap/>
            <w:vAlign w:val="center"/>
          </w:tcPr>
          <w:p w14:paraId="6737F29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57D7E3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799" w:type="dxa"/>
            <w:noWrap/>
            <w:vAlign w:val="center"/>
          </w:tcPr>
          <w:p w14:paraId="5B89734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901" w:type="dxa"/>
            <w:noWrap w:val="0"/>
            <w:vAlign w:val="center"/>
          </w:tcPr>
          <w:p w14:paraId="2970229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199" w:type="dxa"/>
            <w:noWrap/>
            <w:vAlign w:val="center"/>
          </w:tcPr>
          <w:p w14:paraId="105B96A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299" w:type="dxa"/>
            <w:noWrap/>
            <w:vAlign w:val="center"/>
          </w:tcPr>
          <w:p w14:paraId="1A97C84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21A7C3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799" w:type="dxa"/>
            <w:noWrap/>
            <w:vAlign w:val="center"/>
          </w:tcPr>
          <w:p w14:paraId="7034F57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901" w:type="dxa"/>
            <w:noWrap w:val="0"/>
            <w:vAlign w:val="center"/>
          </w:tcPr>
          <w:p w14:paraId="406B569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199" w:type="dxa"/>
            <w:noWrap/>
            <w:vAlign w:val="center"/>
          </w:tcPr>
          <w:p w14:paraId="1847EDF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299" w:type="dxa"/>
            <w:noWrap/>
            <w:vAlign w:val="center"/>
          </w:tcPr>
          <w:p w14:paraId="0B14488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54F8E1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799" w:type="dxa"/>
            <w:noWrap/>
            <w:vAlign w:val="center"/>
          </w:tcPr>
          <w:p w14:paraId="4FAD322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901" w:type="dxa"/>
            <w:noWrap w:val="0"/>
            <w:vAlign w:val="center"/>
          </w:tcPr>
          <w:p w14:paraId="5AA0D08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199" w:type="dxa"/>
            <w:noWrap/>
            <w:vAlign w:val="center"/>
          </w:tcPr>
          <w:p w14:paraId="206D516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299" w:type="dxa"/>
            <w:noWrap/>
            <w:vAlign w:val="center"/>
          </w:tcPr>
          <w:p w14:paraId="1199E44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178CB6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noWrap/>
            <w:vAlign w:val="center"/>
          </w:tcPr>
          <w:p w14:paraId="502210D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901" w:type="dxa"/>
            <w:noWrap w:val="0"/>
            <w:vAlign w:val="center"/>
          </w:tcPr>
          <w:p w14:paraId="616CE1F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199" w:type="dxa"/>
            <w:noWrap/>
            <w:vAlign w:val="center"/>
          </w:tcPr>
          <w:p w14:paraId="6E3694D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299" w:type="dxa"/>
            <w:noWrap/>
            <w:vAlign w:val="center"/>
          </w:tcPr>
          <w:p w14:paraId="5CFA9C8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bookmarkEnd w:id="145"/>
    </w:tbl>
    <w:p w14:paraId="172C7C5C">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46" w:name="_Toc97807551"/>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146"/>
    </w:p>
    <w:p w14:paraId="033EAA2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硬件支持服务旨在满足客户的紧急要求，提高响应速度，为客户提供更快速服务。</w:t>
      </w:r>
    </w:p>
    <w:p w14:paraId="7C036AE2">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3F1DB15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2FB30C43">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更换件是同等类型和功能的好件。维护服务供应商向客户提供的更换件归客户所有，而客户原有的故障件归维护服务供应商所有，</w:t>
      </w:r>
      <w:r>
        <w:rPr>
          <w:rFonts w:hint="eastAsia" w:ascii="宋体" w:hAnsi="宋体" w:eastAsia="宋体" w:cs="宋体"/>
          <w:b w:val="0"/>
          <w:bCs w:val="0"/>
          <w:color w:val="000000" w:themeColor="text1"/>
          <w:sz w:val="24"/>
          <w:szCs w:val="24"/>
          <w14:textFill>
            <w14:solidFill>
              <w14:schemeClr w14:val="tx1"/>
            </w14:solidFill>
          </w14:textFill>
        </w:rPr>
        <w:t>如果客户由于数据安全、保密等原因，不能返还故障部件，客户应当提前购买故障件保留服务。</w:t>
      </w:r>
    </w:p>
    <w:p w14:paraId="795A7FC0">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2BF8B315">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47" w:name="_Toc97807552"/>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147"/>
    </w:p>
    <w:p w14:paraId="2D2D98C0">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5FD75EC0">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48" w:name="_Toc97807553"/>
      <w:r>
        <w:rPr>
          <w:rFonts w:hint="eastAsia" w:ascii="宋体" w:hAnsi="宋体" w:eastAsia="宋体" w:cs="宋体"/>
          <w:b w:val="0"/>
          <w:bCs w:val="0"/>
          <w:color w:val="000000" w:themeColor="text1"/>
          <w:sz w:val="24"/>
          <w:szCs w:val="24"/>
          <w14:textFill>
            <w14:solidFill>
              <w14:schemeClr w14:val="tx1"/>
            </w14:solidFill>
          </w14:textFill>
        </w:rPr>
        <w:t>（4）</w:t>
      </w:r>
      <w:bookmarkEnd w:id="148"/>
      <w:bookmarkStart w:id="149" w:name="_Toc97807555"/>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149"/>
    </w:p>
    <w:p w14:paraId="062AEF8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提供自签订维保服务合同之日起为期</w:t>
      </w:r>
      <w:r>
        <w:rPr>
          <w:rFonts w:hint="eastAsia" w:ascii="宋体" w:hAnsi="宋体" w:eastAsia="宋体" w:cs="宋体"/>
          <w:b w:val="0"/>
          <w:bCs w:val="0"/>
          <w:color w:val="000000" w:themeColor="text1"/>
          <w:sz w:val="24"/>
          <w:szCs w:val="24"/>
          <w:lang w:eastAsia="zh-CN"/>
          <w14:textFill>
            <w14:solidFill>
              <w14:schemeClr w14:val="tx1"/>
            </w14:solidFill>
          </w14:textFill>
        </w:rPr>
        <w:t>1年</w:t>
      </w:r>
      <w:r>
        <w:rPr>
          <w:rFonts w:hint="eastAsia" w:ascii="宋体" w:hAnsi="宋体" w:eastAsia="宋体" w:cs="宋体"/>
          <w:b w:val="0"/>
          <w:bCs w:val="0"/>
          <w:color w:val="000000" w:themeColor="text1"/>
          <w:sz w:val="24"/>
          <w:szCs w:val="24"/>
          <w14:textFill>
            <w14:solidFill>
              <w14:schemeClr w14:val="tx1"/>
            </w14:solidFill>
          </w14:textFill>
        </w:rPr>
        <w:t>的“华为视频会设备”会议电视终端维保服务。</w:t>
      </w:r>
    </w:p>
    <w:p w14:paraId="514BA420">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50" w:name="_Toc97807556"/>
      <w:r>
        <w:rPr>
          <w:rFonts w:hint="eastAsia" w:ascii="宋体" w:hAnsi="宋体" w:eastAsia="宋体" w:cs="宋体"/>
          <w:b w:val="0"/>
          <w:bCs w:val="0"/>
          <w:color w:val="000000" w:themeColor="text1"/>
          <w:sz w:val="24"/>
          <w:szCs w:val="24"/>
          <w14:textFill>
            <w14:solidFill>
              <w14:schemeClr w14:val="tx1"/>
            </w14:solidFill>
          </w14:textFill>
        </w:rPr>
        <w:t>7.2、一体化PTZ高清摄像机HUAWEI VPC600维保服务说明</w:t>
      </w:r>
      <w:bookmarkEnd w:id="150"/>
    </w:p>
    <w:p w14:paraId="7448FFB8">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51" w:name="_Toc97807557"/>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151"/>
    </w:p>
    <w:p w14:paraId="526888D5">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维护工程师在接到HUAWEI VPC600故障申报后，将首先进行远程故障分析与处理，及时排除故障。远程问题处理包括电话支持和远程接入。</w:t>
      </w:r>
    </w:p>
    <w:p w14:paraId="3046C557">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52" w:name="_Toc97807558"/>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152"/>
    </w:p>
    <w:p w14:paraId="62DA5BB7">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维护工程师接到HUAWEI VPC600故障服务请求后，将立即通过电话支持进行响应，帮助客户对HUAWEI VPC600故障问题进行分析、诊断以及定位，提供解决问题的方案，并引导客户实施。</w:t>
      </w:r>
    </w:p>
    <w:p w14:paraId="015CFBED">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53" w:name="_Toc97807559"/>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153"/>
    </w:p>
    <w:p w14:paraId="17E98F34">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对于通过电话支持服务不能解决的故障或问题，维护工程师在征得用户同意后，通过远程终端登陆到故障设备HUAWEI VPC600中调查和收集数据，分析故障原因，提出解决方案，指导客户实施，必要时可以提供远程操作。</w:t>
      </w:r>
    </w:p>
    <w:p w14:paraId="30E2982D">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4945"/>
        <w:gridCol w:w="1445"/>
        <w:gridCol w:w="1170"/>
      </w:tblGrid>
      <w:tr w14:paraId="0FC8F3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5D8ADC4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4945" w:type="dxa"/>
            <w:shd w:val="clear" w:color="auto" w:fill="D9D9D9"/>
            <w:noWrap w:val="0"/>
            <w:vAlign w:val="center"/>
          </w:tcPr>
          <w:p w14:paraId="6842848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445" w:type="dxa"/>
            <w:tcBorders>
              <w:right w:val="single" w:color="auto" w:sz="4" w:space="0"/>
            </w:tcBorders>
            <w:shd w:val="clear" w:color="auto" w:fill="D9D9D9"/>
            <w:noWrap w:val="0"/>
            <w:vAlign w:val="center"/>
          </w:tcPr>
          <w:p w14:paraId="5AF54B1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7586156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75CCF0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3EA09DF3">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4945" w:type="dxa"/>
            <w:noWrap w:val="0"/>
            <w:vAlign w:val="center"/>
          </w:tcPr>
          <w:p w14:paraId="52859B0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445" w:type="dxa"/>
            <w:noWrap/>
            <w:vAlign w:val="center"/>
          </w:tcPr>
          <w:p w14:paraId="370217C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1466041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29C9E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1774B443">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4945" w:type="dxa"/>
            <w:noWrap w:val="0"/>
            <w:vAlign w:val="center"/>
          </w:tcPr>
          <w:p w14:paraId="2DDEB38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在规定的SLA内响应服务请求。</w:t>
            </w:r>
          </w:p>
        </w:tc>
        <w:tc>
          <w:tcPr>
            <w:tcW w:w="1445" w:type="dxa"/>
            <w:noWrap/>
            <w:vAlign w:val="center"/>
          </w:tcPr>
          <w:p w14:paraId="5952AF4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6606F92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281812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554B331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4945" w:type="dxa"/>
            <w:noWrap w:val="0"/>
            <w:vAlign w:val="center"/>
          </w:tcPr>
          <w:p w14:paraId="53280BB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445" w:type="dxa"/>
            <w:noWrap/>
            <w:vAlign w:val="center"/>
          </w:tcPr>
          <w:p w14:paraId="6A4AFBA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142756D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6A6CAC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3910902E">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4945" w:type="dxa"/>
            <w:noWrap w:val="0"/>
            <w:vAlign w:val="center"/>
          </w:tcPr>
          <w:p w14:paraId="0EA6BC7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设备</w:t>
            </w:r>
            <w:r>
              <w:rPr>
                <w:rFonts w:hint="eastAsia" w:ascii="宋体" w:hAnsi="宋体" w:eastAsia="宋体" w:cs="宋体"/>
                <w:b w:val="0"/>
                <w:bCs w:val="0"/>
                <w:color w:val="000000" w:themeColor="text1"/>
                <w:kern w:val="0"/>
                <w:sz w:val="24"/>
                <w:szCs w:val="24"/>
                <w14:textFill>
                  <w14:solidFill>
                    <w14:schemeClr w14:val="tx1"/>
                  </w14:solidFill>
                </w14:textFill>
              </w:rPr>
              <w:t>HUAWEI VPC500序列号</w:t>
            </w:r>
            <w:r>
              <w:rPr>
                <w:rFonts w:hint="eastAsia" w:ascii="宋体" w:hAnsi="宋体" w:eastAsia="宋体" w:cs="宋体"/>
                <w:b w:val="0"/>
                <w:bCs w:val="0"/>
                <w:color w:val="000000" w:themeColor="text1"/>
                <w:sz w:val="24"/>
                <w:szCs w:val="24"/>
                <w14:textFill>
                  <w14:solidFill>
                    <w14:schemeClr w14:val="tx1"/>
                  </w14:solidFill>
                </w14:textFill>
              </w:rPr>
              <w:t>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445" w:type="dxa"/>
            <w:noWrap/>
            <w:vAlign w:val="center"/>
          </w:tcPr>
          <w:p w14:paraId="5F1238D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301BBB2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02F85E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3620558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4945" w:type="dxa"/>
            <w:noWrap w:val="0"/>
            <w:vAlign w:val="center"/>
          </w:tcPr>
          <w:p w14:paraId="0C114EC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445" w:type="dxa"/>
            <w:noWrap/>
            <w:vAlign w:val="center"/>
          </w:tcPr>
          <w:p w14:paraId="23C5D58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087F758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09C977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420746F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4945" w:type="dxa"/>
            <w:noWrap w:val="0"/>
            <w:vAlign w:val="center"/>
          </w:tcPr>
          <w:p w14:paraId="0783C91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445" w:type="dxa"/>
            <w:noWrap/>
            <w:vAlign w:val="center"/>
          </w:tcPr>
          <w:p w14:paraId="4DF44E6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699A3EE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5F8A2C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0904940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4945" w:type="dxa"/>
            <w:noWrap w:val="0"/>
            <w:vAlign w:val="center"/>
          </w:tcPr>
          <w:p w14:paraId="5D1AF56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445" w:type="dxa"/>
            <w:noWrap/>
            <w:vAlign w:val="center"/>
          </w:tcPr>
          <w:p w14:paraId="7F75B80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694BEB6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101098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0A5F635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4945" w:type="dxa"/>
            <w:noWrap w:val="0"/>
            <w:vAlign w:val="center"/>
          </w:tcPr>
          <w:p w14:paraId="5099456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445" w:type="dxa"/>
            <w:noWrap/>
            <w:vAlign w:val="center"/>
          </w:tcPr>
          <w:p w14:paraId="7F404D93">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5D81E50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278F6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32B5B9B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4945" w:type="dxa"/>
            <w:noWrap w:val="0"/>
            <w:vAlign w:val="center"/>
          </w:tcPr>
          <w:p w14:paraId="2111D04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445" w:type="dxa"/>
            <w:noWrap/>
            <w:vAlign w:val="center"/>
          </w:tcPr>
          <w:p w14:paraId="5658506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1F99012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7C362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64AE6B6E">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4945" w:type="dxa"/>
            <w:noWrap w:val="0"/>
            <w:vAlign w:val="center"/>
          </w:tcPr>
          <w:p w14:paraId="254DE24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445" w:type="dxa"/>
            <w:noWrap/>
            <w:vAlign w:val="center"/>
          </w:tcPr>
          <w:p w14:paraId="26169453">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11E0A08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2BABF87F">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54" w:name="_Toc97807560"/>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）硬件支持服务（工作内容）</w:t>
      </w:r>
      <w:bookmarkEnd w:id="154"/>
    </w:p>
    <w:p w14:paraId="03BF3CAA">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硬件支持服务旨在满足客户的紧急要求，提高响应速度，为客户提供更快速服务。</w:t>
      </w:r>
    </w:p>
    <w:p w14:paraId="3F7F4BC2">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22CF418A">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0E579E81">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更换件是同等类型和功能的好件。维护服务供应商向客户提供的更换件归客户所有，而客户原有的故障件归维护服务供应商所有，如果客户由于数据安全、保密等原因，不能返还故障部件，客户应当提前购买故障件保留服务。</w:t>
      </w:r>
    </w:p>
    <w:p w14:paraId="14F9649A">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7765796E">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55" w:name="_Toc97807561"/>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）软件支持服务（工作内容）</w:t>
      </w:r>
      <w:bookmarkEnd w:id="155"/>
    </w:p>
    <w:p w14:paraId="623B946E">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1A0C9593">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56" w:name="_Toc97807565"/>
      <w:r>
        <w:rPr>
          <w:rFonts w:hint="eastAsia" w:ascii="宋体" w:hAnsi="宋体" w:eastAsia="宋体" w:cs="宋体"/>
          <w:b w:val="0"/>
          <w:bCs w:val="0"/>
          <w:color w:val="000000" w:themeColor="text1"/>
          <w:sz w:val="24"/>
          <w:szCs w:val="24"/>
          <w14:textFill>
            <w14:solidFill>
              <w14:schemeClr w14:val="tx1"/>
            </w14:solidFill>
          </w14:textFill>
        </w:rPr>
        <w:t>7.3、HUAWEI VPM220阵列麦克风维保服务说明</w:t>
      </w:r>
      <w:bookmarkEnd w:id="156"/>
    </w:p>
    <w:p w14:paraId="3CEA7B4B">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57" w:name="_Toc97807566"/>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157"/>
    </w:p>
    <w:p w14:paraId="4310D457">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维护工程师在接到HUAWEI VPM220故障申报后，将首先进行远程故障分析与处理，及时排除故障。远程问题处理包括电话支持和远程接入。</w:t>
      </w:r>
    </w:p>
    <w:p w14:paraId="28187EAB">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58" w:name="_Toc97807567"/>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158"/>
    </w:p>
    <w:p w14:paraId="1C34B457">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维护工程师接到HUAWEI VPM220故障服务请求后，将立即通过电话支持进行响应，帮助客户对HUAWEI VPM220故障问题进行分析、诊断以及定位，提供解决问题的方案，并引导客户实施。</w:t>
      </w:r>
    </w:p>
    <w:p w14:paraId="499D1ED7">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5310"/>
        <w:gridCol w:w="1080"/>
        <w:gridCol w:w="1170"/>
      </w:tblGrid>
      <w:tr w14:paraId="3D4F32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2F6B91D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310" w:type="dxa"/>
            <w:shd w:val="clear" w:color="auto" w:fill="D9D9D9"/>
            <w:noWrap w:val="0"/>
            <w:vAlign w:val="center"/>
          </w:tcPr>
          <w:p w14:paraId="6CAEAE9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080" w:type="dxa"/>
            <w:tcBorders>
              <w:right w:val="single" w:color="auto" w:sz="4" w:space="0"/>
            </w:tcBorders>
            <w:shd w:val="clear" w:color="auto" w:fill="D9D9D9"/>
            <w:noWrap w:val="0"/>
            <w:vAlign w:val="center"/>
          </w:tcPr>
          <w:p w14:paraId="7B35DC8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1612F6A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75313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22EE970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310" w:type="dxa"/>
            <w:noWrap w:val="0"/>
            <w:vAlign w:val="center"/>
          </w:tcPr>
          <w:p w14:paraId="6118049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080" w:type="dxa"/>
            <w:noWrap/>
            <w:vAlign w:val="center"/>
          </w:tcPr>
          <w:p w14:paraId="51AD897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0CFE962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54B1A7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7FAE9C5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310" w:type="dxa"/>
            <w:noWrap w:val="0"/>
            <w:vAlign w:val="center"/>
          </w:tcPr>
          <w:p w14:paraId="2DE54AA3">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在规定的时间内响应服务请求。</w:t>
            </w:r>
          </w:p>
        </w:tc>
        <w:tc>
          <w:tcPr>
            <w:tcW w:w="1080" w:type="dxa"/>
            <w:noWrap/>
            <w:vAlign w:val="center"/>
          </w:tcPr>
          <w:p w14:paraId="1664F6A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A0A5AB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0FDB1F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712AC52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310" w:type="dxa"/>
            <w:noWrap w:val="0"/>
            <w:vAlign w:val="center"/>
          </w:tcPr>
          <w:p w14:paraId="2C710F8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080" w:type="dxa"/>
            <w:noWrap/>
            <w:vAlign w:val="center"/>
          </w:tcPr>
          <w:p w14:paraId="723C967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3CECDB13">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448245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3488A46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310" w:type="dxa"/>
            <w:noWrap w:val="0"/>
            <w:vAlign w:val="center"/>
          </w:tcPr>
          <w:p w14:paraId="603152B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提供问题定位所需的设备HUAWEI VPM210序</w:t>
            </w:r>
            <w:r>
              <w:rPr>
                <w:rFonts w:hint="eastAsia" w:ascii="宋体" w:hAnsi="宋体" w:eastAsia="宋体" w:cs="宋体"/>
                <w:b w:val="0"/>
                <w:bCs w:val="0"/>
                <w:color w:val="000000" w:themeColor="text1"/>
                <w:sz w:val="24"/>
                <w:szCs w:val="24"/>
                <w14:textFill>
                  <w14:solidFill>
                    <w14:schemeClr w14:val="tx1"/>
                  </w14:solidFill>
                </w14:textFill>
              </w:rPr>
              <w:t>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080" w:type="dxa"/>
            <w:noWrap/>
            <w:vAlign w:val="center"/>
          </w:tcPr>
          <w:p w14:paraId="03B6313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5C0F4C0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5832A9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485F667E">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310" w:type="dxa"/>
            <w:noWrap w:val="0"/>
            <w:vAlign w:val="center"/>
          </w:tcPr>
          <w:p w14:paraId="12044B1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080" w:type="dxa"/>
            <w:noWrap/>
            <w:vAlign w:val="center"/>
          </w:tcPr>
          <w:p w14:paraId="73BEC63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227A085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60679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550531F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310" w:type="dxa"/>
            <w:noWrap w:val="0"/>
            <w:vAlign w:val="center"/>
          </w:tcPr>
          <w:p w14:paraId="3346B71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080" w:type="dxa"/>
            <w:noWrap/>
            <w:vAlign w:val="center"/>
          </w:tcPr>
          <w:p w14:paraId="02F71CA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91B6D0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720EC5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7A137AF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310" w:type="dxa"/>
            <w:noWrap w:val="0"/>
            <w:vAlign w:val="center"/>
          </w:tcPr>
          <w:p w14:paraId="31D291F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080" w:type="dxa"/>
            <w:noWrap/>
            <w:vAlign w:val="center"/>
          </w:tcPr>
          <w:p w14:paraId="1DE899A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06788D3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1E7EC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301F5A9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310" w:type="dxa"/>
            <w:noWrap w:val="0"/>
            <w:vAlign w:val="center"/>
          </w:tcPr>
          <w:p w14:paraId="089714A3">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080" w:type="dxa"/>
            <w:noWrap/>
            <w:vAlign w:val="center"/>
          </w:tcPr>
          <w:p w14:paraId="3B15AE4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1B2286EE">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4D5BC4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27C370D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310" w:type="dxa"/>
            <w:noWrap w:val="0"/>
            <w:vAlign w:val="center"/>
          </w:tcPr>
          <w:p w14:paraId="59002BF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080" w:type="dxa"/>
            <w:noWrap/>
            <w:vAlign w:val="center"/>
          </w:tcPr>
          <w:p w14:paraId="4BFB20B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7708D5D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7F9B83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6AE8ACC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310" w:type="dxa"/>
            <w:noWrap w:val="0"/>
            <w:vAlign w:val="center"/>
          </w:tcPr>
          <w:p w14:paraId="7EAC0CE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080" w:type="dxa"/>
            <w:noWrap/>
            <w:vAlign w:val="center"/>
          </w:tcPr>
          <w:p w14:paraId="0546FED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4B3EEBA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04AC805A">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59" w:name="_Toc97807568"/>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159"/>
    </w:p>
    <w:p w14:paraId="21EA9BF9">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硬件支持服务旨在满足客户的紧急要求，提高响应速度，为客户提供更快速服务。</w:t>
      </w:r>
    </w:p>
    <w:p w14:paraId="42A1760B">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15586E1B">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4BA68131">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更换件是同等类型和功能的好件。维护服务供应商向客户提供的更换件归客户所有，而客户原有的故障件归维护服务供应商所有，如果客户由于数据安全、保密等原因，不能返还故障部件，客户应当提前购买故障件保留服务。</w:t>
      </w:r>
    </w:p>
    <w:p w14:paraId="0EB8CBC5">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w:t>
      </w:r>
      <w:r>
        <w:rPr>
          <w:rFonts w:hint="eastAsia" w:ascii="宋体" w:hAnsi="宋体" w:eastAsia="宋体" w:cs="宋体"/>
          <w:b w:val="0"/>
          <w:bCs w:val="0"/>
          <w:color w:val="000000" w:themeColor="text1"/>
          <w:kern w:val="0"/>
          <w:sz w:val="24"/>
          <w:szCs w:val="24"/>
          <w14:textFill>
            <w14:solidFill>
              <w14:schemeClr w14:val="tx1"/>
            </w14:solidFill>
          </w14:textFill>
        </w:rPr>
        <w:t>长的时间为准。</w:t>
      </w:r>
    </w:p>
    <w:p w14:paraId="7A0A9605">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60" w:name="_Toc97807569"/>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160"/>
    </w:p>
    <w:p w14:paraId="48F1CD44">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6A7DD180">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61" w:name="_Toc97807570"/>
      <w:r>
        <w:rPr>
          <w:rFonts w:hint="eastAsia" w:ascii="宋体" w:hAnsi="宋体" w:eastAsia="宋体" w:cs="宋体"/>
          <w:b w:val="0"/>
          <w:bCs w:val="0"/>
          <w:color w:val="000000" w:themeColor="text1"/>
          <w:sz w:val="24"/>
          <w:szCs w:val="24"/>
          <w14:textFill>
            <w14:solidFill>
              <w14:schemeClr w14:val="tx1"/>
            </w14:solidFill>
          </w14:textFill>
        </w:rPr>
        <w:t>（4）</w:t>
      </w:r>
      <w:bookmarkEnd w:id="161"/>
      <w:bookmarkStart w:id="162" w:name="_Toc97807572"/>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162"/>
    </w:p>
    <w:p w14:paraId="6EFD5F6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提供自签订维保服务合同之日起为期</w:t>
      </w:r>
      <w:r>
        <w:rPr>
          <w:rFonts w:hint="eastAsia" w:ascii="宋体" w:hAnsi="宋体" w:eastAsia="宋体" w:cs="宋体"/>
          <w:b w:val="0"/>
          <w:bCs w:val="0"/>
          <w:color w:val="000000" w:themeColor="text1"/>
          <w:sz w:val="24"/>
          <w:szCs w:val="24"/>
          <w:lang w:eastAsia="zh-CN"/>
          <w14:textFill>
            <w14:solidFill>
              <w14:schemeClr w14:val="tx1"/>
            </w14:solidFill>
          </w14:textFill>
        </w:rPr>
        <w:t>1年</w:t>
      </w:r>
      <w:r>
        <w:rPr>
          <w:rFonts w:hint="eastAsia" w:ascii="宋体" w:hAnsi="宋体" w:eastAsia="宋体" w:cs="宋体"/>
          <w:b w:val="0"/>
          <w:bCs w:val="0"/>
          <w:color w:val="000000" w:themeColor="text1"/>
          <w:sz w:val="24"/>
          <w:szCs w:val="24"/>
          <w14:textFill>
            <w14:solidFill>
              <w14:schemeClr w14:val="tx1"/>
            </w14:solidFill>
          </w14:textFill>
        </w:rPr>
        <w:t>的“HUAWEI VPM210”阵列麦克风维保服务。</w:t>
      </w:r>
    </w:p>
    <w:p w14:paraId="55DB4CF2">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63" w:name="_Toc97807573"/>
      <w:r>
        <w:rPr>
          <w:rFonts w:hint="eastAsia" w:ascii="宋体" w:hAnsi="宋体" w:eastAsia="宋体" w:cs="宋体"/>
          <w:b w:val="0"/>
          <w:bCs w:val="0"/>
          <w:color w:val="000000" w:themeColor="text1"/>
          <w:sz w:val="24"/>
          <w:szCs w:val="24"/>
          <w14:textFill>
            <w14:solidFill>
              <w14:schemeClr w14:val="tx1"/>
            </w14:solidFill>
          </w14:textFill>
        </w:rPr>
        <w:t xml:space="preserve">7.4、ViewPoint </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 xml:space="preserve"> 多点控制单元维保服务说明</w:t>
      </w:r>
      <w:bookmarkEnd w:id="163"/>
    </w:p>
    <w:p w14:paraId="52C09E5F">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64" w:name="_Toc97807574"/>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164"/>
    </w:p>
    <w:p w14:paraId="0B969B98">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维护工程师在接到ViewPoint </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故障申报后，将首先进行远程故障分析与处理，及时排除故障。远程问题处理包括电话支持和远程接入。</w:t>
      </w:r>
    </w:p>
    <w:p w14:paraId="0AF9CF56">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65" w:name="_Toc97807575"/>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165"/>
    </w:p>
    <w:p w14:paraId="2EAF4C8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维护工程师接到ViewPoint </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 xml:space="preserve">故障服务请求后，将立即通过电话支持进行响应，帮助客户对ViewPoint </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故障问题进行分析、诊断以及定位，提供解决问题的方案，并引导客户实施。</w:t>
      </w:r>
    </w:p>
    <w:p w14:paraId="67EDFAA2">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66" w:name="_Toc97807576"/>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166"/>
    </w:p>
    <w:p w14:paraId="19FE676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对于通过电话支持服务不能解决的故障或问题，维护工程师在征得用户同意后，通过远程终端登陆到故障设备ViewPoint </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中调查和收集数据，分析故障原因，提出解决方案，指导客户实施，必要时可以提供远程操作。</w:t>
      </w:r>
    </w:p>
    <w:p w14:paraId="0A2B5923">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5310"/>
        <w:gridCol w:w="1080"/>
        <w:gridCol w:w="1170"/>
      </w:tblGrid>
      <w:tr w14:paraId="19822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14C366E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310" w:type="dxa"/>
            <w:shd w:val="clear" w:color="auto" w:fill="D9D9D9"/>
            <w:noWrap w:val="0"/>
            <w:vAlign w:val="center"/>
          </w:tcPr>
          <w:p w14:paraId="56E0028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080" w:type="dxa"/>
            <w:tcBorders>
              <w:right w:val="single" w:color="auto" w:sz="4" w:space="0"/>
            </w:tcBorders>
            <w:shd w:val="clear" w:color="auto" w:fill="D9D9D9"/>
            <w:noWrap w:val="0"/>
            <w:vAlign w:val="center"/>
          </w:tcPr>
          <w:p w14:paraId="688F801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28828C8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64E700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44E9BC7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310" w:type="dxa"/>
            <w:noWrap w:val="0"/>
            <w:vAlign w:val="center"/>
          </w:tcPr>
          <w:p w14:paraId="206A8D6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080" w:type="dxa"/>
            <w:noWrap/>
            <w:vAlign w:val="center"/>
          </w:tcPr>
          <w:p w14:paraId="06790AD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49D9D6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531E57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2F03373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310" w:type="dxa"/>
            <w:noWrap w:val="0"/>
            <w:vAlign w:val="center"/>
          </w:tcPr>
          <w:p w14:paraId="1D7B01B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在规定的时间内响应服务请求。</w:t>
            </w:r>
          </w:p>
        </w:tc>
        <w:tc>
          <w:tcPr>
            <w:tcW w:w="1080" w:type="dxa"/>
            <w:noWrap/>
            <w:vAlign w:val="center"/>
          </w:tcPr>
          <w:p w14:paraId="7F1EA9A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8ECCB7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7C7BB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4275C07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310" w:type="dxa"/>
            <w:noWrap w:val="0"/>
            <w:vAlign w:val="center"/>
          </w:tcPr>
          <w:p w14:paraId="4D63BB4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080" w:type="dxa"/>
            <w:noWrap/>
            <w:vAlign w:val="center"/>
          </w:tcPr>
          <w:p w14:paraId="499932B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0B7C691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59AFB6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4FFBC87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310" w:type="dxa"/>
            <w:noWrap w:val="0"/>
            <w:vAlign w:val="center"/>
          </w:tcPr>
          <w:p w14:paraId="57C8063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 xml:space="preserve">设备ViewPoint </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序列号或条码以及设备使用地、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080" w:type="dxa"/>
            <w:noWrap/>
            <w:vAlign w:val="center"/>
          </w:tcPr>
          <w:p w14:paraId="5B3C42A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2AC7174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257F5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4FECFFA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310" w:type="dxa"/>
            <w:noWrap w:val="0"/>
            <w:vAlign w:val="center"/>
          </w:tcPr>
          <w:p w14:paraId="57AB0DC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080" w:type="dxa"/>
            <w:noWrap/>
            <w:vAlign w:val="center"/>
          </w:tcPr>
          <w:p w14:paraId="0FFAB91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147AFE1D">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59F4C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026DF9DD">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310" w:type="dxa"/>
            <w:noWrap w:val="0"/>
            <w:vAlign w:val="center"/>
          </w:tcPr>
          <w:p w14:paraId="238C7D7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080" w:type="dxa"/>
            <w:noWrap/>
            <w:vAlign w:val="center"/>
          </w:tcPr>
          <w:p w14:paraId="3AF1E90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5930652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504A56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612F88E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310" w:type="dxa"/>
            <w:noWrap w:val="0"/>
            <w:vAlign w:val="center"/>
          </w:tcPr>
          <w:p w14:paraId="57540D9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080" w:type="dxa"/>
            <w:noWrap/>
            <w:vAlign w:val="center"/>
          </w:tcPr>
          <w:p w14:paraId="0096BEF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B1FE3B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72438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770E848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310" w:type="dxa"/>
            <w:noWrap w:val="0"/>
            <w:vAlign w:val="center"/>
          </w:tcPr>
          <w:p w14:paraId="6A3D4FC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080" w:type="dxa"/>
            <w:noWrap/>
            <w:vAlign w:val="center"/>
          </w:tcPr>
          <w:p w14:paraId="2C433D1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607A5AA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7172F8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10A3E72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310" w:type="dxa"/>
            <w:noWrap w:val="0"/>
            <w:vAlign w:val="center"/>
          </w:tcPr>
          <w:p w14:paraId="6B03E4E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080" w:type="dxa"/>
            <w:noWrap/>
            <w:vAlign w:val="center"/>
          </w:tcPr>
          <w:p w14:paraId="2D6CD88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0EB7270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6C844D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7166E45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310" w:type="dxa"/>
            <w:noWrap w:val="0"/>
            <w:vAlign w:val="center"/>
          </w:tcPr>
          <w:p w14:paraId="6EC0835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080" w:type="dxa"/>
            <w:noWrap/>
            <w:vAlign w:val="center"/>
          </w:tcPr>
          <w:p w14:paraId="7F1BFFB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2A06DEA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1AE9E149">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67" w:name="_Toc97807577"/>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167"/>
    </w:p>
    <w:p w14:paraId="3638F93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硬件支持服务旨在满足客户的紧急要求，提高响应速度，为客户提供更快速服务。</w:t>
      </w:r>
    </w:p>
    <w:p w14:paraId="3C56F36D">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13EE7AA9">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37B8375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更换件是同等类型和功能的好件。维护服务供应商向客户提供的更换件归客户所有，而客户原有的故障件归维护服务供应商所有，</w:t>
      </w:r>
      <w:r>
        <w:rPr>
          <w:rFonts w:hint="eastAsia" w:ascii="宋体" w:hAnsi="宋体" w:eastAsia="宋体" w:cs="宋体"/>
          <w:b w:val="0"/>
          <w:bCs w:val="0"/>
          <w:color w:val="000000" w:themeColor="text1"/>
          <w:sz w:val="24"/>
          <w:szCs w:val="24"/>
          <w14:textFill>
            <w14:solidFill>
              <w14:schemeClr w14:val="tx1"/>
            </w14:solidFill>
          </w14:textFill>
        </w:rPr>
        <w:t>如果客户由于数据安全、保密等原因，不能返还故障部件，客户应当提前购买故障件保留服务。</w:t>
      </w:r>
    </w:p>
    <w:p w14:paraId="1B282C0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41A808ED">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68" w:name="_Toc97807578"/>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168"/>
    </w:p>
    <w:p w14:paraId="788B7897">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05962CF0">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69" w:name="_Toc97807579"/>
      <w:r>
        <w:rPr>
          <w:rFonts w:hint="eastAsia" w:ascii="宋体" w:hAnsi="宋体" w:eastAsia="宋体" w:cs="宋体"/>
          <w:b w:val="0"/>
          <w:bCs w:val="0"/>
          <w:color w:val="000000" w:themeColor="text1"/>
          <w:sz w:val="24"/>
          <w:szCs w:val="24"/>
          <w14:textFill>
            <w14:solidFill>
              <w14:schemeClr w14:val="tx1"/>
            </w14:solidFill>
          </w14:textFill>
        </w:rPr>
        <w:t>（4）</w:t>
      </w:r>
      <w:bookmarkEnd w:id="169"/>
      <w:bookmarkStart w:id="170" w:name="_Toc97807581"/>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170"/>
    </w:p>
    <w:p w14:paraId="1E1040CB">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提供自签订维保服务合同之日起为期一年的“ViewPoint </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”维保服务。</w:t>
      </w:r>
    </w:p>
    <w:p w14:paraId="6BDC4FF8">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71" w:name="_Toc97807582"/>
      <w:r>
        <w:rPr>
          <w:rFonts w:hint="eastAsia" w:ascii="宋体" w:hAnsi="宋体" w:eastAsia="宋体" w:cs="宋体"/>
          <w:b w:val="0"/>
          <w:bCs w:val="0"/>
          <w:color w:val="000000" w:themeColor="text1"/>
          <w:sz w:val="24"/>
          <w:szCs w:val="24"/>
          <w14:textFill>
            <w14:solidFill>
              <w14:schemeClr w14:val="tx1"/>
            </w14:solidFill>
          </w14:textFill>
        </w:rPr>
        <w:t>7.5、交直流一体化机箱维保服务说明</w:t>
      </w:r>
      <w:bookmarkEnd w:id="171"/>
    </w:p>
    <w:p w14:paraId="0D82CC49">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72" w:name="_Toc97807583"/>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172"/>
    </w:p>
    <w:p w14:paraId="197EDF9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维护工程师在接到ViewPoint </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中涉及交直流一体化机箱故障申报后，将首先进行远程故障分析与处理，及时排除故障。远程问题处理包括电话支持和远程接入。</w:t>
      </w:r>
    </w:p>
    <w:p w14:paraId="3F1A8244">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73" w:name="_Toc97807584"/>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173"/>
    </w:p>
    <w:p w14:paraId="29A96BA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维护工程师接到ViewPoint </w:t>
      </w:r>
      <w:r>
        <w:rPr>
          <w:rFonts w:hint="eastAsia" w:ascii="宋体" w:hAnsi="宋体" w:eastAsia="宋体" w:cs="宋体"/>
          <w:b w:val="0"/>
          <w:bCs w:val="0"/>
          <w:color w:val="000000" w:themeColor="text1"/>
          <w:kern w:val="0"/>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kern w:val="0"/>
          <w:sz w:val="24"/>
          <w:szCs w:val="24"/>
          <w14:textFill>
            <w14:solidFill>
              <w14:schemeClr w14:val="tx1"/>
            </w14:solidFill>
          </w14:textFill>
        </w:rPr>
        <w:t xml:space="preserve">中涉及交直流一体化机箱故障服务请求后，将立即通过电话支持进行响应，帮助客户对ViewPoint </w:t>
      </w:r>
      <w:r>
        <w:rPr>
          <w:rFonts w:hint="eastAsia" w:ascii="宋体" w:hAnsi="宋体" w:eastAsia="宋体" w:cs="宋体"/>
          <w:b w:val="0"/>
          <w:bCs w:val="0"/>
          <w:color w:val="000000" w:themeColor="text1"/>
          <w:kern w:val="0"/>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kern w:val="0"/>
          <w:sz w:val="24"/>
          <w:szCs w:val="24"/>
          <w14:textFill>
            <w14:solidFill>
              <w14:schemeClr w14:val="tx1"/>
            </w14:solidFill>
          </w14:textFill>
        </w:rPr>
        <w:t>中涉及交直流一体化机箱故障问题进行分析、诊断以及定位，提供解决问题的方案，并引导客户实施。</w:t>
      </w:r>
    </w:p>
    <w:p w14:paraId="2EB37A71">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74" w:name="_Toc97807585"/>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174"/>
    </w:p>
    <w:p w14:paraId="2DA25092">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对于通过电话支持服务不能解决的故障或问题，维护工程师在征得用户同意后，通过远程终端登陆到故障设备ViewPoint </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中调查和收集数据，分析故障原因，提出解决方案，指导客户实施，必要时可以提供远程操作。</w:t>
      </w:r>
    </w:p>
    <w:p w14:paraId="2DD9AE44">
      <w:pPr>
        <w:pStyle w:val="146"/>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5310"/>
        <w:gridCol w:w="1080"/>
        <w:gridCol w:w="1170"/>
      </w:tblGrid>
      <w:tr w14:paraId="77ABCE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44A8B85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310" w:type="dxa"/>
            <w:shd w:val="clear" w:color="auto" w:fill="D9D9D9"/>
            <w:noWrap w:val="0"/>
            <w:vAlign w:val="center"/>
          </w:tcPr>
          <w:p w14:paraId="6C13370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080" w:type="dxa"/>
            <w:tcBorders>
              <w:right w:val="single" w:color="auto" w:sz="4" w:space="0"/>
            </w:tcBorders>
            <w:shd w:val="clear" w:color="auto" w:fill="D9D9D9"/>
            <w:noWrap w:val="0"/>
            <w:vAlign w:val="center"/>
          </w:tcPr>
          <w:p w14:paraId="342C135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2578A88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694610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394B4ED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310" w:type="dxa"/>
            <w:noWrap w:val="0"/>
            <w:vAlign w:val="center"/>
          </w:tcPr>
          <w:p w14:paraId="11A3193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080" w:type="dxa"/>
            <w:noWrap/>
            <w:vAlign w:val="center"/>
          </w:tcPr>
          <w:p w14:paraId="7977E39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CA92C2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67C67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786A38DD">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310" w:type="dxa"/>
            <w:noWrap w:val="0"/>
            <w:vAlign w:val="center"/>
          </w:tcPr>
          <w:p w14:paraId="724EB07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在规定的时间内响应服务请求。</w:t>
            </w:r>
          </w:p>
        </w:tc>
        <w:tc>
          <w:tcPr>
            <w:tcW w:w="1080" w:type="dxa"/>
            <w:noWrap/>
            <w:vAlign w:val="center"/>
          </w:tcPr>
          <w:p w14:paraId="7E100AC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9D939C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241CD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7D77482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310" w:type="dxa"/>
            <w:noWrap w:val="0"/>
            <w:vAlign w:val="center"/>
          </w:tcPr>
          <w:p w14:paraId="4678BC9D">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080" w:type="dxa"/>
            <w:noWrap/>
            <w:vAlign w:val="center"/>
          </w:tcPr>
          <w:p w14:paraId="464F1DC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7821E2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234CD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3178477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310" w:type="dxa"/>
            <w:noWrap w:val="0"/>
            <w:vAlign w:val="center"/>
          </w:tcPr>
          <w:p w14:paraId="4EAEEC3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设备交直流一体化机箱序列号或条码以及设备使用地、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080" w:type="dxa"/>
            <w:noWrap/>
            <w:vAlign w:val="center"/>
          </w:tcPr>
          <w:p w14:paraId="608056C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0D2C3A4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07FA3A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4548C37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310" w:type="dxa"/>
            <w:noWrap w:val="0"/>
            <w:vAlign w:val="center"/>
          </w:tcPr>
          <w:p w14:paraId="28C8C3A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080" w:type="dxa"/>
            <w:noWrap/>
            <w:vAlign w:val="center"/>
          </w:tcPr>
          <w:p w14:paraId="2FADBFE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03C621D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14687E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1517B6A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310" w:type="dxa"/>
            <w:noWrap w:val="0"/>
            <w:vAlign w:val="center"/>
          </w:tcPr>
          <w:p w14:paraId="15607F5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080" w:type="dxa"/>
            <w:noWrap/>
            <w:vAlign w:val="center"/>
          </w:tcPr>
          <w:p w14:paraId="69806F0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BA34FE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04057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1368714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310" w:type="dxa"/>
            <w:noWrap w:val="0"/>
            <w:vAlign w:val="center"/>
          </w:tcPr>
          <w:p w14:paraId="4FF7D19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080" w:type="dxa"/>
            <w:noWrap/>
            <w:vAlign w:val="center"/>
          </w:tcPr>
          <w:p w14:paraId="120AF29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3725CC1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6C9A58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3834C553">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310" w:type="dxa"/>
            <w:noWrap w:val="0"/>
            <w:vAlign w:val="center"/>
          </w:tcPr>
          <w:p w14:paraId="2796E38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080" w:type="dxa"/>
            <w:noWrap/>
            <w:vAlign w:val="center"/>
          </w:tcPr>
          <w:p w14:paraId="0B8E5F9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18642CB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3E26D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74281B7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310" w:type="dxa"/>
            <w:noWrap w:val="0"/>
            <w:vAlign w:val="center"/>
          </w:tcPr>
          <w:p w14:paraId="0D71B53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080" w:type="dxa"/>
            <w:noWrap/>
            <w:vAlign w:val="center"/>
          </w:tcPr>
          <w:p w14:paraId="7420D57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062B60A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0AD5D5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3FB383D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310" w:type="dxa"/>
            <w:noWrap w:val="0"/>
            <w:vAlign w:val="center"/>
          </w:tcPr>
          <w:p w14:paraId="307828D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080" w:type="dxa"/>
            <w:noWrap/>
            <w:vAlign w:val="center"/>
          </w:tcPr>
          <w:p w14:paraId="36C4787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0AB17D9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4F3A1141">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75" w:name="_Toc97807586"/>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175"/>
    </w:p>
    <w:p w14:paraId="6930BC3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硬件支持服务旨在满足客户的紧急要求，提高响应速度，为客户提供更快速服务。</w:t>
      </w:r>
    </w:p>
    <w:p w14:paraId="5966B4C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027D6EC7">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62F4C7B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更换件是同等类型和功能的好件。维护服务供应商向客户提供的更换件归客户所有，而客户原有的故障件归维护服务供应商所有，</w:t>
      </w:r>
      <w:r>
        <w:rPr>
          <w:rFonts w:hint="eastAsia" w:ascii="宋体" w:hAnsi="宋体" w:eastAsia="宋体" w:cs="宋体"/>
          <w:b w:val="0"/>
          <w:bCs w:val="0"/>
          <w:color w:val="000000" w:themeColor="text1"/>
          <w:sz w:val="24"/>
          <w:szCs w:val="24"/>
          <w14:textFill>
            <w14:solidFill>
              <w14:schemeClr w14:val="tx1"/>
            </w14:solidFill>
          </w14:textFill>
        </w:rPr>
        <w:t>如果客户由于数据安全、保密等原因，不能返还故障部件，客户应当提前购买故障件保留服务。</w:t>
      </w:r>
    </w:p>
    <w:p w14:paraId="02AA0355">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6533CB1C">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76" w:name="_Toc97807587"/>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176"/>
    </w:p>
    <w:p w14:paraId="06A4791A">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48DFC010">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77" w:name="_Toc97807588"/>
      <w:r>
        <w:rPr>
          <w:rFonts w:hint="eastAsia" w:ascii="宋体" w:hAnsi="宋体" w:eastAsia="宋体" w:cs="宋体"/>
          <w:b w:val="0"/>
          <w:bCs w:val="0"/>
          <w:color w:val="000000" w:themeColor="text1"/>
          <w:sz w:val="24"/>
          <w:szCs w:val="24"/>
          <w14:textFill>
            <w14:solidFill>
              <w14:schemeClr w14:val="tx1"/>
            </w14:solidFill>
          </w14:textFill>
        </w:rPr>
        <w:t>（4）</w:t>
      </w:r>
      <w:bookmarkEnd w:id="177"/>
      <w:bookmarkStart w:id="178" w:name="_Toc97807590"/>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178"/>
    </w:p>
    <w:p w14:paraId="597F022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此硬件业务单元为ViewPoint </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 xml:space="preserve">配件，提供的维保服务内容与ViewPoint </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一致，提供自与客户签订维保服务合同之日起为期一年的“交直流一体化机箱”维保服务。</w:t>
      </w:r>
    </w:p>
    <w:p w14:paraId="6C9A159E">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79" w:name="_Toc97807591"/>
      <w:r>
        <w:rPr>
          <w:rFonts w:hint="eastAsia" w:ascii="宋体" w:hAnsi="宋体" w:eastAsia="宋体" w:cs="宋体"/>
          <w:b w:val="0"/>
          <w:bCs w:val="0"/>
          <w:color w:val="000000" w:themeColor="text1"/>
          <w:sz w:val="24"/>
          <w:szCs w:val="24"/>
          <w14:textFill>
            <w14:solidFill>
              <w14:schemeClr w14:val="tx1"/>
            </w14:solidFill>
          </w14:textFill>
        </w:rPr>
        <w:t>7.6、一次电源--10degC-55degC-90V-264V--48V/17A维保服务说明</w:t>
      </w:r>
      <w:bookmarkEnd w:id="179"/>
    </w:p>
    <w:p w14:paraId="2D819CED">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80" w:name="_Toc97807592"/>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180"/>
    </w:p>
    <w:p w14:paraId="4B2389DD">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维护工程师在接到ViewPoint</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中涉及一次电源申报后，将首先进行远程故障分析与处理，及时排除故障。远程问题处理包括电话支持和远程接入。</w:t>
      </w:r>
    </w:p>
    <w:p w14:paraId="51F2A3AB">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81" w:name="_Toc97807593"/>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181"/>
    </w:p>
    <w:p w14:paraId="04F8FA9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维护工程师接到ViewPoint</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中涉及一次电源--10degC-55degC-90V-264V--48V/17A故障服务请求后，将立即通过电话支持进行响应，帮助客户对</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中涉及一次电源--10degC-55degC-90V-264V--48V/17A故障问题进行分析、诊断以及定位，提供解决问题的方案，并引导实施。</w:t>
      </w:r>
    </w:p>
    <w:p w14:paraId="6857753A">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82" w:name="_Toc97807599"/>
      <w:r>
        <w:rPr>
          <w:rFonts w:hint="eastAsia" w:ascii="宋体" w:hAnsi="宋体" w:eastAsia="宋体" w:cs="宋体"/>
          <w:b w:val="0"/>
          <w:bCs w:val="0"/>
          <w:color w:val="000000" w:themeColor="text1"/>
          <w:sz w:val="24"/>
          <w:szCs w:val="24"/>
          <w14:textFill>
            <w14:solidFill>
              <w14:schemeClr w14:val="tx1"/>
            </w14:solidFill>
          </w14:textFill>
        </w:rPr>
        <w:t>7.7、通用中心控制板维保服务说明</w:t>
      </w:r>
      <w:bookmarkEnd w:id="182"/>
    </w:p>
    <w:p w14:paraId="0EA9C3BA">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83" w:name="_Toc97807600"/>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183"/>
    </w:p>
    <w:p w14:paraId="633CAB4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中涉及通用中心控制板故障申报后，将首先进行远程故障分析与处理，及时排除故障。远程问题处理包括电话支持和远程接入。</w:t>
      </w:r>
    </w:p>
    <w:p w14:paraId="68DB63D5">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84" w:name="_Toc97807601"/>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184"/>
    </w:p>
    <w:p w14:paraId="6B28FDF5">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中涉及通用中心控制板故障服务请求后，将立即通过电话支持进行响应，帮助客户对</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中涉及通用中心控制板故障问题进行分析、诊断以及定位，提供解决问题的方案，并引导客户实施。</w:t>
      </w:r>
    </w:p>
    <w:p w14:paraId="3D334EF9">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85" w:name="_Toc97807602"/>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185"/>
    </w:p>
    <w:p w14:paraId="0E1EF695">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对于通过电话支持服务不能解决的故障或问题，维护工程师在征得用户同意后，通过远程终端登陆到故障设备ViewPoint 89650中调查和收集数据，分析故障原因，提出解决方案，指导客户实施，必要时可以提供远程操作。</w:t>
      </w:r>
    </w:p>
    <w:p w14:paraId="34D16095">
      <w:pPr>
        <w:pStyle w:val="146"/>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5310"/>
        <w:gridCol w:w="1080"/>
        <w:gridCol w:w="1170"/>
      </w:tblGrid>
      <w:tr w14:paraId="14EC98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31FD816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310" w:type="dxa"/>
            <w:shd w:val="clear" w:color="auto" w:fill="D9D9D9"/>
            <w:noWrap w:val="0"/>
            <w:vAlign w:val="center"/>
          </w:tcPr>
          <w:p w14:paraId="0FDD20B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080" w:type="dxa"/>
            <w:tcBorders>
              <w:right w:val="single" w:color="auto" w:sz="4" w:space="0"/>
            </w:tcBorders>
            <w:shd w:val="clear" w:color="auto" w:fill="D9D9D9"/>
            <w:noWrap w:val="0"/>
            <w:vAlign w:val="center"/>
          </w:tcPr>
          <w:p w14:paraId="0B78E58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320873B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00E996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0AD4FE9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310" w:type="dxa"/>
            <w:noWrap w:val="0"/>
            <w:vAlign w:val="center"/>
          </w:tcPr>
          <w:p w14:paraId="065429E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080" w:type="dxa"/>
            <w:noWrap/>
            <w:vAlign w:val="center"/>
          </w:tcPr>
          <w:p w14:paraId="3AD4B49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DA7730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3A9F40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0DEF3FE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310" w:type="dxa"/>
            <w:noWrap w:val="0"/>
            <w:vAlign w:val="center"/>
          </w:tcPr>
          <w:p w14:paraId="18EA087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在规定的时间内响应服务请求。</w:t>
            </w:r>
          </w:p>
        </w:tc>
        <w:tc>
          <w:tcPr>
            <w:tcW w:w="1080" w:type="dxa"/>
            <w:noWrap/>
            <w:vAlign w:val="center"/>
          </w:tcPr>
          <w:p w14:paraId="7721E4C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362956C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5A04B5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2C13FF6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310" w:type="dxa"/>
            <w:noWrap w:val="0"/>
            <w:vAlign w:val="center"/>
          </w:tcPr>
          <w:p w14:paraId="203D441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080" w:type="dxa"/>
            <w:noWrap/>
            <w:vAlign w:val="center"/>
          </w:tcPr>
          <w:p w14:paraId="57521A7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6B8DCAC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129469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4B26310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310" w:type="dxa"/>
            <w:noWrap w:val="0"/>
            <w:vAlign w:val="center"/>
          </w:tcPr>
          <w:p w14:paraId="4DA429D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设备通用中心控制板序列号或条码以及设备使用地、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080" w:type="dxa"/>
            <w:noWrap/>
            <w:vAlign w:val="center"/>
          </w:tcPr>
          <w:p w14:paraId="6380E6C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708EE5C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41933D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4D3C2F4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310" w:type="dxa"/>
            <w:noWrap w:val="0"/>
            <w:vAlign w:val="center"/>
          </w:tcPr>
          <w:p w14:paraId="2F93D89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080" w:type="dxa"/>
            <w:noWrap/>
            <w:vAlign w:val="center"/>
          </w:tcPr>
          <w:p w14:paraId="4E89D78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4FA2BCE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50F52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26B2C87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310" w:type="dxa"/>
            <w:noWrap w:val="0"/>
            <w:vAlign w:val="center"/>
          </w:tcPr>
          <w:p w14:paraId="33968DE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080" w:type="dxa"/>
            <w:noWrap/>
            <w:vAlign w:val="center"/>
          </w:tcPr>
          <w:p w14:paraId="461808E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7906F1B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6F3B8D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68AB579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310" w:type="dxa"/>
            <w:noWrap w:val="0"/>
            <w:vAlign w:val="center"/>
          </w:tcPr>
          <w:p w14:paraId="5C3ABC5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080" w:type="dxa"/>
            <w:noWrap/>
            <w:vAlign w:val="center"/>
          </w:tcPr>
          <w:p w14:paraId="50971E2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E1F28B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0E7717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35D16A4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310" w:type="dxa"/>
            <w:noWrap w:val="0"/>
            <w:vAlign w:val="center"/>
          </w:tcPr>
          <w:p w14:paraId="086CBB4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080" w:type="dxa"/>
            <w:noWrap/>
            <w:vAlign w:val="center"/>
          </w:tcPr>
          <w:p w14:paraId="032F814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791863D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6D91B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0A8DEB7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310" w:type="dxa"/>
            <w:noWrap w:val="0"/>
            <w:vAlign w:val="center"/>
          </w:tcPr>
          <w:p w14:paraId="2A2B782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080" w:type="dxa"/>
            <w:noWrap/>
            <w:vAlign w:val="center"/>
          </w:tcPr>
          <w:p w14:paraId="63B858C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09A7B56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036A8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330DFE2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310" w:type="dxa"/>
            <w:noWrap w:val="0"/>
            <w:vAlign w:val="center"/>
          </w:tcPr>
          <w:p w14:paraId="48DFD8A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080" w:type="dxa"/>
            <w:noWrap/>
            <w:vAlign w:val="center"/>
          </w:tcPr>
          <w:p w14:paraId="60A8B6D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4A13FD0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6258A7AC">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86" w:name="_Toc97807603"/>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186"/>
    </w:p>
    <w:p w14:paraId="0CE9055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硬件支持服务旨在满足客户的紧急要求，提高响应速度，为客户提供更快速服务。</w:t>
      </w:r>
    </w:p>
    <w:p w14:paraId="18198C9D">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7527AA8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1F787A3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更换件是同等类型和功能的好件。维护服务供应商向客户提供的更换件归客户所有，而客户原有的故障件归维护服务供应商所有，</w:t>
      </w:r>
      <w:r>
        <w:rPr>
          <w:rFonts w:hint="eastAsia" w:ascii="宋体" w:hAnsi="宋体" w:eastAsia="宋体" w:cs="宋体"/>
          <w:b w:val="0"/>
          <w:bCs w:val="0"/>
          <w:color w:val="000000" w:themeColor="text1"/>
          <w:sz w:val="24"/>
          <w:szCs w:val="24"/>
          <w14:textFill>
            <w14:solidFill>
              <w14:schemeClr w14:val="tx1"/>
            </w14:solidFill>
          </w14:textFill>
        </w:rPr>
        <w:t>如果客户由于数据安全、保密等原因，不能返还故障部件，客户应当提前购买故障件保留服务。</w:t>
      </w:r>
    </w:p>
    <w:p w14:paraId="18C3749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4FA2CD04">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87" w:name="_Toc97807604"/>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187"/>
    </w:p>
    <w:p w14:paraId="2BD83C03">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3C0DF4A7">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88" w:name="_Toc97807605"/>
      <w:r>
        <w:rPr>
          <w:rFonts w:hint="eastAsia" w:ascii="宋体" w:hAnsi="宋体" w:eastAsia="宋体" w:cs="宋体"/>
          <w:b w:val="0"/>
          <w:bCs w:val="0"/>
          <w:color w:val="000000" w:themeColor="text1"/>
          <w:sz w:val="24"/>
          <w:szCs w:val="24"/>
          <w14:textFill>
            <w14:solidFill>
              <w14:schemeClr w14:val="tx1"/>
            </w14:solidFill>
          </w14:textFill>
        </w:rPr>
        <w:t>（4）</w:t>
      </w:r>
      <w:bookmarkEnd w:id="188"/>
      <w:bookmarkStart w:id="189" w:name="_Toc97807607"/>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189"/>
    </w:p>
    <w:p w14:paraId="5DF157AE">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此硬件业务单元为</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配件，提供的维保服务内容与</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一致，提供自与客户签订维保服务合同之日起为期</w:t>
      </w:r>
      <w:r>
        <w:rPr>
          <w:rFonts w:hint="eastAsia" w:ascii="宋体" w:hAnsi="宋体" w:eastAsia="宋体" w:cs="宋体"/>
          <w:b w:val="0"/>
          <w:bCs w:val="0"/>
          <w:color w:val="000000" w:themeColor="text1"/>
          <w:sz w:val="24"/>
          <w:szCs w:val="24"/>
          <w:lang w:eastAsia="zh-CN"/>
          <w14:textFill>
            <w14:solidFill>
              <w14:schemeClr w14:val="tx1"/>
            </w14:solidFill>
          </w14:textFill>
        </w:rPr>
        <w:t>1年</w:t>
      </w:r>
      <w:r>
        <w:rPr>
          <w:rFonts w:hint="eastAsia" w:ascii="宋体" w:hAnsi="宋体" w:eastAsia="宋体" w:cs="宋体"/>
          <w:b w:val="0"/>
          <w:bCs w:val="0"/>
          <w:color w:val="000000" w:themeColor="text1"/>
          <w:sz w:val="24"/>
          <w:szCs w:val="24"/>
          <w14:textFill>
            <w14:solidFill>
              <w14:schemeClr w14:val="tx1"/>
            </w14:solidFill>
          </w14:textFill>
        </w:rPr>
        <w:t>的“通用中心控制板”维保服务。</w:t>
      </w:r>
    </w:p>
    <w:p w14:paraId="26DFD820">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90" w:name="_Toc97807608"/>
      <w:r>
        <w:rPr>
          <w:rFonts w:hint="eastAsia" w:ascii="宋体" w:hAnsi="宋体" w:eastAsia="宋体" w:cs="宋体"/>
          <w:b w:val="0"/>
          <w:bCs w:val="0"/>
          <w:color w:val="000000" w:themeColor="text1"/>
          <w:sz w:val="24"/>
          <w:szCs w:val="24"/>
          <w14:textFill>
            <w14:solidFill>
              <w14:schemeClr w14:val="tx1"/>
            </w14:solidFill>
          </w14:textFill>
        </w:rPr>
        <w:t>7.8、通用处理板维保服务说明</w:t>
      </w:r>
      <w:bookmarkEnd w:id="190"/>
    </w:p>
    <w:p w14:paraId="4ACA6FB8">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91" w:name="_Toc97807609"/>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191"/>
    </w:p>
    <w:p w14:paraId="29A0D00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中涉及通用处理板故障申报后，将首先进行远程故障分析与处理，及时排除故障。远程问题处理包括电话支持和远程接入。</w:t>
      </w:r>
    </w:p>
    <w:p w14:paraId="020773CD">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92" w:name="_Toc97807610"/>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192"/>
    </w:p>
    <w:p w14:paraId="2C963CE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中涉及通用处理板故障服务请求后，将立即通过电话支持进行响应，帮助客户对</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中涉及通用处理板故障问题进行分析、诊断以及定位，提供解决问题的方案，并引导客户实施。</w:t>
      </w:r>
    </w:p>
    <w:p w14:paraId="0D0140FF">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193" w:name="_Toc97807611"/>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193"/>
    </w:p>
    <w:p w14:paraId="2A5CA85E">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对于通过电话支持服务不能解决的故障或问题，维护工程师在征得用户同意后，通过远程终端登陆到故障设备</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中调查和收集数据，分析故障原因，提出解决方案，指导客户实施，必要时可以提供远程操作。</w:t>
      </w:r>
    </w:p>
    <w:p w14:paraId="0E092BFC">
      <w:pPr>
        <w:pStyle w:val="146"/>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5310"/>
        <w:gridCol w:w="1080"/>
        <w:gridCol w:w="1170"/>
      </w:tblGrid>
      <w:tr w14:paraId="3A3608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0568EC7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310" w:type="dxa"/>
            <w:shd w:val="clear" w:color="auto" w:fill="D9D9D9"/>
            <w:noWrap w:val="0"/>
            <w:vAlign w:val="center"/>
          </w:tcPr>
          <w:p w14:paraId="45F18BB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080" w:type="dxa"/>
            <w:tcBorders>
              <w:right w:val="single" w:color="auto" w:sz="4" w:space="0"/>
            </w:tcBorders>
            <w:shd w:val="clear" w:color="auto" w:fill="D9D9D9"/>
            <w:noWrap w:val="0"/>
            <w:vAlign w:val="center"/>
          </w:tcPr>
          <w:p w14:paraId="18A7C8C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557E433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41BC4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47E4D72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310" w:type="dxa"/>
            <w:noWrap w:val="0"/>
            <w:vAlign w:val="center"/>
          </w:tcPr>
          <w:p w14:paraId="7F3EA43E">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080" w:type="dxa"/>
            <w:noWrap/>
            <w:vAlign w:val="center"/>
          </w:tcPr>
          <w:p w14:paraId="6BC2814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1785185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55252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3960DCF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310" w:type="dxa"/>
            <w:noWrap w:val="0"/>
            <w:vAlign w:val="center"/>
          </w:tcPr>
          <w:p w14:paraId="54990EA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在规定的时间内响应服务请求。</w:t>
            </w:r>
          </w:p>
        </w:tc>
        <w:tc>
          <w:tcPr>
            <w:tcW w:w="1080" w:type="dxa"/>
            <w:noWrap/>
            <w:vAlign w:val="center"/>
          </w:tcPr>
          <w:p w14:paraId="285AE32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74AE9B0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51B295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23BF95E6">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310" w:type="dxa"/>
            <w:noWrap w:val="0"/>
            <w:vAlign w:val="center"/>
          </w:tcPr>
          <w:p w14:paraId="5BAAB78C">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080" w:type="dxa"/>
            <w:noWrap/>
            <w:vAlign w:val="center"/>
          </w:tcPr>
          <w:p w14:paraId="05E0075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B03E36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62B9B7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6BD4C88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310" w:type="dxa"/>
            <w:noWrap w:val="0"/>
            <w:vAlign w:val="center"/>
          </w:tcPr>
          <w:p w14:paraId="23B97CCD">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设备通用处理板序列号或条码以及设备使用地、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080" w:type="dxa"/>
            <w:noWrap/>
            <w:vAlign w:val="center"/>
          </w:tcPr>
          <w:p w14:paraId="177A823E">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4596AE4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7E58AB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58F270E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310" w:type="dxa"/>
            <w:noWrap w:val="0"/>
            <w:vAlign w:val="center"/>
          </w:tcPr>
          <w:p w14:paraId="762C0460">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080" w:type="dxa"/>
            <w:noWrap/>
            <w:vAlign w:val="center"/>
          </w:tcPr>
          <w:p w14:paraId="0D571BA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7358A53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171AD4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4B7DA23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310" w:type="dxa"/>
            <w:noWrap w:val="0"/>
            <w:vAlign w:val="center"/>
          </w:tcPr>
          <w:p w14:paraId="11894EA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080" w:type="dxa"/>
            <w:noWrap/>
            <w:vAlign w:val="center"/>
          </w:tcPr>
          <w:p w14:paraId="68B19911">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1A1256F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21E1A4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55E3FCD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310" w:type="dxa"/>
            <w:noWrap w:val="0"/>
            <w:vAlign w:val="center"/>
          </w:tcPr>
          <w:p w14:paraId="5B96DB1A">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080" w:type="dxa"/>
            <w:noWrap/>
            <w:vAlign w:val="center"/>
          </w:tcPr>
          <w:p w14:paraId="21F88DCF">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3884EFF2">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40E6C4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2F7DF42E">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310" w:type="dxa"/>
            <w:noWrap w:val="0"/>
            <w:vAlign w:val="center"/>
          </w:tcPr>
          <w:p w14:paraId="36DAF3A9">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080" w:type="dxa"/>
            <w:noWrap/>
            <w:vAlign w:val="center"/>
          </w:tcPr>
          <w:p w14:paraId="228B15B4">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0566032D">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65A32B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589F63B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310" w:type="dxa"/>
            <w:noWrap w:val="0"/>
            <w:vAlign w:val="center"/>
          </w:tcPr>
          <w:p w14:paraId="222CD89D">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080" w:type="dxa"/>
            <w:noWrap/>
            <w:vAlign w:val="center"/>
          </w:tcPr>
          <w:p w14:paraId="6EF8FEFB">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07838ACE">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25857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1731156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310" w:type="dxa"/>
            <w:noWrap w:val="0"/>
            <w:vAlign w:val="center"/>
          </w:tcPr>
          <w:p w14:paraId="193F5045">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080" w:type="dxa"/>
            <w:noWrap/>
            <w:vAlign w:val="center"/>
          </w:tcPr>
          <w:p w14:paraId="27869C77">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4A3E4028">
            <w:pPr>
              <w:keepNext/>
              <w:keepLines w:val="0"/>
              <w:pageBreakBefore w:val="0"/>
              <w:widowControl w:val="0"/>
              <w:kinsoku/>
              <w:wordWrap/>
              <w:overflowPunct/>
              <w:topLinePunct w:val="0"/>
              <w:autoSpaceDE/>
              <w:autoSpaceDN/>
              <w:bidi w:val="0"/>
              <w:adjustRightInd/>
              <w:snapToGrid w:val="0"/>
              <w:spacing w:beforeAutospacing="0" w:afterAutospacing="0" w:line="36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7AF07723">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p>
    <w:p w14:paraId="4C260745">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94" w:name="_Toc97807612"/>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194"/>
    </w:p>
    <w:p w14:paraId="69A405BB">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硬件支持服务旨在满足客户的紧急要求，提高响应速度，为客户提供更快速服务。</w:t>
      </w:r>
    </w:p>
    <w:p w14:paraId="081124E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357E5E8E">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6917A9F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更换件是同等类型和功能的好件。维护服务供应商向客户提供的更换件归客户所有，而客户原有的故障件归维护服务供应商所有，</w:t>
      </w:r>
      <w:r>
        <w:rPr>
          <w:rFonts w:hint="eastAsia" w:ascii="宋体" w:hAnsi="宋体" w:eastAsia="宋体" w:cs="宋体"/>
          <w:b w:val="0"/>
          <w:bCs w:val="0"/>
          <w:color w:val="000000" w:themeColor="text1"/>
          <w:sz w:val="24"/>
          <w:szCs w:val="24"/>
          <w14:textFill>
            <w14:solidFill>
              <w14:schemeClr w14:val="tx1"/>
            </w14:solidFill>
          </w14:textFill>
        </w:rPr>
        <w:t>如果客户由于数据安全、保密等原因，不能返还故障部件，客户应当提前购买故障件保留服务。</w:t>
      </w:r>
    </w:p>
    <w:p w14:paraId="2F9DBFEE">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2FC87924">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95" w:name="_Toc97807613"/>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195"/>
    </w:p>
    <w:p w14:paraId="4CA36FF3">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3004955F">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96" w:name="_Toc97807614"/>
      <w:r>
        <w:rPr>
          <w:rFonts w:hint="eastAsia" w:ascii="宋体" w:hAnsi="宋体" w:eastAsia="宋体" w:cs="宋体"/>
          <w:b w:val="0"/>
          <w:bCs w:val="0"/>
          <w:color w:val="000000" w:themeColor="text1"/>
          <w:sz w:val="24"/>
          <w:szCs w:val="24"/>
          <w14:textFill>
            <w14:solidFill>
              <w14:schemeClr w14:val="tx1"/>
            </w14:solidFill>
          </w14:textFill>
        </w:rPr>
        <w:t>（4）</w:t>
      </w:r>
      <w:bookmarkEnd w:id="196"/>
      <w:bookmarkStart w:id="197" w:name="_Toc97807616"/>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197"/>
    </w:p>
    <w:p w14:paraId="167A5390">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此硬件业务单元为</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配件，提供的维保服务内容与</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一致，提供自与客户签订维保服务合同之日起为期</w:t>
      </w:r>
      <w:r>
        <w:rPr>
          <w:rFonts w:hint="eastAsia" w:ascii="宋体" w:hAnsi="宋体" w:eastAsia="宋体" w:cs="宋体"/>
          <w:b w:val="0"/>
          <w:bCs w:val="0"/>
          <w:color w:val="000000" w:themeColor="text1"/>
          <w:sz w:val="24"/>
          <w:szCs w:val="24"/>
          <w:lang w:eastAsia="zh-CN"/>
          <w14:textFill>
            <w14:solidFill>
              <w14:schemeClr w14:val="tx1"/>
            </w14:solidFill>
          </w14:textFill>
        </w:rPr>
        <w:t>1年</w:t>
      </w:r>
      <w:r>
        <w:rPr>
          <w:rFonts w:hint="eastAsia" w:ascii="宋体" w:hAnsi="宋体" w:eastAsia="宋体" w:cs="宋体"/>
          <w:b w:val="0"/>
          <w:bCs w:val="0"/>
          <w:color w:val="000000" w:themeColor="text1"/>
          <w:sz w:val="24"/>
          <w:szCs w:val="24"/>
          <w14:textFill>
            <w14:solidFill>
              <w14:schemeClr w14:val="tx1"/>
            </w14:solidFill>
          </w14:textFill>
        </w:rPr>
        <w:t>的“通用处理板”维保服务。</w:t>
      </w:r>
    </w:p>
    <w:p w14:paraId="5F6E61E1">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98" w:name="_Toc97807617"/>
      <w:r>
        <w:rPr>
          <w:rFonts w:hint="eastAsia" w:ascii="宋体" w:hAnsi="宋体" w:eastAsia="宋体" w:cs="宋体"/>
          <w:b w:val="0"/>
          <w:bCs w:val="0"/>
          <w:color w:val="000000" w:themeColor="text1"/>
          <w:sz w:val="24"/>
          <w:szCs w:val="24"/>
          <w14:textFill>
            <w14:solidFill>
              <w14:schemeClr w14:val="tx1"/>
            </w14:solidFill>
          </w14:textFill>
        </w:rPr>
        <w:t>7.9、高密度处理板A维保服务说明</w:t>
      </w:r>
      <w:bookmarkEnd w:id="198"/>
    </w:p>
    <w:p w14:paraId="64AF0822">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199" w:name="_Toc97807618"/>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199"/>
    </w:p>
    <w:p w14:paraId="4F1C407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中涉及高密度处理板A故障申报后，将首先进行远程故障分析与处理，及时排除故障。远程问题处理包括电话支持和远程接入。</w:t>
      </w:r>
    </w:p>
    <w:p w14:paraId="662BB2AA">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00" w:name="_Toc97807619"/>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200"/>
    </w:p>
    <w:p w14:paraId="31F70050">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中涉及高密度处理板A故障服务请求后，将立即通过电话支持进行响应，帮助客户对</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中涉及高密度处理板A故障问题进行分析、诊断以及定位，提供解决问题的方案，并引导客户实施。</w:t>
      </w:r>
    </w:p>
    <w:p w14:paraId="393682C7">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01" w:name="_Toc97807620"/>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201"/>
    </w:p>
    <w:p w14:paraId="14467D1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对于通过电话支持服务不能解决的故障或问题，维护工程师在征得用户同意后，通过远程终端登陆到故障设备</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中调查和收集数据，分析故障原因，提出解决方案，指导客户实施，必要时可以提供远程操作。</w:t>
      </w:r>
    </w:p>
    <w:p w14:paraId="548F48DF">
      <w:pPr>
        <w:pStyle w:val="146"/>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5310"/>
        <w:gridCol w:w="1080"/>
        <w:gridCol w:w="1170"/>
      </w:tblGrid>
      <w:tr w14:paraId="172A8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35D4637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310" w:type="dxa"/>
            <w:shd w:val="clear" w:color="auto" w:fill="D9D9D9"/>
            <w:noWrap w:val="0"/>
            <w:vAlign w:val="center"/>
          </w:tcPr>
          <w:p w14:paraId="31B4092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080" w:type="dxa"/>
            <w:tcBorders>
              <w:right w:val="single" w:color="auto" w:sz="4" w:space="0"/>
            </w:tcBorders>
            <w:shd w:val="clear" w:color="auto" w:fill="D9D9D9"/>
            <w:noWrap w:val="0"/>
            <w:vAlign w:val="center"/>
          </w:tcPr>
          <w:p w14:paraId="211B9E8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059C6AC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3CE172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474F81C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310" w:type="dxa"/>
            <w:noWrap w:val="0"/>
            <w:vAlign w:val="center"/>
          </w:tcPr>
          <w:p w14:paraId="48B2117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080" w:type="dxa"/>
            <w:noWrap/>
            <w:vAlign w:val="center"/>
          </w:tcPr>
          <w:p w14:paraId="4298B1C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D58620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5054E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26AF7D5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310" w:type="dxa"/>
            <w:noWrap w:val="0"/>
            <w:vAlign w:val="center"/>
          </w:tcPr>
          <w:p w14:paraId="6D9ED51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在规定的时间内响应服务请求。</w:t>
            </w:r>
          </w:p>
        </w:tc>
        <w:tc>
          <w:tcPr>
            <w:tcW w:w="1080" w:type="dxa"/>
            <w:noWrap/>
            <w:vAlign w:val="center"/>
          </w:tcPr>
          <w:p w14:paraId="3818968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0423970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427FED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09A4DDE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310" w:type="dxa"/>
            <w:noWrap w:val="0"/>
            <w:vAlign w:val="center"/>
          </w:tcPr>
          <w:p w14:paraId="4B7D278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080" w:type="dxa"/>
            <w:noWrap/>
            <w:vAlign w:val="center"/>
          </w:tcPr>
          <w:p w14:paraId="03CA6B6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1C295E7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3919B2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54B8ACD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310" w:type="dxa"/>
            <w:noWrap w:val="0"/>
            <w:vAlign w:val="center"/>
          </w:tcPr>
          <w:p w14:paraId="1D581D6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设备高密度处理板A序列号或条码以及设备使用地、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080" w:type="dxa"/>
            <w:noWrap/>
            <w:vAlign w:val="center"/>
          </w:tcPr>
          <w:p w14:paraId="3E672E1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305682C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62634E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56F1F2D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310" w:type="dxa"/>
            <w:noWrap w:val="0"/>
            <w:vAlign w:val="center"/>
          </w:tcPr>
          <w:p w14:paraId="4740C08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080" w:type="dxa"/>
            <w:noWrap/>
            <w:vAlign w:val="center"/>
          </w:tcPr>
          <w:p w14:paraId="1EF232E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39485DA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5C0F73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4C23B99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310" w:type="dxa"/>
            <w:noWrap w:val="0"/>
            <w:vAlign w:val="center"/>
          </w:tcPr>
          <w:p w14:paraId="12478FC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080" w:type="dxa"/>
            <w:noWrap/>
            <w:vAlign w:val="center"/>
          </w:tcPr>
          <w:p w14:paraId="056499E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F98699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605C7D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4E2DFFA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310" w:type="dxa"/>
            <w:noWrap w:val="0"/>
            <w:vAlign w:val="center"/>
          </w:tcPr>
          <w:p w14:paraId="2374D65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080" w:type="dxa"/>
            <w:noWrap/>
            <w:vAlign w:val="center"/>
          </w:tcPr>
          <w:p w14:paraId="0C1A8F2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5385943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389C6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23D621B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310" w:type="dxa"/>
            <w:noWrap w:val="0"/>
            <w:vAlign w:val="center"/>
          </w:tcPr>
          <w:p w14:paraId="6614F97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080" w:type="dxa"/>
            <w:noWrap/>
            <w:vAlign w:val="center"/>
          </w:tcPr>
          <w:p w14:paraId="4A00C1C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83AEE6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46631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44453A4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310" w:type="dxa"/>
            <w:noWrap w:val="0"/>
            <w:vAlign w:val="center"/>
          </w:tcPr>
          <w:p w14:paraId="7E4D9C1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080" w:type="dxa"/>
            <w:noWrap/>
            <w:vAlign w:val="center"/>
          </w:tcPr>
          <w:p w14:paraId="5E789CA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4F9FAE8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4F8EA4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136A1B8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310" w:type="dxa"/>
            <w:noWrap w:val="0"/>
            <w:vAlign w:val="center"/>
          </w:tcPr>
          <w:p w14:paraId="76A05AD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080" w:type="dxa"/>
            <w:noWrap/>
            <w:vAlign w:val="center"/>
          </w:tcPr>
          <w:p w14:paraId="532C015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0A63A59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0764A104">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02" w:name="_Toc97807621"/>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202"/>
    </w:p>
    <w:p w14:paraId="694A82C1">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硬件支持服务旨在满足客户的紧急要求，提高响应速度，为客户提供更快速服务。</w:t>
      </w:r>
    </w:p>
    <w:p w14:paraId="2F418E71">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3672B89E">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28E2ED4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更换件是同等类型和功能的好件。维护服务供应商向客户提供的更换件归客户所有，而客户原有的故障件归维护服务供应商所有，</w:t>
      </w:r>
      <w:r>
        <w:rPr>
          <w:rFonts w:hint="eastAsia" w:ascii="宋体" w:hAnsi="宋体" w:eastAsia="宋体" w:cs="宋体"/>
          <w:b w:val="0"/>
          <w:bCs w:val="0"/>
          <w:color w:val="000000" w:themeColor="text1"/>
          <w:sz w:val="24"/>
          <w:szCs w:val="24"/>
          <w14:textFill>
            <w14:solidFill>
              <w14:schemeClr w14:val="tx1"/>
            </w14:solidFill>
          </w14:textFill>
        </w:rPr>
        <w:t>如果客户由于数据安全、保密等原因，不能返还故障部件，客户应当提前购买故障件保留服务。</w:t>
      </w:r>
    </w:p>
    <w:p w14:paraId="2957DB1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1F3F34C1">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03" w:name="_Toc97807622"/>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203"/>
    </w:p>
    <w:p w14:paraId="53965459">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7703E98D">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04" w:name="_Toc97807623"/>
      <w:r>
        <w:rPr>
          <w:rFonts w:hint="eastAsia" w:ascii="宋体" w:hAnsi="宋体" w:eastAsia="宋体" w:cs="宋体"/>
          <w:b w:val="0"/>
          <w:bCs w:val="0"/>
          <w:color w:val="000000" w:themeColor="text1"/>
          <w:sz w:val="24"/>
          <w:szCs w:val="24"/>
          <w14:textFill>
            <w14:solidFill>
              <w14:schemeClr w14:val="tx1"/>
            </w14:solidFill>
          </w14:textFill>
        </w:rPr>
        <w:t>（4）</w:t>
      </w:r>
      <w:bookmarkEnd w:id="204"/>
      <w:bookmarkStart w:id="205" w:name="_Toc97807625"/>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205"/>
    </w:p>
    <w:p w14:paraId="0126CE41">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此硬件业务单元为</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配件，提供的维保服务内容与</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一致，提供自与客户签订维保服务合同之日起为期一年的“高密度处理板A”维保服务。</w:t>
      </w:r>
    </w:p>
    <w:p w14:paraId="5DC45EB0">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06" w:name="_Toc97807626"/>
      <w:r>
        <w:rPr>
          <w:rFonts w:hint="eastAsia" w:ascii="宋体" w:hAnsi="宋体" w:eastAsia="宋体" w:cs="宋体"/>
          <w:b w:val="0"/>
          <w:bCs w:val="0"/>
          <w:color w:val="000000" w:themeColor="text1"/>
          <w:sz w:val="24"/>
          <w:szCs w:val="24"/>
          <w14:textFill>
            <w14:solidFill>
              <w14:schemeClr w14:val="tx1"/>
            </w14:solidFill>
          </w14:textFill>
        </w:rPr>
        <w:t>7.10、高密度处理板D维保服务说明</w:t>
      </w:r>
      <w:bookmarkEnd w:id="206"/>
    </w:p>
    <w:p w14:paraId="223769C5">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07" w:name="_Toc97807627"/>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207"/>
    </w:p>
    <w:p w14:paraId="4EAF496D">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中涉及高密度处理板D故障申报后，将首先进行远程故障分析与处理，及时排除故障。远程问题处理包括电话支持和远程接入。</w:t>
      </w:r>
    </w:p>
    <w:p w14:paraId="779A0CFD">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08" w:name="_Toc97807628"/>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208"/>
    </w:p>
    <w:p w14:paraId="5395F98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中涉及高密度处理板D故障服务请求后，将立即通过电话支持进行响应，帮助客户对</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中涉及高密度处理板D故障问题进行分析、诊断以及定位，提供解决问题的方案，并引导客户实施。</w:t>
      </w:r>
    </w:p>
    <w:p w14:paraId="0402FA35">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09" w:name="_Toc97807629"/>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209"/>
    </w:p>
    <w:p w14:paraId="1A3E8B1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对于通过电话支持服务不能解决的故障或问题，维护工程师在征得用户同意后，通过远程终端登陆到故障设备</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中调查和收集数据，分析故障原因，提出解决方案，指导客户实施，必要时可以提供远程操作。</w:t>
      </w:r>
    </w:p>
    <w:p w14:paraId="79F6A61C">
      <w:pPr>
        <w:pStyle w:val="146"/>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5310"/>
        <w:gridCol w:w="1080"/>
        <w:gridCol w:w="1170"/>
      </w:tblGrid>
      <w:tr w14:paraId="3C048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1CB68F3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310" w:type="dxa"/>
            <w:shd w:val="clear" w:color="auto" w:fill="D9D9D9"/>
            <w:noWrap w:val="0"/>
            <w:vAlign w:val="center"/>
          </w:tcPr>
          <w:p w14:paraId="3736753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080" w:type="dxa"/>
            <w:tcBorders>
              <w:right w:val="single" w:color="auto" w:sz="4" w:space="0"/>
            </w:tcBorders>
            <w:shd w:val="clear" w:color="auto" w:fill="D9D9D9"/>
            <w:noWrap w:val="0"/>
            <w:vAlign w:val="center"/>
          </w:tcPr>
          <w:p w14:paraId="79A101C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03152F3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78C107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7BAA019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310" w:type="dxa"/>
            <w:noWrap w:val="0"/>
            <w:vAlign w:val="center"/>
          </w:tcPr>
          <w:p w14:paraId="3178421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080" w:type="dxa"/>
            <w:noWrap/>
            <w:vAlign w:val="center"/>
          </w:tcPr>
          <w:p w14:paraId="11E8A35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3631D37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1B17F2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24F24E0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310" w:type="dxa"/>
            <w:noWrap w:val="0"/>
            <w:vAlign w:val="center"/>
          </w:tcPr>
          <w:p w14:paraId="240863A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在规定的时间内响应服务请求。</w:t>
            </w:r>
          </w:p>
        </w:tc>
        <w:tc>
          <w:tcPr>
            <w:tcW w:w="1080" w:type="dxa"/>
            <w:noWrap/>
            <w:vAlign w:val="center"/>
          </w:tcPr>
          <w:p w14:paraId="234E539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AC29E2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686E69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6460556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310" w:type="dxa"/>
            <w:noWrap w:val="0"/>
            <w:vAlign w:val="center"/>
          </w:tcPr>
          <w:p w14:paraId="2B473E6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080" w:type="dxa"/>
            <w:noWrap/>
            <w:vAlign w:val="center"/>
          </w:tcPr>
          <w:p w14:paraId="7FA6C59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166551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522D66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4A3C9F2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310" w:type="dxa"/>
            <w:noWrap w:val="0"/>
            <w:vAlign w:val="center"/>
          </w:tcPr>
          <w:p w14:paraId="4A3F4F2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设备高密度处理板D序列号或条码以及设备使用地、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080" w:type="dxa"/>
            <w:noWrap/>
            <w:vAlign w:val="center"/>
          </w:tcPr>
          <w:p w14:paraId="6BCBBC5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1F5FF48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23B854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58747E9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310" w:type="dxa"/>
            <w:noWrap w:val="0"/>
            <w:vAlign w:val="center"/>
          </w:tcPr>
          <w:p w14:paraId="2B3861E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080" w:type="dxa"/>
            <w:noWrap/>
            <w:vAlign w:val="center"/>
          </w:tcPr>
          <w:p w14:paraId="1138D42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613811C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03B36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7587F84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310" w:type="dxa"/>
            <w:noWrap w:val="0"/>
            <w:vAlign w:val="center"/>
          </w:tcPr>
          <w:p w14:paraId="407DF4E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080" w:type="dxa"/>
            <w:noWrap/>
            <w:vAlign w:val="center"/>
          </w:tcPr>
          <w:p w14:paraId="5B03871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67B66D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619D31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2695D6C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310" w:type="dxa"/>
            <w:noWrap w:val="0"/>
            <w:vAlign w:val="center"/>
          </w:tcPr>
          <w:p w14:paraId="0484582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080" w:type="dxa"/>
            <w:noWrap/>
            <w:vAlign w:val="center"/>
          </w:tcPr>
          <w:p w14:paraId="269C22F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C059F4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0F7631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7CCE9A3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310" w:type="dxa"/>
            <w:noWrap w:val="0"/>
            <w:vAlign w:val="center"/>
          </w:tcPr>
          <w:p w14:paraId="69A64A0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080" w:type="dxa"/>
            <w:noWrap/>
            <w:vAlign w:val="center"/>
          </w:tcPr>
          <w:p w14:paraId="5F583B8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3B34D6F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442A75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04EB758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310" w:type="dxa"/>
            <w:noWrap w:val="0"/>
            <w:vAlign w:val="center"/>
          </w:tcPr>
          <w:p w14:paraId="2C4C60E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080" w:type="dxa"/>
            <w:noWrap/>
            <w:vAlign w:val="center"/>
          </w:tcPr>
          <w:p w14:paraId="107F0B7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4E36F2F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08E38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7016D3A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310" w:type="dxa"/>
            <w:noWrap w:val="0"/>
            <w:vAlign w:val="center"/>
          </w:tcPr>
          <w:p w14:paraId="3F94A06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080" w:type="dxa"/>
            <w:noWrap/>
            <w:vAlign w:val="center"/>
          </w:tcPr>
          <w:p w14:paraId="04C8C88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3D6291B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39A6D05E">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10" w:name="_Toc97807630"/>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210"/>
    </w:p>
    <w:p w14:paraId="69E32058">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硬件支持服务旨在满足客户的紧急要求，提高响应速度，为客户提供更快速服务。</w:t>
      </w:r>
    </w:p>
    <w:p w14:paraId="1D82142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6DD4948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4B8A557D">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更换件是同等类型和功能的好件。维护服务供应商向客户提供的更换件归客户所有，而客户原有的故障件归维护服务供应商所有，</w:t>
      </w:r>
      <w:r>
        <w:rPr>
          <w:rFonts w:hint="eastAsia" w:ascii="宋体" w:hAnsi="宋体" w:eastAsia="宋体" w:cs="宋体"/>
          <w:b w:val="0"/>
          <w:bCs w:val="0"/>
          <w:color w:val="000000" w:themeColor="text1"/>
          <w:sz w:val="24"/>
          <w:szCs w:val="24"/>
          <w14:textFill>
            <w14:solidFill>
              <w14:schemeClr w14:val="tx1"/>
            </w14:solidFill>
          </w14:textFill>
        </w:rPr>
        <w:t>如果客户由于数据安全、保密等原因，不能返还故障部件，客户应当提前购买故障件保留服务。</w:t>
      </w:r>
    </w:p>
    <w:p w14:paraId="501547A8">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23302F51">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11" w:name="_Toc97807631"/>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211"/>
    </w:p>
    <w:p w14:paraId="206CC818">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51346F9B">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12" w:name="_Toc97807632"/>
      <w:r>
        <w:rPr>
          <w:rFonts w:hint="eastAsia" w:ascii="宋体" w:hAnsi="宋体" w:eastAsia="宋体" w:cs="宋体"/>
          <w:b w:val="0"/>
          <w:bCs w:val="0"/>
          <w:color w:val="000000" w:themeColor="text1"/>
          <w:sz w:val="24"/>
          <w:szCs w:val="24"/>
          <w14:textFill>
            <w14:solidFill>
              <w14:schemeClr w14:val="tx1"/>
            </w14:solidFill>
          </w14:textFill>
        </w:rPr>
        <w:t>（4）</w:t>
      </w:r>
      <w:bookmarkEnd w:id="212"/>
      <w:bookmarkStart w:id="213" w:name="_Toc97807634"/>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213"/>
    </w:p>
    <w:p w14:paraId="06A1952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此硬件业务单元为</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配件，提供的维保服务内容与</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一致，提供自与客户签订维保服务合同之日起为期</w:t>
      </w:r>
      <w:r>
        <w:rPr>
          <w:rFonts w:hint="eastAsia" w:ascii="宋体" w:hAnsi="宋体" w:eastAsia="宋体" w:cs="宋体"/>
          <w:b w:val="0"/>
          <w:bCs w:val="0"/>
          <w:color w:val="000000" w:themeColor="text1"/>
          <w:sz w:val="24"/>
          <w:szCs w:val="24"/>
          <w:lang w:eastAsia="zh-CN"/>
          <w14:textFill>
            <w14:solidFill>
              <w14:schemeClr w14:val="tx1"/>
            </w14:solidFill>
          </w14:textFill>
        </w:rPr>
        <w:t>1年</w:t>
      </w:r>
      <w:r>
        <w:rPr>
          <w:rFonts w:hint="eastAsia" w:ascii="宋体" w:hAnsi="宋体" w:eastAsia="宋体" w:cs="宋体"/>
          <w:b w:val="0"/>
          <w:bCs w:val="0"/>
          <w:color w:val="000000" w:themeColor="text1"/>
          <w:sz w:val="24"/>
          <w:szCs w:val="24"/>
          <w14:textFill>
            <w14:solidFill>
              <w14:schemeClr w14:val="tx1"/>
            </w14:solidFill>
          </w14:textFill>
        </w:rPr>
        <w:t>的“高密度处理板D”维保服务。</w:t>
      </w:r>
    </w:p>
    <w:p w14:paraId="3E3FA0F0">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14" w:name="_Toc97807635"/>
      <w:r>
        <w:rPr>
          <w:rFonts w:hint="eastAsia" w:ascii="宋体" w:hAnsi="宋体" w:eastAsia="宋体" w:cs="宋体"/>
          <w:b w:val="0"/>
          <w:bCs w:val="0"/>
          <w:color w:val="000000" w:themeColor="text1"/>
          <w:sz w:val="24"/>
          <w:szCs w:val="24"/>
          <w14:textFill>
            <w14:solidFill>
              <w14:schemeClr w14:val="tx1"/>
            </w14:solidFill>
          </w14:textFill>
        </w:rPr>
        <w:t>7.11、交换容量(2M)维保服务说明</w:t>
      </w:r>
      <w:bookmarkEnd w:id="214"/>
    </w:p>
    <w:p w14:paraId="2966C436">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15" w:name="_Toc97807636"/>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215"/>
    </w:p>
    <w:p w14:paraId="4D864283">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中涉及交换容量故障申报后，将首先进行远程故障分析与处理，及时排除故障。远程问题处理包括电话支持和远程接入。</w:t>
      </w:r>
    </w:p>
    <w:p w14:paraId="17CB015B">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16" w:name="_Toc97807637"/>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216"/>
    </w:p>
    <w:p w14:paraId="2CFC0E11">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中涉及交换容量故障服务请求后，将立即通过电话支持进行响应，帮助客户对</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中涉及交换容量故障问题进行分析、诊断以及定位，提供解决问题的方案，并引导实施。</w:t>
      </w:r>
    </w:p>
    <w:p w14:paraId="6617F8DE">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17" w:name="_Toc97807638"/>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217"/>
    </w:p>
    <w:p w14:paraId="5E8D189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对于通过电话支持服务不能解决的故障或问题，维护工程师在征得用户同意后，通过远程终端登陆到故障设备</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中调查和收集数据，分析故障原因，提出解决方案，指导客户实施，必要时可以提供远程操作。</w:t>
      </w:r>
    </w:p>
    <w:p w14:paraId="234AF8EF">
      <w:pPr>
        <w:pStyle w:val="146"/>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5310"/>
        <w:gridCol w:w="1080"/>
        <w:gridCol w:w="1170"/>
      </w:tblGrid>
      <w:tr w14:paraId="694B5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43CA5C0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310" w:type="dxa"/>
            <w:shd w:val="clear" w:color="auto" w:fill="D9D9D9"/>
            <w:noWrap w:val="0"/>
            <w:vAlign w:val="center"/>
          </w:tcPr>
          <w:p w14:paraId="5BA8716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080" w:type="dxa"/>
            <w:tcBorders>
              <w:right w:val="single" w:color="auto" w:sz="4" w:space="0"/>
            </w:tcBorders>
            <w:shd w:val="clear" w:color="auto" w:fill="D9D9D9"/>
            <w:noWrap w:val="0"/>
            <w:vAlign w:val="center"/>
          </w:tcPr>
          <w:p w14:paraId="25CB008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6EC2322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48196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1464A6A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310" w:type="dxa"/>
            <w:noWrap w:val="0"/>
            <w:vAlign w:val="center"/>
          </w:tcPr>
          <w:p w14:paraId="64AA36B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080" w:type="dxa"/>
            <w:noWrap/>
            <w:vAlign w:val="center"/>
          </w:tcPr>
          <w:p w14:paraId="2A0F72D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6D5734A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34E77F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1708DF6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310" w:type="dxa"/>
            <w:noWrap w:val="0"/>
            <w:vAlign w:val="center"/>
          </w:tcPr>
          <w:p w14:paraId="2944793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在规定的时间内响应服务请求。</w:t>
            </w:r>
          </w:p>
        </w:tc>
        <w:tc>
          <w:tcPr>
            <w:tcW w:w="1080" w:type="dxa"/>
            <w:noWrap/>
            <w:vAlign w:val="center"/>
          </w:tcPr>
          <w:p w14:paraId="6CA207F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530CB4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6DD046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4BF0EFA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310" w:type="dxa"/>
            <w:noWrap w:val="0"/>
            <w:vAlign w:val="center"/>
          </w:tcPr>
          <w:p w14:paraId="2C0D08C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080" w:type="dxa"/>
            <w:noWrap/>
            <w:vAlign w:val="center"/>
          </w:tcPr>
          <w:p w14:paraId="2412751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C97B92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10DDBC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24B0C3C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310" w:type="dxa"/>
            <w:noWrap w:val="0"/>
            <w:vAlign w:val="center"/>
          </w:tcPr>
          <w:p w14:paraId="5AA1937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设备交换容量序列号或条码以及设备使用地、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080" w:type="dxa"/>
            <w:noWrap/>
            <w:vAlign w:val="center"/>
          </w:tcPr>
          <w:p w14:paraId="65A60DE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3581415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3BCA6C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564D9E8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310" w:type="dxa"/>
            <w:noWrap w:val="0"/>
            <w:vAlign w:val="center"/>
          </w:tcPr>
          <w:p w14:paraId="5F3C4CC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080" w:type="dxa"/>
            <w:noWrap/>
            <w:vAlign w:val="center"/>
          </w:tcPr>
          <w:p w14:paraId="21EA752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34D346A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575A1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1725D95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310" w:type="dxa"/>
            <w:noWrap w:val="0"/>
            <w:vAlign w:val="center"/>
          </w:tcPr>
          <w:p w14:paraId="3B34CA6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080" w:type="dxa"/>
            <w:noWrap/>
            <w:vAlign w:val="center"/>
          </w:tcPr>
          <w:p w14:paraId="50FB29D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364DAD8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3524D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03B9A90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310" w:type="dxa"/>
            <w:noWrap w:val="0"/>
            <w:vAlign w:val="center"/>
          </w:tcPr>
          <w:p w14:paraId="352A172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080" w:type="dxa"/>
            <w:noWrap/>
            <w:vAlign w:val="center"/>
          </w:tcPr>
          <w:p w14:paraId="44C427D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5C3058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59B60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10AB47D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310" w:type="dxa"/>
            <w:noWrap w:val="0"/>
            <w:vAlign w:val="center"/>
          </w:tcPr>
          <w:p w14:paraId="2153300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080" w:type="dxa"/>
            <w:noWrap/>
            <w:vAlign w:val="center"/>
          </w:tcPr>
          <w:p w14:paraId="16E302A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56E347B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330833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7CCE539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310" w:type="dxa"/>
            <w:noWrap w:val="0"/>
            <w:vAlign w:val="center"/>
          </w:tcPr>
          <w:p w14:paraId="6681367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080" w:type="dxa"/>
            <w:noWrap/>
            <w:vAlign w:val="center"/>
          </w:tcPr>
          <w:p w14:paraId="1976373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34A8569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78A68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755EB80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310" w:type="dxa"/>
            <w:noWrap w:val="0"/>
            <w:vAlign w:val="center"/>
          </w:tcPr>
          <w:p w14:paraId="25D79FE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080" w:type="dxa"/>
            <w:noWrap/>
            <w:vAlign w:val="center"/>
          </w:tcPr>
          <w:p w14:paraId="470A529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6C70D8E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011AFA19">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p>
    <w:p w14:paraId="41F5D202">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18" w:name="_Toc97807639"/>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218"/>
    </w:p>
    <w:p w14:paraId="12B9CD4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硬件支持服务旨在满足客户的紧急要求，提高响应速度，为客户提供更快速服务。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48914CB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52B98C3D">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更换件是同等类型和功能的好件。维护服务供应商向客户提供的更换件归客户所有，而客户原有的故障件归维护服务供应商所有，如果客户由于数据安全、保密等原因，不能返还故障部件，客户应当提前购买故障件保留服务。</w:t>
      </w:r>
    </w:p>
    <w:p w14:paraId="74390E8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733C3EF6">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19" w:name="_Toc97807640"/>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219"/>
    </w:p>
    <w:p w14:paraId="70F2E3C1">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1AB99FAE">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20" w:name="_Toc97807641"/>
      <w:r>
        <w:rPr>
          <w:rFonts w:hint="eastAsia" w:ascii="宋体" w:hAnsi="宋体" w:eastAsia="宋体" w:cs="宋体"/>
          <w:b w:val="0"/>
          <w:bCs w:val="0"/>
          <w:color w:val="000000" w:themeColor="text1"/>
          <w:sz w:val="24"/>
          <w:szCs w:val="24"/>
          <w14:textFill>
            <w14:solidFill>
              <w14:schemeClr w14:val="tx1"/>
            </w14:solidFill>
          </w14:textFill>
        </w:rPr>
        <w:t>（4）</w:t>
      </w:r>
      <w:bookmarkEnd w:id="220"/>
      <w:bookmarkStart w:id="221" w:name="_Toc97807643"/>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221"/>
    </w:p>
    <w:p w14:paraId="1ECF0AE2">
      <w:pPr>
        <w:pageBreakBefore w:val="0"/>
        <w:tabs>
          <w:tab w:val="left" w:pos="0"/>
        </w:tabs>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此硬件业务单元为</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配件，提供的维保服务内容与ViewPoint 8650一致，提供自与客户签订维保服务合同之日起为期</w:t>
      </w:r>
      <w:r>
        <w:rPr>
          <w:rFonts w:hint="eastAsia" w:ascii="宋体" w:hAnsi="宋体" w:eastAsia="宋体" w:cs="宋体"/>
          <w:b w:val="0"/>
          <w:bCs w:val="0"/>
          <w:color w:val="000000" w:themeColor="text1"/>
          <w:sz w:val="24"/>
          <w:szCs w:val="24"/>
          <w:lang w:eastAsia="zh-CN"/>
          <w14:textFill>
            <w14:solidFill>
              <w14:schemeClr w14:val="tx1"/>
            </w14:solidFill>
          </w14:textFill>
        </w:rPr>
        <w:t>1年</w:t>
      </w:r>
      <w:r>
        <w:rPr>
          <w:rFonts w:hint="eastAsia" w:ascii="宋体" w:hAnsi="宋体" w:eastAsia="宋体" w:cs="宋体"/>
          <w:b w:val="0"/>
          <w:bCs w:val="0"/>
          <w:color w:val="000000" w:themeColor="text1"/>
          <w:sz w:val="24"/>
          <w:szCs w:val="24"/>
          <w14:textFill>
            <w14:solidFill>
              <w14:schemeClr w14:val="tx1"/>
            </w14:solidFill>
          </w14:textFill>
        </w:rPr>
        <w:t>的“交换容量(2M)”维保服务。</w:t>
      </w:r>
      <w:bookmarkStart w:id="222" w:name="_Toc97807644"/>
    </w:p>
    <w:p w14:paraId="3090BEB9">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7.12、多画面处理模块-16画面维保服务说明</w:t>
      </w:r>
      <w:bookmarkEnd w:id="222"/>
    </w:p>
    <w:p w14:paraId="3CD3941F">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23" w:name="_Toc97807645"/>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223"/>
    </w:p>
    <w:p w14:paraId="4CD6E00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中涉及多画面处理模块故障申报后，将首先进行远程故障分析与处理，及时排除故障。远程问题处理包括电话支持和远程接入。</w:t>
      </w:r>
    </w:p>
    <w:p w14:paraId="1691DB64">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24" w:name="_Toc97807646"/>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224"/>
    </w:p>
    <w:p w14:paraId="5694878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中涉及多画面处理模块故障服务请求后，将立即通过电话支持进行响应，帮助客户对</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中涉及多画面处理模块故障问题进行分析、诊断以及定位，提供解决问题的方案，并引导客户实施。</w:t>
      </w:r>
    </w:p>
    <w:p w14:paraId="3F3A86B2">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25" w:name="_Toc97807647"/>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225"/>
    </w:p>
    <w:p w14:paraId="578BFE0B">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对于通过电话支持服务不能解决的故障或问题，维护工程师在征得用户同意后，通过远程终端登陆到故障设备</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中调查和收集数据，分析故障原因，提出解决方案，指导客户实施，必要时可以提供远程操作。</w:t>
      </w:r>
    </w:p>
    <w:p w14:paraId="2636967B">
      <w:pPr>
        <w:pStyle w:val="146"/>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5310"/>
        <w:gridCol w:w="1080"/>
        <w:gridCol w:w="1170"/>
      </w:tblGrid>
      <w:tr w14:paraId="32BC1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53FE34D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310" w:type="dxa"/>
            <w:shd w:val="clear" w:color="auto" w:fill="D9D9D9"/>
            <w:noWrap w:val="0"/>
            <w:vAlign w:val="center"/>
          </w:tcPr>
          <w:p w14:paraId="236224D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080" w:type="dxa"/>
            <w:tcBorders>
              <w:right w:val="single" w:color="auto" w:sz="4" w:space="0"/>
            </w:tcBorders>
            <w:shd w:val="clear" w:color="auto" w:fill="D9D9D9"/>
            <w:noWrap w:val="0"/>
            <w:vAlign w:val="center"/>
          </w:tcPr>
          <w:p w14:paraId="7A59C30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3927BEC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343141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2697B9F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310" w:type="dxa"/>
            <w:noWrap w:val="0"/>
            <w:vAlign w:val="center"/>
          </w:tcPr>
          <w:p w14:paraId="7D9A93C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080" w:type="dxa"/>
            <w:noWrap/>
            <w:vAlign w:val="center"/>
          </w:tcPr>
          <w:p w14:paraId="3731D24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738CDE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12288C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7FD8839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310" w:type="dxa"/>
            <w:noWrap w:val="0"/>
            <w:vAlign w:val="center"/>
          </w:tcPr>
          <w:p w14:paraId="08C48F4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在规定的时间内响应服务请求。</w:t>
            </w:r>
          </w:p>
        </w:tc>
        <w:tc>
          <w:tcPr>
            <w:tcW w:w="1080" w:type="dxa"/>
            <w:noWrap/>
            <w:vAlign w:val="center"/>
          </w:tcPr>
          <w:p w14:paraId="7AB70C7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F90A7B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02E92E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782D287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310" w:type="dxa"/>
            <w:noWrap w:val="0"/>
            <w:vAlign w:val="center"/>
          </w:tcPr>
          <w:p w14:paraId="717267A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080" w:type="dxa"/>
            <w:noWrap/>
            <w:vAlign w:val="center"/>
          </w:tcPr>
          <w:p w14:paraId="42431B9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DE3A81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1676F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6097EF3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310" w:type="dxa"/>
            <w:noWrap w:val="0"/>
            <w:vAlign w:val="center"/>
          </w:tcPr>
          <w:p w14:paraId="6204D8C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设备多画面处理模块序列号或条码以及设备使用地、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080" w:type="dxa"/>
            <w:noWrap/>
            <w:vAlign w:val="center"/>
          </w:tcPr>
          <w:p w14:paraId="2255DF2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7840DBE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18A983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3605A6D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310" w:type="dxa"/>
            <w:noWrap w:val="0"/>
            <w:vAlign w:val="center"/>
          </w:tcPr>
          <w:p w14:paraId="2099C0C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080" w:type="dxa"/>
            <w:noWrap/>
            <w:vAlign w:val="center"/>
          </w:tcPr>
          <w:p w14:paraId="14B781C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1BD446A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5B1385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2DBA09D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310" w:type="dxa"/>
            <w:noWrap w:val="0"/>
            <w:vAlign w:val="center"/>
          </w:tcPr>
          <w:p w14:paraId="6AE9EA5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080" w:type="dxa"/>
            <w:noWrap/>
            <w:vAlign w:val="center"/>
          </w:tcPr>
          <w:p w14:paraId="5D1447E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111A507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16EF09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743836D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310" w:type="dxa"/>
            <w:noWrap w:val="0"/>
            <w:vAlign w:val="center"/>
          </w:tcPr>
          <w:p w14:paraId="073EAB4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080" w:type="dxa"/>
            <w:noWrap/>
            <w:vAlign w:val="center"/>
          </w:tcPr>
          <w:p w14:paraId="7A51FBC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F4BDC9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28460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1D9F0C5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310" w:type="dxa"/>
            <w:noWrap w:val="0"/>
            <w:vAlign w:val="center"/>
          </w:tcPr>
          <w:p w14:paraId="289F6B0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080" w:type="dxa"/>
            <w:noWrap/>
            <w:vAlign w:val="center"/>
          </w:tcPr>
          <w:p w14:paraId="0A730BE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3C29D34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11689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6F4DCEF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310" w:type="dxa"/>
            <w:noWrap w:val="0"/>
            <w:vAlign w:val="center"/>
          </w:tcPr>
          <w:p w14:paraId="22C8167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080" w:type="dxa"/>
            <w:noWrap/>
            <w:vAlign w:val="center"/>
          </w:tcPr>
          <w:p w14:paraId="0D93969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23F0AB4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51D1E1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0727383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310" w:type="dxa"/>
            <w:noWrap w:val="0"/>
            <w:vAlign w:val="center"/>
          </w:tcPr>
          <w:p w14:paraId="2AB625F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080" w:type="dxa"/>
            <w:noWrap/>
            <w:vAlign w:val="center"/>
          </w:tcPr>
          <w:p w14:paraId="647F32F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1445AF4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563A0867">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26" w:name="_Toc97807648"/>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226"/>
    </w:p>
    <w:p w14:paraId="130FB94E">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硬件支持服务旨在满足客户的紧急要求，提高响应速度，为客户提供更快速服务。</w:t>
      </w:r>
    </w:p>
    <w:p w14:paraId="38A1F1DE">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650EEA8E">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1704EB40">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更换件是同等类型和功能的好件。维护服务供应商向客户提供的更换件归客户所有，而客户原有的故障件归维护服务供应商所有，</w:t>
      </w:r>
      <w:r>
        <w:rPr>
          <w:rFonts w:hint="eastAsia" w:ascii="宋体" w:hAnsi="宋体" w:eastAsia="宋体" w:cs="宋体"/>
          <w:b w:val="0"/>
          <w:bCs w:val="0"/>
          <w:color w:val="000000" w:themeColor="text1"/>
          <w:sz w:val="24"/>
          <w:szCs w:val="24"/>
          <w14:textFill>
            <w14:solidFill>
              <w14:schemeClr w14:val="tx1"/>
            </w14:solidFill>
          </w14:textFill>
        </w:rPr>
        <w:t>如果客户由于数据安全、保密等原因，不能返还故障部件，客户应当提前购买故障件保留服务。</w:t>
      </w:r>
    </w:p>
    <w:p w14:paraId="6FD5A53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5308EE62">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27" w:name="_Toc97807649"/>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227"/>
    </w:p>
    <w:p w14:paraId="26BAD1C6">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456C6D67">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28" w:name="_Toc97807650"/>
      <w:r>
        <w:rPr>
          <w:rFonts w:hint="eastAsia" w:ascii="宋体" w:hAnsi="宋体" w:eastAsia="宋体" w:cs="宋体"/>
          <w:b w:val="0"/>
          <w:bCs w:val="0"/>
          <w:color w:val="000000" w:themeColor="text1"/>
          <w:sz w:val="24"/>
          <w:szCs w:val="24"/>
          <w14:textFill>
            <w14:solidFill>
              <w14:schemeClr w14:val="tx1"/>
            </w14:solidFill>
          </w14:textFill>
        </w:rPr>
        <w:t>（4）</w:t>
      </w:r>
      <w:bookmarkEnd w:id="228"/>
      <w:bookmarkStart w:id="229" w:name="_Toc97807652"/>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229"/>
    </w:p>
    <w:p w14:paraId="0444F24B">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此硬件业务单元为</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配件，提供的维保服务内容与</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一致，提供自与客户签订维保服务合同之日起为期</w:t>
      </w:r>
      <w:r>
        <w:rPr>
          <w:rFonts w:hint="eastAsia" w:ascii="宋体" w:hAnsi="宋体" w:eastAsia="宋体" w:cs="宋体"/>
          <w:b w:val="0"/>
          <w:bCs w:val="0"/>
          <w:color w:val="000000" w:themeColor="text1"/>
          <w:sz w:val="24"/>
          <w:szCs w:val="24"/>
          <w:lang w:eastAsia="zh-CN"/>
          <w14:textFill>
            <w14:solidFill>
              <w14:schemeClr w14:val="tx1"/>
            </w14:solidFill>
          </w14:textFill>
        </w:rPr>
        <w:t>1年</w:t>
      </w:r>
      <w:r>
        <w:rPr>
          <w:rFonts w:hint="eastAsia" w:ascii="宋体" w:hAnsi="宋体" w:eastAsia="宋体" w:cs="宋体"/>
          <w:b w:val="0"/>
          <w:bCs w:val="0"/>
          <w:color w:val="000000" w:themeColor="text1"/>
          <w:sz w:val="24"/>
          <w:szCs w:val="24"/>
          <w14:textFill>
            <w14:solidFill>
              <w14:schemeClr w14:val="tx1"/>
            </w14:solidFill>
          </w14:textFill>
        </w:rPr>
        <w:t>的“多画面处理模块-16画面”维保服务。</w:t>
      </w:r>
    </w:p>
    <w:p w14:paraId="5DF3B425">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30" w:name="_Toc97807653"/>
      <w:r>
        <w:rPr>
          <w:rFonts w:hint="eastAsia" w:ascii="宋体" w:hAnsi="宋体" w:eastAsia="宋体" w:cs="宋体"/>
          <w:b w:val="0"/>
          <w:bCs w:val="0"/>
          <w:color w:val="000000" w:themeColor="text1"/>
          <w:sz w:val="24"/>
          <w:szCs w:val="24"/>
          <w14:textFill>
            <w14:solidFill>
              <w14:schemeClr w14:val="tx1"/>
            </w14:solidFill>
          </w14:textFill>
        </w:rPr>
        <w:t>7.13、视频协议/速率适配-8路CIF维保服务说明</w:t>
      </w:r>
      <w:bookmarkEnd w:id="230"/>
    </w:p>
    <w:p w14:paraId="2ECB4113">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31" w:name="_Toc97807654"/>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231"/>
    </w:p>
    <w:p w14:paraId="2A3C573B">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维护工程师在接到ViewPoint9650中涉及视频协议/速率适配故障申报后，将首先进行远程故障分析与处理，及时排除故障。远程问题处理包括电话支持和远程接入。</w:t>
      </w:r>
    </w:p>
    <w:p w14:paraId="01268FC2">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32" w:name="_Toc97807655"/>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232"/>
    </w:p>
    <w:p w14:paraId="71650878">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中涉及视频协议/速率适配故障服务请求后，将立即通过电话支持进行响应，帮助客户对</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中涉及视频协议/速率适配故障问题进行分析、诊断以及定位，提供解决问题的方案，并引导客户实施。</w:t>
      </w:r>
    </w:p>
    <w:p w14:paraId="10C7BFAE">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33" w:name="_Toc97807656"/>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233"/>
    </w:p>
    <w:p w14:paraId="1A3D8CA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对于通过电话支持服务不能解决的故障或问题，维护工程师在征得用户同意后，通过远程终端登陆到故障设备</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中调查和收集数据，分析故障原因，提出解决方案，指导客户实施，必要时可以提供远程操作。</w:t>
      </w:r>
    </w:p>
    <w:p w14:paraId="5CC4753C">
      <w:pPr>
        <w:pStyle w:val="146"/>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5310"/>
        <w:gridCol w:w="1080"/>
        <w:gridCol w:w="1170"/>
      </w:tblGrid>
      <w:tr w14:paraId="7D1AC5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3508F59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310" w:type="dxa"/>
            <w:shd w:val="clear" w:color="auto" w:fill="D9D9D9"/>
            <w:noWrap w:val="0"/>
            <w:vAlign w:val="center"/>
          </w:tcPr>
          <w:p w14:paraId="265A8BB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080" w:type="dxa"/>
            <w:tcBorders>
              <w:right w:val="single" w:color="auto" w:sz="4" w:space="0"/>
            </w:tcBorders>
            <w:shd w:val="clear" w:color="auto" w:fill="D9D9D9"/>
            <w:noWrap w:val="0"/>
            <w:vAlign w:val="center"/>
          </w:tcPr>
          <w:p w14:paraId="57827AB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2C5D180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7B27B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6933E9B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310" w:type="dxa"/>
            <w:noWrap w:val="0"/>
            <w:vAlign w:val="center"/>
          </w:tcPr>
          <w:p w14:paraId="37B8D9B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080" w:type="dxa"/>
            <w:noWrap/>
            <w:vAlign w:val="center"/>
          </w:tcPr>
          <w:p w14:paraId="115BB4D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0CF479F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367348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130471F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310" w:type="dxa"/>
            <w:noWrap w:val="0"/>
            <w:vAlign w:val="center"/>
          </w:tcPr>
          <w:p w14:paraId="3371901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在规定的时间内响应服务请求。</w:t>
            </w:r>
          </w:p>
        </w:tc>
        <w:tc>
          <w:tcPr>
            <w:tcW w:w="1080" w:type="dxa"/>
            <w:noWrap/>
            <w:vAlign w:val="center"/>
          </w:tcPr>
          <w:p w14:paraId="6F6A305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6924FE3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6750E8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3AC733D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310" w:type="dxa"/>
            <w:noWrap w:val="0"/>
            <w:vAlign w:val="center"/>
          </w:tcPr>
          <w:p w14:paraId="5427E37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080" w:type="dxa"/>
            <w:noWrap/>
            <w:vAlign w:val="center"/>
          </w:tcPr>
          <w:p w14:paraId="4FB58FB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5130FA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59BF89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7E79E45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310" w:type="dxa"/>
            <w:noWrap w:val="0"/>
            <w:vAlign w:val="center"/>
          </w:tcPr>
          <w:p w14:paraId="21C0F78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设备视频协议/速率适配序列号或条码以及设备使用地、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080" w:type="dxa"/>
            <w:noWrap/>
            <w:vAlign w:val="center"/>
          </w:tcPr>
          <w:p w14:paraId="2602DB9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275F9B2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71E7B5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59931DB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310" w:type="dxa"/>
            <w:noWrap w:val="0"/>
            <w:vAlign w:val="center"/>
          </w:tcPr>
          <w:p w14:paraId="5175B33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080" w:type="dxa"/>
            <w:noWrap/>
            <w:vAlign w:val="center"/>
          </w:tcPr>
          <w:p w14:paraId="28BB1AB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142567E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269D8D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1687348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310" w:type="dxa"/>
            <w:noWrap w:val="0"/>
            <w:vAlign w:val="center"/>
          </w:tcPr>
          <w:p w14:paraId="09A433B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080" w:type="dxa"/>
            <w:noWrap/>
            <w:vAlign w:val="center"/>
          </w:tcPr>
          <w:p w14:paraId="45D652A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56DAD9A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7A436A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0192EDC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310" w:type="dxa"/>
            <w:noWrap w:val="0"/>
            <w:vAlign w:val="center"/>
          </w:tcPr>
          <w:p w14:paraId="73A23AC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080" w:type="dxa"/>
            <w:noWrap/>
            <w:vAlign w:val="center"/>
          </w:tcPr>
          <w:p w14:paraId="20B9547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0E7E911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25D078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709DD5D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310" w:type="dxa"/>
            <w:noWrap w:val="0"/>
            <w:vAlign w:val="center"/>
          </w:tcPr>
          <w:p w14:paraId="65FD5471">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080" w:type="dxa"/>
            <w:noWrap/>
            <w:vAlign w:val="center"/>
          </w:tcPr>
          <w:p w14:paraId="208FC6F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230F1D0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30F132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3E02B3D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310" w:type="dxa"/>
            <w:noWrap w:val="0"/>
            <w:vAlign w:val="center"/>
          </w:tcPr>
          <w:p w14:paraId="6ECCA91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080" w:type="dxa"/>
            <w:noWrap/>
            <w:vAlign w:val="center"/>
          </w:tcPr>
          <w:p w14:paraId="1142E33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5369C2D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42404E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46B54DD4">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310" w:type="dxa"/>
            <w:noWrap w:val="0"/>
            <w:vAlign w:val="center"/>
          </w:tcPr>
          <w:p w14:paraId="69C43A6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080" w:type="dxa"/>
            <w:noWrap/>
            <w:vAlign w:val="center"/>
          </w:tcPr>
          <w:p w14:paraId="01BF9D97">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2BB79C0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32489AB2">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34" w:name="_Toc97807657"/>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234"/>
    </w:p>
    <w:p w14:paraId="1A0CA07B">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硬件支持服务旨在满足客户的紧急要求，提高响应速度，为客户提供更快速服务。</w:t>
      </w:r>
    </w:p>
    <w:p w14:paraId="0900462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0FAC444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45DCD6A5">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更换件是同等类型和功能的好件。维护服务供应商向客户提供的更换件归客户所有，而客户原有的故障件归维护服务供应商所有，</w:t>
      </w:r>
      <w:r>
        <w:rPr>
          <w:rFonts w:hint="eastAsia" w:ascii="宋体" w:hAnsi="宋体" w:eastAsia="宋体" w:cs="宋体"/>
          <w:b w:val="0"/>
          <w:bCs w:val="0"/>
          <w:color w:val="000000" w:themeColor="text1"/>
          <w:sz w:val="24"/>
          <w:szCs w:val="24"/>
          <w14:textFill>
            <w14:solidFill>
              <w14:schemeClr w14:val="tx1"/>
            </w14:solidFill>
          </w14:textFill>
        </w:rPr>
        <w:t>如果客户由于数据安全、保密等原因，不能返还故障部件，客户应当提前购买故障件保留服务。</w:t>
      </w:r>
    </w:p>
    <w:p w14:paraId="0F459C15">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61600202">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35" w:name="_Toc97807658"/>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235"/>
    </w:p>
    <w:p w14:paraId="06059D3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01215DDB">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36" w:name="_Toc97807659"/>
      <w:r>
        <w:rPr>
          <w:rFonts w:hint="eastAsia" w:ascii="宋体" w:hAnsi="宋体" w:eastAsia="宋体" w:cs="宋体"/>
          <w:b w:val="0"/>
          <w:bCs w:val="0"/>
          <w:color w:val="000000" w:themeColor="text1"/>
          <w:sz w:val="24"/>
          <w:szCs w:val="24"/>
          <w14:textFill>
            <w14:solidFill>
              <w14:schemeClr w14:val="tx1"/>
            </w14:solidFill>
          </w14:textFill>
        </w:rPr>
        <w:t>（4）</w:t>
      </w:r>
      <w:bookmarkEnd w:id="236"/>
      <w:bookmarkStart w:id="237" w:name="_Toc97807661"/>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237"/>
    </w:p>
    <w:p w14:paraId="12549B41">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此硬件业务单元为</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配件，提供的维保服务内容与</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一致，提供自与客户签订维保服务合同之日起为期</w:t>
      </w:r>
      <w:r>
        <w:rPr>
          <w:rFonts w:hint="eastAsia" w:ascii="宋体" w:hAnsi="宋体" w:eastAsia="宋体" w:cs="宋体"/>
          <w:b w:val="0"/>
          <w:bCs w:val="0"/>
          <w:color w:val="000000" w:themeColor="text1"/>
          <w:sz w:val="24"/>
          <w:szCs w:val="24"/>
          <w:lang w:eastAsia="zh-CN"/>
          <w14:textFill>
            <w14:solidFill>
              <w14:schemeClr w14:val="tx1"/>
            </w14:solidFill>
          </w14:textFill>
        </w:rPr>
        <w:t>1年</w:t>
      </w:r>
      <w:r>
        <w:rPr>
          <w:rFonts w:hint="eastAsia" w:ascii="宋体" w:hAnsi="宋体" w:eastAsia="宋体" w:cs="宋体"/>
          <w:b w:val="0"/>
          <w:bCs w:val="0"/>
          <w:color w:val="000000" w:themeColor="text1"/>
          <w:sz w:val="24"/>
          <w:szCs w:val="24"/>
          <w14:textFill>
            <w14:solidFill>
              <w14:schemeClr w14:val="tx1"/>
            </w14:solidFill>
          </w14:textFill>
        </w:rPr>
        <w:t>的“视频协议/速率适配-8路CIF”维保服务。</w:t>
      </w:r>
    </w:p>
    <w:p w14:paraId="5B7CEC8A">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38" w:name="_Toc97807662"/>
      <w:r>
        <w:rPr>
          <w:rFonts w:hint="eastAsia" w:ascii="宋体" w:hAnsi="宋体" w:eastAsia="宋体" w:cs="宋体"/>
          <w:b w:val="0"/>
          <w:bCs w:val="0"/>
          <w:color w:val="000000" w:themeColor="text1"/>
          <w:sz w:val="24"/>
          <w:szCs w:val="24"/>
          <w14:textFill>
            <w14:solidFill>
              <w14:schemeClr w14:val="tx1"/>
            </w14:solidFill>
          </w14:textFill>
        </w:rPr>
        <w:t>7.14、SMC 业务管理中心维保服务说明</w:t>
      </w:r>
      <w:bookmarkEnd w:id="238"/>
    </w:p>
    <w:p w14:paraId="56F41B58">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39" w:name="_Toc97807663"/>
      <w:r>
        <w:rPr>
          <w:rFonts w:hint="eastAsia" w:ascii="宋体" w:hAnsi="宋体" w:eastAsia="宋体" w:cs="宋体"/>
          <w:b w:val="0"/>
          <w:bCs w:val="0"/>
          <w:color w:val="000000" w:themeColor="text1"/>
          <w:sz w:val="24"/>
          <w:szCs w:val="24"/>
          <w14:textFill>
            <w14:solidFill>
              <w14:schemeClr w14:val="tx1"/>
            </w14:solidFill>
          </w14:textFill>
        </w:rPr>
        <w:t>（1）远程支持服务（工作内容）</w:t>
      </w:r>
      <w:bookmarkEnd w:id="239"/>
    </w:p>
    <w:p w14:paraId="5888CEA3">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维护工程师在接到SMC 业务管理中心故障申报后，将首先进行远程故障分析与处理，及时排除故障。远程问题处理包括电话支持和远程接入。</w:t>
      </w:r>
    </w:p>
    <w:p w14:paraId="50F778B6">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40" w:name="_Toc97807664"/>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电话支持</w:t>
      </w:r>
      <w:bookmarkEnd w:id="240"/>
    </w:p>
    <w:p w14:paraId="6D16E47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维护工程师接到SMC 业务管理中心故障服务请求后，将立即通过电话支持进行响应，帮助客户对SMC 业务管理中心故障问题进行分析、诊断以及定位，提供解决问题的方案，并引导客户实施。</w:t>
      </w:r>
    </w:p>
    <w:p w14:paraId="00258FCE">
      <w:pPr>
        <w:keepLines w:val="0"/>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zh-CN"/>
          <w14:textFill>
            <w14:solidFill>
              <w14:schemeClr w14:val="tx1"/>
            </w14:solidFill>
          </w14:textFill>
        </w:rPr>
      </w:pPr>
      <w:bookmarkStart w:id="241" w:name="_Toc97807665"/>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zh-CN"/>
          <w14:textFill>
            <w14:solidFill>
              <w14:schemeClr w14:val="tx1"/>
            </w14:solidFill>
          </w14:textFill>
        </w:rPr>
        <w:t>远程接入</w:t>
      </w:r>
      <w:bookmarkEnd w:id="241"/>
    </w:p>
    <w:p w14:paraId="6DEB2171">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对于通过电话支持服务不能解决的故障或问题，维护工程师在征得用户同意后，通过远程终端登陆到故障设备</w:t>
      </w:r>
      <w:r>
        <w:rPr>
          <w:rFonts w:hint="eastAsia" w:ascii="宋体" w:hAnsi="宋体" w:eastAsia="宋体" w:cs="宋体"/>
          <w:b w:val="0"/>
          <w:bCs w:val="0"/>
          <w:color w:val="000000" w:themeColor="text1"/>
          <w:sz w:val="24"/>
          <w:szCs w:val="24"/>
          <w:lang w:eastAsia="zh-CN"/>
          <w14:textFill>
            <w14:solidFill>
              <w14:schemeClr w14:val="tx1"/>
            </w14:solidFill>
          </w14:textFill>
        </w:rPr>
        <w:t>96系列/98系列mcu</w:t>
      </w:r>
      <w:r>
        <w:rPr>
          <w:rFonts w:hint="eastAsia" w:ascii="宋体" w:hAnsi="宋体" w:eastAsia="宋体" w:cs="宋体"/>
          <w:b w:val="0"/>
          <w:bCs w:val="0"/>
          <w:color w:val="000000" w:themeColor="text1"/>
          <w:sz w:val="24"/>
          <w:szCs w:val="24"/>
          <w14:textFill>
            <w14:solidFill>
              <w14:schemeClr w14:val="tx1"/>
            </w14:solidFill>
          </w14:textFill>
        </w:rPr>
        <w:t>中调查和收集数据，分析故障原因，提出解决方案，指导客户实施，必要时可以提供远程操作。</w:t>
      </w:r>
    </w:p>
    <w:p w14:paraId="43A9C481">
      <w:pPr>
        <w:pStyle w:val="146"/>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远程问题处理服务中双方的职责分工：</w:t>
      </w:r>
    </w:p>
    <w:tbl>
      <w:tblPr>
        <w:tblStyle w:val="23"/>
        <w:tblW w:w="82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5310"/>
        <w:gridCol w:w="1080"/>
        <w:gridCol w:w="1170"/>
      </w:tblGrid>
      <w:tr w14:paraId="1DBF08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720" w:type="dxa"/>
            <w:shd w:val="clear" w:color="auto" w:fill="D9D9D9"/>
            <w:noWrap w:val="0"/>
            <w:vAlign w:val="center"/>
          </w:tcPr>
          <w:p w14:paraId="55D4012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编号</w:t>
            </w:r>
          </w:p>
        </w:tc>
        <w:tc>
          <w:tcPr>
            <w:tcW w:w="5310" w:type="dxa"/>
            <w:shd w:val="clear" w:color="auto" w:fill="D9D9D9"/>
            <w:noWrap w:val="0"/>
            <w:vAlign w:val="center"/>
          </w:tcPr>
          <w:p w14:paraId="5272F79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活动</w:t>
            </w:r>
          </w:p>
        </w:tc>
        <w:tc>
          <w:tcPr>
            <w:tcW w:w="1080" w:type="dxa"/>
            <w:tcBorders>
              <w:right w:val="single" w:color="auto" w:sz="4" w:space="0"/>
            </w:tcBorders>
            <w:shd w:val="clear" w:color="auto" w:fill="D9D9D9"/>
            <w:noWrap w:val="0"/>
            <w:vAlign w:val="center"/>
          </w:tcPr>
          <w:p w14:paraId="33BE9A4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维护工程师职责</w:t>
            </w:r>
          </w:p>
        </w:tc>
        <w:tc>
          <w:tcPr>
            <w:tcW w:w="1170" w:type="dxa"/>
            <w:tcBorders>
              <w:left w:val="single" w:color="auto" w:sz="4" w:space="0"/>
            </w:tcBorders>
            <w:shd w:val="clear" w:color="auto" w:fill="D9D9D9"/>
            <w:noWrap w:val="0"/>
            <w:vAlign w:val="center"/>
          </w:tcPr>
          <w:p w14:paraId="4C0452B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客户职责</w:t>
            </w:r>
          </w:p>
        </w:tc>
      </w:tr>
      <w:tr w14:paraId="42ABF5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21E52DA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w:t>
            </w:r>
          </w:p>
        </w:tc>
        <w:tc>
          <w:tcPr>
            <w:tcW w:w="5310" w:type="dxa"/>
            <w:noWrap w:val="0"/>
            <w:vAlign w:val="center"/>
          </w:tcPr>
          <w:p w14:paraId="10EF9B6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提供问题处理服务申请的途径。</w:t>
            </w:r>
          </w:p>
        </w:tc>
        <w:tc>
          <w:tcPr>
            <w:tcW w:w="1080" w:type="dxa"/>
            <w:noWrap/>
            <w:vAlign w:val="center"/>
          </w:tcPr>
          <w:p w14:paraId="792EF6D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50D8BF5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p>
        </w:tc>
      </w:tr>
      <w:tr w14:paraId="524C05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094A313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5310" w:type="dxa"/>
            <w:noWrap w:val="0"/>
            <w:vAlign w:val="center"/>
          </w:tcPr>
          <w:p w14:paraId="0FEAC12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在规定的时间内响应服务请求。</w:t>
            </w:r>
          </w:p>
        </w:tc>
        <w:tc>
          <w:tcPr>
            <w:tcW w:w="1080" w:type="dxa"/>
            <w:noWrap/>
            <w:vAlign w:val="center"/>
          </w:tcPr>
          <w:p w14:paraId="4C8043C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73CF1BE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6F3A89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32C6EDD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5310" w:type="dxa"/>
            <w:noWrap w:val="0"/>
            <w:vAlign w:val="center"/>
          </w:tcPr>
          <w:p w14:paraId="39DB0DD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将问题单升级到相应的专家支持团队（必要时）。</w:t>
            </w:r>
          </w:p>
        </w:tc>
        <w:tc>
          <w:tcPr>
            <w:tcW w:w="1080" w:type="dxa"/>
            <w:noWrap/>
            <w:vAlign w:val="center"/>
          </w:tcPr>
          <w:p w14:paraId="6DECCE6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DB3822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r>
      <w:tr w14:paraId="2AD5A1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trPr>
        <w:tc>
          <w:tcPr>
            <w:tcW w:w="720" w:type="dxa"/>
            <w:noWrap/>
            <w:vAlign w:val="center"/>
          </w:tcPr>
          <w:p w14:paraId="0B38C56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5310" w:type="dxa"/>
            <w:noWrap w:val="0"/>
            <w:vAlign w:val="center"/>
          </w:tcPr>
          <w:p w14:paraId="2765F9A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提供问题定位所需的</w:t>
            </w:r>
            <w:r>
              <w:rPr>
                <w:rFonts w:hint="eastAsia" w:ascii="宋体" w:hAnsi="宋体" w:eastAsia="宋体" w:cs="宋体"/>
                <w:b w:val="0"/>
                <w:bCs w:val="0"/>
                <w:color w:val="000000" w:themeColor="text1"/>
                <w:sz w:val="24"/>
                <w:szCs w:val="24"/>
                <w14:textFill>
                  <w14:solidFill>
                    <w14:schemeClr w14:val="tx1"/>
                  </w14:solidFill>
                </w14:textFill>
              </w:rPr>
              <w:t>设备SMC 业务管理中心序列号或条码以及设备使用地、</w:t>
            </w:r>
            <w:r>
              <w:rPr>
                <w:rFonts w:hint="eastAsia" w:ascii="宋体" w:hAnsi="宋体" w:eastAsia="宋体" w:cs="宋体"/>
                <w:b w:val="0"/>
                <w:bCs w:val="0"/>
                <w:color w:val="000000" w:themeColor="text1"/>
                <w:kern w:val="0"/>
                <w:sz w:val="24"/>
                <w:szCs w:val="24"/>
                <w14:textFill>
                  <w14:solidFill>
                    <w14:schemeClr w14:val="tx1"/>
                  </w14:solidFill>
                </w14:textFill>
              </w:rPr>
              <w:t>故障现象描述以及其他分析问题所需的相关信息，如告警、日志，性能测量，操作记录等。</w:t>
            </w:r>
          </w:p>
        </w:tc>
        <w:tc>
          <w:tcPr>
            <w:tcW w:w="1080" w:type="dxa"/>
            <w:noWrap/>
            <w:vAlign w:val="center"/>
          </w:tcPr>
          <w:p w14:paraId="778B77F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758CE76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7E6381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20" w:type="dxa"/>
            <w:noWrap/>
            <w:vAlign w:val="center"/>
          </w:tcPr>
          <w:p w14:paraId="038B2EF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5310" w:type="dxa"/>
            <w:noWrap w:val="0"/>
            <w:vAlign w:val="center"/>
          </w:tcPr>
          <w:p w14:paraId="6848C24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提供远程通道以及临时接入帐号及密码，并授权维护服务供应商进行远程接入。</w:t>
            </w:r>
          </w:p>
        </w:tc>
        <w:tc>
          <w:tcPr>
            <w:tcW w:w="1080" w:type="dxa"/>
            <w:noWrap/>
            <w:vAlign w:val="center"/>
          </w:tcPr>
          <w:p w14:paraId="1B3A87E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16F98AD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1C6508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trPr>
        <w:tc>
          <w:tcPr>
            <w:tcW w:w="720" w:type="dxa"/>
            <w:noWrap/>
            <w:vAlign w:val="center"/>
          </w:tcPr>
          <w:p w14:paraId="2DA9B67E">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5310" w:type="dxa"/>
            <w:noWrap w:val="0"/>
            <w:vAlign w:val="center"/>
          </w:tcPr>
          <w:p w14:paraId="5312A78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确认获得客户授权接入设备并通过远程连接方式处理问题（必要时）。</w:t>
            </w:r>
          </w:p>
        </w:tc>
        <w:tc>
          <w:tcPr>
            <w:tcW w:w="1080" w:type="dxa"/>
            <w:noWrap/>
            <w:vAlign w:val="center"/>
          </w:tcPr>
          <w:p w14:paraId="5ED6B6C2">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7F0AE51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4F079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720" w:type="dxa"/>
            <w:noWrap/>
            <w:vAlign w:val="center"/>
          </w:tcPr>
          <w:p w14:paraId="2E7DA56B">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5310" w:type="dxa"/>
            <w:noWrap w:val="0"/>
            <w:vAlign w:val="center"/>
          </w:tcPr>
          <w:p w14:paraId="752FFBB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远程进行问题定位和处理。</w:t>
            </w:r>
          </w:p>
        </w:tc>
        <w:tc>
          <w:tcPr>
            <w:tcW w:w="1080" w:type="dxa"/>
            <w:noWrap/>
            <w:vAlign w:val="center"/>
          </w:tcPr>
          <w:p w14:paraId="52FB52E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9A6DB50">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1B9BEE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64A2B50D">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5310" w:type="dxa"/>
            <w:noWrap w:val="0"/>
            <w:vAlign w:val="center"/>
          </w:tcPr>
          <w:p w14:paraId="01C6791C">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提供临时解决方案，将系统恢复至故障前的状态（必要时）。</w:t>
            </w:r>
          </w:p>
        </w:tc>
        <w:tc>
          <w:tcPr>
            <w:tcW w:w="1080" w:type="dxa"/>
            <w:noWrap/>
            <w:vAlign w:val="center"/>
          </w:tcPr>
          <w:p w14:paraId="3CEF0C4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c>
          <w:tcPr>
            <w:tcW w:w="1170" w:type="dxa"/>
            <w:noWrap/>
            <w:vAlign w:val="center"/>
          </w:tcPr>
          <w:p w14:paraId="4D90BE58">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r>
      <w:tr w14:paraId="35117E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trPr>
        <w:tc>
          <w:tcPr>
            <w:tcW w:w="720" w:type="dxa"/>
            <w:noWrap/>
            <w:vAlign w:val="center"/>
          </w:tcPr>
          <w:p w14:paraId="28670BE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5310" w:type="dxa"/>
            <w:noWrap w:val="0"/>
            <w:vAlign w:val="center"/>
          </w:tcPr>
          <w:p w14:paraId="0B799AE9">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实施问题解决方案并验证其有效性。</w:t>
            </w:r>
          </w:p>
        </w:tc>
        <w:tc>
          <w:tcPr>
            <w:tcW w:w="1080" w:type="dxa"/>
            <w:noWrap/>
            <w:vAlign w:val="center"/>
          </w:tcPr>
          <w:p w14:paraId="2C150615">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协助方</w:t>
            </w:r>
          </w:p>
        </w:tc>
        <w:tc>
          <w:tcPr>
            <w:tcW w:w="1170" w:type="dxa"/>
            <w:noWrap/>
            <w:vAlign w:val="center"/>
          </w:tcPr>
          <w:p w14:paraId="73F7B256">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r w14:paraId="69735D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20" w:type="dxa"/>
            <w:noWrap/>
            <w:vAlign w:val="center"/>
          </w:tcPr>
          <w:p w14:paraId="21F4DA4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5310" w:type="dxa"/>
            <w:noWrap w:val="0"/>
            <w:vAlign w:val="center"/>
          </w:tcPr>
          <w:p w14:paraId="776959CA">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确认解决方案的效果并反馈问题的状态。</w:t>
            </w:r>
          </w:p>
        </w:tc>
        <w:tc>
          <w:tcPr>
            <w:tcW w:w="1080" w:type="dxa"/>
            <w:noWrap/>
            <w:vAlign w:val="center"/>
          </w:tcPr>
          <w:p w14:paraId="69FE06D3">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1170" w:type="dxa"/>
            <w:noWrap/>
            <w:vAlign w:val="center"/>
          </w:tcPr>
          <w:p w14:paraId="3FD377BF">
            <w:pPr>
              <w:keepNext/>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责任方</w:t>
            </w:r>
          </w:p>
        </w:tc>
      </w:tr>
    </w:tbl>
    <w:p w14:paraId="5386E588">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p>
    <w:p w14:paraId="0316543A">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42" w:name="_Toc97807666"/>
      <w:r>
        <w:rPr>
          <w:rFonts w:hint="eastAsia" w:ascii="宋体" w:hAnsi="宋体" w:eastAsia="宋体" w:cs="宋体"/>
          <w:b w:val="0"/>
          <w:bCs w:val="0"/>
          <w:color w:val="000000" w:themeColor="text1"/>
          <w:sz w:val="24"/>
          <w:szCs w:val="24"/>
          <w14:textFill>
            <w14:solidFill>
              <w14:schemeClr w14:val="tx1"/>
            </w14:solidFill>
          </w14:textFill>
        </w:rPr>
        <w:t>（2）硬件支持服务（工作内容）</w:t>
      </w:r>
      <w:bookmarkEnd w:id="242"/>
    </w:p>
    <w:p w14:paraId="55D200DC">
      <w:pPr>
        <w:pageBreakBefore w:val="0"/>
        <w:tabs>
          <w:tab w:val="left" w:pos="283"/>
        </w:tabs>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硬件支持服务旨在满足客户的紧急要求，提高响应速度，为客户提供更快速服务。</w:t>
      </w:r>
    </w:p>
    <w:p w14:paraId="3E7BB711">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硬件支持服务是指维护服务供应商在通过客户的备件服务申请后，提前提供更换件给客户，而客户只需要在收到维护服务供应商提供的更换部件后的30自然日内将故障件返回维护服务供应商指定接收点即可，邮寄返回过程中发生损坏和遗失由客户承担相关责任；逾期未返回的将视为客户以目录价购买，维护服务供应商将于下一个收款周期开具发票；并且在超期备件未核销前，维护服务供应商会将服务降为备件更换服务，即收到客户返回的坏件后在约定时间内将可用备件送达指定收货点。</w:t>
      </w:r>
    </w:p>
    <w:p w14:paraId="4AF0507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此服务中，客户将承担将故障件返回到维护服务供应商指定库房所发生的相关运输和保险费用。如果维护服务供应商在本地区提供了坏件提取（Pickup）服务，维护服务供应商将会承担将故障件返还的所有相关运输和保险费用。</w:t>
      </w:r>
    </w:p>
    <w:p w14:paraId="5E67B7E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更换件是同等类型和功能的好件。维护服务供应商向客户提供的更换件归客户所有，而客户原有的故障件归维护服务供应商所有，</w:t>
      </w:r>
      <w:r>
        <w:rPr>
          <w:rFonts w:hint="eastAsia" w:ascii="宋体" w:hAnsi="宋体" w:eastAsia="宋体" w:cs="宋体"/>
          <w:b w:val="0"/>
          <w:bCs w:val="0"/>
          <w:color w:val="000000" w:themeColor="text1"/>
          <w:sz w:val="24"/>
          <w:szCs w:val="24"/>
          <w14:textFill>
            <w14:solidFill>
              <w14:schemeClr w14:val="tx1"/>
            </w14:solidFill>
          </w14:textFill>
        </w:rPr>
        <w:t>如果客户由于数据安全、保密等原因，不能返还故障部件，客户应当提前购买故障件保留服务。</w:t>
      </w:r>
    </w:p>
    <w:p w14:paraId="6FD72D1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经维护服务供应商更换过的产品/部件，可以获得维修完成发货之日起或设备更换之日起 90 天的维保服务，或者继续获得原有的剩余维保期服务，以两者中较长的时间为准。</w:t>
      </w:r>
    </w:p>
    <w:p w14:paraId="1FD3F31A">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43" w:name="_Toc97807667"/>
      <w:r>
        <w:rPr>
          <w:rFonts w:hint="eastAsia" w:ascii="宋体" w:hAnsi="宋体" w:eastAsia="宋体" w:cs="宋体"/>
          <w:b w:val="0"/>
          <w:bCs w:val="0"/>
          <w:color w:val="000000" w:themeColor="text1"/>
          <w:sz w:val="24"/>
          <w:szCs w:val="24"/>
          <w14:textFill>
            <w14:solidFill>
              <w14:schemeClr w14:val="tx1"/>
            </w14:solidFill>
          </w14:textFill>
        </w:rPr>
        <w:t>（3）软件支持服务（工作内容）</w:t>
      </w:r>
      <w:bookmarkEnd w:id="243"/>
    </w:p>
    <w:p w14:paraId="5FD67802">
      <w:pPr>
        <w:pageBreakBefore w:val="0"/>
        <w:tabs>
          <w:tab w:val="left" w:pos="2520"/>
        </w:tabs>
        <w:kinsoku/>
        <w:wordWrap/>
        <w:overflowPunct/>
        <w:topLinePunct w:val="0"/>
        <w:bidi w:val="0"/>
        <w:snapToGrid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为确保客户购买设备的稳定运行，维护工程师向客户提供软件修正补丁并进行安装工作。补丁是指维护服务供应商对原授权软件所做的修正和补充，是此版本软件运行过程中已发现问题的解决措施，这些软件补丁都在实际应用环境或者模拟实验网中得到改进和验证，将对原授权软件起到消除运行隐患的作用。</w:t>
      </w:r>
    </w:p>
    <w:p w14:paraId="4963F9C7">
      <w:pPr>
        <w:pageBreakBefore w:val="0"/>
        <w:kinsoku/>
        <w:wordWrap/>
        <w:overflowPunct/>
        <w:topLinePunct w:val="0"/>
        <w:bidi w:val="0"/>
        <w:spacing w:before="0" w:beforeAutospacing="0" w:after="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44" w:name="_Toc97807668"/>
      <w:r>
        <w:rPr>
          <w:rFonts w:hint="eastAsia" w:ascii="宋体" w:hAnsi="宋体" w:eastAsia="宋体" w:cs="宋体"/>
          <w:b w:val="0"/>
          <w:bCs w:val="0"/>
          <w:color w:val="000000" w:themeColor="text1"/>
          <w:sz w:val="24"/>
          <w:szCs w:val="24"/>
          <w14:textFill>
            <w14:solidFill>
              <w14:schemeClr w14:val="tx1"/>
            </w14:solidFill>
          </w14:textFill>
        </w:rPr>
        <w:t>（4）</w:t>
      </w:r>
      <w:bookmarkEnd w:id="244"/>
      <w:bookmarkStart w:id="245" w:name="_Toc97807670"/>
      <w:r>
        <w:rPr>
          <w:rFonts w:hint="eastAsia" w:ascii="宋体" w:hAnsi="宋体" w:eastAsia="宋体" w:cs="宋体"/>
          <w:b w:val="0"/>
          <w:bCs w:val="0"/>
          <w:color w:val="000000" w:themeColor="text1"/>
          <w:sz w:val="24"/>
          <w:szCs w:val="24"/>
          <w14:textFill>
            <w14:solidFill>
              <w14:schemeClr w14:val="tx1"/>
            </w14:solidFill>
          </w14:textFill>
        </w:rPr>
        <w:t>其他编制说明</w:t>
      </w:r>
      <w:bookmarkEnd w:id="245"/>
    </w:p>
    <w:p w14:paraId="1718569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提供自签订维保服务合同之日起为期</w:t>
      </w:r>
      <w:r>
        <w:rPr>
          <w:rFonts w:hint="eastAsia" w:ascii="宋体" w:hAnsi="宋体" w:eastAsia="宋体" w:cs="宋体"/>
          <w:b w:val="0"/>
          <w:bCs w:val="0"/>
          <w:color w:val="000000" w:themeColor="text1"/>
          <w:sz w:val="24"/>
          <w:szCs w:val="24"/>
          <w:lang w:eastAsia="zh-CN"/>
          <w14:textFill>
            <w14:solidFill>
              <w14:schemeClr w14:val="tx1"/>
            </w14:solidFill>
          </w14:textFill>
        </w:rPr>
        <w:t>1年</w:t>
      </w:r>
      <w:r>
        <w:rPr>
          <w:rFonts w:hint="eastAsia" w:ascii="宋体" w:hAnsi="宋体" w:eastAsia="宋体" w:cs="宋体"/>
          <w:b w:val="0"/>
          <w:bCs w:val="0"/>
          <w:color w:val="000000" w:themeColor="text1"/>
          <w:sz w:val="24"/>
          <w:szCs w:val="24"/>
          <w14:textFill>
            <w14:solidFill>
              <w14:schemeClr w14:val="tx1"/>
            </w14:solidFill>
          </w14:textFill>
        </w:rPr>
        <w:t>的SMC 业务管理中心”维保服务。</w:t>
      </w:r>
    </w:p>
    <w:p w14:paraId="0C4D026F">
      <w:pPr>
        <w:pageBreakBefore w:val="0"/>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46" w:name="_Toc97807671"/>
      <w:r>
        <w:rPr>
          <w:rFonts w:hint="eastAsia" w:ascii="宋体" w:hAnsi="宋体" w:eastAsia="宋体" w:cs="宋体"/>
          <w:b w:val="0"/>
          <w:bCs w:val="0"/>
          <w:color w:val="000000" w:themeColor="text1"/>
          <w:sz w:val="24"/>
          <w:szCs w:val="24"/>
          <w14:textFill>
            <w14:solidFill>
              <w14:schemeClr w14:val="tx1"/>
            </w14:solidFill>
          </w14:textFill>
        </w:rPr>
        <w:t>7.15驻场维护服务说明</w:t>
      </w:r>
      <w:bookmarkEnd w:id="246"/>
    </w:p>
    <w:p w14:paraId="05035AB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结合新疆出入境边防检查总站视频会议系统实际，保障新疆出入境边防检查总站视频会议系统整体平稳、高效地运行，满足日常的会议需求等等；优化视频会议系统，保障视频会议业务运行通畅。同时，完善运维管理体系的建设，“以流程为导向，以服务为核心”提高服务质量水平、转变服务理念、拓宽服务范围、提高服务效率、提升用户服务满意度。</w:t>
      </w:r>
    </w:p>
    <w:p w14:paraId="6251B3D5">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47" w:name="_Toc97807672"/>
      <w:bookmarkStart w:id="248" w:name="_Toc2832"/>
      <w:r>
        <w:rPr>
          <w:rFonts w:hint="eastAsia" w:ascii="宋体" w:hAnsi="宋体" w:eastAsia="宋体" w:cs="宋体"/>
          <w:b w:val="0"/>
          <w:bCs w:val="0"/>
          <w:color w:val="000000" w:themeColor="text1"/>
          <w:sz w:val="24"/>
          <w:szCs w:val="24"/>
          <w14:textFill>
            <w14:solidFill>
              <w14:schemeClr w14:val="tx1"/>
            </w14:solidFill>
          </w14:textFill>
        </w:rPr>
        <w:t>7.15.1服务方式</w:t>
      </w:r>
      <w:bookmarkEnd w:id="247"/>
      <w:bookmarkEnd w:id="248"/>
    </w:p>
    <w:p w14:paraId="0F04A272">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新疆出入境边防检查总站视频会议系统在日常工作中非常重要，要求各系统7*24小时无故障运行，且对在系统使用过程中的突发性故障、各种临时事件要求立即恢复正常运行；基于以上，为了体现运维服务的重要性和专业性，应采用工程师驻场维护的方式， 驻场工程师的正常工作时间为每周</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天（周一至周</w:t>
      </w:r>
      <w:r>
        <w:rPr>
          <w:rFonts w:hint="eastAsia" w:ascii="宋体" w:hAnsi="宋体" w:eastAsia="宋体" w:cs="宋体"/>
          <w:b w:val="0"/>
          <w:bCs w:val="0"/>
          <w:color w:val="000000" w:themeColor="text1"/>
          <w:sz w:val="24"/>
          <w:szCs w:val="24"/>
          <w:lang w:val="en-US" w:eastAsia="zh-CN"/>
          <w14:textFill>
            <w14:solidFill>
              <w14:schemeClr w14:val="tx1"/>
            </w14:solidFill>
          </w14:textFill>
        </w:rPr>
        <w:t>日</w:t>
      </w:r>
      <w:r>
        <w:rPr>
          <w:rFonts w:hint="eastAsia" w:ascii="宋体" w:hAnsi="宋体" w:eastAsia="宋体" w:cs="宋体"/>
          <w:b w:val="0"/>
          <w:bCs w:val="0"/>
          <w:color w:val="000000" w:themeColor="text1"/>
          <w:sz w:val="24"/>
          <w:szCs w:val="24"/>
          <w14:textFill>
            <w14:solidFill>
              <w14:schemeClr w14:val="tx1"/>
            </w14:solidFill>
          </w14:textFill>
        </w:rPr>
        <w:t>），每天</w:t>
      </w: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14:textFill>
            <w14:solidFill>
              <w14:schemeClr w14:val="tx1"/>
            </w14:solidFill>
          </w14:textFill>
        </w:rPr>
        <w:t>小时</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10：00-22:00</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w:t>
      </w:r>
    </w:p>
    <w:p w14:paraId="15419BAB">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49" w:name="_Toc8098"/>
      <w:bookmarkStart w:id="250" w:name="_Toc97807673"/>
      <w:r>
        <w:rPr>
          <w:rFonts w:hint="eastAsia" w:ascii="宋体" w:hAnsi="宋体" w:eastAsia="宋体" w:cs="宋体"/>
          <w:b w:val="0"/>
          <w:bCs w:val="0"/>
          <w:color w:val="000000" w:themeColor="text1"/>
          <w:sz w:val="24"/>
          <w:szCs w:val="24"/>
          <w14:textFill>
            <w14:solidFill>
              <w14:schemeClr w14:val="tx1"/>
            </w14:solidFill>
          </w14:textFill>
        </w:rPr>
        <w:t>7.15.2驻场及维保服务内容</w:t>
      </w:r>
      <w:bookmarkEnd w:id="249"/>
      <w:bookmarkEnd w:id="250"/>
    </w:p>
    <w:p w14:paraId="13357758">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驻场及维保服务主要包括针对视频会议系统，进行设备维护、终端维护、日常</w:t>
      </w:r>
      <w:r>
        <w:rPr>
          <w:rFonts w:hint="eastAsia" w:ascii="宋体" w:hAnsi="宋体" w:eastAsia="宋体" w:cs="宋体"/>
          <w:b w:val="0"/>
          <w:bCs w:val="0"/>
          <w:color w:val="000000" w:themeColor="text1"/>
          <w:sz w:val="24"/>
          <w:szCs w:val="24"/>
          <w:lang w:val="en-US" w:eastAsia="zh-CN"/>
          <w14:textFill>
            <w14:solidFill>
              <w14:schemeClr w14:val="tx1"/>
            </w14:solidFill>
          </w14:textFill>
        </w:rPr>
        <w:t>维护</w:t>
      </w:r>
      <w:r>
        <w:rPr>
          <w:rFonts w:hint="eastAsia" w:ascii="宋体" w:hAnsi="宋体" w:eastAsia="宋体" w:cs="宋体"/>
          <w:b w:val="0"/>
          <w:bCs w:val="0"/>
          <w:color w:val="000000" w:themeColor="text1"/>
          <w:sz w:val="24"/>
          <w:szCs w:val="24"/>
          <w14:textFill>
            <w14:solidFill>
              <w14:schemeClr w14:val="tx1"/>
            </w14:solidFill>
          </w14:textFill>
        </w:rPr>
        <w:t xml:space="preserve">、故障处理、会议保障、性能测试、变更调试等驻场维护，故障处理和应急服务，具体服务方式及内容如下： </w:t>
      </w:r>
    </w:p>
    <w:p w14:paraId="740DB2E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51" w:name="_Toc23070"/>
      <w:bookmarkStart w:id="252" w:name="_Toc97807674"/>
      <w:r>
        <w:rPr>
          <w:rFonts w:hint="eastAsia" w:ascii="宋体" w:hAnsi="宋体" w:eastAsia="宋体" w:cs="宋体"/>
          <w:b w:val="0"/>
          <w:bCs w:val="0"/>
          <w:color w:val="000000" w:themeColor="text1"/>
          <w:sz w:val="24"/>
          <w:szCs w:val="24"/>
          <w14:textFill>
            <w14:solidFill>
              <w14:schemeClr w14:val="tx1"/>
            </w14:solidFill>
          </w14:textFill>
        </w:rPr>
        <w:t>①驻场服务，主要包含总站机关365天7*12小时驻场服务，现场运维总站机关视频会议系统设备。</w:t>
      </w:r>
    </w:p>
    <w:p w14:paraId="4DD56CAD">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②运维服务，主要包括全疆699台视频会议设备故障处理，硬件故障维修服务。</w:t>
      </w:r>
    </w:p>
    <w:p w14:paraId="3BBED43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③应急服务，主要包括24小时工程师远程服务和现场故障应急处理服务。</w:t>
      </w:r>
    </w:p>
    <w:p w14:paraId="5DD90515">
      <w:pPr>
        <w:pageBreakBefore w:val="0"/>
        <w:tabs>
          <w:tab w:val="center" w:pos="4535"/>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7.15.3信息资产统计及标注服务</w:t>
      </w:r>
      <w:bookmarkEnd w:id="251"/>
      <w:bookmarkEnd w:id="252"/>
      <w:r>
        <w:rPr>
          <w:rFonts w:hint="eastAsia" w:ascii="宋体" w:hAnsi="宋体" w:eastAsia="宋体" w:cs="宋体"/>
          <w:b w:val="0"/>
          <w:bCs w:val="0"/>
          <w:color w:val="000000" w:themeColor="text1"/>
          <w:sz w:val="24"/>
          <w:szCs w:val="24"/>
          <w:lang w:eastAsia="zh-CN"/>
          <w14:textFill>
            <w14:solidFill>
              <w14:schemeClr w14:val="tx1"/>
            </w14:solidFill>
          </w14:textFill>
        </w:rPr>
        <w:tab/>
      </w:r>
    </w:p>
    <w:p w14:paraId="0750FE6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此项服务为基本服务，包含在运行维护服务中，帮助我们对用户现有的信息资产情况进行了解，更好的提供系统的运行维护服务，同时为用户管理及统计固定资产提供可靠数据。</w:t>
      </w:r>
    </w:p>
    <w:p w14:paraId="2485E9B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服务内容包括：</w:t>
      </w:r>
    </w:p>
    <w:p w14:paraId="684FF9AE">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1、硬件设备型号、数量、版本等信息统计记录；</w:t>
      </w:r>
    </w:p>
    <w:p w14:paraId="19624D21">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2、软件产品型号、版本和补丁等信息统计记录；</w:t>
      </w:r>
    </w:p>
    <w:p w14:paraId="158E15CE">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3视频会议系统结构、网络IP地址统计记录；</w:t>
      </w:r>
    </w:p>
    <w:p w14:paraId="441F610F">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4、各设备标签的打印及标注；</w:t>
      </w:r>
    </w:p>
    <w:p w14:paraId="68A9DAF3">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5、其它附属设备的统计记录。</w:t>
      </w:r>
    </w:p>
    <w:p w14:paraId="0543242C">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53" w:name="_Toc97807675"/>
      <w:bookmarkStart w:id="254" w:name="_Toc31359"/>
      <w:r>
        <w:rPr>
          <w:rFonts w:hint="eastAsia" w:ascii="宋体" w:hAnsi="宋体" w:eastAsia="宋体" w:cs="宋体"/>
          <w:b w:val="0"/>
          <w:bCs w:val="0"/>
          <w:color w:val="000000" w:themeColor="text1"/>
          <w:sz w:val="24"/>
          <w:szCs w:val="24"/>
          <w14:textFill>
            <w14:solidFill>
              <w14:schemeClr w14:val="tx1"/>
            </w14:solidFill>
          </w14:textFill>
        </w:rPr>
        <w:t>7.15.3.1、设备清洁</w:t>
      </w:r>
      <w:bookmarkEnd w:id="253"/>
      <w:bookmarkEnd w:id="254"/>
    </w:p>
    <w:p w14:paraId="004B6458">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设备清洁服务内容如下：</w:t>
      </w:r>
    </w:p>
    <w:p w14:paraId="76892E5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1.清理前的准备</w:t>
      </w:r>
    </w:p>
    <w:p w14:paraId="6452F48D">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设定除尘周期</w:t>
      </w:r>
    </w:p>
    <w:p w14:paraId="13B4A6F5">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谨防静电危害</w:t>
      </w:r>
    </w:p>
    <w:p w14:paraId="76248BA8">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了解设备结构</w:t>
      </w:r>
    </w:p>
    <w:p w14:paraId="79629E0A">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清洁工具的选择</w:t>
      </w:r>
    </w:p>
    <w:p w14:paraId="79B34EA4">
      <w:pPr>
        <w:pageBreakBefore w:val="0"/>
        <w:widowControl/>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p>
    <w:p w14:paraId="1AF691F8">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2.重点部件的清洁</w:t>
      </w:r>
    </w:p>
    <w:p w14:paraId="60A5079A">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插接件的处理</w:t>
      </w:r>
    </w:p>
    <w:p w14:paraId="3D0977A6">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风扇的清洁</w:t>
      </w:r>
    </w:p>
    <w:p w14:paraId="266535E6">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箱体表面清洁</w:t>
      </w:r>
    </w:p>
    <w:p w14:paraId="1989B28D">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外围插头、插座清洁</w:t>
      </w:r>
    </w:p>
    <w:p w14:paraId="2F54B230">
      <w:pPr>
        <w:pageBreakBefore w:val="0"/>
        <w:widowControl/>
        <w:numPr>
          <w:ilvl w:val="0"/>
          <w:numId w:val="4"/>
        </w:numPr>
        <w:kinsoku/>
        <w:wordWrap/>
        <w:overflowPunct/>
        <w:topLinePunct w:val="0"/>
        <w:bidi w:val="0"/>
        <w:spacing w:beforeAutospacing="0" w:afterAutospacing="0" w:line="360" w:lineRule="auto"/>
        <w:ind w:left="0" w:firstLine="480" w:firstLineChars="200"/>
        <w:jc w:val="left"/>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电源</w:t>
      </w:r>
    </w:p>
    <w:p w14:paraId="2EED353B">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55" w:name="_Toc97807676"/>
      <w:bookmarkStart w:id="256" w:name="_Toc16522"/>
      <w:r>
        <w:rPr>
          <w:rFonts w:hint="eastAsia" w:ascii="宋体" w:hAnsi="宋体" w:eastAsia="宋体" w:cs="宋体"/>
          <w:b w:val="0"/>
          <w:bCs w:val="0"/>
          <w:color w:val="000000" w:themeColor="text1"/>
          <w:sz w:val="24"/>
          <w:szCs w:val="24"/>
          <w14:textFill>
            <w14:solidFill>
              <w14:schemeClr w14:val="tx1"/>
            </w14:solidFill>
          </w14:textFill>
        </w:rPr>
        <w:t>7.15.3.2、设备健康检查</w:t>
      </w:r>
      <w:bookmarkEnd w:id="255"/>
      <w:bookmarkEnd w:id="256"/>
    </w:p>
    <w:p w14:paraId="4BC45BD6">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维保服务供应商将根据服务计划做出的安排，定期对视频会议系统相关设备进行预防性检查，以确保系统或设备处于良好的工作状态。</w:t>
      </w:r>
    </w:p>
    <w:p w14:paraId="7185D571">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对服务器系统的检查内容包括：</w:t>
      </w:r>
    </w:p>
    <w:p w14:paraId="6EC7FC3C">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检查系统日志及系统邮件</w:t>
      </w:r>
    </w:p>
    <w:p w14:paraId="1FADDB24">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硬件检测</w:t>
      </w:r>
    </w:p>
    <w:p w14:paraId="13F97540">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检查操作系统修补软件和维护版本</w:t>
      </w:r>
    </w:p>
    <w:p w14:paraId="4532E0B3">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设备清洁</w:t>
      </w:r>
    </w:p>
    <w:p w14:paraId="13B55E89">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服务器系统性能评估及优化</w:t>
      </w:r>
    </w:p>
    <w:p w14:paraId="7A30B704">
      <w:pPr>
        <w:pageBreakBefore w:val="0"/>
        <w:numPr>
          <w:ilvl w:val="0"/>
          <w:numId w:val="5"/>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操作系统备份及恢复测试</w:t>
      </w:r>
    </w:p>
    <w:p w14:paraId="3A0242F6">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57" w:name="_Toc29903"/>
      <w:bookmarkStart w:id="258" w:name="_Toc97807677"/>
      <w:r>
        <w:rPr>
          <w:rFonts w:hint="eastAsia" w:ascii="宋体" w:hAnsi="宋体" w:eastAsia="宋体" w:cs="宋体"/>
          <w:b w:val="0"/>
          <w:bCs w:val="0"/>
          <w:color w:val="000000" w:themeColor="text1"/>
          <w:sz w:val="24"/>
          <w:szCs w:val="24"/>
          <w14:textFill>
            <w14:solidFill>
              <w14:schemeClr w14:val="tx1"/>
            </w14:solidFill>
          </w14:textFill>
        </w:rPr>
        <w:t>7.15.3.3、系统安装、升级、配置</w:t>
      </w:r>
      <w:bookmarkEnd w:id="257"/>
      <w:bookmarkEnd w:id="258"/>
    </w:p>
    <w:p w14:paraId="5D33BECD">
      <w:pPr>
        <w:pageBreakBefore w:val="0"/>
        <w:tabs>
          <w:tab w:val="left" w:pos="851"/>
        </w:tabs>
        <w:kinsoku/>
        <w:wordWrap/>
        <w:overflowPunct/>
        <w:topLinePunct w:val="0"/>
        <w:autoSpaceDE w:val="0"/>
        <w:autoSpaceDN w:val="0"/>
        <w:bidi w:val="0"/>
        <w:adjustRightInd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系统运行期间的系统安装、升级、配置的更新服务。当用户所用的操作系统有更新的版本出现；或者使用的应用软件需要更新的操作系统支持；或者有更新的硬件部件可以应用到系统上时，将及时向用户做出通知并根据实际情况做出操作系统升级的方案。</w:t>
      </w:r>
    </w:p>
    <w:p w14:paraId="6F48A0CA">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59" w:name="_Toc97807678"/>
      <w:bookmarkStart w:id="260" w:name="_Toc4353"/>
      <w:r>
        <w:rPr>
          <w:rFonts w:hint="eastAsia" w:ascii="宋体" w:hAnsi="宋体" w:eastAsia="宋体" w:cs="宋体"/>
          <w:b w:val="0"/>
          <w:bCs w:val="0"/>
          <w:color w:val="000000" w:themeColor="text1"/>
          <w:sz w:val="24"/>
          <w:szCs w:val="24"/>
          <w14:textFill>
            <w14:solidFill>
              <w14:schemeClr w14:val="tx1"/>
            </w14:solidFill>
          </w14:textFill>
        </w:rPr>
        <w:t>7.15.4驻场及维保服务计划方案</w:t>
      </w:r>
      <w:bookmarkEnd w:id="259"/>
      <w:bookmarkEnd w:id="260"/>
    </w:p>
    <w:p w14:paraId="6F73EB7E">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61" w:name="_Toc27866"/>
      <w:bookmarkStart w:id="262" w:name="_Toc97807679"/>
      <w:r>
        <w:rPr>
          <w:rFonts w:hint="eastAsia" w:ascii="宋体" w:hAnsi="宋体" w:eastAsia="宋体" w:cs="宋体"/>
          <w:b w:val="0"/>
          <w:bCs w:val="0"/>
          <w:color w:val="000000" w:themeColor="text1"/>
          <w:sz w:val="24"/>
          <w:szCs w:val="24"/>
          <w14:textFill>
            <w14:solidFill>
              <w14:schemeClr w14:val="tx1"/>
            </w14:solidFill>
          </w14:textFill>
        </w:rPr>
        <w:t>7.15.4.1运维服务准备</w:t>
      </w:r>
      <w:bookmarkEnd w:id="261"/>
      <w:bookmarkEnd w:id="262"/>
    </w:p>
    <w:p w14:paraId="0F2C1374">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做好运维服务项目的准备工作是项目顺利完成的前提条件。在运维服务项目开始前，专业运维公司将积极做好前期准备工作，在这个阶段，有三个主要步骤：</w:t>
      </w:r>
    </w:p>
    <w:p w14:paraId="30E45451">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63" w:name="_Toc15613"/>
      <w:bookmarkStart w:id="264" w:name="_Toc97807680"/>
      <w:r>
        <w:rPr>
          <w:rFonts w:hint="eastAsia" w:ascii="宋体" w:hAnsi="宋体" w:eastAsia="宋体" w:cs="宋体"/>
          <w:b w:val="0"/>
          <w:bCs w:val="0"/>
          <w:color w:val="000000" w:themeColor="text1"/>
          <w:sz w:val="24"/>
          <w:szCs w:val="24"/>
          <w14:textFill>
            <w14:solidFill>
              <w14:schemeClr w14:val="tx1"/>
            </w14:solidFill>
          </w14:textFill>
        </w:rPr>
        <w:t>7.15.4.2人员准备</w:t>
      </w:r>
      <w:bookmarkEnd w:id="263"/>
      <w:bookmarkEnd w:id="264"/>
      <w:r>
        <w:rPr>
          <w:rFonts w:hint="eastAsia" w:ascii="宋体" w:hAnsi="宋体" w:eastAsia="宋体" w:cs="宋体"/>
          <w:b w:val="0"/>
          <w:bCs w:val="0"/>
          <w:color w:val="000000" w:themeColor="text1"/>
          <w:sz w:val="24"/>
          <w:szCs w:val="24"/>
          <w14:textFill>
            <w14:solidFill>
              <w14:schemeClr w14:val="tx1"/>
            </w14:solidFill>
          </w14:textFill>
        </w:rPr>
        <w:t xml:space="preserve"> </w:t>
      </w:r>
    </w:p>
    <w:p w14:paraId="6DD46623">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依据服务方案，培训相应数量、具备相应技术资质的专业服务人员，并提供这些服务人员的：</w:t>
      </w:r>
    </w:p>
    <w:p w14:paraId="5843AF56">
      <w:pPr>
        <w:pageBreakBefore w:val="0"/>
        <w:numPr>
          <w:ilvl w:val="0"/>
          <w:numId w:val="6"/>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身份证明；</w:t>
      </w:r>
    </w:p>
    <w:p w14:paraId="2F1809CA">
      <w:pPr>
        <w:pageBreakBefore w:val="0"/>
        <w:numPr>
          <w:ilvl w:val="0"/>
          <w:numId w:val="6"/>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劳动关系证明；</w:t>
      </w:r>
    </w:p>
    <w:p w14:paraId="2757C7B5">
      <w:pPr>
        <w:pageBreakBefore w:val="0"/>
        <w:numPr>
          <w:ilvl w:val="0"/>
          <w:numId w:val="6"/>
        </w:numPr>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学历和技术专业资质证明；</w:t>
      </w:r>
    </w:p>
    <w:p w14:paraId="49758E42">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65" w:name="_Toc97807681"/>
      <w:bookmarkStart w:id="266" w:name="_Toc23773"/>
      <w:r>
        <w:rPr>
          <w:rFonts w:hint="eastAsia" w:ascii="宋体" w:hAnsi="宋体" w:eastAsia="宋体" w:cs="宋体"/>
          <w:b w:val="0"/>
          <w:bCs w:val="0"/>
          <w:color w:val="000000" w:themeColor="text1"/>
          <w:sz w:val="24"/>
          <w:szCs w:val="24"/>
          <w14:textFill>
            <w14:solidFill>
              <w14:schemeClr w14:val="tx1"/>
            </w14:solidFill>
          </w14:textFill>
        </w:rPr>
        <w:t>7.15.4.3工具准备</w:t>
      </w:r>
      <w:bookmarkEnd w:id="265"/>
      <w:bookmarkEnd w:id="266"/>
      <w:r>
        <w:rPr>
          <w:rFonts w:hint="eastAsia" w:ascii="宋体" w:hAnsi="宋体" w:eastAsia="宋体" w:cs="宋体"/>
          <w:b w:val="0"/>
          <w:bCs w:val="0"/>
          <w:color w:val="000000" w:themeColor="text1"/>
          <w:sz w:val="24"/>
          <w:szCs w:val="24"/>
          <w14:textFill>
            <w14:solidFill>
              <w14:schemeClr w14:val="tx1"/>
            </w14:solidFill>
          </w14:textFill>
        </w:rPr>
        <w:t xml:space="preserve"> </w:t>
      </w:r>
    </w:p>
    <w:p w14:paraId="36C101CC">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依据服务方案，针对企业的IT资产类别、数量等为服务外包项目准备相应的备机、备件以及工具。</w:t>
      </w:r>
    </w:p>
    <w:p w14:paraId="1B0A3501">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服务工具包括软性工具和硬性工具，软性工具包括各类排故软件、知识库系统、；硬件工具指维修、保养、检测工具及调测仪器等。</w:t>
      </w:r>
    </w:p>
    <w:p w14:paraId="66DCCBF8">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67" w:name="_Toc97807682"/>
      <w:bookmarkStart w:id="268" w:name="_Toc2644"/>
      <w:r>
        <w:rPr>
          <w:rFonts w:hint="eastAsia" w:ascii="宋体" w:hAnsi="宋体" w:eastAsia="宋体" w:cs="宋体"/>
          <w:b w:val="0"/>
          <w:bCs w:val="0"/>
          <w:color w:val="000000" w:themeColor="text1"/>
          <w:sz w:val="24"/>
          <w:szCs w:val="24"/>
          <w14:textFill>
            <w14:solidFill>
              <w14:schemeClr w14:val="tx1"/>
            </w14:solidFill>
          </w14:textFill>
        </w:rPr>
        <w:t>7.15.5项目人员组织</w:t>
      </w:r>
      <w:bookmarkEnd w:id="267"/>
      <w:bookmarkEnd w:id="268"/>
    </w:p>
    <w:p w14:paraId="34C21D43">
      <w:pPr>
        <w:pageBreakBefore w:val="0"/>
        <w:tabs>
          <w:tab w:val="left" w:pos="1260"/>
        </w:tabs>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根据视频会议系统保障的的要求，维护服务供应商将派出</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位运维工程师，长期值守为1人；其余</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人以排班制的形式流进行驻场及维保服务。当系统发生故障时，运维工程师进行故障排除，如运维工程师现场无法自己解决问题时，维护服务供应商后台强大的专家团队将通过远程支持等方式进行支持处理，如24小时内无法解决故障，维护服务供应商将派出后台相应的专家赴现场进行处理。</w:t>
      </w:r>
    </w:p>
    <w:p w14:paraId="1BB9CE91">
      <w:pPr>
        <w:pageBreakBefore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69" w:name="_Toc31197"/>
      <w:bookmarkStart w:id="270" w:name="_Toc97807683"/>
      <w:r>
        <w:rPr>
          <w:rFonts w:hint="eastAsia" w:ascii="宋体" w:hAnsi="宋体" w:eastAsia="宋体" w:cs="宋体"/>
          <w:b w:val="0"/>
          <w:bCs w:val="0"/>
          <w:color w:val="000000" w:themeColor="text1"/>
          <w:sz w:val="24"/>
          <w:szCs w:val="24"/>
          <w14:textFill>
            <w14:solidFill>
              <w14:schemeClr w14:val="tx1"/>
            </w14:solidFill>
          </w14:textFill>
        </w:rPr>
        <w:t>7.15.5.1人员职责与岗位要求</w:t>
      </w:r>
      <w:bookmarkEnd w:id="269"/>
      <w:bookmarkEnd w:id="270"/>
    </w:p>
    <w:p w14:paraId="33C62E7E">
      <w:pPr>
        <w:pageBreakBefore w:val="0"/>
        <w:kinsoku/>
        <w:wordWrap/>
        <w:overflowPunct/>
        <w:topLinePunct w:val="0"/>
        <w:bidi w:val="0"/>
        <w:spacing w:beforeAutospacing="0" w:afterAutospacing="0" w:line="360" w:lineRule="auto"/>
        <w:ind w:left="0" w:firstLine="480" w:firstLineChars="200"/>
        <w:contextualSpacing/>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运维工程师：至少1年视频会议系统维护经验，相关专业资质认证，具有良好的客户服务意识。</w:t>
      </w:r>
    </w:p>
    <w:p w14:paraId="7BE987FF">
      <w:pPr>
        <w:pageBreakBefore w:val="0"/>
        <w:numPr>
          <w:ilvl w:val="0"/>
          <w:numId w:val="0"/>
        </w:numPr>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bookmarkStart w:id="271" w:name="_Toc97807684"/>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设备维保清单</w:t>
      </w:r>
      <w:bookmarkEnd w:id="271"/>
    </w:p>
    <w:p w14:paraId="0D466ECE">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详见附件及</w:t>
      </w:r>
      <w:r>
        <w:rPr>
          <w:rFonts w:hint="eastAsia" w:ascii="宋体" w:hAnsi="宋体" w:cs="宋体"/>
          <w:i w:val="0"/>
          <w:iCs w:val="0"/>
          <w:color w:val="000000" w:themeColor="text1"/>
          <w:kern w:val="2"/>
          <w:sz w:val="24"/>
          <w:szCs w:val="24"/>
          <w:u w:val="none"/>
          <w:lang w:val="en-US" w:eastAsia="zh-CN" w:bidi="ar"/>
          <w14:textFill>
            <w14:solidFill>
              <w14:schemeClr w14:val="tx1"/>
            </w14:solidFill>
          </w14:textFill>
        </w:rPr>
        <w:t>服务</w:t>
      </w:r>
      <w:r>
        <w:rPr>
          <w:rFonts w:hint="eastAsia" w:ascii="宋体" w:hAnsi="宋体" w:eastAsia="宋体" w:cs="宋体"/>
          <w:i w:val="0"/>
          <w:iCs w:val="0"/>
          <w:color w:val="000000" w:themeColor="text1"/>
          <w:kern w:val="2"/>
          <w:sz w:val="24"/>
          <w:szCs w:val="24"/>
          <w:u w:val="none"/>
          <w:lang w:val="en-US" w:eastAsia="zh-CN" w:bidi="ar"/>
          <w14:textFill>
            <w14:solidFill>
              <w14:schemeClr w14:val="tx1"/>
            </w14:solidFill>
          </w14:textFill>
        </w:rPr>
        <w:t>清单</w:t>
      </w:r>
    </w:p>
    <w:p w14:paraId="76944071">
      <w:pPr>
        <w:pageBreakBefore w:val="0"/>
        <w:numPr>
          <w:ilvl w:val="0"/>
          <w:numId w:val="0"/>
        </w:numPr>
        <w:tabs>
          <w:tab w:val="left" w:pos="0"/>
        </w:tabs>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9、</w:t>
      </w:r>
      <w:r>
        <w:rPr>
          <w:rFonts w:hint="eastAsia" w:ascii="宋体" w:hAnsi="宋体" w:eastAsia="宋体" w:cs="宋体"/>
          <w:b w:val="0"/>
          <w:bCs w:val="0"/>
          <w:color w:val="000000" w:themeColor="text1"/>
          <w:sz w:val="24"/>
          <w:szCs w:val="24"/>
          <w14:textFill>
            <w14:solidFill>
              <w14:schemeClr w14:val="tx1"/>
            </w14:solidFill>
          </w14:textFill>
        </w:rPr>
        <w:t>服务内容</w:t>
      </w:r>
    </w:p>
    <w:p w14:paraId="151C79BA">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①驻场服务，主要包含总站机关365天7*12小时驻场服务，现场运维总站机关视频会议系统设备。</w:t>
      </w:r>
    </w:p>
    <w:p w14:paraId="256C1A22">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②运维服务，主要包括全疆699台视频会议设备故障处理，硬件故障维修服务。</w:t>
      </w:r>
    </w:p>
    <w:p w14:paraId="67FBEBD5">
      <w:pPr>
        <w:pageBreakBefore w:val="0"/>
        <w:kinsoku/>
        <w:wordWrap/>
        <w:overflowPunct/>
        <w:topLinePunct w:val="0"/>
        <w:bidi w:val="0"/>
        <w:spacing w:beforeAutospacing="0" w:afterAutospacing="0" w:line="360" w:lineRule="auto"/>
        <w:ind w:left="0" w:firstLine="480" w:firstLineChars="200"/>
        <w:textAlignment w:val="auto"/>
        <w:outlineLvl w:val="9"/>
        <w:rPr>
          <w:rFonts w:hint="eastAsia"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③应急服务，主要包括24小时工程师远程服务和现场故障应急处理服务。</w:t>
      </w:r>
    </w:p>
    <w:p w14:paraId="2E3EC178">
      <w:pPr>
        <w:rPr>
          <w:rFonts w:hint="eastAsia" w:ascii="宋体" w:hAnsi="宋体" w:eastAsia="宋体" w:cs="宋体"/>
          <w:color w:val="000000" w:themeColor="text1"/>
          <w14:textFill>
            <w14:solidFill>
              <w14:schemeClr w14:val="tx1"/>
            </w14:solidFill>
          </w14:textFill>
        </w:rPr>
      </w:pPr>
    </w:p>
    <w:p w14:paraId="71AB3A7B">
      <w:pPr>
        <w:rPr>
          <w:rFonts w:hint="eastAsia" w:ascii="宋体" w:hAnsi="宋体"/>
          <w:b/>
          <w:color w:val="000000" w:themeColor="text1"/>
          <w:sz w:val="36"/>
          <w:highlight w:val="none"/>
          <w14:textFill>
            <w14:solidFill>
              <w14:schemeClr w14:val="tx1"/>
            </w14:solidFill>
          </w14:textFill>
        </w:rPr>
        <w:sectPr>
          <w:footerReference r:id="rId9" w:type="default"/>
          <w:pgSz w:w="11906" w:h="16838"/>
          <w:pgMar w:top="1440" w:right="1701" w:bottom="1440" w:left="1701" w:header="851" w:footer="992" w:gutter="0"/>
          <w:pgNumType w:fmt="decimal" w:start="1"/>
          <w:cols w:space="720" w:num="1"/>
          <w:docGrid w:type="lines" w:linePitch="312" w:charSpace="0"/>
        </w:sectPr>
      </w:pPr>
      <w:r>
        <w:rPr>
          <w:rFonts w:hint="eastAsia" w:ascii="宋体" w:hAnsi="宋体"/>
          <w:b/>
          <w:color w:val="000000" w:themeColor="text1"/>
          <w:sz w:val="36"/>
          <w:highlight w:val="none"/>
          <w14:textFill>
            <w14:solidFill>
              <w14:schemeClr w14:val="tx1"/>
            </w14:solidFill>
          </w14:textFill>
        </w:rPr>
        <w:br w:type="page"/>
      </w:r>
    </w:p>
    <w:p w14:paraId="26C22D9F">
      <w:pPr>
        <w:jc w:val="both"/>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附件</w:t>
      </w:r>
    </w:p>
    <w:p w14:paraId="1463087A">
      <w:pPr>
        <w:jc w:val="center"/>
        <w:rPr>
          <w:rFonts w:hint="eastAsia" w:ascii="宋体" w:hAnsi="宋体"/>
          <w:b/>
          <w:color w:val="000000" w:themeColor="text1"/>
          <w:sz w:val="36"/>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48"/>
          <w:szCs w:val="48"/>
          <w:u w:val="none"/>
          <w:lang w:val="en-US" w:eastAsia="zh-CN" w:bidi="ar"/>
          <w14:textFill>
            <w14:solidFill>
              <w14:schemeClr w14:val="tx1"/>
            </w14:solidFill>
          </w14:textFill>
        </w:rPr>
        <w:t>视频会议系统维保</w:t>
      </w:r>
      <w:r>
        <w:rPr>
          <w:rFonts w:hint="eastAsia" w:ascii="宋体" w:hAnsi="宋体" w:cs="宋体"/>
          <w:i w:val="0"/>
          <w:iCs w:val="0"/>
          <w:color w:val="000000" w:themeColor="text1"/>
          <w:kern w:val="0"/>
          <w:sz w:val="48"/>
          <w:szCs w:val="48"/>
          <w:u w:val="none"/>
          <w:lang w:val="en-US" w:eastAsia="zh-CN" w:bidi="ar"/>
          <w14:textFill>
            <w14:solidFill>
              <w14:schemeClr w14:val="tx1"/>
            </w14:solidFill>
          </w14:textFill>
        </w:rPr>
        <w:t>服务</w:t>
      </w:r>
      <w:r>
        <w:rPr>
          <w:rFonts w:hint="eastAsia" w:ascii="宋体" w:hAnsi="宋体" w:eastAsia="宋体" w:cs="宋体"/>
          <w:i w:val="0"/>
          <w:iCs w:val="0"/>
          <w:color w:val="000000" w:themeColor="text1"/>
          <w:kern w:val="0"/>
          <w:sz w:val="48"/>
          <w:szCs w:val="48"/>
          <w:u w:val="none"/>
          <w:lang w:val="en-US" w:eastAsia="zh-CN" w:bidi="ar"/>
          <w14:textFill>
            <w14:solidFill>
              <w14:schemeClr w14:val="tx1"/>
            </w14:solidFill>
          </w14:textFill>
        </w:rPr>
        <w:t>清单</w:t>
      </w:r>
    </w:p>
    <w:tbl>
      <w:tblPr>
        <w:tblStyle w:val="23"/>
        <w:tblW w:w="130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1531"/>
        <w:gridCol w:w="5195"/>
        <w:gridCol w:w="3371"/>
        <w:gridCol w:w="1048"/>
        <w:gridCol w:w="636"/>
        <w:gridCol w:w="787"/>
      </w:tblGrid>
      <w:tr w14:paraId="30F3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FFA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EE6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服务名称</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231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服务内容</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17D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包含设备</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EB3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维保周期（月）</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E69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7A5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设备数量</w:t>
            </w:r>
          </w:p>
        </w:tc>
      </w:tr>
      <w:tr w14:paraId="7A98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F3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6F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驻场服务</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F0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1名驻场工程师7*12小时（早10时至晚22时）驻场服务小时驻场值守、系统运行监控、运维服务热线值守服务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E8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总站所属会议终端</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C7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2A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B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7D0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BF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25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故障诊断、维修服务、应急服务（TE30系列终端）</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78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C7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华为TE30视频会议终端及配套VPM220&amp;VPM200麦克风，VPC600&amp;VPC620会议摄像机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9F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72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F7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130</w:t>
            </w:r>
          </w:p>
        </w:tc>
      </w:tr>
      <w:tr w14:paraId="6A60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1C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E0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故障诊断、维修服务、应急服务（TE40系列终端）</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B3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0F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华为TE40视频会议终端及配套VPM220&amp;VPM200麦克风，VPC600&amp;VPC620会议摄像机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4C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E5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58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328</w:t>
            </w:r>
          </w:p>
        </w:tc>
      </w:tr>
      <w:tr w14:paraId="00C8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FA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A9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故障诊断、维修服务、应急服务（TE50系列终端）</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02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3D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华为TE50视频会议终端及配套VPM220&amp;VPM200麦克风，VPC600&amp;VPC620会议摄像机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18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99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3D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84</w:t>
            </w:r>
          </w:p>
        </w:tc>
      </w:tr>
      <w:tr w14:paraId="08E6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30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35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故障诊断、维修服务、应急服务（TE60系列终端）</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B2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180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华为TE60视频会议终端及配套VPM220&amp;VPM200麦克风，VPC600&amp;VPC620会议摄像机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C4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75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BE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r>
      <w:tr w14:paraId="150C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B5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8E2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故障诊断、维修服务、应急服务（bar300系列终端）</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6F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30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华为bar300视频会议终端及配套VPM220&amp;VPM200麦克风，VPC600&amp;VPC620会议摄像机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58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4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70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r>
      <w:tr w14:paraId="643A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BF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D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故障诊断、维修服务、应急服务（box300系列终端）</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893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BF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华为box300/310视频会议终端及配套VPM220&amp;VPM200麦克风，VPC600&amp;VPC620会议摄像机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33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B7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9C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w:t>
            </w:r>
          </w:p>
        </w:tc>
      </w:tr>
      <w:tr w14:paraId="40D0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1C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C2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故障诊断、维修服务、应急服务（box400/500/600系列终端）</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34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8F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华为box400/500/600/610视频会议终端及配套VPM220&amp;VPM200麦克风，VPC600&amp;VPC620会议摄像机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2E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D2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5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r>
      <w:tr w14:paraId="29FA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FF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EE3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故障诊断、维修服务、应急服务（mcu）</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BE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含总站机关、伊犁、塔城、阿勒泰、克州、博州、喀什、哈密、昌吉、和田支队、阿拉山口，霍尔果斯，红其拉甫，卡拉苏，吐尔尕特，喀什边检站及南疆轮训大队</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D9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华为VP9630mcu3台</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华为vp9650mcu31台</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华为vp9660mcu2台</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华为vp9850mcu6台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A1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E4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82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w:t>
            </w:r>
          </w:p>
        </w:tc>
      </w:tr>
      <w:tr w14:paraId="5A44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3C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BE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故障诊断、维修服务、应急服务（其他硬件设备维修服务）</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14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含总站机关、俱乐部部分设备故障诊断、维修服务、应急服务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8D7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指挥中心2侧辅屏幕</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指挥中心后侧横幅显示屏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指挥中心外侧值班信息显示屏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俱乐部主屏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俱乐部两侧屏幕</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3A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09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6B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bl>
    <w:p w14:paraId="3E117C24">
      <w:pPr>
        <w:rPr>
          <w:rFonts w:hint="eastAsia" w:ascii="宋体" w:hAnsi="宋体"/>
          <w:b/>
          <w:color w:val="000000" w:themeColor="text1"/>
          <w:sz w:val="36"/>
          <w:highlight w:val="none"/>
          <w:lang w:val="en-US" w:eastAsia="zh-CN"/>
          <w14:textFill>
            <w14:solidFill>
              <w14:schemeClr w14:val="tx1"/>
            </w14:solidFill>
          </w14:textFill>
        </w:rPr>
        <w:sectPr>
          <w:pgSz w:w="16838" w:h="11906" w:orient="landscape"/>
          <w:pgMar w:top="1701" w:right="1440" w:bottom="1701" w:left="1440" w:header="851" w:footer="992" w:gutter="0"/>
          <w:pgNumType w:fmt="decimal"/>
          <w:cols w:space="720" w:num="1"/>
          <w:docGrid w:type="lines" w:linePitch="312" w:charSpace="0"/>
        </w:sectPr>
      </w:pPr>
    </w:p>
    <w:p w14:paraId="31D4B835">
      <w:pPr>
        <w:spacing w:line="360" w:lineRule="auto"/>
        <w:jc w:val="center"/>
        <w:outlineLvl w:val="0"/>
        <w:rPr>
          <w:rFonts w:hint="eastAsia" w:ascii="宋体" w:hAnsi="宋体"/>
          <w:b/>
          <w:color w:val="000000" w:themeColor="text1"/>
          <w:sz w:val="36"/>
          <w:highlight w:val="none"/>
          <w14:textFill>
            <w14:solidFill>
              <w14:schemeClr w14:val="tx1"/>
            </w14:solidFill>
          </w14:textFill>
        </w:rPr>
      </w:pPr>
      <w:bookmarkStart w:id="272" w:name="_Toc10464"/>
      <w:bookmarkStart w:id="273" w:name="_Toc2827"/>
      <w:bookmarkStart w:id="274" w:name="_Toc16193"/>
      <w:bookmarkStart w:id="275" w:name="_Toc31178"/>
      <w:bookmarkStart w:id="276" w:name="EB988aaeb746df41ed91835b8cac8f5d69"/>
      <w:r>
        <w:rPr>
          <w:rFonts w:hint="eastAsia" w:ascii="宋体" w:hAnsi="宋体"/>
          <w:b/>
          <w:color w:val="000000" w:themeColor="text1"/>
          <w:sz w:val="36"/>
          <w:highlight w:val="none"/>
          <w14:textFill>
            <w14:solidFill>
              <w14:schemeClr w14:val="tx1"/>
            </w14:solidFill>
          </w14:textFill>
        </w:rPr>
        <w:t xml:space="preserve">第四部分   </w:t>
      </w:r>
      <w:bookmarkEnd w:id="272"/>
      <w:r>
        <w:rPr>
          <w:rFonts w:hint="eastAsia" w:ascii="宋体" w:hAnsi="宋体"/>
          <w:b/>
          <w:color w:val="000000" w:themeColor="text1"/>
          <w:sz w:val="36"/>
          <w:highlight w:val="none"/>
          <w:lang w:val="en-US" w:eastAsia="zh-CN"/>
          <w14:textFill>
            <w14:solidFill>
              <w14:schemeClr w14:val="tx1"/>
            </w14:solidFill>
          </w14:textFill>
        </w:rPr>
        <w:t>评审方法</w:t>
      </w:r>
      <w:bookmarkEnd w:id="273"/>
    </w:p>
    <w:p w14:paraId="0DC11B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一、评审 </w:t>
      </w:r>
    </w:p>
    <w:p w14:paraId="1ED944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谈判小组应当对响应文件进行评审，并根据谈判文件规定的程序、评定成交的标准等事项与实质性响应谈判文件要求的供应商进行谈判。未实质性响应谈判文件的响应文件按无效处理，谈判小组应当告知有关供应商。 </w:t>
      </w:r>
    </w:p>
    <w:p w14:paraId="769FCA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2、谈判小组所有成员应当集中与单一供应商分别进行谈判，并给予所有参加谈判的供应商平等的谈判机会。 </w:t>
      </w:r>
    </w:p>
    <w:p w14:paraId="720D13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3、在谈判过程中，谈判小组可以根据谈判文件和谈判情况实质性变动采购需求中的技术、服务要求以及合同草案条款，但不得变动谈判文件中的其他内容。实质性变动的内容，须经采购人代表确认。 </w:t>
      </w:r>
    </w:p>
    <w:p w14:paraId="55B2E1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4、对谈判文件作出的实质性变动是谈判文件的有效组成部分，谈判小组应当及时以书面形式同时通知所有参加谈判的供应商。 </w:t>
      </w:r>
    </w:p>
    <w:p w14:paraId="169DBE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76015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6、谈判文件能够详细列明采购标的的技术、服务要求的，谈判结束后，谈判小组应当要求所有继续参加谈判的供应商在规定时间内提交最后报价，提交最后报价的供应商不得少于 3 家。</w:t>
      </w:r>
    </w:p>
    <w:p w14:paraId="7BE8DC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7、谈判文件不能详细列明采购标的的技术、服务要求，需经谈判由供应商提供最终设计方案或解决方案的，谈判结束后，谈判小组应当按照少数服从多数的原则投票推荐 3 家以上供应商的设计方案或者解决方案，并要求其在规定时间内提交最后报价。</w:t>
      </w:r>
    </w:p>
    <w:p w14:paraId="48C103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最后报价是供应商响应文件的有效组成部分。</w:t>
      </w:r>
    </w:p>
    <w:p w14:paraId="24F5662E">
      <w:pP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br w:type="page"/>
      </w:r>
    </w:p>
    <w:tbl>
      <w:tblPr>
        <w:tblStyle w:val="23"/>
        <w:tblW w:w="8737"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89"/>
        <w:gridCol w:w="860"/>
        <w:gridCol w:w="2000"/>
        <w:gridCol w:w="4470"/>
        <w:gridCol w:w="495"/>
        <w:gridCol w:w="523"/>
      </w:tblGrid>
      <w:tr w14:paraId="3776C8B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90" w:hRule="atLeast"/>
        </w:trPr>
        <w:tc>
          <w:tcPr>
            <w:tcW w:w="1249" w:type="dxa"/>
            <w:gridSpan w:val="2"/>
            <w:vMerge w:val="restart"/>
            <w:tcBorders>
              <w:top w:val="outset" w:color="auto" w:sz="6" w:space="0"/>
              <w:left w:val="outset" w:color="auto" w:sz="6" w:space="0"/>
              <w:bottom w:val="outset" w:color="auto" w:sz="6" w:space="0"/>
              <w:right w:val="outset" w:color="auto" w:sz="6" w:space="0"/>
            </w:tcBorders>
            <w:vAlign w:val="center"/>
          </w:tcPr>
          <w:p w14:paraId="7D5A6156">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p>
          <w:p w14:paraId="5C4E5848">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因素</w:t>
            </w:r>
          </w:p>
        </w:tc>
        <w:tc>
          <w:tcPr>
            <w:tcW w:w="2000" w:type="dxa"/>
            <w:vMerge w:val="restart"/>
            <w:tcBorders>
              <w:top w:val="outset" w:color="auto" w:sz="6" w:space="0"/>
              <w:left w:val="outset" w:color="auto" w:sz="6" w:space="0"/>
              <w:bottom w:val="outset" w:color="auto" w:sz="6" w:space="0"/>
              <w:right w:val="outset" w:color="auto" w:sz="6" w:space="0"/>
            </w:tcBorders>
            <w:vAlign w:val="center"/>
          </w:tcPr>
          <w:p w14:paraId="276735B8">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r>
              <w:rPr>
                <w:rFonts w:hint="eastAsia" w:ascii="宋体" w:hAnsi="宋体" w:eastAsia="宋体" w:cs="宋体"/>
                <w:b/>
                <w:color w:val="000000" w:themeColor="text1"/>
                <w:sz w:val="21"/>
                <w:szCs w:val="21"/>
                <w:highlight w:val="none"/>
                <w14:textFill>
                  <w14:solidFill>
                    <w14:schemeClr w14:val="tx1"/>
                  </w14:solidFill>
                </w14:textFill>
              </w:rPr>
              <w:t>点</w:t>
            </w:r>
          </w:p>
        </w:tc>
        <w:tc>
          <w:tcPr>
            <w:tcW w:w="4470" w:type="dxa"/>
            <w:vMerge w:val="restart"/>
            <w:tcBorders>
              <w:top w:val="outset" w:color="auto" w:sz="6" w:space="0"/>
              <w:left w:val="outset" w:color="auto" w:sz="6" w:space="0"/>
              <w:bottom w:val="outset" w:color="auto" w:sz="6" w:space="0"/>
              <w:right w:val="outset" w:color="auto" w:sz="6" w:space="0"/>
            </w:tcBorders>
            <w:vAlign w:val="center"/>
          </w:tcPr>
          <w:p w14:paraId="0724F845">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r>
              <w:rPr>
                <w:rFonts w:hint="eastAsia" w:ascii="宋体" w:hAnsi="宋体" w:eastAsia="宋体" w:cs="宋体"/>
                <w:b/>
                <w:color w:val="000000" w:themeColor="text1"/>
                <w:sz w:val="21"/>
                <w:szCs w:val="21"/>
                <w:highlight w:val="none"/>
                <w14:textFill>
                  <w14:solidFill>
                    <w14:schemeClr w14:val="tx1"/>
                  </w14:solidFill>
                </w14:textFill>
              </w:rPr>
              <w:t>标准</w:t>
            </w:r>
          </w:p>
        </w:tc>
        <w:tc>
          <w:tcPr>
            <w:tcW w:w="1018" w:type="dxa"/>
            <w:gridSpan w:val="2"/>
            <w:tcBorders>
              <w:top w:val="outset" w:color="auto" w:sz="6" w:space="0"/>
              <w:left w:val="outset" w:color="auto" w:sz="6" w:space="0"/>
              <w:bottom w:val="outset" w:color="auto" w:sz="6" w:space="0"/>
              <w:right w:val="outset" w:color="auto" w:sz="6" w:space="0"/>
            </w:tcBorders>
            <w:vAlign w:val="center"/>
          </w:tcPr>
          <w:p w14:paraId="4679781B">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w:t>
            </w:r>
          </w:p>
          <w:p w14:paraId="38571CBA">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意见</w:t>
            </w:r>
          </w:p>
        </w:tc>
      </w:tr>
      <w:tr w14:paraId="017EB8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1249" w:type="dxa"/>
            <w:gridSpan w:val="2"/>
            <w:vMerge w:val="continue"/>
            <w:tcBorders>
              <w:top w:val="outset" w:color="auto" w:sz="6" w:space="0"/>
              <w:left w:val="outset" w:color="auto" w:sz="6" w:space="0"/>
              <w:bottom w:val="outset" w:color="auto" w:sz="6" w:space="0"/>
              <w:right w:val="outset" w:color="auto" w:sz="6" w:space="0"/>
            </w:tcBorders>
            <w:vAlign w:val="center"/>
          </w:tcPr>
          <w:p w14:paraId="68546E29">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vMerge w:val="continue"/>
            <w:tcBorders>
              <w:top w:val="outset" w:color="auto" w:sz="6" w:space="0"/>
              <w:left w:val="outset" w:color="auto" w:sz="6" w:space="0"/>
              <w:bottom w:val="outset" w:color="auto" w:sz="6" w:space="0"/>
              <w:right w:val="outset" w:color="auto" w:sz="6" w:space="0"/>
            </w:tcBorders>
            <w:vAlign w:val="center"/>
          </w:tcPr>
          <w:p w14:paraId="6B040B00">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4470" w:type="dxa"/>
            <w:vMerge w:val="continue"/>
            <w:tcBorders>
              <w:top w:val="outset" w:color="auto" w:sz="6" w:space="0"/>
              <w:left w:val="outset" w:color="auto" w:sz="6" w:space="0"/>
              <w:bottom w:val="outset" w:color="auto" w:sz="6" w:space="0"/>
              <w:right w:val="outset" w:color="auto" w:sz="6" w:space="0"/>
            </w:tcBorders>
            <w:vAlign w:val="center"/>
          </w:tcPr>
          <w:p w14:paraId="0E156949">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495" w:type="dxa"/>
            <w:tcBorders>
              <w:top w:val="outset" w:color="auto" w:sz="6" w:space="0"/>
              <w:left w:val="outset" w:color="auto" w:sz="6" w:space="0"/>
              <w:bottom w:val="outset" w:color="auto" w:sz="6" w:space="0"/>
              <w:right w:val="outset" w:color="auto" w:sz="6" w:space="0"/>
            </w:tcBorders>
            <w:vAlign w:val="center"/>
          </w:tcPr>
          <w:p w14:paraId="1F3856D9">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是</w:t>
            </w:r>
          </w:p>
        </w:tc>
        <w:tc>
          <w:tcPr>
            <w:tcW w:w="523" w:type="dxa"/>
            <w:tcBorders>
              <w:top w:val="outset" w:color="auto" w:sz="6" w:space="0"/>
              <w:left w:val="outset" w:color="auto" w:sz="6" w:space="0"/>
              <w:bottom w:val="outset" w:color="auto" w:sz="6" w:space="0"/>
              <w:right w:val="outset" w:color="auto" w:sz="6" w:space="0"/>
            </w:tcBorders>
            <w:vAlign w:val="center"/>
          </w:tcPr>
          <w:p w14:paraId="288A0B86">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否</w:t>
            </w:r>
          </w:p>
        </w:tc>
      </w:tr>
      <w:tr w14:paraId="4C68BD8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restart"/>
            <w:tcBorders>
              <w:top w:val="outset" w:color="auto" w:sz="6" w:space="0"/>
              <w:left w:val="outset" w:color="auto" w:sz="6" w:space="0"/>
              <w:right w:val="outset" w:color="auto" w:sz="6" w:space="0"/>
            </w:tcBorders>
            <w:vAlign w:val="center"/>
          </w:tcPr>
          <w:p w14:paraId="040F8627">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初步评审</w:t>
            </w:r>
          </w:p>
        </w:tc>
        <w:tc>
          <w:tcPr>
            <w:tcW w:w="860" w:type="dxa"/>
            <w:vMerge w:val="restart"/>
            <w:tcBorders>
              <w:top w:val="outset" w:color="auto" w:sz="6" w:space="0"/>
              <w:left w:val="outset" w:color="auto" w:sz="6" w:space="0"/>
              <w:right w:val="outset" w:color="auto" w:sz="6" w:space="0"/>
            </w:tcBorders>
            <w:vAlign w:val="center"/>
          </w:tcPr>
          <w:p w14:paraId="1E64494C">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资格检查</w:t>
            </w:r>
          </w:p>
        </w:tc>
        <w:tc>
          <w:tcPr>
            <w:tcW w:w="2000" w:type="dxa"/>
            <w:tcBorders>
              <w:top w:val="outset" w:color="auto" w:sz="6" w:space="0"/>
              <w:left w:val="outset" w:color="auto" w:sz="6" w:space="0"/>
              <w:bottom w:val="outset" w:color="auto" w:sz="6" w:space="0"/>
              <w:right w:val="outset" w:color="auto" w:sz="6" w:space="0"/>
            </w:tcBorders>
            <w:vAlign w:val="center"/>
          </w:tcPr>
          <w:p w14:paraId="3CD0289F">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具备承担民事责任的能力</w:t>
            </w:r>
          </w:p>
        </w:tc>
        <w:tc>
          <w:tcPr>
            <w:tcW w:w="4470" w:type="dxa"/>
            <w:tcBorders>
              <w:top w:val="outset" w:color="auto" w:sz="6" w:space="0"/>
              <w:left w:val="outset" w:color="auto" w:sz="6" w:space="0"/>
              <w:bottom w:val="outset" w:color="auto" w:sz="6" w:space="0"/>
              <w:right w:val="outset" w:color="auto" w:sz="6" w:space="0"/>
            </w:tcBorders>
            <w:vAlign w:val="center"/>
          </w:tcPr>
          <w:p w14:paraId="4C10AA36">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是法人的应提供在工商部门注册有效的营业执照；供应商是事业单位的应提供有效的事业单位法人证书；供应商是非企业专业服务机构的应提供执业许可证等证明文件；供应商是个体工商户的应提供有效的个体工商户营业执照；供应商是自然人的应提供有效的自然人身份证明。</w:t>
            </w:r>
          </w:p>
        </w:tc>
        <w:tc>
          <w:tcPr>
            <w:tcW w:w="495" w:type="dxa"/>
            <w:tcBorders>
              <w:top w:val="outset" w:color="auto" w:sz="6" w:space="0"/>
              <w:left w:val="outset" w:color="auto" w:sz="6" w:space="0"/>
              <w:bottom w:val="outset" w:color="auto" w:sz="6" w:space="0"/>
              <w:right w:val="outset" w:color="auto" w:sz="6" w:space="0"/>
            </w:tcBorders>
            <w:vAlign w:val="center"/>
          </w:tcPr>
          <w:p w14:paraId="5F011D4C">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5F87020C">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B53EF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5BD91DA5">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1B6595B6">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234342E9">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法人和授权代表资格</w:t>
            </w:r>
          </w:p>
        </w:tc>
        <w:tc>
          <w:tcPr>
            <w:tcW w:w="4470" w:type="dxa"/>
            <w:tcBorders>
              <w:top w:val="outset" w:color="auto" w:sz="6" w:space="0"/>
              <w:left w:val="outset" w:color="auto" w:sz="6" w:space="0"/>
              <w:bottom w:val="outset" w:color="auto" w:sz="6" w:space="0"/>
              <w:right w:val="outset" w:color="auto" w:sz="6" w:space="0"/>
            </w:tcBorders>
            <w:vAlign w:val="center"/>
          </w:tcPr>
          <w:p w14:paraId="6B8CAFA6">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是否具备有效的法定代表人身份证明文件及法定代表人授权委托书（法人组织提供授权委托书、其他组织提供负责人授权书、自然人提供身份证明文件）</w:t>
            </w:r>
          </w:p>
        </w:tc>
        <w:tc>
          <w:tcPr>
            <w:tcW w:w="495" w:type="dxa"/>
            <w:tcBorders>
              <w:top w:val="outset" w:color="auto" w:sz="6" w:space="0"/>
              <w:left w:val="outset" w:color="auto" w:sz="6" w:space="0"/>
              <w:bottom w:val="outset" w:color="auto" w:sz="6" w:space="0"/>
              <w:right w:val="outset" w:color="auto" w:sz="6" w:space="0"/>
            </w:tcBorders>
            <w:vAlign w:val="center"/>
          </w:tcPr>
          <w:p w14:paraId="6E3E05A3">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119BC7D0">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A0A24A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7928CCA8">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519A5AE0">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19DC87A4">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财务状况报告</w:t>
            </w:r>
          </w:p>
        </w:tc>
        <w:tc>
          <w:tcPr>
            <w:tcW w:w="4470" w:type="dxa"/>
            <w:tcBorders>
              <w:top w:val="outset" w:color="auto" w:sz="6" w:space="0"/>
              <w:left w:val="outset" w:color="auto" w:sz="6" w:space="0"/>
              <w:bottom w:val="outset" w:color="auto" w:sz="6" w:space="0"/>
              <w:right w:val="outset" w:color="auto" w:sz="6" w:space="0"/>
            </w:tcBorders>
            <w:vAlign w:val="center"/>
          </w:tcPr>
          <w:p w14:paraId="2D0C85EC">
            <w:pPr>
              <w:pStyle w:val="42"/>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r>
              <w:rPr>
                <w:rFonts w:hint="eastAsia" w:ascii="宋体" w:hAnsi="宋体" w:eastAsia="宋体" w:cs="宋体"/>
                <w:color w:val="000000" w:themeColor="text1"/>
                <w:sz w:val="21"/>
                <w:szCs w:val="21"/>
                <w:highlight w:val="none"/>
                <w14:textFill>
                  <w14:solidFill>
                    <w14:schemeClr w14:val="tx1"/>
                  </w14:solidFill>
                </w14:textFill>
              </w:rPr>
              <w:t>注：财务报表需加盖本单位公章，资信证明需加盖出具机关印章，资信证明内容须包含商业信誉良好的相关内容。</w:t>
            </w:r>
          </w:p>
        </w:tc>
        <w:tc>
          <w:tcPr>
            <w:tcW w:w="495" w:type="dxa"/>
            <w:tcBorders>
              <w:top w:val="outset" w:color="auto" w:sz="6" w:space="0"/>
              <w:left w:val="outset" w:color="auto" w:sz="6" w:space="0"/>
              <w:bottom w:val="outset" w:color="auto" w:sz="6" w:space="0"/>
              <w:right w:val="outset" w:color="auto" w:sz="6" w:space="0"/>
            </w:tcBorders>
            <w:vAlign w:val="center"/>
          </w:tcPr>
          <w:p w14:paraId="337F2BFD">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14B85DBE">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5B08D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41A06D12">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5B76795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462E9DB6">
            <w:pPr>
              <w:pStyle w:val="63"/>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具有履行合同所必需的设备和专业技术能力</w:t>
            </w:r>
          </w:p>
        </w:tc>
        <w:tc>
          <w:tcPr>
            <w:tcW w:w="4470" w:type="dxa"/>
            <w:tcBorders>
              <w:top w:val="outset" w:color="auto" w:sz="6" w:space="0"/>
              <w:left w:val="outset" w:color="auto" w:sz="6" w:space="0"/>
              <w:bottom w:val="outset" w:color="auto" w:sz="6" w:space="0"/>
              <w:right w:val="outset" w:color="auto" w:sz="6" w:space="0"/>
            </w:tcBorders>
            <w:vAlign w:val="center"/>
          </w:tcPr>
          <w:p w14:paraId="0A8EB65D">
            <w:pPr>
              <w:pStyle w:val="42"/>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提供具有履行合同所必需的设备和专业技术能力相关证明材料或声明；</w:t>
            </w:r>
          </w:p>
        </w:tc>
        <w:tc>
          <w:tcPr>
            <w:tcW w:w="495" w:type="dxa"/>
            <w:tcBorders>
              <w:top w:val="outset" w:color="auto" w:sz="6" w:space="0"/>
              <w:left w:val="outset" w:color="auto" w:sz="6" w:space="0"/>
              <w:bottom w:val="outset" w:color="auto" w:sz="6" w:space="0"/>
              <w:right w:val="outset" w:color="auto" w:sz="6" w:space="0"/>
            </w:tcBorders>
            <w:vAlign w:val="center"/>
          </w:tcPr>
          <w:p w14:paraId="4B6CE0A5">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59ABA0F3">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43937A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6139BF93">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380172E9">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011309B6">
            <w:pPr>
              <w:pStyle w:val="63"/>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依法缴纳税收证明</w:t>
            </w:r>
          </w:p>
        </w:tc>
        <w:tc>
          <w:tcPr>
            <w:tcW w:w="4470" w:type="dxa"/>
            <w:tcBorders>
              <w:top w:val="outset" w:color="auto" w:sz="6" w:space="0"/>
              <w:left w:val="outset" w:color="auto" w:sz="6" w:space="0"/>
              <w:bottom w:val="outset" w:color="auto" w:sz="6" w:space="0"/>
              <w:right w:val="outset" w:color="auto" w:sz="6" w:space="0"/>
            </w:tcBorders>
            <w:vAlign w:val="center"/>
          </w:tcPr>
          <w:p w14:paraId="572CADD2">
            <w:pPr>
              <w:pStyle w:val="42"/>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个月税收缴纳完成的证明资料。</w:t>
            </w:r>
          </w:p>
          <w:p w14:paraId="52E7C5B0">
            <w:pPr>
              <w:pStyle w:val="42"/>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个月（以税款所属期为准）税收部门出具的完成税收缴纳证明。其它无需纳税或免税的必须提供出具部门相关证明。</w:t>
            </w:r>
          </w:p>
        </w:tc>
        <w:tc>
          <w:tcPr>
            <w:tcW w:w="495" w:type="dxa"/>
            <w:tcBorders>
              <w:top w:val="outset" w:color="auto" w:sz="6" w:space="0"/>
              <w:left w:val="outset" w:color="auto" w:sz="6" w:space="0"/>
              <w:bottom w:val="outset" w:color="auto" w:sz="6" w:space="0"/>
              <w:right w:val="outset" w:color="auto" w:sz="6" w:space="0"/>
            </w:tcBorders>
            <w:vAlign w:val="center"/>
          </w:tcPr>
          <w:p w14:paraId="6166E1B9">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4A579717">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8F2F16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155FB8B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00A682DB">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shd w:val="clear" w:color="auto" w:fill="auto"/>
            <w:vAlign w:val="center"/>
          </w:tcPr>
          <w:p w14:paraId="255B8AC6">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社会保障资金缴纳记录</w:t>
            </w:r>
          </w:p>
        </w:tc>
        <w:tc>
          <w:tcPr>
            <w:tcW w:w="4470" w:type="dxa"/>
            <w:tcBorders>
              <w:top w:val="outset" w:color="auto" w:sz="6" w:space="0"/>
              <w:left w:val="outset" w:color="auto" w:sz="6" w:space="0"/>
              <w:bottom w:val="outset" w:color="auto" w:sz="6" w:space="0"/>
              <w:right w:val="outset" w:color="auto" w:sz="6" w:space="0"/>
            </w:tcBorders>
            <w:shd w:val="clear" w:color="auto" w:fill="auto"/>
            <w:vAlign w:val="center"/>
          </w:tcPr>
          <w:p w14:paraId="4703C2DA">
            <w:pPr>
              <w:pStyle w:val="42"/>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个月税收部门或社保机构出具的完成社保缴纳证明。</w:t>
            </w:r>
          </w:p>
          <w:p w14:paraId="2AB916B2">
            <w:pPr>
              <w:pStyle w:val="42"/>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个月（以费款所属期为准）税收部门或社保机构出具的完成社保缴纳证明。其它无需缴纳或免缴的也必须提供社保部门相关证明。</w:t>
            </w:r>
          </w:p>
          <w:p w14:paraId="178ABB86">
            <w:pPr>
              <w:pStyle w:val="42"/>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其他组织和自然人也需按上述要求提供依法缴纳税收和社会保障资金的证明材料。</w:t>
            </w:r>
          </w:p>
        </w:tc>
        <w:tc>
          <w:tcPr>
            <w:tcW w:w="495" w:type="dxa"/>
            <w:tcBorders>
              <w:top w:val="outset" w:color="auto" w:sz="6" w:space="0"/>
              <w:left w:val="outset" w:color="auto" w:sz="6" w:space="0"/>
              <w:bottom w:val="outset" w:color="auto" w:sz="6" w:space="0"/>
              <w:right w:val="outset" w:color="auto" w:sz="6" w:space="0"/>
            </w:tcBorders>
            <w:vAlign w:val="center"/>
          </w:tcPr>
          <w:p w14:paraId="39C05083">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55AF8166">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E5036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3EDE929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3E5E696E">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shd w:val="clear" w:color="auto" w:fill="auto"/>
            <w:vAlign w:val="center"/>
          </w:tcPr>
          <w:p w14:paraId="12C89814">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参加政府采购活动前三年内，在经营活动中没有重大违法记录</w:t>
            </w:r>
          </w:p>
        </w:tc>
        <w:tc>
          <w:tcPr>
            <w:tcW w:w="4470" w:type="dxa"/>
            <w:tcBorders>
              <w:top w:val="outset" w:color="auto" w:sz="6" w:space="0"/>
              <w:left w:val="outset" w:color="auto" w:sz="6" w:space="0"/>
              <w:bottom w:val="outset" w:color="auto" w:sz="6" w:space="0"/>
              <w:right w:val="outset" w:color="auto" w:sz="6" w:space="0"/>
            </w:tcBorders>
            <w:shd w:val="clear" w:color="auto" w:fill="auto"/>
            <w:vAlign w:val="center"/>
          </w:tcPr>
          <w:p w14:paraId="0E003B4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提供参加政府采购活动近三年无重大违法记录声明书</w:t>
            </w:r>
          </w:p>
        </w:tc>
        <w:tc>
          <w:tcPr>
            <w:tcW w:w="495" w:type="dxa"/>
            <w:tcBorders>
              <w:top w:val="outset" w:color="auto" w:sz="6" w:space="0"/>
              <w:left w:val="outset" w:color="auto" w:sz="6" w:space="0"/>
              <w:bottom w:val="outset" w:color="auto" w:sz="6" w:space="0"/>
              <w:right w:val="outset" w:color="auto" w:sz="6" w:space="0"/>
            </w:tcBorders>
            <w:vAlign w:val="center"/>
          </w:tcPr>
          <w:p w14:paraId="5C005154">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109771F0">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AD45BB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21CEF0C7">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21566C51">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shd w:val="clear" w:color="auto" w:fill="auto"/>
            <w:vAlign w:val="center"/>
          </w:tcPr>
          <w:p w14:paraId="39556AD5">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4470" w:type="dxa"/>
            <w:tcBorders>
              <w:top w:val="outset" w:color="auto" w:sz="6" w:space="0"/>
              <w:left w:val="outset" w:color="auto" w:sz="6" w:space="0"/>
              <w:bottom w:val="outset" w:color="auto" w:sz="6" w:space="0"/>
              <w:right w:val="outset" w:color="auto" w:sz="6" w:space="0"/>
            </w:tcBorders>
            <w:shd w:val="clear" w:color="auto" w:fill="auto"/>
            <w:vAlign w:val="center"/>
          </w:tcPr>
          <w:p w14:paraId="4291B368">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是否按要求缴纳足额有效的投标保证金</w:t>
            </w:r>
          </w:p>
        </w:tc>
        <w:tc>
          <w:tcPr>
            <w:tcW w:w="495" w:type="dxa"/>
            <w:tcBorders>
              <w:top w:val="outset" w:color="auto" w:sz="6" w:space="0"/>
              <w:left w:val="outset" w:color="auto" w:sz="6" w:space="0"/>
              <w:bottom w:val="outset" w:color="auto" w:sz="6" w:space="0"/>
              <w:right w:val="outset" w:color="auto" w:sz="6" w:space="0"/>
            </w:tcBorders>
            <w:vAlign w:val="center"/>
          </w:tcPr>
          <w:p w14:paraId="477B44F9">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3DAED21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5D858F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7B6FBEC1">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77DC39D0">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shd w:val="clear" w:color="auto" w:fill="auto"/>
            <w:vAlign w:val="center"/>
          </w:tcPr>
          <w:p w14:paraId="44CEB56F">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供应商应为中小企业</w:t>
            </w:r>
          </w:p>
        </w:tc>
        <w:tc>
          <w:tcPr>
            <w:tcW w:w="4470" w:type="dxa"/>
            <w:tcBorders>
              <w:top w:val="outset" w:color="auto" w:sz="6" w:space="0"/>
              <w:left w:val="outset" w:color="auto" w:sz="6" w:space="0"/>
              <w:bottom w:val="outset" w:color="auto" w:sz="6" w:space="0"/>
              <w:right w:val="outset" w:color="auto" w:sz="6" w:space="0"/>
            </w:tcBorders>
            <w:shd w:val="clear" w:color="auto" w:fill="auto"/>
            <w:vAlign w:val="center"/>
          </w:tcPr>
          <w:p w14:paraId="741B6466">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请根据要求单独上传有效的《中小企业声明函》，格式以竞争性谈判文件提供的格式及要求为准。</w:t>
            </w:r>
          </w:p>
        </w:tc>
        <w:tc>
          <w:tcPr>
            <w:tcW w:w="495" w:type="dxa"/>
            <w:tcBorders>
              <w:top w:val="outset" w:color="auto" w:sz="6" w:space="0"/>
              <w:left w:val="outset" w:color="auto" w:sz="6" w:space="0"/>
              <w:bottom w:val="outset" w:color="auto" w:sz="6" w:space="0"/>
              <w:right w:val="outset" w:color="auto" w:sz="6" w:space="0"/>
            </w:tcBorders>
            <w:vAlign w:val="center"/>
          </w:tcPr>
          <w:p w14:paraId="1D76C7C0">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0AFF3289">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D9CF7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0A5FD371">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restart"/>
            <w:tcBorders>
              <w:top w:val="outset" w:color="auto" w:sz="6" w:space="0"/>
              <w:left w:val="outset" w:color="auto" w:sz="6" w:space="0"/>
              <w:right w:val="outset" w:color="auto" w:sz="6" w:space="0"/>
            </w:tcBorders>
            <w:vAlign w:val="center"/>
          </w:tcPr>
          <w:p w14:paraId="21A8F618">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符合性</w:t>
            </w:r>
          </w:p>
          <w:p w14:paraId="408AEE5A">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检查</w:t>
            </w:r>
          </w:p>
        </w:tc>
        <w:tc>
          <w:tcPr>
            <w:tcW w:w="2000" w:type="dxa"/>
            <w:tcBorders>
              <w:top w:val="outset" w:color="auto" w:sz="6" w:space="0"/>
              <w:left w:val="outset" w:color="auto" w:sz="6" w:space="0"/>
              <w:bottom w:val="outset" w:color="auto" w:sz="6" w:space="0"/>
              <w:right w:val="outset" w:color="auto" w:sz="6" w:space="0"/>
            </w:tcBorders>
            <w:vAlign w:val="center"/>
          </w:tcPr>
          <w:p w14:paraId="4EBA0D61">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投标人名称</w:t>
            </w:r>
          </w:p>
        </w:tc>
        <w:tc>
          <w:tcPr>
            <w:tcW w:w="4470" w:type="dxa"/>
            <w:tcBorders>
              <w:top w:val="outset" w:color="auto" w:sz="6" w:space="0"/>
              <w:left w:val="outset" w:color="auto" w:sz="6" w:space="0"/>
              <w:bottom w:val="outset" w:color="auto" w:sz="6" w:space="0"/>
              <w:right w:val="outset" w:color="auto" w:sz="6" w:space="0"/>
            </w:tcBorders>
            <w:vAlign w:val="center"/>
          </w:tcPr>
          <w:p w14:paraId="5B6719E8">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是否与营业执照、资质证书等一致。</w:t>
            </w:r>
          </w:p>
        </w:tc>
        <w:tc>
          <w:tcPr>
            <w:tcW w:w="495" w:type="dxa"/>
            <w:tcBorders>
              <w:top w:val="outset" w:color="auto" w:sz="6" w:space="0"/>
              <w:left w:val="outset" w:color="auto" w:sz="6" w:space="0"/>
              <w:bottom w:val="outset" w:color="auto" w:sz="6" w:space="0"/>
              <w:right w:val="outset" w:color="auto" w:sz="6" w:space="0"/>
            </w:tcBorders>
            <w:vAlign w:val="center"/>
          </w:tcPr>
          <w:p w14:paraId="3A7FA300">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097818D5">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7ACEC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0DE824E6">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4C7D9C59">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shd w:val="clear" w:color="auto" w:fill="auto"/>
            <w:vAlign w:val="center"/>
          </w:tcPr>
          <w:p w14:paraId="5010870F">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w:t>
            </w:r>
          </w:p>
        </w:tc>
        <w:tc>
          <w:tcPr>
            <w:tcW w:w="4470" w:type="dxa"/>
            <w:tcBorders>
              <w:top w:val="outset" w:color="auto" w:sz="6" w:space="0"/>
              <w:left w:val="outset" w:color="auto" w:sz="6" w:space="0"/>
              <w:bottom w:val="outset" w:color="auto" w:sz="6" w:space="0"/>
              <w:right w:val="outset" w:color="auto" w:sz="6" w:space="0"/>
            </w:tcBorders>
            <w:shd w:val="clear" w:color="auto" w:fill="auto"/>
            <w:vAlign w:val="center"/>
          </w:tcPr>
          <w:p w14:paraId="775D6BB8">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投标报价是否固定或投标价是唯一的、且未超出最高限价的；本项目不接受选择性报价，对于出现的政采云平台开标唱标环节经投标供应商确认的投标报价与响应文件中报价一览表的报价不一致的现象，视作选择性报价，将被作为无效投标处理。</w:t>
            </w:r>
          </w:p>
        </w:tc>
        <w:tc>
          <w:tcPr>
            <w:tcW w:w="495" w:type="dxa"/>
            <w:tcBorders>
              <w:top w:val="outset" w:color="auto" w:sz="6" w:space="0"/>
              <w:left w:val="outset" w:color="auto" w:sz="6" w:space="0"/>
              <w:bottom w:val="outset" w:color="auto" w:sz="6" w:space="0"/>
              <w:right w:val="outset" w:color="auto" w:sz="6" w:space="0"/>
            </w:tcBorders>
            <w:vAlign w:val="center"/>
          </w:tcPr>
          <w:p w14:paraId="5C95ED9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0FA3E5C4">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C9FB47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5FD3AC57">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1EF5232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7C1AEEAB">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签字或盖章</w:t>
            </w:r>
          </w:p>
        </w:tc>
        <w:tc>
          <w:tcPr>
            <w:tcW w:w="4470" w:type="dxa"/>
            <w:tcBorders>
              <w:top w:val="outset" w:color="auto" w:sz="6" w:space="0"/>
              <w:left w:val="outset" w:color="auto" w:sz="6" w:space="0"/>
              <w:bottom w:val="outset" w:color="auto" w:sz="6" w:space="0"/>
              <w:right w:val="outset" w:color="auto" w:sz="6" w:space="0"/>
            </w:tcBorders>
            <w:vAlign w:val="center"/>
          </w:tcPr>
          <w:p w14:paraId="7229899F">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上法定代表人或其授权代理人的签字、投标人的单位章齐全符合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eastAsia="zh-CN"/>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规定。</w:t>
            </w:r>
          </w:p>
        </w:tc>
        <w:tc>
          <w:tcPr>
            <w:tcW w:w="495" w:type="dxa"/>
            <w:tcBorders>
              <w:top w:val="outset" w:color="auto" w:sz="6" w:space="0"/>
              <w:left w:val="outset" w:color="auto" w:sz="6" w:space="0"/>
              <w:bottom w:val="outset" w:color="auto" w:sz="6" w:space="0"/>
              <w:right w:val="outset" w:color="auto" w:sz="6" w:space="0"/>
            </w:tcBorders>
            <w:vAlign w:val="center"/>
          </w:tcPr>
          <w:p w14:paraId="121BF26F">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26BB143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3F3A0A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6CACD234">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02B7A2A9">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2DD7D96E">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服务期限</w:t>
            </w:r>
          </w:p>
        </w:tc>
        <w:tc>
          <w:tcPr>
            <w:tcW w:w="4470" w:type="dxa"/>
            <w:tcBorders>
              <w:top w:val="outset" w:color="auto" w:sz="6" w:space="0"/>
              <w:left w:val="outset" w:color="auto" w:sz="6" w:space="0"/>
              <w:bottom w:val="outset" w:color="auto" w:sz="6" w:space="0"/>
              <w:right w:val="outset" w:color="auto" w:sz="6" w:space="0"/>
            </w:tcBorders>
            <w:vAlign w:val="center"/>
          </w:tcPr>
          <w:p w14:paraId="0EB07805">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是否符合采购文件要求</w:t>
            </w:r>
          </w:p>
        </w:tc>
        <w:tc>
          <w:tcPr>
            <w:tcW w:w="495" w:type="dxa"/>
            <w:tcBorders>
              <w:top w:val="outset" w:color="auto" w:sz="6" w:space="0"/>
              <w:left w:val="outset" w:color="auto" w:sz="6" w:space="0"/>
              <w:bottom w:val="outset" w:color="auto" w:sz="6" w:space="0"/>
              <w:right w:val="outset" w:color="auto" w:sz="6" w:space="0"/>
            </w:tcBorders>
            <w:vAlign w:val="center"/>
          </w:tcPr>
          <w:p w14:paraId="1C416E33">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0E879F91">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E4B4F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05363630">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0548ED85">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0CED6126">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服务地点</w:t>
            </w:r>
          </w:p>
        </w:tc>
        <w:tc>
          <w:tcPr>
            <w:tcW w:w="4470" w:type="dxa"/>
            <w:tcBorders>
              <w:top w:val="outset" w:color="auto" w:sz="6" w:space="0"/>
              <w:left w:val="outset" w:color="auto" w:sz="6" w:space="0"/>
              <w:bottom w:val="outset" w:color="auto" w:sz="6" w:space="0"/>
              <w:right w:val="outset" w:color="auto" w:sz="6" w:space="0"/>
            </w:tcBorders>
            <w:vAlign w:val="center"/>
          </w:tcPr>
          <w:p w14:paraId="3C939F07">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是否符合采购文件要求</w:t>
            </w:r>
          </w:p>
        </w:tc>
        <w:tc>
          <w:tcPr>
            <w:tcW w:w="495" w:type="dxa"/>
            <w:tcBorders>
              <w:top w:val="outset" w:color="auto" w:sz="6" w:space="0"/>
              <w:left w:val="outset" w:color="auto" w:sz="6" w:space="0"/>
              <w:bottom w:val="outset" w:color="auto" w:sz="6" w:space="0"/>
              <w:right w:val="outset" w:color="auto" w:sz="6" w:space="0"/>
            </w:tcBorders>
            <w:vAlign w:val="center"/>
          </w:tcPr>
          <w:p w14:paraId="48B6359F">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203E4832">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423FA9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741E9C15">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245B5CF1">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774CB807">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4470" w:type="dxa"/>
            <w:tcBorders>
              <w:top w:val="outset" w:color="auto" w:sz="6" w:space="0"/>
              <w:left w:val="outset" w:color="auto" w:sz="6" w:space="0"/>
              <w:bottom w:val="outset" w:color="auto" w:sz="6" w:space="0"/>
              <w:right w:val="outset" w:color="auto" w:sz="6" w:space="0"/>
            </w:tcBorders>
            <w:vAlign w:val="center"/>
          </w:tcPr>
          <w:p w14:paraId="16DE5CB5">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是否符合采购文件要求</w:t>
            </w:r>
          </w:p>
        </w:tc>
        <w:tc>
          <w:tcPr>
            <w:tcW w:w="495" w:type="dxa"/>
            <w:tcBorders>
              <w:top w:val="outset" w:color="auto" w:sz="6" w:space="0"/>
              <w:left w:val="outset" w:color="auto" w:sz="6" w:space="0"/>
              <w:bottom w:val="outset" w:color="auto" w:sz="6" w:space="0"/>
              <w:right w:val="outset" w:color="auto" w:sz="6" w:space="0"/>
            </w:tcBorders>
            <w:vAlign w:val="center"/>
          </w:tcPr>
          <w:p w14:paraId="5F6B1966">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2D151624">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A3D7C7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4BD1AA71">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0EBE6E8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1A133B82">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履约验收标准</w:t>
            </w:r>
          </w:p>
        </w:tc>
        <w:tc>
          <w:tcPr>
            <w:tcW w:w="4470" w:type="dxa"/>
            <w:tcBorders>
              <w:top w:val="outset" w:color="auto" w:sz="6" w:space="0"/>
              <w:left w:val="outset" w:color="auto" w:sz="6" w:space="0"/>
              <w:bottom w:val="outset" w:color="auto" w:sz="6" w:space="0"/>
              <w:right w:val="outset" w:color="auto" w:sz="6" w:space="0"/>
            </w:tcBorders>
            <w:vAlign w:val="center"/>
          </w:tcPr>
          <w:p w14:paraId="2E369CCF">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是否符合采购文件要求</w:t>
            </w:r>
          </w:p>
        </w:tc>
        <w:tc>
          <w:tcPr>
            <w:tcW w:w="495" w:type="dxa"/>
            <w:tcBorders>
              <w:top w:val="outset" w:color="auto" w:sz="6" w:space="0"/>
              <w:left w:val="outset" w:color="auto" w:sz="6" w:space="0"/>
              <w:bottom w:val="outset" w:color="auto" w:sz="6" w:space="0"/>
              <w:right w:val="outset" w:color="auto" w:sz="6" w:space="0"/>
            </w:tcBorders>
            <w:vAlign w:val="center"/>
          </w:tcPr>
          <w:p w14:paraId="57E6AB04">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0CE99DFD">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5EDAA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4391FB85">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70845205">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09A134AE">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商务要求</w:t>
            </w:r>
          </w:p>
        </w:tc>
        <w:tc>
          <w:tcPr>
            <w:tcW w:w="4470" w:type="dxa"/>
            <w:tcBorders>
              <w:top w:val="outset" w:color="auto" w:sz="6" w:space="0"/>
              <w:left w:val="outset" w:color="auto" w:sz="6" w:space="0"/>
              <w:bottom w:val="outset" w:color="auto" w:sz="6" w:space="0"/>
              <w:right w:val="outset" w:color="auto" w:sz="6" w:space="0"/>
            </w:tcBorders>
            <w:vAlign w:val="center"/>
          </w:tcPr>
          <w:p w14:paraId="12119CAD">
            <w:pPr>
              <w:keepNext w:val="0"/>
              <w:keepLines w:val="0"/>
              <w:pageBreakBefore w:val="0"/>
              <w:kinsoku/>
              <w:wordWrap/>
              <w:overflowPunct/>
              <w:topLinePunct w:val="0"/>
              <w:autoSpaceDE/>
              <w:autoSpaceDN/>
              <w:bidi w:val="0"/>
              <w:adjustRightInd/>
              <w:snapToGrid/>
              <w:spacing w:afterAutospacing="0" w:line="360" w:lineRule="auto"/>
              <w:textAlignment w:val="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满足采购需求所有商务要求，未出现负偏离.</w:t>
            </w:r>
          </w:p>
        </w:tc>
        <w:tc>
          <w:tcPr>
            <w:tcW w:w="495" w:type="dxa"/>
            <w:tcBorders>
              <w:top w:val="outset" w:color="auto" w:sz="6" w:space="0"/>
              <w:left w:val="outset" w:color="auto" w:sz="6" w:space="0"/>
              <w:bottom w:val="outset" w:color="auto" w:sz="6" w:space="0"/>
              <w:right w:val="outset" w:color="auto" w:sz="6" w:space="0"/>
            </w:tcBorders>
            <w:vAlign w:val="center"/>
          </w:tcPr>
          <w:p w14:paraId="01AE511B">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22B9C76E">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BC11A4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38593212">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1A30CC4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2D87AC05">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技术要求</w:t>
            </w:r>
          </w:p>
        </w:tc>
        <w:tc>
          <w:tcPr>
            <w:tcW w:w="4470" w:type="dxa"/>
            <w:tcBorders>
              <w:top w:val="outset" w:color="auto" w:sz="6" w:space="0"/>
              <w:left w:val="outset" w:color="auto" w:sz="6" w:space="0"/>
              <w:bottom w:val="outset" w:color="auto" w:sz="6" w:space="0"/>
              <w:right w:val="outset" w:color="auto" w:sz="6" w:space="0"/>
            </w:tcBorders>
            <w:vAlign w:val="center"/>
          </w:tcPr>
          <w:p w14:paraId="3CCC0023">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满足采购需求所有技术要求，未出现负偏离。</w:t>
            </w:r>
          </w:p>
        </w:tc>
        <w:tc>
          <w:tcPr>
            <w:tcW w:w="495" w:type="dxa"/>
            <w:tcBorders>
              <w:top w:val="outset" w:color="auto" w:sz="6" w:space="0"/>
              <w:left w:val="outset" w:color="auto" w:sz="6" w:space="0"/>
              <w:bottom w:val="outset" w:color="auto" w:sz="6" w:space="0"/>
              <w:right w:val="outset" w:color="auto" w:sz="6" w:space="0"/>
            </w:tcBorders>
            <w:vAlign w:val="center"/>
          </w:tcPr>
          <w:p w14:paraId="16F28E95">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52239449">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C27FE5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7ECCA907">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7F78D6C3">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bottom w:val="outset" w:color="auto" w:sz="6" w:space="0"/>
              <w:right w:val="outset" w:color="auto" w:sz="6" w:space="0"/>
            </w:tcBorders>
            <w:vAlign w:val="center"/>
          </w:tcPr>
          <w:p w14:paraId="772FA662">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投标有效期</w:t>
            </w:r>
          </w:p>
        </w:tc>
        <w:tc>
          <w:tcPr>
            <w:tcW w:w="4470" w:type="dxa"/>
            <w:tcBorders>
              <w:top w:val="outset" w:color="auto" w:sz="6" w:space="0"/>
              <w:left w:val="outset" w:color="auto" w:sz="6" w:space="0"/>
              <w:bottom w:val="outset" w:color="auto" w:sz="6" w:space="0"/>
              <w:right w:val="outset" w:color="auto" w:sz="6" w:space="0"/>
            </w:tcBorders>
            <w:vAlign w:val="center"/>
          </w:tcPr>
          <w:p w14:paraId="68F63EF1">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是否符合采购文件要求</w:t>
            </w:r>
          </w:p>
        </w:tc>
        <w:tc>
          <w:tcPr>
            <w:tcW w:w="495" w:type="dxa"/>
            <w:tcBorders>
              <w:top w:val="outset" w:color="auto" w:sz="6" w:space="0"/>
              <w:left w:val="outset" w:color="auto" w:sz="6" w:space="0"/>
              <w:bottom w:val="outset" w:color="auto" w:sz="6" w:space="0"/>
              <w:right w:val="outset" w:color="auto" w:sz="6" w:space="0"/>
            </w:tcBorders>
            <w:vAlign w:val="center"/>
          </w:tcPr>
          <w:p w14:paraId="670056E0">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3610ADF3">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CC5DD0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right w:val="outset" w:color="auto" w:sz="6" w:space="0"/>
            </w:tcBorders>
            <w:vAlign w:val="center"/>
          </w:tcPr>
          <w:p w14:paraId="070720E7">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right w:val="outset" w:color="auto" w:sz="6" w:space="0"/>
            </w:tcBorders>
            <w:vAlign w:val="center"/>
          </w:tcPr>
          <w:p w14:paraId="5F2DED4F">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right w:val="outset" w:color="auto" w:sz="6" w:space="0"/>
            </w:tcBorders>
            <w:vAlign w:val="center"/>
          </w:tcPr>
          <w:p w14:paraId="72FA1637">
            <w:pPr>
              <w:pStyle w:val="55"/>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实质性响应</w:t>
            </w:r>
          </w:p>
        </w:tc>
        <w:tc>
          <w:tcPr>
            <w:tcW w:w="4470" w:type="dxa"/>
            <w:tcBorders>
              <w:top w:val="outset" w:color="auto" w:sz="6" w:space="0"/>
              <w:left w:val="outset" w:color="auto" w:sz="6" w:space="0"/>
              <w:right w:val="outset" w:color="auto" w:sz="6" w:space="0"/>
            </w:tcBorders>
            <w:vAlign w:val="center"/>
          </w:tcPr>
          <w:p w14:paraId="2167B234">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响应文件满足谈判文件规定的其他实质性条款、条件和要求的。</w:t>
            </w:r>
          </w:p>
        </w:tc>
        <w:tc>
          <w:tcPr>
            <w:tcW w:w="495" w:type="dxa"/>
            <w:tcBorders>
              <w:top w:val="outset" w:color="auto" w:sz="6" w:space="0"/>
              <w:left w:val="outset" w:color="auto" w:sz="6" w:space="0"/>
              <w:right w:val="outset" w:color="auto" w:sz="6" w:space="0"/>
            </w:tcBorders>
            <w:vAlign w:val="center"/>
          </w:tcPr>
          <w:p w14:paraId="196B694E">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5182BD17">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40192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89" w:type="dxa"/>
            <w:vMerge w:val="continue"/>
            <w:tcBorders>
              <w:left w:val="outset" w:color="auto" w:sz="6" w:space="0"/>
              <w:bottom w:val="outset" w:color="auto" w:sz="6" w:space="0"/>
              <w:right w:val="outset" w:color="auto" w:sz="6" w:space="0"/>
            </w:tcBorders>
            <w:vAlign w:val="center"/>
          </w:tcPr>
          <w:p w14:paraId="784B63DF">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60" w:type="dxa"/>
            <w:vMerge w:val="continue"/>
            <w:tcBorders>
              <w:left w:val="outset" w:color="auto" w:sz="6" w:space="0"/>
              <w:bottom w:val="outset" w:color="auto" w:sz="6" w:space="0"/>
              <w:right w:val="outset" w:color="auto" w:sz="6" w:space="0"/>
            </w:tcBorders>
            <w:vAlign w:val="center"/>
          </w:tcPr>
          <w:p w14:paraId="1C3E240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00" w:type="dxa"/>
            <w:tcBorders>
              <w:top w:val="outset" w:color="auto" w:sz="6" w:space="0"/>
              <w:left w:val="outset" w:color="auto" w:sz="6" w:space="0"/>
              <w:right w:val="outset" w:color="auto" w:sz="6" w:space="0"/>
            </w:tcBorders>
            <w:vAlign w:val="center"/>
          </w:tcPr>
          <w:p w14:paraId="000B8F96">
            <w:pPr>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w:t>
            </w:r>
          </w:p>
        </w:tc>
        <w:tc>
          <w:tcPr>
            <w:tcW w:w="4470" w:type="dxa"/>
            <w:tcBorders>
              <w:top w:val="outset" w:color="auto" w:sz="6" w:space="0"/>
              <w:left w:val="outset" w:color="auto" w:sz="6" w:space="0"/>
              <w:right w:val="outset" w:color="auto" w:sz="6" w:space="0"/>
            </w:tcBorders>
            <w:vAlign w:val="center"/>
          </w:tcPr>
          <w:p w14:paraId="1B70E8E9">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响应文件未附有采购人不能接受的附加条件及法律、法规和竞争性谈判文件规定的其他无效情形。</w:t>
            </w:r>
          </w:p>
        </w:tc>
        <w:tc>
          <w:tcPr>
            <w:tcW w:w="495" w:type="dxa"/>
            <w:tcBorders>
              <w:top w:val="outset" w:color="auto" w:sz="6" w:space="0"/>
              <w:left w:val="outset" w:color="auto" w:sz="6" w:space="0"/>
              <w:right w:val="outset" w:color="auto" w:sz="6" w:space="0"/>
            </w:tcBorders>
            <w:vAlign w:val="center"/>
          </w:tcPr>
          <w:p w14:paraId="74E0621A">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23" w:type="dxa"/>
            <w:tcBorders>
              <w:top w:val="outset" w:color="auto" w:sz="6" w:space="0"/>
              <w:left w:val="outset" w:color="auto" w:sz="6" w:space="0"/>
              <w:bottom w:val="outset" w:color="auto" w:sz="6" w:space="0"/>
              <w:right w:val="outset" w:color="auto" w:sz="6" w:space="0"/>
            </w:tcBorders>
            <w:vAlign w:val="center"/>
          </w:tcPr>
          <w:p w14:paraId="0E8E22C6">
            <w:pPr>
              <w:pStyle w:val="5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4FD23F66">
      <w:pPr>
        <w:rPr>
          <w:rFonts w:hint="eastAsia" w:ascii="宋体" w:hAnsi="宋体" w:cs="宋体"/>
          <w:b/>
          <w:bCs/>
          <w:color w:val="000000" w:themeColor="text1"/>
          <w:sz w:val="36"/>
          <w:szCs w:val="44"/>
          <w:highlight w:val="none"/>
          <w14:textFill>
            <w14:solidFill>
              <w14:schemeClr w14:val="tx1"/>
            </w14:solidFill>
          </w14:textFill>
        </w:rPr>
      </w:pPr>
    </w:p>
    <w:p w14:paraId="49E7C272">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14:paraId="1B7EC869">
      <w:pPr>
        <w:pStyle w:val="2"/>
        <w:spacing w:line="360" w:lineRule="auto"/>
        <w:ind w:firstLine="0"/>
        <w:jc w:val="center"/>
        <w:rPr>
          <w:rFonts w:ascii="宋体" w:hAnsi="宋体" w:cs="宋体"/>
          <w:color w:val="000000" w:themeColor="text1"/>
          <w:sz w:val="36"/>
          <w:szCs w:val="36"/>
          <w:highlight w:val="none"/>
          <w14:textFill>
            <w14:solidFill>
              <w14:schemeClr w14:val="tx1"/>
            </w14:solidFill>
          </w14:textFill>
        </w:rPr>
      </w:pPr>
      <w:bookmarkStart w:id="277" w:name="_Toc14533"/>
      <w:bookmarkStart w:id="278" w:name="_Toc6170"/>
      <w:bookmarkStart w:id="279" w:name="_Toc532543567"/>
      <w:bookmarkStart w:id="280" w:name="_Toc22908"/>
      <w:bookmarkStart w:id="281" w:name="_Toc31152"/>
      <w:bookmarkStart w:id="282" w:name="_Toc31127"/>
      <w:bookmarkStart w:id="283" w:name="_Toc531075011"/>
      <w:bookmarkStart w:id="284" w:name="EB115ce0a9d14c44af9db43fca9dc620a9"/>
      <w:r>
        <w:rPr>
          <w:rFonts w:hint="eastAsia" w:ascii="宋体" w:hAnsi="宋体" w:cs="宋体"/>
          <w:color w:val="000000" w:themeColor="text1"/>
          <w:sz w:val="36"/>
          <w:szCs w:val="36"/>
          <w:highlight w:val="none"/>
          <w14:textFill>
            <w14:solidFill>
              <w14:schemeClr w14:val="tx1"/>
            </w14:solidFill>
          </w14:textFill>
        </w:rPr>
        <w:t>第五部分   合同格式及合同条款</w:t>
      </w:r>
      <w:bookmarkEnd w:id="277"/>
      <w:bookmarkEnd w:id="278"/>
      <w:bookmarkEnd w:id="279"/>
      <w:bookmarkEnd w:id="280"/>
      <w:bookmarkEnd w:id="281"/>
      <w:bookmarkEnd w:id="282"/>
      <w:bookmarkEnd w:id="283"/>
    </w:p>
    <w:bookmarkEnd w:id="284"/>
    <w:p w14:paraId="39DB714F">
      <w:pPr>
        <w:spacing w:line="480" w:lineRule="auto"/>
        <w:jc w:val="center"/>
        <w:rPr>
          <w:rFonts w:hint="eastAsia" w:ascii="宋体" w:hAnsi="宋体"/>
          <w:b/>
          <w:bCs/>
          <w:color w:val="000000" w:themeColor="text1"/>
          <w:sz w:val="44"/>
          <w:szCs w:val="44"/>
          <w:highlight w:val="none"/>
          <w:lang w:val="en-US" w:eastAsia="zh-CN"/>
          <w14:textFill>
            <w14:solidFill>
              <w14:schemeClr w14:val="tx1"/>
            </w14:solidFill>
          </w14:textFill>
        </w:rPr>
      </w:pPr>
      <w:bookmarkStart w:id="396" w:name="_GoBack"/>
      <w:bookmarkEnd w:id="396"/>
      <w:bookmarkStart w:id="285" w:name="_Toc11535"/>
    </w:p>
    <w:p w14:paraId="7BD90E9A">
      <w:pPr>
        <w:spacing w:line="480" w:lineRule="auto"/>
        <w:jc w:val="center"/>
        <w:rPr>
          <w:rFonts w:hint="eastAsia" w:ascii="宋体" w:hAnsi="宋体"/>
          <w:b/>
          <w:bCs/>
          <w:color w:val="000000" w:themeColor="text1"/>
          <w:sz w:val="44"/>
          <w:szCs w:val="44"/>
          <w:highlight w:val="none"/>
          <w:lang w:val="en-US" w:eastAsia="zh-CN"/>
          <w14:textFill>
            <w14:solidFill>
              <w14:schemeClr w14:val="tx1"/>
            </w14:solidFill>
          </w14:textFill>
        </w:rPr>
      </w:pPr>
    </w:p>
    <w:p w14:paraId="35DF7C10">
      <w:pPr>
        <w:spacing w:line="480" w:lineRule="auto"/>
        <w:jc w:val="center"/>
        <w:rPr>
          <w:rFonts w:hint="eastAsia" w:ascii="宋体" w:hAnsi="宋体"/>
          <w:b/>
          <w:bCs/>
          <w:color w:val="000000" w:themeColor="text1"/>
          <w:sz w:val="44"/>
          <w:szCs w:val="44"/>
          <w:highlight w:val="none"/>
          <w:lang w:val="en-US" w:eastAsia="zh-CN"/>
          <w14:textFill>
            <w14:solidFill>
              <w14:schemeClr w14:val="tx1"/>
            </w14:solidFill>
          </w14:textFill>
        </w:rPr>
      </w:pPr>
    </w:p>
    <w:p w14:paraId="7F8241F6">
      <w:pPr>
        <w:spacing w:line="480" w:lineRule="auto"/>
        <w:jc w:val="center"/>
        <w:rPr>
          <w:rFonts w:hint="eastAsia" w:ascii="宋体" w:hAnsi="宋体"/>
          <w:b/>
          <w:bCs/>
          <w:color w:val="000000" w:themeColor="text1"/>
          <w:sz w:val="44"/>
          <w:szCs w:val="44"/>
          <w:highlight w:val="none"/>
          <w:lang w:val="en-US" w:eastAsia="zh-CN"/>
          <w14:textFill>
            <w14:solidFill>
              <w14:schemeClr w14:val="tx1"/>
            </w14:solidFill>
          </w14:textFill>
        </w:rPr>
      </w:pPr>
    </w:p>
    <w:p w14:paraId="5DB436E8">
      <w:pPr>
        <w:spacing w:line="480" w:lineRule="auto"/>
        <w:jc w:val="center"/>
        <w:rPr>
          <w:rFonts w:hint="eastAsia" w:ascii="宋体" w:hAnsi="宋体"/>
          <w:b/>
          <w:bCs/>
          <w:color w:val="000000" w:themeColor="text1"/>
          <w:sz w:val="44"/>
          <w:szCs w:val="44"/>
          <w:highlight w:val="none"/>
          <w:lang w:val="en-US" w:eastAsia="zh-CN"/>
          <w14:textFill>
            <w14:solidFill>
              <w14:schemeClr w14:val="tx1"/>
            </w14:solidFill>
          </w14:textFill>
        </w:rPr>
      </w:pPr>
    </w:p>
    <w:p w14:paraId="5196BE69">
      <w:pPr>
        <w:spacing w:line="480" w:lineRule="auto"/>
        <w:ind w:firstLine="0" w:firstLineChars="0"/>
        <w:jc w:val="center"/>
        <w:rPr>
          <w:rFonts w:hint="eastAsia" w:ascii="宋体" w:hAnsi="宋体"/>
          <w:b/>
          <w:bCs/>
          <w:color w:val="000000" w:themeColor="text1"/>
          <w:sz w:val="44"/>
          <w:szCs w:val="44"/>
          <w:highlight w:val="none"/>
          <w:lang w:val="en-US" w:eastAsia="zh-CN"/>
          <w14:textFill>
            <w14:solidFill>
              <w14:schemeClr w14:val="tx1"/>
            </w14:solidFill>
          </w14:textFill>
        </w:rPr>
      </w:pPr>
      <w:r>
        <w:rPr>
          <w:rFonts w:hint="eastAsia" w:ascii="宋体" w:hAnsi="宋体"/>
          <w:b/>
          <w:bCs/>
          <w:color w:val="000000" w:themeColor="text1"/>
          <w:sz w:val="44"/>
          <w:szCs w:val="44"/>
          <w:highlight w:val="none"/>
          <w:lang w:val="en-US" w:eastAsia="zh-CN"/>
          <w14:textFill>
            <w14:solidFill>
              <w14:schemeClr w14:val="tx1"/>
            </w14:solidFill>
          </w14:textFill>
        </w:rPr>
        <w:t>中华人民共和国新疆出入境边防检查总站高清视频会议系统维保服务采购项目</w:t>
      </w:r>
    </w:p>
    <w:p w14:paraId="0817FE8E">
      <w:pPr>
        <w:spacing w:line="480" w:lineRule="auto"/>
        <w:ind w:firstLine="2650" w:firstLineChars="600"/>
        <w:jc w:val="center"/>
        <w:rPr>
          <w:rFonts w:hint="eastAsia" w:ascii="宋体" w:hAnsi="宋体"/>
          <w:b/>
          <w:bCs/>
          <w:color w:val="000000" w:themeColor="text1"/>
          <w:sz w:val="44"/>
          <w:szCs w:val="44"/>
          <w:highlight w:val="none"/>
          <w:lang w:val="en-US" w:eastAsia="zh-CN"/>
          <w14:textFill>
            <w14:solidFill>
              <w14:schemeClr w14:val="tx1"/>
            </w14:solidFill>
          </w14:textFill>
        </w:rPr>
      </w:pPr>
    </w:p>
    <w:p w14:paraId="2E1951B5">
      <w:pPr>
        <w:spacing w:line="480" w:lineRule="auto"/>
        <w:ind w:firstLine="2650" w:firstLineChars="600"/>
        <w:jc w:val="center"/>
        <w:rPr>
          <w:rFonts w:hint="eastAsia" w:ascii="宋体" w:hAnsi="宋体"/>
          <w:b/>
          <w:bCs/>
          <w:color w:val="000000" w:themeColor="text1"/>
          <w:sz w:val="44"/>
          <w:szCs w:val="44"/>
          <w:highlight w:val="none"/>
          <w:lang w:val="en-US" w:eastAsia="zh-CN"/>
          <w14:textFill>
            <w14:solidFill>
              <w14:schemeClr w14:val="tx1"/>
            </w14:solidFill>
          </w14:textFill>
        </w:rPr>
      </w:pPr>
    </w:p>
    <w:p w14:paraId="378FC127">
      <w:pPr>
        <w:spacing w:line="340" w:lineRule="exact"/>
        <w:ind w:firstLine="1687" w:firstLineChars="600"/>
        <w:rPr>
          <w:rFonts w:ascii="宋体" w:hAnsi="宋体"/>
          <w:b/>
          <w:bCs/>
          <w:color w:val="000000" w:themeColor="text1"/>
          <w:sz w:val="28"/>
          <w:szCs w:val="28"/>
          <w:highlight w:val="none"/>
          <w14:textFill>
            <w14:solidFill>
              <w14:schemeClr w14:val="tx1"/>
            </w14:solidFill>
          </w14:textFill>
        </w:rPr>
      </w:pPr>
    </w:p>
    <w:p w14:paraId="104F1AC2">
      <w:pPr>
        <w:spacing w:line="340" w:lineRule="exact"/>
        <w:ind w:firstLine="1687" w:firstLineChars="600"/>
        <w:rPr>
          <w:rFonts w:ascii="宋体" w:hAnsi="宋体"/>
          <w:b/>
          <w:bCs/>
          <w:color w:val="000000" w:themeColor="text1"/>
          <w:sz w:val="28"/>
          <w:szCs w:val="28"/>
          <w:highlight w:val="none"/>
          <w14:textFill>
            <w14:solidFill>
              <w14:schemeClr w14:val="tx1"/>
            </w14:solidFill>
          </w14:textFill>
        </w:rPr>
      </w:pPr>
    </w:p>
    <w:p w14:paraId="72BEE193">
      <w:pPr>
        <w:spacing w:line="340" w:lineRule="exact"/>
        <w:ind w:firstLine="1687" w:firstLineChars="600"/>
        <w:rPr>
          <w:rFonts w:ascii="宋体" w:hAnsi="宋体"/>
          <w:b/>
          <w:bCs/>
          <w:color w:val="000000" w:themeColor="text1"/>
          <w:sz w:val="28"/>
          <w:szCs w:val="28"/>
          <w:highlight w:val="none"/>
          <w14:textFill>
            <w14:solidFill>
              <w14:schemeClr w14:val="tx1"/>
            </w14:solidFill>
          </w14:textFill>
        </w:rPr>
      </w:pPr>
    </w:p>
    <w:p w14:paraId="423278B5">
      <w:pPr>
        <w:spacing w:line="340" w:lineRule="exact"/>
        <w:ind w:firstLine="1687" w:firstLineChars="600"/>
        <w:rPr>
          <w:rFonts w:ascii="宋体" w:hAnsi="宋体"/>
          <w:b/>
          <w:bCs/>
          <w:color w:val="000000" w:themeColor="text1"/>
          <w:sz w:val="28"/>
          <w:szCs w:val="28"/>
          <w:highlight w:val="none"/>
          <w14:textFill>
            <w14:solidFill>
              <w14:schemeClr w14:val="tx1"/>
            </w14:solidFill>
          </w14:textFill>
        </w:rPr>
      </w:pPr>
    </w:p>
    <w:p w14:paraId="51FA853C">
      <w:pPr>
        <w:spacing w:line="600" w:lineRule="exact"/>
        <w:ind w:firstLine="1124" w:firstLineChars="350"/>
        <w:jc w:val="left"/>
        <w:rPr>
          <w:rFonts w:ascii="宋体" w:hAnsi="Calibri"/>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甲</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方：</w:t>
      </w:r>
      <w:r>
        <w:rPr>
          <w:rFonts w:hint="eastAsia" w:ascii="宋体" w:hAnsi="宋体" w:eastAsia="宋体" w:cs="宋体"/>
          <w:b w:val="0"/>
          <w:bCs w:val="0"/>
          <w:color w:val="000000" w:themeColor="text1"/>
          <w:sz w:val="32"/>
          <w:szCs w:val="32"/>
          <w:highlight w:val="none"/>
          <w:u w:val="single"/>
          <w:lang w:val="en-US" w:eastAsia="zh-CN"/>
          <w14:textFill>
            <w14:solidFill>
              <w14:schemeClr w14:val="tx1"/>
            </w14:solidFill>
          </w14:textFill>
        </w:rPr>
        <w:t>中华人民共和国</w:t>
      </w:r>
      <w:r>
        <w:rPr>
          <w:rFonts w:hint="eastAsia" w:ascii="宋体" w:hAnsi="宋体" w:eastAsia="宋体" w:cs="宋体"/>
          <w:color w:val="000000" w:themeColor="text1"/>
          <w:sz w:val="32"/>
          <w:szCs w:val="32"/>
          <w:highlight w:val="none"/>
          <w:u w:val="single"/>
          <w14:textFill>
            <w14:solidFill>
              <w14:schemeClr w14:val="tx1"/>
            </w14:solidFill>
          </w14:textFill>
        </w:rPr>
        <w:t>新疆出</w:t>
      </w:r>
      <w:r>
        <w:rPr>
          <w:rFonts w:hint="eastAsia" w:ascii="宋体" w:hAnsi="宋体" w:cs="宋体"/>
          <w:color w:val="000000" w:themeColor="text1"/>
          <w:sz w:val="32"/>
          <w:szCs w:val="32"/>
          <w:highlight w:val="none"/>
          <w:u w:val="single"/>
          <w14:textFill>
            <w14:solidFill>
              <w14:schemeClr w14:val="tx1"/>
            </w14:solidFill>
          </w14:textFill>
        </w:rPr>
        <w:t>入境边防检查总站</w:t>
      </w:r>
      <w:r>
        <w:rPr>
          <w:rFonts w:ascii="宋体" w:hAnsi="宋体" w:cs="宋体"/>
          <w:color w:val="000000" w:themeColor="text1"/>
          <w:sz w:val="32"/>
          <w:szCs w:val="32"/>
          <w:highlight w:val="none"/>
          <w:u w:val="single"/>
          <w14:textFill>
            <w14:solidFill>
              <w14:schemeClr w14:val="tx1"/>
            </w14:solidFill>
          </w14:textFill>
        </w:rPr>
        <w:t xml:space="preserve">                 </w:t>
      </w:r>
    </w:p>
    <w:p w14:paraId="0141357B">
      <w:pPr>
        <w:spacing w:line="600" w:lineRule="exact"/>
        <w:ind w:firstLine="1626" w:firstLineChars="506"/>
        <w:rPr>
          <w:rFonts w:ascii="宋体" w:hAnsi="宋体"/>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t xml:space="preserve"> </w:t>
      </w:r>
    </w:p>
    <w:p w14:paraId="22A5F9CB">
      <w:pPr>
        <w:spacing w:line="600" w:lineRule="exact"/>
        <w:ind w:firstLine="1124" w:firstLineChars="350"/>
        <w:jc w:val="left"/>
        <w:rPr>
          <w:rFonts w:ascii="宋体" w:hAnsi="宋体"/>
          <w:color w:val="000000" w:themeColor="text1"/>
          <w:sz w:val="32"/>
          <w:szCs w:val="32"/>
          <w:highlight w:val="none"/>
          <w:u w:val="singl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乙</w:t>
      </w:r>
      <w:r>
        <w:rPr>
          <w:rFonts w:ascii="宋体" w:hAnsi="宋体"/>
          <w:b/>
          <w:bCs/>
          <w:color w:val="000000" w:themeColor="text1"/>
          <w:sz w:val="32"/>
          <w:szCs w:val="32"/>
          <w:highlight w:val="none"/>
          <w14:textFill>
            <w14:solidFill>
              <w14:schemeClr w14:val="tx1"/>
            </w14:solidFill>
          </w14:textFill>
        </w:rPr>
        <w:t xml:space="preserve">    </w:t>
      </w:r>
      <w:r>
        <w:rPr>
          <w:rFonts w:hint="eastAsia" w:ascii="宋体" w:hAnsi="宋体"/>
          <w:b/>
          <w:bCs/>
          <w:color w:val="000000" w:themeColor="text1"/>
          <w:sz w:val="32"/>
          <w:szCs w:val="32"/>
          <w:highlight w:val="none"/>
          <w14:textFill>
            <w14:solidFill>
              <w14:schemeClr w14:val="tx1"/>
            </w14:solidFill>
          </w14:textFill>
        </w:rPr>
        <w:t>方：</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ascii="宋体" w:hAnsi="宋体"/>
          <w:color w:val="000000" w:themeColor="text1"/>
          <w:sz w:val="32"/>
          <w:szCs w:val="32"/>
          <w:highlight w:val="none"/>
          <w:u w:val="single"/>
          <w14:textFill>
            <w14:solidFill>
              <w14:schemeClr w14:val="tx1"/>
            </w14:solidFill>
          </w14:textFill>
        </w:rPr>
        <w:t xml:space="preserve">                     </w:t>
      </w:r>
      <w:r>
        <w:rPr>
          <w:rFonts w:hint="eastAsia" w:ascii="宋体" w:hAnsi="宋体"/>
          <w:color w:val="000000" w:themeColor="text1"/>
          <w:sz w:val="32"/>
          <w:szCs w:val="32"/>
          <w:highlight w:val="none"/>
          <w:u w:val="single"/>
          <w14:textFill>
            <w14:solidFill>
              <w14:schemeClr w14:val="tx1"/>
            </w14:solidFill>
          </w14:textFill>
        </w:rPr>
        <w:t xml:space="preserve">  </w:t>
      </w:r>
      <w:r>
        <w:rPr>
          <w:rFonts w:ascii="宋体" w:hAnsi="宋体"/>
          <w:color w:val="000000" w:themeColor="text1"/>
          <w:sz w:val="32"/>
          <w:szCs w:val="32"/>
          <w:highlight w:val="none"/>
          <w:u w:val="single"/>
          <w14:textFill>
            <w14:solidFill>
              <w14:schemeClr w14:val="tx1"/>
            </w14:solidFill>
          </w14:textFill>
        </w:rPr>
        <w:t xml:space="preserve">          </w:t>
      </w:r>
    </w:p>
    <w:p w14:paraId="73E2BCF0">
      <w:pPr>
        <w:spacing w:line="600" w:lineRule="exact"/>
        <w:ind w:firstLine="1120" w:firstLineChars="350"/>
        <w:jc w:val="left"/>
        <w:rPr>
          <w:rFonts w:ascii="宋体" w:hAnsi="宋体"/>
          <w:color w:val="000000" w:themeColor="text1"/>
          <w:sz w:val="32"/>
          <w:szCs w:val="32"/>
          <w:highlight w:val="none"/>
          <w:u w:val="single"/>
          <w14:textFill>
            <w14:solidFill>
              <w14:schemeClr w14:val="tx1"/>
            </w14:solidFill>
          </w14:textFill>
        </w:rPr>
      </w:pPr>
    </w:p>
    <w:p w14:paraId="7A99633A">
      <w:pPr>
        <w:rPr>
          <w:rFonts w:ascii="宋体" w:hAnsi="Calibri"/>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签订地点：</w:t>
      </w:r>
      <w:r>
        <w:rPr>
          <w:rFonts w:hint="eastAsia" w:ascii="宋体" w:hAnsi="宋体" w:cs="宋体"/>
          <w:color w:val="000000" w:themeColor="text1"/>
          <w:sz w:val="32"/>
          <w:szCs w:val="32"/>
          <w:highlight w:val="none"/>
          <w:u w:val="single"/>
          <w14:textFill>
            <w14:solidFill>
              <w14:schemeClr w14:val="tx1"/>
            </w14:solidFill>
          </w14:textFill>
        </w:rPr>
        <w:t>乌鲁木齐团结路</w:t>
      </w:r>
      <w:r>
        <w:rPr>
          <w:rFonts w:ascii="宋体" w:hAnsi="宋体" w:cs="宋体"/>
          <w:color w:val="000000" w:themeColor="text1"/>
          <w:sz w:val="32"/>
          <w:szCs w:val="32"/>
          <w:highlight w:val="none"/>
          <w:u w:val="single"/>
          <w14:textFill>
            <w14:solidFill>
              <w14:schemeClr w14:val="tx1"/>
            </w14:solidFill>
          </w14:textFill>
        </w:rPr>
        <w:t>1551</w:t>
      </w:r>
      <w:r>
        <w:rPr>
          <w:rFonts w:hint="eastAsia" w:ascii="宋体" w:hAnsi="宋体" w:cs="宋体"/>
          <w:color w:val="000000" w:themeColor="text1"/>
          <w:sz w:val="32"/>
          <w:szCs w:val="32"/>
          <w:highlight w:val="none"/>
          <w:u w:val="single"/>
          <w14:textFill>
            <w14:solidFill>
              <w14:schemeClr w14:val="tx1"/>
            </w14:solidFill>
          </w14:textFill>
        </w:rPr>
        <w:t>号</w:t>
      </w:r>
      <w:r>
        <w:rPr>
          <w:rFonts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ascii="宋体" w:hAnsi="宋体" w:cs="宋体"/>
          <w:color w:val="000000" w:themeColor="text1"/>
          <w:sz w:val="32"/>
          <w:szCs w:val="32"/>
          <w:highlight w:val="none"/>
          <w:u w:val="single"/>
          <w14:textFill>
            <w14:solidFill>
              <w14:schemeClr w14:val="tx1"/>
            </w14:solidFill>
          </w14:textFill>
        </w:rPr>
        <w:t xml:space="preserve">     </w:t>
      </w:r>
    </w:p>
    <w:p w14:paraId="203B4E66">
      <w:pPr>
        <w:jc w:val="center"/>
        <w:rPr>
          <w:rFonts w:ascii="宋体" w:hAnsi="Calibri"/>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t xml:space="preserve">   </w:t>
      </w:r>
    </w:p>
    <w:p w14:paraId="6F2F90AB">
      <w:pPr>
        <w:jc w:val="center"/>
        <w:rPr>
          <w:rFonts w:ascii="宋体" w:hAnsi="Calibri"/>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t xml:space="preserve"> </w:t>
      </w:r>
    </w:p>
    <w:p w14:paraId="28EC601E">
      <w:pPr>
        <w:jc w:val="center"/>
        <w:rPr>
          <w:rFonts w:ascii="宋体" w:hAnsi="Calibri"/>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年</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月</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日</w:t>
      </w:r>
    </w:p>
    <w:p w14:paraId="5F5EB499">
      <w:pPr>
        <w:ind w:firstLine="0" w:firstLineChars="0"/>
        <w:rPr>
          <w:rFonts w:ascii="宋体" w:hAnsi="Calibri"/>
          <w:color w:val="000000" w:themeColor="text1"/>
          <w:szCs w:val="24"/>
          <w:highlight w:val="none"/>
          <w:u w:val="single"/>
          <w14:textFill>
            <w14:solidFill>
              <w14:schemeClr w14:val="tx1"/>
            </w14:solidFill>
          </w14:textFill>
        </w:rPr>
      </w:pPr>
    </w:p>
    <w:p w14:paraId="247C61A6">
      <w:pPr>
        <w:rPr>
          <w:rFonts w:hint="eastAsia" w:ascii="宋体" w:hAnsi="宋体" w:eastAsia="宋体" w:cs="宋体"/>
          <w:color w:val="000000" w:themeColor="text1"/>
          <w:highlight w:val="none"/>
          <w14:textFill>
            <w14:solidFill>
              <w14:schemeClr w14:val="tx1"/>
            </w14:solidFill>
          </w14:textFill>
        </w:rPr>
      </w:pPr>
    </w:p>
    <w:p w14:paraId="5A99D7A7">
      <w:pPr>
        <w:pStyle w:val="7"/>
        <w:rPr>
          <w:rFonts w:hint="eastAsia" w:ascii="宋体" w:hAnsi="宋体" w:eastAsia="宋体" w:cs="宋体"/>
          <w:color w:val="000000" w:themeColor="text1"/>
          <w:highlight w:val="none"/>
          <w14:textFill>
            <w14:solidFill>
              <w14:schemeClr w14:val="tx1"/>
            </w14:solidFill>
          </w14:textFill>
        </w:rPr>
      </w:pPr>
    </w:p>
    <w:p w14:paraId="42CABEFF">
      <w:pPr>
        <w:rPr>
          <w:rFonts w:hint="eastAsia" w:ascii="宋体" w:hAnsi="宋体" w:eastAsia="宋体" w:cs="宋体"/>
          <w:b/>
          <w:color w:val="000000" w:themeColor="text1"/>
          <w:sz w:val="36"/>
          <w:highlight w:val="none"/>
          <w:lang w:val="en-US" w:eastAsia="zh-CN"/>
          <w14:textFill>
            <w14:solidFill>
              <w14:schemeClr w14:val="tx1"/>
            </w14:solidFill>
          </w14:textFill>
        </w:rPr>
      </w:pPr>
      <w:r>
        <w:rPr>
          <w:rFonts w:hint="eastAsia" w:ascii="宋体" w:hAnsi="宋体" w:eastAsia="宋体" w:cs="宋体"/>
          <w:b/>
          <w:color w:val="000000" w:themeColor="text1"/>
          <w:sz w:val="36"/>
          <w:highlight w:val="none"/>
          <w:lang w:val="en-US" w:eastAsia="zh-CN"/>
          <w14:textFill>
            <w14:solidFill>
              <w14:schemeClr w14:val="tx1"/>
            </w14:solidFill>
          </w14:textFill>
        </w:rPr>
        <w:br w:type="page"/>
      </w:r>
    </w:p>
    <w:p w14:paraId="569C7D7F">
      <w:pPr>
        <w:jc w:val="center"/>
        <w:rPr>
          <w:rFonts w:hint="eastAsia" w:ascii="宋体" w:hAnsi="宋体" w:cs="宋体"/>
          <w:b/>
          <w:color w:val="000000" w:themeColor="text1"/>
          <w:sz w:val="36"/>
          <w:highlight w:val="none"/>
          <w:lang w:val="en-US" w:eastAsia="zh-CN"/>
          <w14:textFill>
            <w14:solidFill>
              <w14:schemeClr w14:val="tx1"/>
            </w14:solidFill>
          </w14:textFill>
        </w:rPr>
      </w:pPr>
      <w:r>
        <w:rPr>
          <w:rFonts w:hint="eastAsia" w:ascii="宋体" w:hAnsi="宋体" w:cs="宋体"/>
          <w:b/>
          <w:color w:val="000000" w:themeColor="text1"/>
          <w:sz w:val="36"/>
          <w:highlight w:val="none"/>
          <w:lang w:val="en-US" w:eastAsia="zh-CN"/>
          <w14:textFill>
            <w14:solidFill>
              <w14:schemeClr w14:val="tx1"/>
            </w14:solidFill>
          </w14:textFill>
        </w:rPr>
        <w:t>中华人民共和国新疆出入境边防检查总站高清视频会议系统维保服务采购项目</w:t>
      </w:r>
    </w:p>
    <w:p w14:paraId="19822F97">
      <w:pPr>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6"/>
          <w:highlight w:val="none"/>
          <w:lang w:val="en-US" w:eastAsia="zh-CN"/>
          <w14:textFill>
            <w14:solidFill>
              <w14:schemeClr w14:val="tx1"/>
            </w14:solidFill>
          </w14:textFill>
        </w:rPr>
        <w:t>合同</w:t>
      </w:r>
    </w:p>
    <w:p w14:paraId="699E6830">
      <w:pPr>
        <w:rPr>
          <w:rFonts w:hAnsi="Calibri"/>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14:paraId="4A6976C3">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eastAsia="zh-CN"/>
          <w14:textFill>
            <w14:solidFill>
              <w14:schemeClr w14:val="tx1"/>
            </w14:solidFill>
          </w14:textFill>
        </w:rPr>
        <w:t>中华人民共和国新疆出入境边防检查总站</w:t>
      </w:r>
      <w:r>
        <w:rPr>
          <w:rFonts w:hint="eastAsia" w:ascii="宋体" w:hAnsi="宋体" w:eastAsia="宋体" w:cs="宋体"/>
          <w:color w:val="000000" w:themeColor="text1"/>
          <w:sz w:val="24"/>
          <w:szCs w:val="24"/>
          <w14:textFill>
            <w14:solidFill>
              <w14:schemeClr w14:val="tx1"/>
            </w14:solidFill>
          </w14:textFill>
        </w:rPr>
        <w:t xml:space="preserve">                       </w:t>
      </w:r>
    </w:p>
    <w:p w14:paraId="0242E7F8">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乙方：                      </w:t>
      </w:r>
    </w:p>
    <w:p w14:paraId="3DF5BDCA">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鉴于： </w:t>
      </w:r>
    </w:p>
    <w:p w14:paraId="6352C7AE">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本合同双方当事人（1）均为依照中华人民共和国法律成立并有效存续的独立法人，（2）并且已经获得签署本合同的相应授权，（3）具备履行本合同所必须的资质和条件。</w:t>
      </w:r>
    </w:p>
    <w:p w14:paraId="7D7A47D9">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5D70D7B7">
      <w:pPr>
        <w:pageBreakBefore w:val="0"/>
        <w:kinsoku/>
        <w:wordWrap/>
        <w:overflowPunct/>
        <w:topLinePunct w:val="0"/>
        <w:bidi w:val="0"/>
        <w:snapToGrid/>
        <w:spacing w:line="360" w:lineRule="auto"/>
        <w:ind w:left="0" w:leftChars="0" w:firstLine="480" w:firstLineChars="200"/>
        <w:jc w:val="left"/>
        <w:rPr>
          <w:rFonts w:hint="eastAsia" w:ascii="宋体" w:hAnsi="宋体" w:cs="宋体"/>
          <w:bCs/>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中华人民共和国新疆出入境边防检查总站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（以下简称甲方）与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（以下简称乙方）就</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u w:val="single"/>
          <w:lang w:val="en-US" w:eastAsia="zh-CN"/>
          <w14:textFill>
            <w14:solidFill>
              <w14:schemeClr w14:val="tx1"/>
            </w14:solidFill>
          </w14:textFill>
        </w:rPr>
        <w:t>中华人民共和国新疆出入境边防检查总站高清视频会议系统维保服务采购项目</w:t>
      </w:r>
    </w:p>
    <w:p w14:paraId="00DE8198">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，经双方协商一致，签订本合同，共同遵守如下条款：</w:t>
      </w:r>
    </w:p>
    <w:p w14:paraId="514FD39F">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286" w:name="_Toc11002"/>
      <w:r>
        <w:rPr>
          <w:rFonts w:hint="eastAsia" w:ascii="宋体" w:hAnsi="宋体" w:eastAsia="宋体" w:cs="宋体"/>
          <w:b/>
          <w:bCs/>
          <w:color w:val="000000" w:themeColor="text1"/>
          <w:sz w:val="24"/>
          <w:szCs w:val="24"/>
          <w14:textFill>
            <w14:solidFill>
              <w14:schemeClr w14:val="tx1"/>
            </w14:solidFill>
          </w14:textFill>
        </w:rPr>
        <w:t>第一条  总则</w:t>
      </w:r>
      <w:bookmarkEnd w:id="286"/>
    </w:p>
    <w:p w14:paraId="3DCDF02A">
      <w:pPr>
        <w:pageBreakBefore w:val="0"/>
        <w:kinsoku/>
        <w:wordWrap/>
        <w:overflowPunct/>
        <w:topLinePunct w:val="0"/>
        <w:bidi w:val="0"/>
        <w:snapToGrid/>
        <w:spacing w:line="360" w:lineRule="auto"/>
        <w:ind w:left="0" w:leftChars="0"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1.1.本合同双方必须遵守《中华人民共和国民法典》，并各自履行应</w:t>
      </w:r>
      <w:r>
        <w:rPr>
          <w:rFonts w:hint="eastAsia" w:ascii="宋体" w:hAnsi="宋体" w:eastAsia="宋体" w:cs="宋体"/>
          <w:color w:val="000000" w:themeColor="text1"/>
          <w:sz w:val="24"/>
          <w:szCs w:val="24"/>
          <w:lang w:val="en-US" w:eastAsia="zh-CN"/>
          <w14:textFill>
            <w14:solidFill>
              <w14:schemeClr w14:val="tx1"/>
            </w14:solidFill>
          </w14:textFill>
        </w:rPr>
        <w:t>负</w:t>
      </w:r>
      <w:r>
        <w:rPr>
          <w:rFonts w:hint="eastAsia" w:ascii="宋体" w:hAnsi="宋体" w:eastAsia="宋体" w:cs="宋体"/>
          <w:color w:val="000000" w:themeColor="text1"/>
          <w:sz w:val="24"/>
          <w:szCs w:val="24"/>
          <w14:textFill>
            <w14:solidFill>
              <w14:schemeClr w14:val="tx1"/>
            </w14:solidFill>
          </w14:textFill>
        </w:rPr>
        <w:t>的全部义务。</w:t>
      </w:r>
    </w:p>
    <w:p w14:paraId="3CF4B16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1.2.下列文件组成本合同的文件及作为解释的先后顺序：</w:t>
      </w:r>
    </w:p>
    <w:p w14:paraId="01C1C547">
      <w:pPr>
        <w:pageBreakBefore w:val="0"/>
        <w:kinsoku/>
        <w:wordWrap/>
        <w:overflowPunct/>
        <w:topLinePunct w:val="0"/>
        <w:autoSpaceDE w:val="0"/>
        <w:autoSpaceDN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1.2.1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u w:val="single"/>
          <w:lang w:val="en-US" w:eastAsia="zh-CN"/>
          <w14:textFill>
            <w14:solidFill>
              <w14:schemeClr w14:val="tx1"/>
            </w14:solidFill>
          </w14:textFill>
        </w:rPr>
        <w:t>新疆出入境边防检查总站高清视频会议系统维保服务采购</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项目的谈判文件、谈判文件成交人澄清；</w:t>
      </w:r>
    </w:p>
    <w:p w14:paraId="28E83887">
      <w:pPr>
        <w:pageBreakBefore w:val="0"/>
        <w:kinsoku/>
        <w:wordWrap/>
        <w:overflowPunct/>
        <w:topLinePunct w:val="0"/>
        <w:autoSpaceDE w:val="0"/>
        <w:autoSpaceDN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1.2.2 本项目的中标通知书；</w:t>
      </w:r>
    </w:p>
    <w:p w14:paraId="3202E97F">
      <w:pPr>
        <w:pageBreakBefore w:val="0"/>
        <w:kinsoku/>
        <w:wordWrap/>
        <w:overflowPunct/>
        <w:topLinePunct w:val="0"/>
        <w:autoSpaceDE w:val="0"/>
        <w:autoSpaceDN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1.2.3 本合同及其附件；</w:t>
      </w:r>
    </w:p>
    <w:p w14:paraId="23DC7F15">
      <w:pPr>
        <w:pageBreakBefore w:val="0"/>
        <w:kinsoku/>
        <w:wordWrap/>
        <w:overflowPunct/>
        <w:topLinePunct w:val="0"/>
        <w:autoSpaceDE w:val="0"/>
        <w:autoSpaceDN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1.2.4 乙方(成交人)的响应文件及其附件；</w:t>
      </w:r>
    </w:p>
    <w:p w14:paraId="3742C8AC">
      <w:pPr>
        <w:pageBreakBefore w:val="0"/>
        <w:kinsoku/>
        <w:wordWrap/>
        <w:overflowPunct/>
        <w:topLinePunct w:val="0"/>
        <w:autoSpaceDE w:val="0"/>
        <w:autoSpaceDN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1.2.5 行业标准、规范及有关技术文件等。 </w:t>
      </w:r>
    </w:p>
    <w:p w14:paraId="379BB6D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1.3.乙方保证全部按照合同条款的规定向甲方提供优质的产品和服务。</w:t>
      </w:r>
    </w:p>
    <w:p w14:paraId="5DEAE0D0">
      <w:pPr>
        <w:pageBreakBefore w:val="0"/>
        <w:kinsoku/>
        <w:wordWrap/>
        <w:overflowPunct/>
        <w:topLinePunct w:val="0"/>
        <w:bidi w:val="0"/>
        <w:snapToGrid/>
        <w:spacing w:line="360" w:lineRule="auto"/>
        <w:ind w:left="0" w:leftChars="0"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1.4.甲方保证按照合同条款规定的时间和方式付给乙方到期应付的价款。</w:t>
      </w:r>
    </w:p>
    <w:p w14:paraId="61CA1FD7">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287" w:name="_Toc2371"/>
      <w:r>
        <w:rPr>
          <w:rFonts w:hint="eastAsia" w:ascii="宋体" w:hAnsi="宋体" w:eastAsia="宋体" w:cs="宋体"/>
          <w:b/>
          <w:bCs/>
          <w:color w:val="000000" w:themeColor="text1"/>
          <w:sz w:val="24"/>
          <w:szCs w:val="24"/>
          <w14:textFill>
            <w14:solidFill>
              <w14:schemeClr w14:val="tx1"/>
            </w14:solidFill>
          </w14:textFill>
        </w:rPr>
        <w:t>第二条  定义</w:t>
      </w:r>
      <w:bookmarkEnd w:id="287"/>
    </w:p>
    <w:p w14:paraId="6D765BCB">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本合同下列术语应解释为：</w:t>
      </w:r>
    </w:p>
    <w:p w14:paraId="3375734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2.1.合同要素：</w:t>
      </w:r>
    </w:p>
    <w:p w14:paraId="65FBFAE5">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2.1.1.“合同”系指甲乙双方签署的、合同格式中载明的甲乙双方所达成的协议，包括所有的附件、附录和上述文件所提到的构成合同的所有文件，并按本合同第一条“总则” 1.2 的先后顺序解释。</w:t>
      </w:r>
    </w:p>
    <w:p w14:paraId="7E517C6F">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2.1.2.“合同价格”系指根据合同规定乙方在正确地完全履行合同义务后甲方应支付给乙方的价格。</w:t>
      </w:r>
    </w:p>
    <w:p w14:paraId="0F5A156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2.1.3.“合同条款”系指本合同条款。</w:t>
      </w:r>
    </w:p>
    <w:p w14:paraId="4A460CD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2.1.4.“技术需求”指的是招标文件中的技术需求。</w:t>
      </w:r>
    </w:p>
    <w:p w14:paraId="39AD0092">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2.2.实体：</w:t>
      </w:r>
    </w:p>
    <w:p w14:paraId="3077B2F5">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2.2.1.“甲方”系指在合同中指明的购买服务的单位。</w:t>
      </w:r>
    </w:p>
    <w:p w14:paraId="111FEB0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2.2.1.“乙方”系指在合同中指明的提供本合同项下服务的公司或实体。</w:t>
      </w:r>
    </w:p>
    <w:p w14:paraId="39AB80E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2.2.3.“最终用户”系指在合同中指明的、授权甲方采购合同项下服务的委托单位。</w:t>
      </w:r>
    </w:p>
    <w:p w14:paraId="30D9BDB5">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2.3.事项：</w:t>
      </w:r>
    </w:p>
    <w:p w14:paraId="62FD35E3">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2.3.1.“服务”系指根据合同规定，乙方应提供的技术、管理和其它服务，包括但不限于：检测、验收及技术服务等。详见本合同第六条“ 维保执行标准及技术要求 ”。</w:t>
      </w:r>
    </w:p>
    <w:p w14:paraId="41C7BA05">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2.3.2.“资料”指乙方在合同项下，根据合同规定须向甲方提供的所有文件。</w:t>
      </w:r>
    </w:p>
    <w:p w14:paraId="606D0A0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2.4.活动：</w:t>
      </w:r>
    </w:p>
    <w:p w14:paraId="4147841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2.4.1.“验收”是指所有合同项下所供货物在检测中达到合同规定的技术标准后，甲方予以接受，中标人在合同签订之前按照甲方需求确定验收方案，并作为合同附件。</w:t>
      </w:r>
    </w:p>
    <w:p w14:paraId="5E9783BE">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2.5.地点和时间：</w:t>
      </w:r>
    </w:p>
    <w:p w14:paraId="235FDB63">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2.5.1.“服务地点”指的是本合同约定地点。</w:t>
      </w:r>
    </w:p>
    <w:p w14:paraId="1C921B50">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288" w:name="_Toc13325"/>
      <w:r>
        <w:rPr>
          <w:rFonts w:hint="eastAsia" w:ascii="宋体" w:hAnsi="宋体" w:eastAsia="宋体" w:cs="宋体"/>
          <w:b/>
          <w:bCs/>
          <w:color w:val="000000" w:themeColor="text1"/>
          <w:sz w:val="24"/>
          <w:szCs w:val="24"/>
          <w14:textFill>
            <w14:solidFill>
              <w14:schemeClr w14:val="tx1"/>
            </w14:solidFill>
          </w14:textFill>
        </w:rPr>
        <w:t>第三条  合同标的</w:t>
      </w:r>
      <w:bookmarkEnd w:id="288"/>
    </w:p>
    <w:p w14:paraId="1723A1E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3.1.本合同标的</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cs="宋体"/>
          <w:color w:val="000000" w:themeColor="text1"/>
          <w:sz w:val="24"/>
          <w:szCs w:val="24"/>
          <w:highlight w:val="none"/>
          <w:u w:val="single"/>
          <w:lang w:val="en-US" w:eastAsia="zh-CN"/>
          <w14:textFill>
            <w14:solidFill>
              <w14:schemeClr w14:val="tx1"/>
            </w14:solidFill>
          </w14:textFill>
        </w:rPr>
        <w:t>中华人民共和国新疆出入境边防检查总站高清视频会议系统维保服务采购项目</w:t>
      </w:r>
      <w:r>
        <w:rPr>
          <w:rFonts w:hint="eastAsia" w:ascii="宋体" w:hAnsi="宋体" w:eastAsia="宋体" w:cs="宋体"/>
          <w:color w:val="000000" w:themeColor="text1"/>
          <w:sz w:val="24"/>
          <w:szCs w:val="24"/>
          <w14:textFill>
            <w14:solidFill>
              <w14:schemeClr w14:val="tx1"/>
            </w14:solidFill>
          </w14:textFill>
        </w:rPr>
        <w:t>，本合同价格为固定价。合同总价包含所有维保费用及税金等，除此甲方不再承担任何费用；</w:t>
      </w:r>
    </w:p>
    <w:p w14:paraId="2685C0E2">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3.2.维保内容、名称、规格型号、单位、数量及金额：大写：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元整 。 小写：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（人民币元）。</w:t>
      </w:r>
    </w:p>
    <w:p w14:paraId="03EF8A1A">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p>
    <w:p w14:paraId="20EC71FE">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289" w:name="_Toc3956"/>
      <w:r>
        <w:rPr>
          <w:rFonts w:hint="eastAsia" w:ascii="宋体" w:hAnsi="宋体" w:eastAsia="宋体" w:cs="宋体"/>
          <w:b/>
          <w:bCs/>
          <w:color w:val="000000" w:themeColor="text1"/>
          <w:sz w:val="24"/>
          <w:szCs w:val="24"/>
          <w14:textFill>
            <w14:solidFill>
              <w14:schemeClr w14:val="tx1"/>
            </w14:solidFill>
          </w14:textFill>
        </w:rPr>
        <w:t>第四条  保密条款</w:t>
      </w:r>
      <w:bookmarkEnd w:id="289"/>
    </w:p>
    <w:p w14:paraId="564A58D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甲乙任何一方应对在本合同签订或履行过程中所接触到的对方的保密信息，包括但不限于知识产权信息、内部管理办法、内部规章制度以及其他与甲乙双方内部规章相关的信息，负有保密义务。除甲方为了了解本项目建设必须对项目业主等相关第三方披露外，未经对方同意任何一方不得将本合同及履行本合同的相关文件向第三方披露。</w:t>
      </w:r>
    </w:p>
    <w:p w14:paraId="6728392F">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4.2.在本合同履行期间内，任何一方对获得与本项目相关的对方的商业机密，皆应谨慎地进行披露和接受。</w:t>
      </w:r>
    </w:p>
    <w:p w14:paraId="36355E5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4.3.本合同履行完毕或终止后，一方将立即归还从对方处获得的一切保密信息，或者以对方认可的方式进行销毁。</w:t>
      </w:r>
    </w:p>
    <w:p w14:paraId="6D44E8B7">
      <w:pPr>
        <w:pStyle w:val="8"/>
        <w:pageBreakBefore w:val="0"/>
        <w:kinsoku/>
        <w:wordWrap/>
        <w:overflowPunct/>
        <w:topLinePunct w:val="0"/>
        <w:bidi w:val="0"/>
        <w:snapToGrid/>
        <w:spacing w:before="0"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双方的保密义务不受本合同的终止或解除的影响。</w:t>
      </w:r>
    </w:p>
    <w:p w14:paraId="697899F2">
      <w:pPr>
        <w:pStyle w:val="30"/>
        <w:pageBreakBefore w:val="0"/>
        <w:kinsoku/>
        <w:wordWrap/>
        <w:overflowPunct/>
        <w:topLinePunct w:val="0"/>
        <w:bidi w:val="0"/>
        <w:snapToGrid/>
        <w:spacing w:before="0"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p>
    <w:p w14:paraId="0349C32D">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lang w:eastAsia="zh-CN"/>
          <w14:textFill>
            <w14:solidFill>
              <w14:schemeClr w14:val="tx1"/>
            </w14:solidFill>
          </w14:textFill>
        </w:rPr>
      </w:pPr>
      <w:bookmarkStart w:id="290" w:name="_Toc9182"/>
      <w:r>
        <w:rPr>
          <w:rFonts w:hint="eastAsia" w:ascii="宋体" w:hAnsi="宋体" w:eastAsia="宋体" w:cs="宋体"/>
          <w:b/>
          <w:bCs/>
          <w:color w:val="000000" w:themeColor="text1"/>
          <w:sz w:val="24"/>
          <w:szCs w:val="24"/>
          <w14:textFill>
            <w14:solidFill>
              <w14:schemeClr w14:val="tx1"/>
            </w14:solidFill>
          </w14:textFill>
        </w:rPr>
        <w:t>第五条  付款方式和期限</w:t>
      </w:r>
      <w:bookmarkEnd w:id="290"/>
      <w:r>
        <w:rPr>
          <w:rFonts w:hint="eastAsia" w:ascii="宋体" w:hAnsi="宋体" w:eastAsia="宋体" w:cs="宋体"/>
          <w:b/>
          <w:bCs/>
          <w:color w:val="000000" w:themeColor="text1"/>
          <w:sz w:val="24"/>
          <w:szCs w:val="24"/>
          <w:lang w:eastAsia="zh-CN"/>
          <w14:textFill>
            <w14:solidFill>
              <w14:schemeClr w14:val="tx1"/>
            </w14:solidFill>
          </w14:textFill>
        </w:rPr>
        <w:t>及验收</w:t>
      </w:r>
    </w:p>
    <w:p w14:paraId="6159219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甲乙双方签订合同后30日内支付50%的合同款,服务期满6个月后支付40%的合同款，验收合格后支付10%的尾款 (具体金额以审计结果为准，项目验收完成后，由甲方审计部门审计， 出具审计报告书，乙方根据审计报告开具剩余金额项目款发票)</w:t>
      </w:r>
      <w:r>
        <w:rPr>
          <w:rFonts w:hint="eastAsia" w:ascii="宋体" w:hAnsi="宋体" w:cs="宋体"/>
          <w:color w:val="000000" w:themeColor="text1"/>
          <w:kern w:val="2"/>
          <w:sz w:val="24"/>
          <w:szCs w:val="22"/>
          <w:highlight w:val="none"/>
          <w:lang w:val="en-US" w:eastAsia="zh-CN" w:bidi="ar-SA"/>
          <w14:textFill>
            <w14:solidFill>
              <w14:schemeClr w14:val="tx1"/>
            </w14:solidFill>
          </w14:textFill>
        </w:rPr>
        <w:t>，甲方自收到发票之日起20日内支付剩余尾款</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w:t>
      </w:r>
    </w:p>
    <w:p w14:paraId="10C7DCC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5.2.本项目</w:t>
      </w:r>
      <w:r>
        <w:rPr>
          <w:rFonts w:hint="eastAsia" w:ascii="宋体" w:hAnsi="宋体" w:eastAsia="宋体" w:cs="宋体"/>
          <w:color w:val="000000" w:themeColor="text1"/>
          <w:sz w:val="24"/>
          <w:szCs w:val="24"/>
          <w:lang w:eastAsia="zh-CN"/>
          <w14:textFill>
            <w14:solidFill>
              <w14:schemeClr w14:val="tx1"/>
            </w14:solidFill>
          </w14:textFill>
        </w:rPr>
        <w:t>自合同签订之日起，开展为期1年的系统运维服务，保证系统已有功能保有持续服务能力</w:t>
      </w:r>
      <w:r>
        <w:rPr>
          <w:rFonts w:hint="eastAsia" w:ascii="宋体" w:hAnsi="宋体" w:eastAsia="宋体" w:cs="宋体"/>
          <w:color w:val="000000" w:themeColor="text1"/>
          <w:sz w:val="24"/>
          <w:szCs w:val="24"/>
          <w14:textFill>
            <w14:solidFill>
              <w14:schemeClr w14:val="tx1"/>
            </w14:solidFill>
          </w14:textFill>
        </w:rPr>
        <w:t>。</w:t>
      </w:r>
    </w:p>
    <w:p w14:paraId="7C42DCA2">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5.3.乙方具备上述付款条件后向甲方申请服务款时，先将相关结算资料提交甲方。乙方需要提供以下付款单据：</w:t>
      </w:r>
    </w:p>
    <w:p w14:paraId="5291F94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5.3.1.甲方签署的验收合格证明正本一份；</w:t>
      </w:r>
    </w:p>
    <w:p w14:paraId="71354F18">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5.3.2.与申请服务款等值的税务发票正本一份。</w:t>
      </w:r>
    </w:p>
    <w:p w14:paraId="08B20B8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5.4.乙方申请付款时，发票必须由乙方提供，不得将服务等发票直接提供给甲方。在甲方付款前，乙方应当向甲方出具足额的</w:t>
      </w:r>
      <w:r>
        <w:rPr>
          <w:rFonts w:hint="eastAsia" w:ascii="宋体" w:hAnsi="宋体" w:cs="宋体"/>
          <w:color w:val="000000" w:themeColor="text1"/>
          <w:sz w:val="24"/>
          <w:szCs w:val="24"/>
          <w:lang w:val="en-US" w:eastAsia="zh-CN"/>
          <w14:textFill>
            <w14:solidFill>
              <w14:schemeClr w14:val="tx1"/>
            </w14:solidFill>
          </w14:textFill>
        </w:rPr>
        <w:t>增值税普通</w:t>
      </w:r>
      <w:r>
        <w:rPr>
          <w:rFonts w:hint="eastAsia" w:ascii="宋体" w:hAnsi="宋体" w:eastAsia="宋体" w:cs="宋体"/>
          <w:color w:val="000000" w:themeColor="text1"/>
          <w:sz w:val="24"/>
          <w:szCs w:val="24"/>
          <w14:textFill>
            <w14:solidFill>
              <w14:schemeClr w14:val="tx1"/>
            </w14:solidFill>
          </w14:textFill>
        </w:rPr>
        <w:t>发票。乙方向甲方逾期出具发票或者发票不符合税法和甲方要求的，甲方有权延期付款，直至乙方按本协议约定出具足额的发票。乙方不得以此拒绝履行其合同义务或因此索取任何补偿或者费用支付。</w:t>
      </w:r>
    </w:p>
    <w:p w14:paraId="2ED7DB5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5.5.本合同项目下合同价款由甲方负责支付。</w:t>
      </w:r>
    </w:p>
    <w:p w14:paraId="234A1520">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乙方指定收款账户</w:t>
      </w:r>
    </w:p>
    <w:p w14:paraId="3D4B8A56">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账户名称：  </w:t>
      </w:r>
    </w:p>
    <w:p w14:paraId="327D494E">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w:t>
      </w:r>
    </w:p>
    <w:p w14:paraId="499A9F16">
      <w:pPr>
        <w:pStyle w:val="8"/>
        <w:pageBreakBefore w:val="0"/>
        <w:kinsoku/>
        <w:wordWrap/>
        <w:overflowPunct/>
        <w:topLinePunct w:val="0"/>
        <w:bidi w:val="0"/>
        <w:snapToGrid/>
        <w:spacing w:before="0" w:line="360" w:lineRule="auto"/>
        <w:ind w:left="0" w:leftChars="0" w:firstLine="480" w:firstLineChars="200"/>
        <w:jc w:val="left"/>
        <w:outlineLvl w:val="9"/>
        <w:rPr>
          <w:rFonts w:hint="eastAsia" w:ascii="宋体" w:hAnsi="宋体" w:eastAsia="宋体" w:cs="宋体"/>
          <w:color w:val="000000" w:themeColor="text1"/>
          <w:kern w:val="0"/>
          <w:sz w:val="24"/>
          <w:szCs w:val="24"/>
          <w:lang w:val="zh-CN" w:bidi="zh-CN"/>
          <w14:textFill>
            <w14:solidFill>
              <w14:schemeClr w14:val="tx1"/>
            </w14:solidFill>
          </w14:textFill>
        </w:rPr>
      </w:pPr>
      <w:r>
        <w:rPr>
          <w:rFonts w:hint="eastAsia" w:ascii="宋体" w:hAnsi="宋体" w:eastAsia="宋体" w:cs="宋体"/>
          <w:color w:val="000000" w:themeColor="text1"/>
          <w:kern w:val="0"/>
          <w:sz w:val="24"/>
          <w:szCs w:val="24"/>
          <w:lang w:val="zh-CN" w:bidi="zh-CN"/>
          <w14:textFill>
            <w14:solidFill>
              <w14:schemeClr w14:val="tx1"/>
            </w14:solidFill>
          </w14:textFill>
        </w:rPr>
        <w:t>账号：</w:t>
      </w:r>
    </w:p>
    <w:p w14:paraId="736A0BEC">
      <w:pPr>
        <w:pageBreakBefore w:val="0"/>
        <w:kinsoku/>
        <w:wordWrap/>
        <w:overflowPunct/>
        <w:topLinePunct w:val="0"/>
        <w:bidi w:val="0"/>
        <w:snapToGrid/>
        <w:spacing w:beforeAutospacing="0" w:afterAutospacing="0" w:line="360" w:lineRule="auto"/>
        <w:ind w:left="0" w:leftChars="0" w:firstLine="480" w:firstLineChars="200"/>
        <w:jc w:val="left"/>
        <w:outlineLvl w:val="9"/>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5.6</w:t>
      </w:r>
      <w:r>
        <w:rPr>
          <w:rFonts w:hint="eastAsia" w:ascii="宋体" w:hAnsi="宋体" w:eastAsia="宋体" w:cs="宋体"/>
          <w:b w:val="0"/>
          <w:color w:val="000000" w:themeColor="text1"/>
          <w:kern w:val="2"/>
          <w:sz w:val="24"/>
          <w:szCs w:val="24"/>
          <w:highlight w:val="none"/>
          <w14:textFill>
            <w14:solidFill>
              <w14:schemeClr w14:val="tx1"/>
            </w14:solidFill>
          </w14:textFill>
        </w:rPr>
        <w:t>验收方式及标准</w:t>
      </w:r>
      <w:r>
        <w:rPr>
          <w:rFonts w:hint="eastAsia" w:ascii="宋体" w:hAnsi="宋体" w:eastAsia="宋体" w:cs="宋体"/>
          <w:color w:val="000000" w:themeColor="text1"/>
          <w:kern w:val="2"/>
          <w:sz w:val="24"/>
          <w:szCs w:val="24"/>
          <w:lang w:val="en-US" w:eastAsia="zh-CN"/>
          <w14:textFill>
            <w14:solidFill>
              <w14:schemeClr w14:val="tx1"/>
            </w14:solidFill>
          </w14:textFill>
        </w:rPr>
        <w:t>。</w:t>
      </w:r>
    </w:p>
    <w:p w14:paraId="66BCCB9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验收按照合同计划执行。</w:t>
      </w:r>
    </w:p>
    <w:p w14:paraId="73D8BE74">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验收人员由甲方相关人员与承建方人员共同组成。由投标人组织进行硬件设备、软件系统试运行测试，测试经双方主管人员签字认可，存档留作验收时参考。</w:t>
      </w:r>
    </w:p>
    <w:p w14:paraId="49D1D375">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系统验收时投标人须提供详细软件相关技术文档（含数据结构、数据流图、系统字典说明等）、硬件设备参数、维护手册等维护资料。</w:t>
      </w:r>
    </w:p>
    <w:p w14:paraId="276AF6DA">
      <w:pPr>
        <w:pageBreakBefore w:val="0"/>
        <w:numPr>
          <w:ilvl w:val="0"/>
          <w:numId w:val="0"/>
        </w:numPr>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291" w:name="_Toc1265"/>
      <w:bookmarkStart w:id="292" w:name="_Toc4142"/>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第六条</w:t>
      </w:r>
      <w:r>
        <w:rPr>
          <w:rFonts w:hint="eastAsia" w:ascii="宋体" w:hAnsi="宋体" w:eastAsia="宋体" w:cs="宋体"/>
          <w:b/>
          <w:bCs/>
          <w:color w:val="000000" w:themeColor="text1"/>
          <w:sz w:val="24"/>
          <w:szCs w:val="24"/>
          <w14:textFill>
            <w14:solidFill>
              <w14:schemeClr w14:val="tx1"/>
            </w14:solidFill>
          </w14:textFill>
        </w:rPr>
        <w:t xml:space="preserve"> </w:t>
      </w:r>
      <w:bookmarkEnd w:id="291"/>
      <w:r>
        <w:rPr>
          <w:rFonts w:hint="eastAsia" w:ascii="宋体" w:hAnsi="宋体" w:eastAsia="宋体" w:cs="宋体"/>
          <w:b/>
          <w:bCs/>
          <w:color w:val="000000" w:themeColor="text1"/>
          <w:sz w:val="24"/>
          <w:szCs w:val="24"/>
          <w14:textFill>
            <w14:solidFill>
              <w14:schemeClr w14:val="tx1"/>
            </w14:solidFill>
          </w14:textFill>
        </w:rPr>
        <w:t>服务要求及执行标准、技术要求</w:t>
      </w:r>
    </w:p>
    <w:p w14:paraId="4A41A956">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6.1服务要求</w:t>
      </w:r>
    </w:p>
    <w:p w14:paraId="66AD979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hd w:val="clear" w:color="auto" w:fill="auto"/>
          <w:lang w:val="en-US" w:eastAsia="zh-CN"/>
          <w14:textFill>
            <w14:solidFill>
              <w14:schemeClr w14:val="tx1"/>
            </w14:solidFill>
          </w14:textFill>
        </w:rPr>
        <w:t>视频会议系统</w:t>
      </w:r>
      <w:r>
        <w:rPr>
          <w:rFonts w:hint="eastAsia" w:ascii="宋体" w:hAnsi="宋体" w:eastAsia="宋体" w:cs="宋体"/>
          <w:b w:val="0"/>
          <w:bCs/>
          <w:color w:val="000000" w:themeColor="text1"/>
          <w:sz w:val="24"/>
          <w:shd w:val="clear" w:color="auto" w:fill="auto"/>
          <w14:textFill>
            <w14:solidFill>
              <w14:schemeClr w14:val="tx1"/>
            </w14:solidFill>
          </w14:textFill>
        </w:rPr>
        <w:t>驻场及维保服务主要包括总站机关驻场服务、基层单位设备维护服务和故障维修服务</w:t>
      </w:r>
      <w:r>
        <w:rPr>
          <w:rFonts w:hint="eastAsia" w:ascii="宋体" w:hAnsi="宋体" w:eastAsia="宋体" w:cs="宋体"/>
          <w:b w:val="0"/>
          <w:bCs/>
          <w:color w:val="000000" w:themeColor="text1"/>
          <w:sz w:val="24"/>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hd w:val="clear" w:color="auto" w:fill="auto"/>
          <w14:textFill>
            <w14:solidFill>
              <w14:schemeClr w14:val="tx1"/>
            </w14:solidFill>
          </w14:textFill>
        </w:rPr>
        <w:t>以及其他涉及视频会议系统运维的服务内容</w:t>
      </w:r>
      <w:r>
        <w:rPr>
          <w:rFonts w:hint="eastAsia" w:ascii="宋体" w:hAnsi="宋体" w:eastAsia="宋体" w:cs="宋体"/>
          <w:b/>
          <w:bCs/>
          <w:color w:val="000000" w:themeColor="text1"/>
          <w:sz w:val="24"/>
          <w:szCs w:val="24"/>
          <w:lang w:val="en-US" w:eastAsia="zh-CN"/>
          <w14:textFill>
            <w14:solidFill>
              <w14:schemeClr w14:val="tx1"/>
            </w14:solidFill>
          </w14:textFill>
        </w:rPr>
        <w:t>，具体详见竞争性谈判文件第三部分采购需求。</w:t>
      </w:r>
    </w:p>
    <w:p w14:paraId="0D1F4D7B">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第七条  技术文件</w:t>
      </w:r>
      <w:bookmarkEnd w:id="292"/>
    </w:p>
    <w:p w14:paraId="0EAC23E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乙方应在供货同时向甲方提供所有有关本合同执行的技术文件。技术文件的具体内容详见技术规范。如果必需但合同又未作规定的要乙方才能提供的技术文件，乙方也应及时向甲方提供。技术文件可以是手册、图纸或其他形式的文件资料。</w:t>
      </w:r>
    </w:p>
    <w:p w14:paraId="04A4D60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7.2.上述技术文件应包含保证甲方能够正确进行使用、检查以及验收等所需的所有内容。乙方的该项义务并不意味着对乙方在本合同项下关于使用、检查以及验收等义务的转移。</w:t>
      </w:r>
    </w:p>
    <w:p w14:paraId="5B3AF42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7.3.甲方完全按照技术文件的指导进行的任何使用、检查、验收所引起的货物和其部件的损坏由乙方承担责任。</w:t>
      </w:r>
    </w:p>
    <w:p w14:paraId="578CEA6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7.4.所有乙方提供的技术文件的全部费用已包含在合同货物价格中。</w:t>
      </w:r>
    </w:p>
    <w:p w14:paraId="3BD5ECF8">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7.5.所有未列明交付时间的乙方应提供的技术文件，必须单独包装伴随货物按交付时间交付给甲方。</w:t>
      </w:r>
    </w:p>
    <w:p w14:paraId="4198857B">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7.6.甲方到货后如发现乙方未提供有关文件，可以推迟付款，直至乙方补齐有关文件。</w:t>
      </w:r>
    </w:p>
    <w:p w14:paraId="03C7E3A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7.7.乙方必须向甲方提供本项目所需的所有硬件的安装和维护服务的全部内容。若对本项目提供的设备产品等方面的配置或要求中出现不合理或不完整的问题时，乙方有责任和义务以书面方式向甲方提出补充修改方案并征得甲方同意后付诸实施。</w:t>
      </w:r>
    </w:p>
    <w:p w14:paraId="6DDA3702">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293" w:name="_Toc1737"/>
      <w:r>
        <w:rPr>
          <w:rFonts w:hint="eastAsia" w:ascii="宋体" w:hAnsi="宋体" w:eastAsia="宋体" w:cs="宋体"/>
          <w:b/>
          <w:bCs/>
          <w:color w:val="000000" w:themeColor="text1"/>
          <w:sz w:val="24"/>
          <w:szCs w:val="24"/>
          <w14:textFill>
            <w14:solidFill>
              <w14:schemeClr w14:val="tx1"/>
            </w14:solidFill>
          </w14:textFill>
        </w:rPr>
        <w:t>第八条  知识产权</w:t>
      </w:r>
      <w:bookmarkEnd w:id="293"/>
    </w:p>
    <w:p w14:paraId="46C4DA52">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8.1.乙方应保证，甲方在中华人民共和国使用该服务的任何一部分时，免受第三方提出的侵犯其专利权、商标权或其他知识产权的起诉。如发生此类纠纷，由乙方承担一切责任。</w:t>
      </w:r>
    </w:p>
    <w:p w14:paraId="377DE24F">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8.2.乙方为执行本合同而提供的技术资料的使用权归甲方所有。</w:t>
      </w:r>
    </w:p>
    <w:p w14:paraId="744335CA">
      <w:pPr>
        <w:pageBreakBefore w:val="0"/>
        <w:kinsoku/>
        <w:wordWrap/>
        <w:overflowPunct/>
        <w:topLinePunct w:val="0"/>
        <w:bidi w:val="0"/>
        <w:adjustRightInd w:val="0"/>
        <w:snapToGrid/>
        <w:spacing w:line="360" w:lineRule="auto"/>
        <w:ind w:left="0" w:leftChars="0" w:firstLine="482" w:firstLineChars="200"/>
        <w:jc w:val="center"/>
        <w:outlineLvl w:val="9"/>
        <w:rPr>
          <w:rFonts w:hint="eastAsia" w:ascii="宋体" w:hAnsi="宋体" w:eastAsia="宋体" w:cs="宋体"/>
          <w:color w:val="000000" w:themeColor="text1"/>
          <w:sz w:val="24"/>
          <w:szCs w:val="24"/>
          <w14:textFill>
            <w14:solidFill>
              <w14:schemeClr w14:val="tx1"/>
            </w14:solidFill>
          </w14:textFill>
        </w:rPr>
      </w:pPr>
      <w:bookmarkStart w:id="294" w:name="_Toc12022"/>
      <w:r>
        <w:rPr>
          <w:rFonts w:hint="eastAsia" w:ascii="宋体" w:hAnsi="宋体" w:eastAsia="宋体" w:cs="宋体"/>
          <w:b/>
          <w:bCs/>
          <w:color w:val="000000" w:themeColor="text1"/>
          <w:sz w:val="24"/>
          <w:szCs w:val="24"/>
          <w14:textFill>
            <w14:solidFill>
              <w14:schemeClr w14:val="tx1"/>
            </w14:solidFill>
          </w14:textFill>
        </w:rPr>
        <w:t>第九条  第三方责任</w:t>
      </w:r>
      <w:bookmarkEnd w:id="294"/>
    </w:p>
    <w:p w14:paraId="35AD8AD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  乙方与其代理之相互关系、相关责任义务等均由乙方与代理商自行协商约定，但在与本合同相关的任何情形下，乙方与其任何一家代理商二者之间的约定仅属于其内部分担权利义务及其内部约定分担对外责任的办法，乙方与该代理商二者对甲方、最终用户、相关第三方则应承担连带责任，而乙方依据合同原所承担的对甲方、最终用户及第三方的责任</w:t>
      </w:r>
      <w:r>
        <w:rPr>
          <w:rFonts w:hint="eastAsia" w:ascii="宋体" w:hAnsi="宋体" w:eastAsia="宋体" w:cs="宋体"/>
          <w:color w:val="000000" w:themeColor="text1"/>
          <w:sz w:val="24"/>
          <w:szCs w:val="24"/>
          <w:highlight w:val="none"/>
          <w14:textFill>
            <w14:solidFill>
              <w14:schemeClr w14:val="tx1"/>
            </w14:solidFill>
          </w14:textFill>
        </w:rPr>
        <w:t>均并不因此被减免。</w:t>
      </w:r>
    </w:p>
    <w:p w14:paraId="3F9AE8AA">
      <w:pPr>
        <w:pageBreakBefore w:val="0"/>
        <w:kinsoku/>
        <w:wordWrap/>
        <w:overflowPunct/>
        <w:topLinePunct w:val="0"/>
        <w:bidi w:val="0"/>
        <w:adjustRightInd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295" w:name="_Toc2675"/>
      <w:r>
        <w:rPr>
          <w:rFonts w:hint="eastAsia" w:ascii="宋体" w:hAnsi="宋体" w:eastAsia="宋体" w:cs="宋体"/>
          <w:b/>
          <w:bCs/>
          <w:color w:val="000000" w:themeColor="text1"/>
          <w:sz w:val="24"/>
          <w:szCs w:val="24"/>
          <w14:textFill>
            <w14:solidFill>
              <w14:schemeClr w14:val="tx1"/>
            </w14:solidFill>
          </w14:textFill>
        </w:rPr>
        <w:t>第十条专用工具</w:t>
      </w:r>
      <w:bookmarkEnd w:id="295"/>
    </w:p>
    <w:p w14:paraId="2C54FF1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.1  乙方应提供必要的、全新的和完整的检测、维修所需的专用工具套，这部分费用已包含在合同价内。</w:t>
      </w:r>
    </w:p>
    <w:p w14:paraId="5EFE77DE">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.2 货物验收合格移交时，这些专用工具应单独装箱直接交付甲方或由甲方指定的接受方。</w:t>
      </w:r>
    </w:p>
    <w:p w14:paraId="375E25C6">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296" w:name="_Toc16951"/>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条  伴随服务</w:t>
      </w:r>
      <w:bookmarkEnd w:id="296"/>
    </w:p>
    <w:p w14:paraId="61A23F79">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.1.乙方被要求按照合同的规定，提供下列服务：</w:t>
      </w:r>
    </w:p>
    <w:p w14:paraId="4A43842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.1.1.实施所供货物的集成、现场安装、调试、维修和试运行；</w:t>
      </w:r>
    </w:p>
    <w:p w14:paraId="35385739">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.1.2.提供服务所需备件和专用工具；</w:t>
      </w:r>
    </w:p>
    <w:p w14:paraId="4EEA04C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.1.3. 在制造商或项目现场就服务的启动、运营、维护对甲方操作人员进行培训；</w:t>
      </w:r>
    </w:p>
    <w:p w14:paraId="12DD43E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.1.4.在双方商定的一定期限内对所供服务提供维修和技术支持，但前提条件是该服务并不能免除乙方在合同保证期内所承担的义务；</w:t>
      </w:r>
    </w:p>
    <w:p w14:paraId="508E41D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 乙方应向甲方提交所提供服务的技术文件，包括相应的中文技术文件，如：产品目录、图纸、操作手册、使用说明、维护手册或服务指南。这些文件应包装好随同货物一起发运。</w:t>
      </w:r>
    </w:p>
    <w:p w14:paraId="403920EE">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.3乙方应提供合同规定的所有服务。为履行要求的伴随服务的报价应包括在合同价中。</w:t>
      </w:r>
    </w:p>
    <w:p w14:paraId="5F42096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乙方必须向甲方提供本项目所需的所有维护服务的全部内容。若对本项目提供的服务等方面的配置或要求中出现不合理或不完整的问题时，乙方有责任和义务在响应档中提出补充修改方案并征得使用方同意后付诸实施。</w:t>
      </w:r>
    </w:p>
    <w:p w14:paraId="1A0B01C3">
      <w:pPr>
        <w:pageBreakBefore w:val="0"/>
        <w:kinsoku/>
        <w:wordWrap/>
        <w:overflowPunct/>
        <w:topLinePunct w:val="0"/>
        <w:bidi w:val="0"/>
        <w:snapToGrid/>
        <w:spacing w:line="360" w:lineRule="auto"/>
        <w:ind w:left="0" w:leftChars="0"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p>
    <w:p w14:paraId="65DAEA65">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297" w:name="_Toc26163"/>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条  合同管理</w:t>
      </w:r>
      <w:bookmarkEnd w:id="297"/>
    </w:p>
    <w:p w14:paraId="123FE8A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.1.为便于管理，甲方和乙方在合同执行期间的联络，应通过指定的项目负责人进行。</w:t>
      </w:r>
    </w:p>
    <w:p w14:paraId="24F6F758">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甲方项目负责人：                               电话：</w:t>
      </w:r>
    </w:p>
    <w:p w14:paraId="635365BE">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乙方项目负责人：                               电话：</w:t>
      </w:r>
    </w:p>
    <w:p w14:paraId="765BE7C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.2.整个检验验收期间，乙方应接受甲方的统一管理和必要的监督检查。</w:t>
      </w:r>
    </w:p>
    <w:p w14:paraId="3FA57D6F">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298" w:name="_Toc26100"/>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条  异议索赔</w:t>
      </w:r>
      <w:bookmarkEnd w:id="298"/>
    </w:p>
    <w:p w14:paraId="1CC4C963">
      <w:pPr>
        <w:pageBreakBefore w:val="0"/>
        <w:kinsoku/>
        <w:wordWrap/>
        <w:overflowPunct/>
        <w:topLinePunct w:val="0"/>
        <w:bidi w:val="0"/>
        <w:snapToGrid/>
        <w:spacing w:line="360" w:lineRule="auto"/>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bookmarkStart w:id="299" w:name="_Toc4612"/>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.1.乙方维护不能达到原系统性能，乙方应向甲方支付合同内</w:t>
      </w:r>
      <w:r>
        <w:rPr>
          <w:rFonts w:hint="eastAsia" w:ascii="宋体" w:hAnsi="宋体" w:cs="宋体"/>
          <w:color w:val="000000" w:themeColor="text1"/>
          <w:sz w:val="24"/>
          <w:szCs w:val="24"/>
          <w:lang w:val="en-US" w:eastAsia="zh-CN"/>
          <w14:textFill>
            <w14:solidFill>
              <w14:schemeClr w14:val="tx1"/>
            </w14:solidFill>
          </w14:textFill>
        </w:rPr>
        <w:t>有</w:t>
      </w:r>
      <w:r>
        <w:rPr>
          <w:rFonts w:hint="eastAsia" w:ascii="宋体" w:hAnsi="宋体" w:eastAsia="宋体" w:cs="宋体"/>
          <w:color w:val="000000" w:themeColor="text1"/>
          <w:sz w:val="24"/>
          <w:szCs w:val="24"/>
          <w14:textFill>
            <w14:solidFill>
              <w14:schemeClr w14:val="tx1"/>
            </w14:solidFill>
          </w14:textFill>
        </w:rPr>
        <w:t>相关系统维护的违约金，甲方有权要求乙方在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日内维修，并承担修理的一切费用。如乙方在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日内不能修理</w:t>
      </w:r>
      <w:r>
        <w:rPr>
          <w:rFonts w:hint="eastAsia" w:ascii="宋体" w:hAnsi="宋体" w:eastAsia="宋体" w:cs="宋体"/>
          <w:color w:val="000000" w:themeColor="text1"/>
          <w:sz w:val="24"/>
          <w:szCs w:val="24"/>
          <w:lang w:val="en-US" w:eastAsia="zh-CN"/>
          <w14:textFill>
            <w14:solidFill>
              <w14:schemeClr w14:val="tx1"/>
            </w14:solidFill>
          </w14:textFill>
        </w:rPr>
        <w:t>完毕</w:t>
      </w:r>
      <w:r>
        <w:rPr>
          <w:rFonts w:hint="eastAsia" w:ascii="宋体" w:hAnsi="宋体" w:eastAsia="宋体" w:cs="宋体"/>
          <w:color w:val="000000" w:themeColor="text1"/>
          <w:sz w:val="24"/>
          <w:szCs w:val="24"/>
          <w14:textFill>
            <w14:solidFill>
              <w14:schemeClr w14:val="tx1"/>
            </w14:solidFill>
          </w14:textFill>
        </w:rPr>
        <w:t>的，按不能维护处理，甲方有权终止合同。</w:t>
      </w:r>
    </w:p>
    <w:p w14:paraId="4AC147BC">
      <w:pPr>
        <w:pageBreakBefore w:val="0"/>
        <w:kinsoku/>
        <w:wordWrap/>
        <w:overflowPunct/>
        <w:topLinePunct w:val="0"/>
        <w:bidi w:val="0"/>
        <w:snapToGrid/>
        <w:spacing w:line="360" w:lineRule="auto"/>
        <w:ind w:left="0" w:leftChars="0"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.2 除不可抗力原因外，如因乙方的原因造成项目系统不能按照合同约定时间内恢复正常，</w:t>
      </w:r>
      <w:r>
        <w:rPr>
          <w:rFonts w:hint="eastAsia" w:ascii="宋体" w:hAnsi="宋体" w:eastAsia="宋体" w:cs="宋体"/>
          <w:color w:val="000000" w:themeColor="text1"/>
          <w:sz w:val="24"/>
          <w:szCs w:val="24"/>
          <w:lang w:val="en-US" w:eastAsia="zh-CN"/>
          <w14:textFill>
            <w14:solidFill>
              <w14:schemeClr w14:val="tx1"/>
            </w14:solidFill>
          </w14:textFill>
        </w:rPr>
        <w:t>每延误一日，</w:t>
      </w:r>
      <w:r>
        <w:rPr>
          <w:rFonts w:hint="eastAsia" w:ascii="宋体" w:hAnsi="宋体" w:eastAsia="宋体" w:cs="宋体"/>
          <w:color w:val="000000" w:themeColor="text1"/>
          <w:sz w:val="24"/>
          <w:szCs w:val="24"/>
          <w14:textFill>
            <w14:solidFill>
              <w14:schemeClr w14:val="tx1"/>
            </w14:solidFill>
          </w14:textFill>
        </w:rPr>
        <w:t>乙方的赔偿费按合同总额的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计收，不足一天按一天计算，直至提供服务为止，误期赔偿费最高限额为合同总额的 20%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同时甲方有权解除合同。</w:t>
      </w:r>
    </w:p>
    <w:p w14:paraId="74B6047D">
      <w:pPr>
        <w:pageBreakBefore w:val="0"/>
        <w:kinsoku/>
        <w:wordWrap/>
        <w:overflowPunct/>
        <w:topLinePunct w:val="0"/>
        <w:bidi w:val="0"/>
        <w:snapToGrid/>
        <w:spacing w:line="360" w:lineRule="auto"/>
        <w:ind w:left="0" w:leftChars="0"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 如因甲方自身原因造成乙方延误，经双方确认后</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期相应顺延，双方互不承担违约责任</w:t>
      </w:r>
    </w:p>
    <w:p w14:paraId="1D569AFE">
      <w:pPr>
        <w:pageBreakBefore w:val="0"/>
        <w:kinsoku/>
        <w:wordWrap/>
        <w:overflowPunct/>
        <w:topLinePunct w:val="0"/>
        <w:bidi w:val="0"/>
        <w:snapToGrid/>
        <w:spacing w:line="360" w:lineRule="auto"/>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.4 本合同中对于甲方付款和乙方交付使用有先决条件的约定，按约定执行。</w:t>
      </w:r>
    </w:p>
    <w:p w14:paraId="266680D0">
      <w:pPr>
        <w:pageBreakBefore w:val="0"/>
        <w:kinsoku/>
        <w:wordWrap/>
        <w:overflowPunct/>
        <w:topLinePunct w:val="0"/>
        <w:bidi w:val="0"/>
        <w:snapToGrid/>
        <w:spacing w:line="360" w:lineRule="auto"/>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.5甲方使用乙方提供的维保服务对第三人构成侵权的，应当由乙方承担全部法律责任，给甲方造成损害的，乙方应当承担赔偿责任。</w:t>
      </w:r>
    </w:p>
    <w:p w14:paraId="4B0BB25D">
      <w:pPr>
        <w:pageBreakBefore w:val="0"/>
        <w:kinsoku/>
        <w:wordWrap/>
        <w:overflowPunct/>
        <w:topLinePunct w:val="0"/>
        <w:bidi w:val="0"/>
        <w:snapToGrid/>
        <w:spacing w:line="360" w:lineRule="auto"/>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维护期内，如乙方未按照合同约定时间进行相应服务，甲方将按照合同价格及造成损失金额或合同约定的服务价格扣除相应数额的违约金。</w:t>
      </w:r>
    </w:p>
    <w:p w14:paraId="32A44558">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条  不可抗力</w:t>
      </w:r>
      <w:bookmarkEnd w:id="299"/>
    </w:p>
    <w:p w14:paraId="681E7F11">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如果任何一方当事人受诸如战争、严重的火灾、台风、地震、洪水以及其他不能预见、不能避免且不能克服的事件的影响而无法履行合同项下的任何义务，受影响的一方当事人应将此类事件的发生以传真方式通知另一方当事人并应在不可抗力事件发生后10天内以航空挂号信将有关当局或机构出具的证明文件提交给另一方当事人。</w:t>
      </w:r>
    </w:p>
    <w:p w14:paraId="6340E2B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由于不可抗力的原因造成乙方不能按合同规定服务时，乙方应立即以本条第1款方式通告甲方，证明事故的存在。在不可抗力事件发生后，双方应努力寻求采取合理的方案履行不受不可抗力影响的其他事项。如人力不可抗拒因素继续存在，致使在合同规定的供货期后三十天内仍不能服务，甲方则有权解除合同，这时，服务双方均不互提出索赔。甲方不承担终止合同的责任，也不可没收履约保证金。</w:t>
      </w:r>
    </w:p>
    <w:p w14:paraId="7519ADA6">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300" w:name="_Toc19479"/>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条  违约条款</w:t>
      </w:r>
      <w:bookmarkEnd w:id="300"/>
    </w:p>
    <w:p w14:paraId="2D02F44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.1.乙方</w:t>
      </w:r>
      <w:r>
        <w:rPr>
          <w:rFonts w:hint="eastAsia" w:ascii="宋体" w:hAnsi="宋体" w:cs="宋体"/>
          <w:color w:val="000000" w:themeColor="text1"/>
          <w:sz w:val="24"/>
          <w:szCs w:val="24"/>
          <w:lang w:val="en-US" w:eastAsia="zh-CN"/>
          <w14:textFill>
            <w14:solidFill>
              <w14:schemeClr w14:val="tx1"/>
            </w14:solidFill>
          </w14:textFill>
        </w:rPr>
        <w:t>履行维护义务的过程中任意一项</w:t>
      </w:r>
      <w:r>
        <w:rPr>
          <w:rFonts w:hint="eastAsia" w:ascii="宋体" w:hAnsi="宋体" w:eastAsia="宋体" w:cs="宋体"/>
          <w:color w:val="000000" w:themeColor="text1"/>
          <w:sz w:val="24"/>
          <w:szCs w:val="24"/>
          <w14:textFill>
            <w14:solidFill>
              <w14:schemeClr w14:val="tx1"/>
            </w14:solidFill>
          </w14:textFill>
        </w:rPr>
        <w:t>不符合规定的，乙方应向甲方支付合同金额 20% 的违约金，甲方有权要求乙方在 5 日内</w:t>
      </w:r>
      <w:r>
        <w:rPr>
          <w:rFonts w:hint="eastAsia" w:ascii="宋体" w:hAnsi="宋体" w:cs="宋体"/>
          <w:color w:val="000000" w:themeColor="text1"/>
          <w:sz w:val="24"/>
          <w:szCs w:val="24"/>
          <w:lang w:val="en-US" w:eastAsia="zh-CN"/>
          <w14:textFill>
            <w14:solidFill>
              <w14:schemeClr w14:val="tx1"/>
            </w14:solidFill>
          </w14:textFill>
        </w:rPr>
        <w:t>整改</w:t>
      </w:r>
      <w:r>
        <w:rPr>
          <w:rFonts w:hint="eastAsia" w:ascii="宋体" w:hAnsi="宋体" w:eastAsia="宋体" w:cs="宋体"/>
          <w:color w:val="000000" w:themeColor="text1"/>
          <w:sz w:val="24"/>
          <w:szCs w:val="24"/>
          <w14:textFill>
            <w14:solidFill>
              <w14:schemeClr w14:val="tx1"/>
            </w14:solidFill>
          </w14:textFill>
        </w:rPr>
        <w:t>，由乙方负责</w:t>
      </w:r>
      <w:r>
        <w:rPr>
          <w:rFonts w:hint="eastAsia" w:ascii="宋体" w:hAnsi="宋体" w:cs="宋体"/>
          <w:color w:val="000000" w:themeColor="text1"/>
          <w:sz w:val="24"/>
          <w:szCs w:val="24"/>
          <w:lang w:val="en-US" w:eastAsia="zh-CN"/>
          <w14:textFill>
            <w14:solidFill>
              <w14:schemeClr w14:val="tx1"/>
            </w14:solidFill>
          </w14:textFill>
        </w:rPr>
        <w:t>重新履行维修义务并</w:t>
      </w:r>
      <w:r>
        <w:rPr>
          <w:rFonts w:hint="eastAsia" w:ascii="宋体" w:hAnsi="宋体" w:eastAsia="宋体" w:cs="宋体"/>
          <w:color w:val="000000" w:themeColor="text1"/>
          <w:sz w:val="24"/>
          <w:szCs w:val="24"/>
          <w14:textFill>
            <w14:solidFill>
              <w14:schemeClr w14:val="tx1"/>
            </w14:solidFill>
          </w14:textFill>
        </w:rPr>
        <w:t>支付的一切费用。如乙方在 5 日内不能修理</w:t>
      </w:r>
      <w:r>
        <w:rPr>
          <w:rFonts w:hint="eastAsia" w:ascii="宋体" w:hAnsi="宋体" w:cs="宋体"/>
          <w:color w:val="000000" w:themeColor="text1"/>
          <w:sz w:val="24"/>
          <w:szCs w:val="24"/>
          <w:lang w:val="en-US" w:eastAsia="zh-CN"/>
          <w14:textFill>
            <w14:solidFill>
              <w14:schemeClr w14:val="tx1"/>
            </w14:solidFill>
          </w14:textFill>
        </w:rPr>
        <w:t>完毕</w:t>
      </w:r>
      <w:r>
        <w:rPr>
          <w:rFonts w:hint="eastAsia" w:ascii="宋体" w:hAnsi="宋体" w:eastAsia="宋体" w:cs="宋体"/>
          <w:color w:val="000000" w:themeColor="text1"/>
          <w:sz w:val="24"/>
          <w:szCs w:val="24"/>
          <w14:textFill>
            <w14:solidFill>
              <w14:schemeClr w14:val="tx1"/>
            </w14:solidFill>
          </w14:textFill>
        </w:rPr>
        <w:t>的，按不能维护处理，甲方有权终止合同。</w:t>
      </w:r>
    </w:p>
    <w:p w14:paraId="2D834A7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除不可抗力原因外，如因乙方的原因造成项目延期或项目系统不能按照合同约定时间内恢复正常，每延误一日，乙方的赔偿费按合同总额的 1% 计收，不足一天按一天计算，直至提供维护服务为止，误期赔偿费最高限额为合同总额的 20%，</w:t>
      </w:r>
      <w:bookmarkStart w:id="301" w:name="_Hlk104558187"/>
      <w:r>
        <w:rPr>
          <w:rFonts w:hint="eastAsia" w:ascii="宋体" w:hAnsi="宋体" w:eastAsia="宋体" w:cs="宋体"/>
          <w:color w:val="000000" w:themeColor="text1"/>
          <w:sz w:val="24"/>
          <w:szCs w:val="24"/>
          <w14:textFill>
            <w14:solidFill>
              <w14:schemeClr w14:val="tx1"/>
            </w14:solidFill>
          </w14:textFill>
        </w:rPr>
        <w:t>同时甲方有权解除合同</w:t>
      </w:r>
      <w:bookmarkEnd w:id="301"/>
      <w:r>
        <w:rPr>
          <w:rFonts w:hint="eastAsia" w:ascii="宋体" w:hAnsi="宋体" w:eastAsia="宋体" w:cs="宋体"/>
          <w:color w:val="000000" w:themeColor="text1"/>
          <w:sz w:val="24"/>
          <w:szCs w:val="24"/>
          <w14:textFill>
            <w14:solidFill>
              <w14:schemeClr w14:val="tx1"/>
            </w14:solidFill>
          </w14:textFill>
        </w:rPr>
        <w:t xml:space="preserve"> 。</w:t>
      </w:r>
    </w:p>
    <w:p w14:paraId="70F7DA1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如因甲方自身原因造成乙方服务期限延误，经双方确认后</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期相应顺延，双方互不承担违约责任。</w:t>
      </w:r>
    </w:p>
    <w:p w14:paraId="25B40401">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.4 质量保证期内，如果服务与合同不符，或证实服务是有缺陷的，包括潜在的缺陷等，乙方在收到通知后1日内免费维修。如果乙方在收到通知后7日内没有弥补缺陷，甲方可采取必要的补救措施，由此产生的费用由乙方承担。</w:t>
      </w:r>
    </w:p>
    <w:p w14:paraId="01C76F7F">
      <w:pPr>
        <w:pStyle w:val="30"/>
        <w:pageBreakBefore w:val="0"/>
        <w:kinsoku/>
        <w:wordWrap/>
        <w:overflowPunct/>
        <w:topLinePunct w:val="0"/>
        <w:bidi w:val="0"/>
        <w:snapToGrid/>
        <w:spacing w:before="0"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如乙方未按承诺提供售后服务的，每延误一次，乙方的赔偿费按</w:t>
      </w:r>
      <w:r>
        <w:rPr>
          <w:rFonts w:hint="eastAsia" w:ascii="宋体" w:hAnsi="宋体" w:eastAsia="宋体" w:cs="宋体"/>
          <w:color w:val="000000" w:themeColor="text1"/>
          <w:sz w:val="24"/>
          <w:szCs w:val="24"/>
          <w:lang w:eastAsia="zh-CN"/>
          <w14:textFill>
            <w14:solidFill>
              <w14:schemeClr w14:val="tx1"/>
            </w14:solidFill>
          </w14:textFill>
        </w:rPr>
        <w:t>履约保证金</w:t>
      </w:r>
      <w:r>
        <w:rPr>
          <w:rFonts w:hint="eastAsia" w:ascii="宋体" w:hAnsi="宋体" w:eastAsia="宋体" w:cs="宋体"/>
          <w:color w:val="000000" w:themeColor="text1"/>
          <w:sz w:val="24"/>
          <w:szCs w:val="24"/>
          <w14:textFill>
            <w14:solidFill>
              <w14:schemeClr w14:val="tx1"/>
            </w14:solidFill>
          </w14:textFill>
        </w:rPr>
        <w:t>总额的10%计收，误期赔偿费最高限额为</w:t>
      </w:r>
      <w:r>
        <w:rPr>
          <w:rFonts w:hint="eastAsia" w:ascii="宋体" w:hAnsi="宋体" w:eastAsia="宋体" w:cs="宋体"/>
          <w:color w:val="000000" w:themeColor="text1"/>
          <w:sz w:val="24"/>
          <w:szCs w:val="24"/>
          <w:lang w:eastAsia="zh-CN"/>
          <w14:textFill>
            <w14:solidFill>
              <w14:schemeClr w14:val="tx1"/>
            </w14:solidFill>
          </w14:textFill>
        </w:rPr>
        <w:t>履约保证金</w:t>
      </w:r>
      <w:r>
        <w:rPr>
          <w:rFonts w:hint="eastAsia" w:ascii="宋体" w:hAnsi="宋体" w:eastAsia="宋体" w:cs="宋体"/>
          <w:color w:val="000000" w:themeColor="text1"/>
          <w:sz w:val="24"/>
          <w:szCs w:val="24"/>
          <w14:textFill>
            <w14:solidFill>
              <w14:schemeClr w14:val="tx1"/>
            </w14:solidFill>
          </w14:textFill>
        </w:rPr>
        <w:t>总额的100%。如延误超过10日的，甲方有权向第三方采购售后服务，由此产生的费用由乙方承担。</w:t>
      </w:r>
    </w:p>
    <w:p w14:paraId="692F2733">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.5甲方使用乙方提供的维保服务对第三人构成侵权的，应当由乙方承担全部法律责任，给甲方造成损害的，乙方应当承担赔偿责任。</w:t>
      </w:r>
    </w:p>
    <w:p w14:paraId="01B0073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.6</w:t>
      </w:r>
      <w:bookmarkStart w:id="302" w:name="_Toc5352"/>
      <w:r>
        <w:rPr>
          <w:rFonts w:hint="eastAsia" w:ascii="宋体" w:hAnsi="宋体" w:eastAsia="宋体" w:cs="宋体"/>
          <w:color w:val="000000" w:themeColor="text1"/>
          <w:sz w:val="24"/>
          <w:szCs w:val="24"/>
          <w14:textFill>
            <w14:solidFill>
              <w14:schemeClr w14:val="tx1"/>
            </w14:solidFill>
          </w14:textFill>
        </w:rPr>
        <w:t>乙方应按本合同约定履行义务，否则构成违约，甲方有权解除合同并追究乙方违约责任。同时乙方违约给甲方造成损失的，需向甲方承担赔偿责任，其承担范围包括但不限于：直接损失</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间接损失，甲方因此受到的处罚以及因此受到的损失，甲方因此向第三方承担的违约责任、赔偿责任、实现债权的全部费用（包括但不限于：诉讼费、仲裁费、财产保全费、律师费、鉴定费、公证费、公告费、执行费、拍卖费、保全担保费、住宿费、差旅费等费用）。</w:t>
      </w:r>
    </w:p>
    <w:p w14:paraId="263EB7D3">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条  合同变更</w:t>
      </w:r>
      <w:bookmarkEnd w:id="302"/>
    </w:p>
    <w:p w14:paraId="75A7A6A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.1.乙方根据现场实际情况，确实需变更原合同约定的服务，乙方应预先提出变更清单对照表及其变更的理由和证据，经甲方确认后实施（双方签署的文件作为合同附件）。</w:t>
      </w:r>
    </w:p>
    <w:p w14:paraId="5B6304FB">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.2.无论乙方提供的服务是按原合同的要求或根据现场实际情况变更后的服务，乙方都不能免除对服务应承担的责任。</w:t>
      </w:r>
    </w:p>
    <w:p w14:paraId="3BD2135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.3.因甲方的原因变更合同服务的，甲方应书面通知乙方，双方协商后签署有关变更文件。如造成乙方损失的，由甲方承担。</w:t>
      </w:r>
    </w:p>
    <w:p w14:paraId="182DEDFF">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.4乙方未在响应文件中说明，且未经甲方书面同意，乙方不得将合同的主体、关键性工作分包给他人。</w:t>
      </w:r>
    </w:p>
    <w:p w14:paraId="7023F1B0">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303" w:name="_Toc13858"/>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条  违约终止合同</w:t>
      </w:r>
      <w:bookmarkEnd w:id="303"/>
    </w:p>
    <w:p w14:paraId="4CA3E135">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.1.合同因有效期限届满（即乙方</w:t>
      </w:r>
      <w:r>
        <w:rPr>
          <w:rFonts w:hint="eastAsia" w:ascii="宋体" w:hAnsi="宋体" w:eastAsia="宋体" w:cs="宋体"/>
          <w:color w:val="000000" w:themeColor="text1"/>
          <w:sz w:val="24"/>
          <w:szCs w:val="24"/>
          <w:lang w:eastAsia="zh-CN"/>
          <w14:textFill>
            <w14:solidFill>
              <w14:schemeClr w14:val="tx1"/>
            </w14:solidFill>
          </w14:textFill>
        </w:rPr>
        <w:t>履约期</w:t>
      </w:r>
      <w:r>
        <w:rPr>
          <w:rFonts w:hint="eastAsia" w:ascii="宋体" w:hAnsi="宋体" w:eastAsia="宋体" w:cs="宋体"/>
          <w:color w:val="000000" w:themeColor="text1"/>
          <w:sz w:val="24"/>
          <w:szCs w:val="24"/>
          <w14:textFill>
            <w14:solidFill>
              <w14:schemeClr w14:val="tx1"/>
            </w14:solidFill>
          </w14:textFill>
        </w:rPr>
        <w:t>届满且无其他争议）而终止；</w:t>
      </w:r>
    </w:p>
    <w:p w14:paraId="25846FCF">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.2.乙方未能依照本合同约定条件履行合同构成违约的，甲方有权单方终止本合同，并追究乙方的违约责任。</w:t>
      </w:r>
    </w:p>
    <w:p w14:paraId="2BC119A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.3．如果乙方丧失履约能力或被宣告破产，甲方可在任何时候以书面形式通知乙方终止合同而不给乙方补偿。</w:t>
      </w:r>
    </w:p>
    <w:p w14:paraId="606B1D7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.4．如果乙方在履行合同过程中有不正当竞争行为，甲方有权解除合同，并按《中华人民共和国反不正当竞争法》规定由有关部门追究其法律责任。</w:t>
      </w:r>
    </w:p>
    <w:p w14:paraId="45B8C5A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.5．除本合同另有规定外，乙方未经甲方同意单方面终止本合同，则应按照本合同总金额的30%向甲方支付违约金。</w:t>
      </w:r>
    </w:p>
    <w:p w14:paraId="215B4DD7">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304" w:name="_Toc7449"/>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条  争端的解决和法律适用</w:t>
      </w:r>
      <w:bookmarkEnd w:id="304"/>
    </w:p>
    <w:p w14:paraId="3325600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.1.合同实施或与合同有关的一切争端应通过双方友好协商解决。如果协商不成的，任何一方都可向乌鲁木齐市天山区人民法院提起诉讼。</w:t>
      </w:r>
    </w:p>
    <w:p w14:paraId="315F29D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.2.本合同应按照中华人民共和国现行法律进行解释。</w:t>
      </w:r>
    </w:p>
    <w:p w14:paraId="7A203962">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305" w:name="_Toc30320"/>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eastAsia="zh-CN"/>
          <w14:textFill>
            <w14:solidFill>
              <w14:schemeClr w14:val="tx1"/>
            </w14:solidFill>
          </w14:textFill>
        </w:rPr>
        <w:t>十九</w:t>
      </w:r>
      <w:r>
        <w:rPr>
          <w:rFonts w:hint="eastAsia" w:ascii="宋体" w:hAnsi="宋体" w:eastAsia="宋体" w:cs="宋体"/>
          <w:b/>
          <w:bCs/>
          <w:color w:val="000000" w:themeColor="text1"/>
          <w:sz w:val="24"/>
          <w:szCs w:val="24"/>
          <w14:textFill>
            <w14:solidFill>
              <w14:schemeClr w14:val="tx1"/>
            </w14:solidFill>
          </w14:textFill>
        </w:rPr>
        <w:t>条  通知</w:t>
      </w:r>
      <w:bookmarkEnd w:id="305"/>
    </w:p>
    <w:p w14:paraId="2B64474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1.双方在合同中标明的通讯地址，是各自现实、有效的通讯地址。本合同履行过程中的书面通知或往来函件，可以采用挂号信、特快专递、电子邮件的方式，寄往各方在本协议中标明的通讯地址。一方向他方在本协议中标明的地址发送的通知、函件，以查无此人或收件人拒绝接收为由被退回的，视为已送达。一方变更通讯地址，应在变更事由发生后3日内以书面方式通知对方。因变更地址的一方未按协议约定及时通知他方地址变更事项而导致通知无法送达的，视为已送达。</w:t>
      </w:r>
    </w:p>
    <w:p w14:paraId="56C8037B">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甲方指定的联系人为：         ，联系电话：   电子邮箱号码：</w:t>
      </w:r>
    </w:p>
    <w:p w14:paraId="7B0F162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乙方指定的联系人为：         ，联系电话：   电子邮箱号码：</w:t>
      </w:r>
    </w:p>
    <w:p w14:paraId="60AA6A19">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上述双方指定的联系人如需更换，应在更换后3日内以书面方式通知对方。</w:t>
      </w:r>
    </w:p>
    <w:p w14:paraId="56CA2113">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.2通知以送到之日或通知书中规定的生效之日起生效，两者中以较迟之日为准。</w:t>
      </w:r>
    </w:p>
    <w:p w14:paraId="2C16B47F">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306" w:name="_Toc13600"/>
      <w:r>
        <w:rPr>
          <w:rFonts w:hint="eastAsia" w:ascii="宋体" w:hAnsi="宋体" w:eastAsia="宋体" w:cs="宋体"/>
          <w:b/>
          <w:bCs/>
          <w:color w:val="000000" w:themeColor="text1"/>
          <w:sz w:val="24"/>
          <w:szCs w:val="24"/>
          <w14:textFill>
            <w14:solidFill>
              <w14:schemeClr w14:val="tx1"/>
            </w14:solidFill>
          </w14:textFill>
        </w:rPr>
        <w:t>第二十条  税和关税</w:t>
      </w:r>
      <w:bookmarkEnd w:id="306"/>
    </w:p>
    <w:p w14:paraId="1DCFECE5">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.1.中国政府根据现行税法对甲方征收的与本合同有关的一切税费均应由甲方负担。</w:t>
      </w:r>
    </w:p>
    <w:p w14:paraId="0F0A404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.2.中国政府根据现行的税法规定对乙方或其雇员征收的与本合同有关的一切税费（包括但不限于乙方为制造本合同项下的设备和部件的进口关税、所有货物的国内增值税）均应由乙方负担。</w:t>
      </w:r>
    </w:p>
    <w:p w14:paraId="6C7D31F5">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.3.在中国境外发生的与本合同执行有关的一切税费均应由乙方负担。</w:t>
      </w:r>
    </w:p>
    <w:p w14:paraId="68BFABB7">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307" w:name="_Toc30885"/>
      <w:r>
        <w:rPr>
          <w:rFonts w:hint="eastAsia" w:ascii="宋体" w:hAnsi="宋体" w:eastAsia="宋体" w:cs="宋体"/>
          <w:b/>
          <w:bCs/>
          <w:color w:val="000000" w:themeColor="text1"/>
          <w:sz w:val="24"/>
          <w:szCs w:val="24"/>
          <w14:textFill>
            <w14:solidFill>
              <w14:schemeClr w14:val="tx1"/>
            </w14:solidFill>
          </w14:textFill>
        </w:rPr>
        <w:t>第二十</w:t>
      </w:r>
      <w:r>
        <w:rPr>
          <w:rFonts w:hint="eastAsia" w:ascii="宋体" w:hAnsi="宋体" w:eastAsia="宋体" w:cs="宋体"/>
          <w:b/>
          <w:bCs/>
          <w:color w:val="000000" w:themeColor="text1"/>
          <w:sz w:val="24"/>
          <w:szCs w:val="24"/>
          <w:lang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条  合同生效</w:t>
      </w:r>
      <w:bookmarkEnd w:id="307"/>
    </w:p>
    <w:p w14:paraId="68AA59D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.1.合同经双方</w:t>
      </w:r>
      <w:r>
        <w:rPr>
          <w:rFonts w:hint="eastAsia" w:ascii="宋体" w:hAnsi="宋体" w:eastAsia="宋体" w:cs="宋体"/>
          <w:color w:val="000000" w:themeColor="text1"/>
          <w:sz w:val="24"/>
          <w:szCs w:val="24"/>
          <w:lang w:val="en-US" w:eastAsia="zh-CN"/>
          <w14:textFill>
            <w14:solidFill>
              <w14:schemeClr w14:val="tx1"/>
            </w14:solidFill>
          </w14:textFill>
        </w:rPr>
        <w:t>法定代表人或</w:t>
      </w:r>
      <w:r>
        <w:rPr>
          <w:rFonts w:hint="eastAsia" w:ascii="宋体" w:hAnsi="宋体" w:eastAsia="宋体" w:cs="宋体"/>
          <w:color w:val="000000" w:themeColor="text1"/>
          <w:sz w:val="24"/>
          <w:szCs w:val="24"/>
          <w14:textFill>
            <w14:solidFill>
              <w14:schemeClr w14:val="tx1"/>
            </w14:solidFill>
          </w14:textFill>
        </w:rPr>
        <w:t>授权代表签字盖章；</w:t>
      </w:r>
    </w:p>
    <w:p w14:paraId="20389F09">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.2.满足上述第1条，以实现的日期为准本合同即时生效。</w:t>
      </w:r>
    </w:p>
    <w:p w14:paraId="513F3514">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308" w:name="_Toc20555"/>
      <w:r>
        <w:rPr>
          <w:rFonts w:hint="eastAsia" w:ascii="宋体" w:hAnsi="宋体" w:eastAsia="宋体" w:cs="宋体"/>
          <w:b/>
          <w:bCs/>
          <w:color w:val="000000" w:themeColor="text1"/>
          <w:sz w:val="24"/>
          <w:szCs w:val="24"/>
          <w14:textFill>
            <w14:solidFill>
              <w14:schemeClr w14:val="tx1"/>
            </w14:solidFill>
          </w14:textFill>
        </w:rPr>
        <w:t>第二十</w:t>
      </w: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条  其它</w:t>
      </w:r>
      <w:bookmarkEnd w:id="308"/>
    </w:p>
    <w:p w14:paraId="639C1884">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.1.合同之所有附件均为合同的有效组成部分，与本合同具有同样法律效力。</w:t>
      </w:r>
    </w:p>
    <w:p w14:paraId="6211553F">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.2.在执行本合同的过程中，所有经甲乙双方签署确认的文件（包括会议纪要、补充协议、往来信函）即成为本合同的有效组成部分，其生效日期为双方</w:t>
      </w:r>
      <w:r>
        <w:rPr>
          <w:rFonts w:hint="eastAsia" w:ascii="宋体" w:hAnsi="宋体" w:eastAsia="宋体" w:cs="宋体"/>
          <w:color w:val="000000" w:themeColor="text1"/>
          <w:sz w:val="24"/>
          <w:szCs w:val="24"/>
          <w:lang w:val="en-US" w:eastAsia="zh-CN"/>
          <w14:textFill>
            <w14:solidFill>
              <w14:schemeClr w14:val="tx1"/>
            </w14:solidFill>
          </w14:textFill>
        </w:rPr>
        <w:t>法定代表人或授权代表</w:t>
      </w:r>
      <w:r>
        <w:rPr>
          <w:rFonts w:hint="eastAsia" w:ascii="宋体" w:hAnsi="宋体" w:eastAsia="宋体" w:cs="宋体"/>
          <w:color w:val="000000" w:themeColor="text1"/>
          <w:sz w:val="24"/>
          <w:szCs w:val="24"/>
          <w14:textFill>
            <w14:solidFill>
              <w14:schemeClr w14:val="tx1"/>
            </w14:solidFill>
          </w14:textFill>
        </w:rPr>
        <w:t>签字盖章或确认之日期。除非有特别说明，本合同所有有效组成部分中相矛盾的条款以生效日期较后的条款为准。</w:t>
      </w:r>
    </w:p>
    <w:p w14:paraId="73CFDCCE">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.3.除甲方事先书面同意外，乙方不得部分或全部转让其应履行的合同项下的义务。</w:t>
      </w:r>
    </w:p>
    <w:p w14:paraId="10D2048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.4.本合同一式  肆  份，甲方执  叁  份，乙方执  壹  份。每份正本具有同等法律效力，副本报财政部备案。</w:t>
      </w:r>
    </w:p>
    <w:p w14:paraId="7928C087">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309" w:name="_Toc16360"/>
    </w:p>
    <w:p w14:paraId="1B10E93A">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第二十</w:t>
      </w:r>
      <w:r>
        <w:rPr>
          <w:rFonts w:hint="eastAsia" w:ascii="宋体" w:hAnsi="宋体" w:eastAsia="宋体" w:cs="宋体"/>
          <w:b/>
          <w:bCs/>
          <w:color w:val="000000" w:themeColor="text1"/>
          <w:sz w:val="24"/>
          <w:szCs w:val="24"/>
          <w:lang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 xml:space="preserve">条 </w:t>
      </w:r>
      <w:r>
        <w:rPr>
          <w:rFonts w:hint="eastAsia" w:ascii="宋体" w:hAnsi="宋体" w:eastAsia="宋体" w:cs="宋体"/>
          <w:b/>
          <w:color w:val="000000" w:themeColor="text1"/>
          <w:sz w:val="24"/>
          <w:szCs w:val="24"/>
          <w14:textFill>
            <w14:solidFill>
              <w14:schemeClr w14:val="tx1"/>
            </w14:solidFill>
          </w14:textFill>
        </w:rPr>
        <w:t>本合同附件</w:t>
      </w:r>
      <w:bookmarkEnd w:id="309"/>
    </w:p>
    <w:p w14:paraId="175CF4E2">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bookmarkStart w:id="310" w:name="_Toc13780"/>
      <w:r>
        <w:rPr>
          <w:rFonts w:hint="eastAsia" w:ascii="宋体" w:hAnsi="宋体" w:eastAsia="宋体" w:cs="宋体"/>
          <w:color w:val="000000" w:themeColor="text1"/>
          <w:sz w:val="24"/>
          <w:szCs w:val="24"/>
          <w14:textFill>
            <w14:solidFill>
              <w14:schemeClr w14:val="tx1"/>
            </w14:solidFill>
          </w14:textFill>
        </w:rPr>
        <w:t>附件一：报价清单（包括：报价明细表、报价一览表）</w:t>
      </w:r>
      <w:bookmarkEnd w:id="310"/>
    </w:p>
    <w:p w14:paraId="742ABC94">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bookmarkStart w:id="311" w:name="_Toc19578"/>
      <w:r>
        <w:rPr>
          <w:rFonts w:hint="eastAsia" w:ascii="宋体" w:hAnsi="宋体" w:eastAsia="宋体" w:cs="宋体"/>
          <w:color w:val="000000" w:themeColor="text1"/>
          <w:sz w:val="24"/>
          <w:szCs w:val="24"/>
          <w14:textFill>
            <w14:solidFill>
              <w14:schemeClr w14:val="tx1"/>
            </w14:solidFill>
          </w14:textFill>
        </w:rPr>
        <w:t>附件二：服务承诺书</w:t>
      </w:r>
      <w:bookmarkEnd w:id="311"/>
    </w:p>
    <w:p w14:paraId="10F49E03">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bookmarkStart w:id="312" w:name="_Toc2874"/>
      <w:r>
        <w:rPr>
          <w:rFonts w:hint="eastAsia" w:ascii="宋体" w:hAnsi="宋体" w:eastAsia="宋体" w:cs="宋体"/>
          <w:color w:val="000000" w:themeColor="text1"/>
          <w:sz w:val="24"/>
          <w:szCs w:val="24"/>
          <w14:textFill>
            <w14:solidFill>
              <w14:schemeClr w14:val="tx1"/>
            </w14:solidFill>
          </w14:textFill>
        </w:rPr>
        <w:t>附件三：二次报价单</w:t>
      </w:r>
      <w:bookmarkEnd w:id="312"/>
    </w:p>
    <w:p w14:paraId="7FD8487C">
      <w:pPr>
        <w:pStyle w:val="13"/>
        <w:pageBreakBefore w:val="0"/>
        <w:kinsoku/>
        <w:wordWrap/>
        <w:overflowPunct/>
        <w:topLinePunct w:val="0"/>
        <w:bidi w:val="0"/>
        <w:snapToGrid/>
        <w:spacing w:line="360" w:lineRule="auto"/>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p>
    <w:p w14:paraId="7B701098">
      <w:pPr>
        <w:pageBreakBefore w:val="0"/>
        <w:kinsoku/>
        <w:wordWrap/>
        <w:overflowPunct/>
        <w:topLinePunct w:val="0"/>
        <w:bidi w:val="0"/>
        <w:snapToGrid/>
        <w:spacing w:line="360" w:lineRule="auto"/>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p>
    <w:p w14:paraId="1DEFE0B8">
      <w:pPr>
        <w:pStyle w:val="13"/>
        <w:pageBreakBefore w:val="0"/>
        <w:kinsoku/>
        <w:wordWrap/>
        <w:overflowPunct/>
        <w:topLinePunct w:val="0"/>
        <w:bidi w:val="0"/>
        <w:snapToGrid/>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p>
    <w:p w14:paraId="6FDBC61F">
      <w:pPr>
        <w:pageBreakBefore w:val="0"/>
        <w:kinsoku/>
        <w:wordWrap/>
        <w:overflowPunct/>
        <w:topLinePunct w:val="0"/>
        <w:bidi w:val="0"/>
        <w:snapToGrid/>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p>
    <w:p w14:paraId="46CEBD5E">
      <w:pPr>
        <w:pageBreakBefore w:val="0"/>
        <w:kinsoku/>
        <w:wordWrap/>
        <w:overflowPunct/>
        <w:topLinePunct w:val="0"/>
        <w:bidi w:val="0"/>
        <w:snapToGrid/>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p>
    <w:tbl>
      <w:tblPr>
        <w:tblStyle w:val="23"/>
        <w:tblW w:w="9930" w:type="dxa"/>
        <w:jc w:val="center"/>
        <w:tblLayout w:type="fixed"/>
        <w:tblCellMar>
          <w:top w:w="0" w:type="dxa"/>
          <w:left w:w="108" w:type="dxa"/>
          <w:bottom w:w="0" w:type="dxa"/>
          <w:right w:w="108" w:type="dxa"/>
        </w:tblCellMar>
      </w:tblPr>
      <w:tblGrid>
        <w:gridCol w:w="5284"/>
        <w:gridCol w:w="4646"/>
      </w:tblGrid>
      <w:tr w14:paraId="19216AAB">
        <w:tblPrEx>
          <w:tblCellMar>
            <w:top w:w="0" w:type="dxa"/>
            <w:left w:w="108" w:type="dxa"/>
            <w:bottom w:w="0" w:type="dxa"/>
            <w:right w:w="108" w:type="dxa"/>
          </w:tblCellMar>
        </w:tblPrEx>
        <w:trPr>
          <w:trHeight w:val="527" w:hRule="atLeast"/>
          <w:jc w:val="center"/>
        </w:trPr>
        <w:tc>
          <w:tcPr>
            <w:tcW w:w="5284" w:type="dxa"/>
            <w:noWrap w:val="0"/>
            <w:vAlign w:val="top"/>
          </w:tcPr>
          <w:p w14:paraId="6164564E">
            <w:pPr>
              <w:keepNext w:val="0"/>
              <w:keepLines w:val="0"/>
              <w:pageBreakBefore w:val="0"/>
              <w:widowControl w:val="0"/>
              <w:tabs>
                <w:tab w:val="left" w:pos="720"/>
              </w:tabs>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甲方（盖章）：</w:t>
            </w:r>
            <w:r>
              <w:rPr>
                <w:rFonts w:hint="eastAsia" w:ascii="宋体" w:hAnsi="宋体" w:cs="宋体"/>
                <w:color w:val="000000" w:themeColor="text1"/>
                <w:sz w:val="24"/>
                <w:szCs w:val="24"/>
                <w:shd w:val="clear" w:color="auto" w:fill="FFFFFF"/>
                <w:lang w:val="en-US" w:eastAsia="zh-CN"/>
                <w14:textFill>
                  <w14:solidFill>
                    <w14:schemeClr w14:val="tx1"/>
                  </w14:solidFill>
                </w14:textFill>
              </w:rPr>
              <w:t>中华人民共和国</w:t>
            </w:r>
            <w:r>
              <w:rPr>
                <w:rFonts w:hint="eastAsia" w:ascii="宋体" w:hAnsi="宋体" w:eastAsia="宋体" w:cs="宋体"/>
                <w:color w:val="000000" w:themeColor="text1"/>
                <w:sz w:val="24"/>
                <w:szCs w:val="24"/>
                <w14:textFill>
                  <w14:solidFill>
                    <w14:schemeClr w14:val="tx1"/>
                  </w14:solidFill>
                </w14:textFill>
              </w:rPr>
              <w:t>新疆出入境边防检查总站</w:t>
            </w:r>
          </w:p>
        </w:tc>
        <w:tc>
          <w:tcPr>
            <w:tcW w:w="4646" w:type="dxa"/>
            <w:noWrap w:val="0"/>
            <w:vAlign w:val="top"/>
          </w:tcPr>
          <w:p w14:paraId="6670E83D">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乙方（盖章）：</w:t>
            </w:r>
          </w:p>
        </w:tc>
      </w:tr>
      <w:tr w14:paraId="1AF6A831">
        <w:tblPrEx>
          <w:tblCellMar>
            <w:top w:w="0" w:type="dxa"/>
            <w:left w:w="108" w:type="dxa"/>
            <w:bottom w:w="0" w:type="dxa"/>
            <w:right w:w="108" w:type="dxa"/>
          </w:tblCellMar>
        </w:tblPrEx>
        <w:trPr>
          <w:trHeight w:val="567" w:hRule="atLeast"/>
          <w:jc w:val="center"/>
        </w:trPr>
        <w:tc>
          <w:tcPr>
            <w:tcW w:w="5284" w:type="dxa"/>
            <w:noWrap w:val="0"/>
            <w:vAlign w:val="center"/>
          </w:tcPr>
          <w:p w14:paraId="299C9ACA">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4646" w:type="dxa"/>
            <w:noWrap w:val="0"/>
            <w:vAlign w:val="center"/>
          </w:tcPr>
          <w:p w14:paraId="054903B0">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法定代表人：</w:t>
            </w:r>
          </w:p>
        </w:tc>
      </w:tr>
      <w:tr w14:paraId="6CEB618C">
        <w:tblPrEx>
          <w:tblCellMar>
            <w:top w:w="0" w:type="dxa"/>
            <w:left w:w="108" w:type="dxa"/>
            <w:bottom w:w="0" w:type="dxa"/>
            <w:right w:w="108" w:type="dxa"/>
          </w:tblCellMar>
        </w:tblPrEx>
        <w:trPr>
          <w:trHeight w:val="654" w:hRule="atLeast"/>
          <w:jc w:val="center"/>
        </w:trPr>
        <w:tc>
          <w:tcPr>
            <w:tcW w:w="5284" w:type="dxa"/>
            <w:noWrap w:val="0"/>
            <w:vAlign w:val="center"/>
          </w:tcPr>
          <w:p w14:paraId="104AB9C6">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甲方代表（签字）：</w:t>
            </w:r>
          </w:p>
        </w:tc>
        <w:tc>
          <w:tcPr>
            <w:tcW w:w="4646" w:type="dxa"/>
            <w:noWrap w:val="0"/>
            <w:vAlign w:val="center"/>
          </w:tcPr>
          <w:p w14:paraId="5A33C74B">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乙方代表（签字）：</w:t>
            </w:r>
          </w:p>
        </w:tc>
      </w:tr>
      <w:tr w14:paraId="14510202">
        <w:tblPrEx>
          <w:tblCellMar>
            <w:top w:w="0" w:type="dxa"/>
            <w:left w:w="108" w:type="dxa"/>
            <w:bottom w:w="0" w:type="dxa"/>
            <w:right w:w="108" w:type="dxa"/>
          </w:tblCellMar>
        </w:tblPrEx>
        <w:trPr>
          <w:trHeight w:val="794" w:hRule="atLeast"/>
          <w:jc w:val="center"/>
        </w:trPr>
        <w:tc>
          <w:tcPr>
            <w:tcW w:w="5284" w:type="dxa"/>
            <w:noWrap w:val="0"/>
            <w:vAlign w:val="center"/>
          </w:tcPr>
          <w:p w14:paraId="45E76011">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乌鲁木齐团结路1551号（新疆出入境边防检查总站）</w:t>
            </w:r>
          </w:p>
        </w:tc>
        <w:tc>
          <w:tcPr>
            <w:tcW w:w="4646" w:type="dxa"/>
            <w:noWrap w:val="0"/>
            <w:vAlign w:val="center"/>
          </w:tcPr>
          <w:p w14:paraId="0A3A05C2">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地址：</w:t>
            </w:r>
          </w:p>
          <w:p w14:paraId="5453EECB">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p>
        </w:tc>
      </w:tr>
      <w:tr w14:paraId="1F4CA19D">
        <w:tblPrEx>
          <w:tblCellMar>
            <w:top w:w="0" w:type="dxa"/>
            <w:left w:w="108" w:type="dxa"/>
            <w:bottom w:w="0" w:type="dxa"/>
            <w:right w:w="108" w:type="dxa"/>
          </w:tblCellMar>
        </w:tblPrEx>
        <w:trPr>
          <w:trHeight w:val="432" w:hRule="atLeast"/>
          <w:jc w:val="center"/>
        </w:trPr>
        <w:tc>
          <w:tcPr>
            <w:tcW w:w="5284" w:type="dxa"/>
            <w:noWrap w:val="0"/>
            <w:vAlign w:val="center"/>
          </w:tcPr>
          <w:p w14:paraId="6AAE2C86">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电话：</w:t>
            </w:r>
            <w:r>
              <w:rPr>
                <w:rFonts w:hint="eastAsia" w:ascii="宋体" w:hAnsi="宋体" w:eastAsia="宋体" w:cs="宋体"/>
                <w:color w:val="000000" w:themeColor="text1"/>
                <w:sz w:val="24"/>
                <w:szCs w:val="24"/>
                <w14:textFill>
                  <w14:solidFill>
                    <w14:schemeClr w14:val="tx1"/>
                  </w14:solidFill>
                </w14:textFill>
              </w:rPr>
              <w:t>0991-8512158</w:t>
            </w:r>
          </w:p>
        </w:tc>
        <w:tc>
          <w:tcPr>
            <w:tcW w:w="4646" w:type="dxa"/>
            <w:noWrap w:val="0"/>
            <w:vAlign w:val="center"/>
          </w:tcPr>
          <w:p w14:paraId="1F15518C">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电话： </w:t>
            </w:r>
          </w:p>
        </w:tc>
      </w:tr>
      <w:tr w14:paraId="415A874C">
        <w:tblPrEx>
          <w:tblCellMar>
            <w:top w:w="0" w:type="dxa"/>
            <w:left w:w="108" w:type="dxa"/>
            <w:bottom w:w="0" w:type="dxa"/>
            <w:right w:w="108" w:type="dxa"/>
          </w:tblCellMar>
        </w:tblPrEx>
        <w:trPr>
          <w:trHeight w:val="479" w:hRule="atLeast"/>
          <w:jc w:val="center"/>
        </w:trPr>
        <w:tc>
          <w:tcPr>
            <w:tcW w:w="5284" w:type="dxa"/>
            <w:noWrap w:val="0"/>
            <w:vAlign w:val="center"/>
          </w:tcPr>
          <w:p w14:paraId="146977C4">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传真：</w:t>
            </w:r>
            <w:r>
              <w:rPr>
                <w:rFonts w:hint="eastAsia" w:ascii="宋体" w:hAnsi="宋体" w:eastAsia="宋体" w:cs="宋体"/>
                <w:color w:val="000000" w:themeColor="text1"/>
                <w:sz w:val="24"/>
                <w:szCs w:val="24"/>
                <w14:textFill>
                  <w14:solidFill>
                    <w14:schemeClr w14:val="tx1"/>
                  </w14:solidFill>
                </w14:textFill>
              </w:rPr>
              <w:t>0991-8512158</w:t>
            </w:r>
          </w:p>
        </w:tc>
        <w:tc>
          <w:tcPr>
            <w:tcW w:w="4646" w:type="dxa"/>
            <w:noWrap w:val="0"/>
            <w:vAlign w:val="center"/>
          </w:tcPr>
          <w:p w14:paraId="5355A913">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tc>
      </w:tr>
      <w:tr w14:paraId="72BDD547">
        <w:tblPrEx>
          <w:tblCellMar>
            <w:top w:w="0" w:type="dxa"/>
            <w:left w:w="108" w:type="dxa"/>
            <w:bottom w:w="0" w:type="dxa"/>
            <w:right w:w="108" w:type="dxa"/>
          </w:tblCellMar>
        </w:tblPrEx>
        <w:trPr>
          <w:trHeight w:val="419" w:hRule="atLeast"/>
          <w:jc w:val="center"/>
        </w:trPr>
        <w:tc>
          <w:tcPr>
            <w:tcW w:w="5284" w:type="dxa"/>
            <w:noWrap w:val="0"/>
            <w:vAlign w:val="center"/>
          </w:tcPr>
          <w:p w14:paraId="49B07236">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开户银行：</w:t>
            </w:r>
            <w:r>
              <w:rPr>
                <w:rFonts w:hint="eastAsia" w:ascii="宋体" w:hAnsi="宋体" w:eastAsia="宋体" w:cs="宋体"/>
                <w:color w:val="000000" w:themeColor="text1"/>
                <w:sz w:val="24"/>
                <w:szCs w:val="24"/>
                <w14:textFill>
                  <w14:solidFill>
                    <w14:schemeClr w14:val="tx1"/>
                  </w14:solidFill>
                </w14:textFill>
              </w:rPr>
              <w:t>中国工商银行乌鲁木齐钱塘江路支行</w:t>
            </w:r>
          </w:p>
        </w:tc>
        <w:tc>
          <w:tcPr>
            <w:tcW w:w="4646" w:type="dxa"/>
            <w:noWrap w:val="0"/>
            <w:vAlign w:val="center"/>
          </w:tcPr>
          <w:p w14:paraId="6ED12643">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开户银行：</w:t>
            </w:r>
          </w:p>
        </w:tc>
      </w:tr>
      <w:tr w14:paraId="6F3E3A8C">
        <w:tblPrEx>
          <w:tblCellMar>
            <w:top w:w="0" w:type="dxa"/>
            <w:left w:w="108" w:type="dxa"/>
            <w:bottom w:w="0" w:type="dxa"/>
            <w:right w:w="108" w:type="dxa"/>
          </w:tblCellMar>
        </w:tblPrEx>
        <w:trPr>
          <w:trHeight w:val="301" w:hRule="atLeast"/>
          <w:jc w:val="center"/>
        </w:trPr>
        <w:tc>
          <w:tcPr>
            <w:tcW w:w="5284" w:type="dxa"/>
            <w:noWrap w:val="0"/>
            <w:vAlign w:val="center"/>
          </w:tcPr>
          <w:p w14:paraId="78F7E402">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账    号：</w:t>
            </w:r>
          </w:p>
        </w:tc>
        <w:tc>
          <w:tcPr>
            <w:tcW w:w="4646" w:type="dxa"/>
            <w:noWrap w:val="0"/>
            <w:vAlign w:val="center"/>
          </w:tcPr>
          <w:p w14:paraId="3CE8D465">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账    号： </w:t>
            </w:r>
          </w:p>
        </w:tc>
      </w:tr>
      <w:tr w14:paraId="37005F0C">
        <w:tblPrEx>
          <w:tblCellMar>
            <w:top w:w="0" w:type="dxa"/>
            <w:left w:w="108" w:type="dxa"/>
            <w:bottom w:w="0" w:type="dxa"/>
            <w:right w:w="108" w:type="dxa"/>
          </w:tblCellMar>
        </w:tblPrEx>
        <w:trPr>
          <w:trHeight w:val="794" w:hRule="atLeast"/>
          <w:jc w:val="center"/>
        </w:trPr>
        <w:tc>
          <w:tcPr>
            <w:tcW w:w="5284" w:type="dxa"/>
            <w:noWrap w:val="0"/>
            <w:vAlign w:val="center"/>
          </w:tcPr>
          <w:p w14:paraId="55883C24">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合同订立地点：乌鲁木齐团结路1551号（新疆出入境边防检查总站）</w:t>
            </w:r>
          </w:p>
        </w:tc>
        <w:tc>
          <w:tcPr>
            <w:tcW w:w="4646" w:type="dxa"/>
            <w:noWrap w:val="0"/>
            <w:vAlign w:val="center"/>
          </w:tcPr>
          <w:p w14:paraId="7042A298">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合同订立地点：乌鲁木齐团结路1551号（新疆出入境边防检查总站）</w:t>
            </w:r>
          </w:p>
        </w:tc>
      </w:tr>
      <w:tr w14:paraId="36D64BFF">
        <w:tblPrEx>
          <w:tblCellMar>
            <w:top w:w="0" w:type="dxa"/>
            <w:left w:w="108" w:type="dxa"/>
            <w:bottom w:w="0" w:type="dxa"/>
            <w:right w:w="108" w:type="dxa"/>
          </w:tblCellMar>
        </w:tblPrEx>
        <w:trPr>
          <w:trHeight w:val="439" w:hRule="atLeast"/>
          <w:jc w:val="center"/>
        </w:trPr>
        <w:tc>
          <w:tcPr>
            <w:tcW w:w="5284" w:type="dxa"/>
            <w:noWrap w:val="0"/>
            <w:vAlign w:val="center"/>
          </w:tcPr>
          <w:p w14:paraId="7577D7CE">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合同签订日期：  年  月   日</w:t>
            </w:r>
          </w:p>
        </w:tc>
        <w:tc>
          <w:tcPr>
            <w:tcW w:w="4646" w:type="dxa"/>
            <w:noWrap w:val="0"/>
            <w:vAlign w:val="center"/>
          </w:tcPr>
          <w:p w14:paraId="3FD7C771">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合同签订日期：    年  月   日</w:t>
            </w:r>
          </w:p>
        </w:tc>
      </w:tr>
    </w:tbl>
    <w:p w14:paraId="4D38D3B5">
      <w:pPr>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br w:type="page"/>
      </w:r>
    </w:p>
    <w:p w14:paraId="7622DE97">
      <w:pPr>
        <w:pStyle w:val="12"/>
        <w:tabs>
          <w:tab w:val="left" w:pos="0"/>
        </w:tabs>
        <w:spacing w:line="360" w:lineRule="auto"/>
        <w:ind w:left="0" w:leftChars="0" w:firstLine="0" w:firstLineChars="0"/>
        <w:jc w:val="center"/>
        <w:outlineLvl w:val="0"/>
        <w:rPr>
          <w:rFonts w:ascii="宋体" w:hAnsi="宋体"/>
          <w:b/>
          <w:color w:val="000000" w:themeColor="text1"/>
          <w:sz w:val="36"/>
          <w:highlight w:val="none"/>
          <w14:textFill>
            <w14:solidFill>
              <w14:schemeClr w14:val="tx1"/>
            </w14:solidFill>
          </w14:textFill>
        </w:rPr>
      </w:pPr>
      <w:bookmarkStart w:id="313" w:name="_Toc23232"/>
      <w:r>
        <w:rPr>
          <w:rFonts w:hint="eastAsia" w:ascii="宋体" w:hAnsi="宋体"/>
          <w:b/>
          <w:color w:val="000000" w:themeColor="text1"/>
          <w:sz w:val="36"/>
          <w:highlight w:val="none"/>
          <w14:textFill>
            <w14:solidFill>
              <w14:schemeClr w14:val="tx1"/>
            </w14:solidFill>
          </w14:textFill>
        </w:rPr>
        <w:t xml:space="preserve">第六部分   </w:t>
      </w:r>
      <w:r>
        <w:rPr>
          <w:rFonts w:hint="eastAsia" w:ascii="宋体" w:hAnsi="宋体"/>
          <w:b/>
          <w:color w:val="000000" w:themeColor="text1"/>
          <w:sz w:val="36"/>
          <w:highlight w:val="none"/>
          <w:lang w:eastAsia="zh-CN"/>
          <w14:textFill>
            <w14:solidFill>
              <w14:schemeClr w14:val="tx1"/>
            </w14:solidFill>
          </w14:textFill>
        </w:rPr>
        <w:t>响应文件</w:t>
      </w:r>
      <w:r>
        <w:rPr>
          <w:rFonts w:hint="eastAsia" w:ascii="宋体" w:hAnsi="宋体"/>
          <w:b/>
          <w:color w:val="000000" w:themeColor="text1"/>
          <w:sz w:val="36"/>
          <w:highlight w:val="none"/>
          <w14:textFill>
            <w14:solidFill>
              <w14:schemeClr w14:val="tx1"/>
            </w14:solidFill>
          </w14:textFill>
        </w:rPr>
        <w:t>格式</w:t>
      </w:r>
      <w:bookmarkEnd w:id="285"/>
      <w:bookmarkEnd w:id="313"/>
    </w:p>
    <w:p w14:paraId="5EBA2869">
      <w:pPr>
        <w:pStyle w:val="65"/>
        <w:spacing w:after="100" w:afterAutospacing="1" w:line="360" w:lineRule="auto"/>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目  录</w:t>
      </w:r>
    </w:p>
    <w:p w14:paraId="1ABC5824">
      <w:pPr>
        <w:pStyle w:val="65"/>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一、</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p>
    <w:p w14:paraId="5EB0124B">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封面</w:t>
      </w:r>
    </w:p>
    <w:p w14:paraId="40654FFE">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二、资格审查材料</w:t>
      </w:r>
      <w:r>
        <w:rPr>
          <w:rFonts w:hint="eastAsia" w:ascii="宋体" w:hAnsi="宋体" w:eastAsia="宋体" w:cs="宋体"/>
          <w:color w:val="000000" w:themeColor="text1"/>
          <w:highlight w:val="none"/>
          <w:lang w:val="en-US" w:eastAsia="zh-CN"/>
          <w14:textFill>
            <w14:solidFill>
              <w14:schemeClr w14:val="tx1"/>
            </w14:solidFill>
          </w14:textFill>
        </w:rPr>
        <w:tab/>
      </w:r>
    </w:p>
    <w:p w14:paraId="487D420C">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color w:val="000000" w:themeColor="text1"/>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、营业执照、组织机构代码证、税务登记证</w:t>
      </w:r>
    </w:p>
    <w:p w14:paraId="60F5CAAF">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2、法定代表人身份证明及授权委托书</w:t>
      </w:r>
    </w:p>
    <w:p w14:paraId="3A62E656">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ascii="宋体" w:hAnsi="宋体" w:eastAsia="宋体" w:cs="宋体"/>
          <w:color w:val="000000" w:themeColor="text1"/>
          <w:highlight w:val="none"/>
          <w14:textFill>
            <w14:solidFill>
              <w14:schemeClr w14:val="tx1"/>
            </w14:solidFill>
          </w14:textFill>
        </w:rPr>
        <w:t>、中小企业声明函</w:t>
      </w:r>
    </w:p>
    <w:p w14:paraId="4B93C15E">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《中华人民共和国政府采购法》第二十二条应当具备的条件</w:t>
      </w:r>
    </w:p>
    <w:p w14:paraId="3CC8AB21">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投标保证金</w:t>
      </w:r>
    </w:p>
    <w:p w14:paraId="59DA387C">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Theme="majorEastAsia" w:hAnsiTheme="majorEastAsia" w:eastAsiaTheme="majorEastAsia"/>
          <w:b w:val="0"/>
          <w:bCs w:val="0"/>
          <w:color w:val="000000" w:themeColor="text1"/>
          <w:sz w:val="24"/>
          <w:szCs w:val="24"/>
          <w:highlight w:val="none"/>
          <w14:textFill>
            <w14:solidFill>
              <w14:schemeClr w14:val="tx1"/>
            </w14:solidFill>
          </w14:textFill>
        </w:rPr>
        <w:t>供应商认为有必要提供的声明及文件资料</w:t>
      </w:r>
    </w:p>
    <w:p w14:paraId="40D7FE96">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三、商务文件</w:t>
      </w:r>
    </w:p>
    <w:p w14:paraId="37E6BF92">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color w:val="000000" w:themeColor="text1"/>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投标函</w:t>
      </w:r>
    </w:p>
    <w:p w14:paraId="04400AB1">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eastAsia="宋体"/>
          <w:color w:val="000000" w:themeColor="text1"/>
          <w:highlight w:val="none"/>
          <w:lang w:eastAsia="zh-CN"/>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w:t>
      </w:r>
      <w:r>
        <w:rPr>
          <w:rFonts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报价一览表</w:t>
      </w:r>
    </w:p>
    <w:p w14:paraId="689BB445">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color w:val="000000" w:themeColor="text1"/>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3</w:t>
      </w:r>
      <w:r>
        <w:rPr>
          <w:rFonts w:ascii="宋体" w:hAnsi="宋体" w:eastAsia="宋体" w:cs="宋体"/>
          <w:color w:val="000000" w:themeColor="text1"/>
          <w:highlight w:val="none"/>
          <w14:textFill>
            <w14:solidFill>
              <w14:schemeClr w14:val="tx1"/>
            </w14:solidFill>
          </w14:textFill>
        </w:rPr>
        <w:t>、投标报价明细表</w:t>
      </w:r>
    </w:p>
    <w:p w14:paraId="5EAB561E">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售后</w:t>
      </w:r>
      <w:r>
        <w:rPr>
          <w:rFonts w:ascii="宋体" w:hAnsi="宋体" w:eastAsia="宋体" w:cs="宋体"/>
          <w:color w:val="000000" w:themeColor="text1"/>
          <w:highlight w:val="none"/>
          <w14:textFill>
            <w14:solidFill>
              <w14:schemeClr w14:val="tx1"/>
            </w14:solidFill>
          </w14:textFill>
        </w:rPr>
        <w:t>服务承诺书</w:t>
      </w:r>
    </w:p>
    <w:p w14:paraId="38E6DDF0">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b w:val="0"/>
          <w:bCs/>
          <w:color w:val="000000" w:themeColor="text1"/>
          <w:kern w:val="0"/>
          <w:sz w:val="24"/>
          <w:szCs w:val="22"/>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5</w:t>
      </w:r>
      <w:r>
        <w:rPr>
          <w:rFonts w:ascii="宋体" w:hAnsi="宋体" w:eastAsia="宋体" w:cs="宋体"/>
          <w:color w:val="000000" w:themeColor="text1"/>
          <w:highlight w:val="none"/>
          <w14:textFill>
            <w14:solidFill>
              <w14:schemeClr w14:val="tx1"/>
            </w14:solidFill>
          </w14:textFill>
        </w:rPr>
        <w:t>、商务条款偏离说明表</w:t>
      </w:r>
    </w:p>
    <w:p w14:paraId="46CCCE50">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6、类似项目业绩表；</w:t>
      </w:r>
    </w:p>
    <w:p w14:paraId="0F04BB7D">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7、拟投入本项目的主要成员表</w:t>
      </w:r>
    </w:p>
    <w:p w14:paraId="53CB5BF4">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8、供应商认为有必要提供的其他资料</w:t>
      </w:r>
    </w:p>
    <w:p w14:paraId="52A94B14">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四、技术文件</w:t>
      </w:r>
    </w:p>
    <w:p w14:paraId="088E79D7">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项目服务内容；</w:t>
      </w:r>
    </w:p>
    <w:p w14:paraId="646FB293">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岗位设置及配备情况；</w:t>
      </w:r>
    </w:p>
    <w:p w14:paraId="0D4D1E1C">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项目组织、运作和管理等；</w:t>
      </w:r>
    </w:p>
    <w:p w14:paraId="2C8A9A3C">
      <w:pPr>
        <w:pStyle w:val="65"/>
        <w:keepNext w:val="0"/>
        <w:keepLines w:val="0"/>
        <w:pageBreakBefore w:val="0"/>
        <w:widowControl/>
        <w:kinsoku/>
        <w:wordWrap/>
        <w:overflowPunct/>
        <w:topLinePunct w:val="0"/>
        <w:autoSpaceDE/>
        <w:autoSpaceDN/>
        <w:bidi w:val="0"/>
        <w:adjustRightInd/>
        <w:snapToGrid/>
        <w:spacing w:afterAutospacing="0" w:line="312"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供应商认为有必要提供的其他技术文件。</w:t>
      </w:r>
    </w:p>
    <w:p w14:paraId="59B27586">
      <w:pPr>
        <w:pStyle w:val="65"/>
        <w:spacing w:after="100" w:afterAutospacing="1" w:line="360" w:lineRule="auto"/>
        <w:rPr>
          <w:rFonts w:ascii="宋体" w:hAnsi="宋体" w:eastAsia="宋体" w:cs="宋体"/>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314" w:name="_Toc27120"/>
      <w:bookmarkStart w:id="315" w:name="_Toc20752"/>
      <w:bookmarkStart w:id="316" w:name="_Toc16419"/>
      <w:bookmarkStart w:id="317" w:name="_Toc17760"/>
      <w:r>
        <w:rPr>
          <w:rFonts w:hint="eastAsia" w:ascii="宋体" w:hAnsi="宋体" w:eastAsia="宋体" w:cs="宋体"/>
          <w:b/>
          <w:bCs/>
          <w:color w:val="000000" w:themeColor="text1"/>
          <w:highlight w:val="none"/>
          <w14:textFill>
            <w14:solidFill>
              <w14:schemeClr w14:val="tx1"/>
            </w14:solidFill>
          </w14:textFill>
        </w:rPr>
        <w:t>一、</w:t>
      </w:r>
      <w:r>
        <w:rPr>
          <w:rFonts w:hint="eastAsia" w:ascii="宋体" w:hAnsi="宋体" w:eastAsia="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格式</w:t>
      </w:r>
      <w:bookmarkEnd w:id="314"/>
      <w:bookmarkEnd w:id="315"/>
      <w:bookmarkEnd w:id="316"/>
      <w:bookmarkEnd w:id="317"/>
    </w:p>
    <w:p w14:paraId="6ECEF409">
      <w:pPr>
        <w:pStyle w:val="67"/>
        <w:tabs>
          <w:tab w:val="left" w:pos="3570"/>
        </w:tabs>
        <w:spacing w:line="360" w:lineRule="auto"/>
        <w:outlineLvl w:val="9"/>
        <w:rPr>
          <w:rFonts w:ascii="宋体" w:hAnsi="宋体" w:eastAsia="宋体" w:cs="宋体"/>
          <w:color w:val="000000" w:themeColor="text1"/>
          <w:highlight w:val="none"/>
          <w14:textFill>
            <w14:solidFill>
              <w14:schemeClr w14:val="tx1"/>
            </w14:solidFill>
          </w14:textFill>
        </w:rPr>
      </w:pPr>
      <w:bookmarkStart w:id="318" w:name="_Toc21305"/>
      <w:bookmarkStart w:id="319" w:name="_Toc32017"/>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响应文件</w:t>
      </w:r>
      <w:r>
        <w:rPr>
          <w:rFonts w:hint="eastAsia" w:ascii="宋体" w:hAnsi="宋体" w:eastAsia="宋体" w:cs="宋体"/>
          <w:color w:val="000000" w:themeColor="text1"/>
          <w:sz w:val="28"/>
          <w:szCs w:val="28"/>
          <w:highlight w:val="none"/>
          <w14:textFill>
            <w14:solidFill>
              <w14:schemeClr w14:val="tx1"/>
            </w14:solidFill>
          </w14:textFill>
        </w:rPr>
        <w:t>封面</w:t>
      </w:r>
      <w:bookmarkEnd w:id="318"/>
      <w:bookmarkEnd w:id="319"/>
    </w:p>
    <w:p w14:paraId="28E3A7A7">
      <w:pPr>
        <w:pStyle w:val="68"/>
        <w:tabs>
          <w:tab w:val="left" w:pos="3570"/>
        </w:tabs>
        <w:spacing w:line="360" w:lineRule="auto"/>
        <w:rPr>
          <w:rFonts w:ascii="宋体" w:hAnsi="宋体" w:cs="宋体"/>
          <w:b/>
          <w:color w:val="000000" w:themeColor="text1"/>
          <w:sz w:val="24"/>
          <w:highlight w:val="none"/>
          <w14:textFill>
            <w14:solidFill>
              <w14:schemeClr w14:val="tx1"/>
            </w14:solidFill>
          </w14:textFill>
        </w:rPr>
      </w:pPr>
    </w:p>
    <w:p w14:paraId="26CF0FF5">
      <w:pPr>
        <w:pStyle w:val="68"/>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580A5FA7">
      <w:pPr>
        <w:pStyle w:val="68"/>
        <w:tabs>
          <w:tab w:val="left" w:pos="3570"/>
        </w:tabs>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w:t>
      </w:r>
    </w:p>
    <w:p w14:paraId="57300481">
      <w:pPr>
        <w:pStyle w:val="68"/>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p>
    <w:p w14:paraId="62DB1DF7">
      <w:pPr>
        <w:pStyle w:val="68"/>
        <w:tabs>
          <w:tab w:val="left" w:pos="3570"/>
        </w:tabs>
        <w:spacing w:line="360" w:lineRule="auto"/>
        <w:ind w:firstLine="1680" w:firstLineChars="6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（项目编号）</w:t>
      </w:r>
    </w:p>
    <w:p w14:paraId="4BAB7496">
      <w:pPr>
        <w:pStyle w:val="68"/>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2F289CC6">
      <w:pPr>
        <w:pStyle w:val="68"/>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649AC227">
      <w:pPr>
        <w:pStyle w:val="68"/>
        <w:tabs>
          <w:tab w:val="left" w:pos="3570"/>
        </w:tabs>
        <w:spacing w:line="360" w:lineRule="auto"/>
        <w:jc w:val="center"/>
        <w:rPr>
          <w:rFonts w:hint="eastAsia" w:ascii="宋体" w:hAnsi="宋体" w:eastAsia="宋体" w:cs="宋体"/>
          <w:b/>
          <w:color w:val="000000" w:themeColor="text1"/>
          <w:sz w:val="72"/>
          <w:szCs w:val="72"/>
          <w:highlight w:val="none"/>
          <w:lang w:eastAsia="zh-CN"/>
          <w14:textFill>
            <w14:solidFill>
              <w14:schemeClr w14:val="tx1"/>
            </w14:solidFill>
          </w14:textFill>
        </w:rPr>
      </w:pPr>
      <w:r>
        <w:rPr>
          <w:rFonts w:hint="eastAsia" w:ascii="宋体" w:hAnsi="宋体" w:cs="宋体"/>
          <w:b/>
          <w:color w:val="000000" w:themeColor="text1"/>
          <w:sz w:val="72"/>
          <w:szCs w:val="72"/>
          <w:highlight w:val="none"/>
          <w:lang w:eastAsia="zh-CN"/>
          <w14:textFill>
            <w14:solidFill>
              <w14:schemeClr w14:val="tx1"/>
            </w14:solidFill>
          </w14:textFill>
        </w:rPr>
        <w:t>响应文件</w:t>
      </w:r>
    </w:p>
    <w:p w14:paraId="759CC0D1">
      <w:pPr>
        <w:pStyle w:val="68"/>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05A69E70">
      <w:pPr>
        <w:pStyle w:val="68"/>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4233E8CE">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38E158CB">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0BA95415">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5269835B">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327C0630">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688296B2">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637699DA">
      <w:pPr>
        <w:pStyle w:val="68"/>
        <w:tabs>
          <w:tab w:val="left" w:pos="3570"/>
        </w:tabs>
        <w:spacing w:line="360" w:lineRule="auto"/>
        <w:jc w:val="cente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投标人</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（电子签章）</w:t>
      </w:r>
    </w:p>
    <w:p w14:paraId="5DE79960">
      <w:pPr>
        <w:pStyle w:val="68"/>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（签名或盖章）</w:t>
      </w:r>
    </w:p>
    <w:p w14:paraId="1AF2FFDD">
      <w:pPr>
        <w:pStyle w:val="68"/>
        <w:tabs>
          <w:tab w:val="left" w:pos="3570"/>
        </w:tabs>
        <w:spacing w:line="360" w:lineRule="auto"/>
        <w:jc w:val="cente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（年/月/日）</w:t>
      </w:r>
    </w:p>
    <w:p w14:paraId="5FAC5852">
      <w:pPr>
        <w:pStyle w:val="68"/>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p>
    <w:p w14:paraId="190C65A6">
      <w:pPr>
        <w:pStyle w:val="72"/>
        <w:tabs>
          <w:tab w:val="left" w:pos="3570"/>
        </w:tabs>
        <w:spacing w:line="360" w:lineRule="auto"/>
        <w:outlineLvl w:val="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20" w:name="_Toc13762"/>
      <w:bookmarkStart w:id="321" w:name="_Toc12471"/>
      <w:bookmarkStart w:id="322" w:name="_Toc23565"/>
      <w:bookmarkStart w:id="323" w:name="_Toc15057"/>
      <w:bookmarkStart w:id="324" w:name="_Toc22840"/>
      <w:r>
        <w:rPr>
          <w:rFonts w:hint="eastAsia" w:ascii="宋体" w:hAnsi="宋体" w:eastAsia="宋体" w:cs="宋体"/>
          <w:color w:val="000000" w:themeColor="text1"/>
          <w:highlight w:val="none"/>
          <w14:textFill>
            <w14:solidFill>
              <w14:schemeClr w14:val="tx1"/>
            </w14:solidFill>
          </w14:textFill>
        </w:rPr>
        <w:t>二、资格审查材料</w:t>
      </w:r>
      <w:bookmarkEnd w:id="320"/>
      <w:bookmarkEnd w:id="321"/>
      <w:bookmarkEnd w:id="322"/>
      <w:bookmarkEnd w:id="323"/>
      <w:bookmarkEnd w:id="324"/>
    </w:p>
    <w:p w14:paraId="0B1E696E">
      <w:pPr>
        <w:pStyle w:val="73"/>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325" w:name="_Toc7035"/>
      <w:bookmarkStart w:id="326" w:name="_Toc23192"/>
      <w:bookmarkStart w:id="327" w:name="_Toc9510"/>
      <w:bookmarkStart w:id="328" w:name="_Toc7305"/>
      <w:bookmarkStart w:id="329" w:name="_Toc30681"/>
      <w:r>
        <w:rPr>
          <w:rFonts w:eastAsia="仿宋"/>
          <w:color w:val="000000" w:themeColor="text1"/>
          <w:sz w:val="22"/>
          <w:szCs w:val="2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（1）营业执照、组织机构代码证、税务登记证</w:t>
      </w:r>
      <w:bookmarkEnd w:id="325"/>
      <w:bookmarkEnd w:id="326"/>
      <w:bookmarkEnd w:id="327"/>
      <w:bookmarkEnd w:id="328"/>
      <w:bookmarkEnd w:id="329"/>
    </w:p>
    <w:p w14:paraId="6D9462CF">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说明：此处提供营业执照、组织机构代码证、税务登记证，如三证合一，只需要提供营业执照即可。（如投标人是自然人，应提供有效的自然人身份证明。）</w:t>
      </w:r>
    </w:p>
    <w:p w14:paraId="01E2ADE3">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6A1C616">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1546FD5">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BF4742C">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2800714">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327CBE5">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D5FA8C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5BA283E">
      <w:pPr>
        <w:pStyle w:val="75"/>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330" w:name="_Toc2781"/>
      <w:bookmarkStart w:id="331" w:name="_Toc9066"/>
      <w:bookmarkStart w:id="332" w:name="_Toc28050"/>
      <w:bookmarkStart w:id="333" w:name="_Toc13569"/>
      <w:bookmarkStart w:id="334" w:name="_Toc31027"/>
      <w:r>
        <w:rPr>
          <w:rFonts w:eastAsia="仿宋"/>
          <w:color w:val="000000" w:themeColor="text1"/>
          <w:sz w:val="22"/>
          <w:szCs w:val="2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（2）法定代表人身份证明及授权委托书</w:t>
      </w:r>
      <w:bookmarkEnd w:id="330"/>
      <w:bookmarkEnd w:id="331"/>
      <w:bookmarkEnd w:id="332"/>
      <w:bookmarkEnd w:id="333"/>
      <w:bookmarkEnd w:id="334"/>
    </w:p>
    <w:p w14:paraId="286005DD">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bookmarkStart w:id="335" w:name="_Toc487101376"/>
      <w:bookmarkEnd w:id="335"/>
      <w:bookmarkStart w:id="336" w:name="_Toc487101447"/>
      <w:bookmarkEnd w:id="336"/>
      <w:bookmarkStart w:id="337" w:name="_Toc487101305"/>
      <w:bookmarkEnd w:id="337"/>
      <w:r>
        <w:rPr>
          <w:rFonts w:hint="eastAsia" w:ascii="宋体" w:hAnsi="宋体" w:cs="宋体"/>
          <w:color w:val="000000" w:themeColor="text1"/>
          <w:sz w:val="24"/>
          <w:szCs w:val="24"/>
          <w:highlight w:val="none"/>
          <w14:textFill>
            <w14:solidFill>
              <w14:schemeClr w14:val="tx1"/>
            </w14:solidFill>
          </w14:textFill>
        </w:rPr>
        <w:t>法定代表人资格证明文件</w:t>
      </w:r>
    </w:p>
    <w:p w14:paraId="5CD96D00">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（代理机构名称）</w:t>
      </w:r>
      <w:r>
        <w:rPr>
          <w:rFonts w:hint="eastAsia" w:ascii="宋体" w:hAnsi="宋体" w:cs="宋体"/>
          <w:color w:val="000000" w:themeColor="text1"/>
          <w:sz w:val="24"/>
          <w:szCs w:val="24"/>
          <w:highlight w:val="none"/>
          <w14:textFill>
            <w14:solidFill>
              <w14:schemeClr w14:val="tx1"/>
            </w14:solidFill>
          </w14:textFill>
        </w:rPr>
        <w:t>：</w:t>
      </w:r>
    </w:p>
    <w:p w14:paraId="46425B1F">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兹有</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同志为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公司法定代表人，代表我公司办理一切社会公务事宜，具有法律效力。 </w:t>
      </w:r>
    </w:p>
    <w:p w14:paraId="1A87D2A2">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附法定代表人基本情况： </w:t>
      </w:r>
    </w:p>
    <w:p w14:paraId="07C14E26">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96205E9">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046E9B0">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通讯地址：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D8745C8">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邮政编码：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313DFB4">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bl>
      <w:tblPr>
        <w:tblStyle w:val="23"/>
        <w:tblW w:w="697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5"/>
      </w:tblGrid>
      <w:tr w14:paraId="3190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14:paraId="583DA2A4">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14:paraId="255451B1">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14:paraId="1A157EA3">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法定代表人《居民身份证》扫描件</w:t>
            </w:r>
          </w:p>
        </w:tc>
      </w:tr>
    </w:tbl>
    <w:p w14:paraId="622EECD0">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069C8B92">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3BE1218F">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5F29A604">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投标人名称（签章）：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DF67488">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275D367E">
      <w:pPr>
        <w:pStyle w:val="76"/>
        <w:tabs>
          <w:tab w:val="left" w:pos="750"/>
          <w:tab w:val="left" w:pos="3570"/>
        </w:tabs>
        <w:adjustRightInd w:val="0"/>
        <w:snapToGrid w:val="0"/>
        <w:spacing w:line="360" w:lineRule="auto"/>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法定代表人（签名或盖章）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AC6E282">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444D7662">
      <w:pPr>
        <w:pStyle w:val="76"/>
        <w:tabs>
          <w:tab w:val="left" w:pos="750"/>
          <w:tab w:val="left" w:pos="3570"/>
        </w:tabs>
        <w:adjustRightInd w:val="0"/>
        <w:snapToGrid w:val="0"/>
        <w:spacing w:line="360" w:lineRule="auto"/>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7E50E2FF">
      <w:pPr>
        <w:pStyle w:val="77"/>
        <w:tabs>
          <w:tab w:val="left" w:pos="3570"/>
        </w:tabs>
        <w:spacing w:line="360" w:lineRule="auto"/>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w:t>
      </w:r>
    </w:p>
    <w:p w14:paraId="007467D9">
      <w:pPr>
        <w:pStyle w:val="77"/>
        <w:tabs>
          <w:tab w:val="left" w:pos="3570"/>
        </w:tabs>
        <w:spacing w:line="360" w:lineRule="auto"/>
        <w:outlineLvl w:val="9"/>
        <w:rPr>
          <w:rFonts w:cs="宋体"/>
          <w:color w:val="000000" w:themeColor="text1"/>
          <w:highlight w:val="none"/>
          <w14:textFill>
            <w14:solidFill>
              <w14:schemeClr w14:val="tx1"/>
            </w14:solidFill>
          </w14:textFill>
        </w:rPr>
      </w:pPr>
    </w:p>
    <w:p w14:paraId="2B3A27D6">
      <w:pPr>
        <w:pStyle w:val="77"/>
        <w:tabs>
          <w:tab w:val="left" w:pos="3570"/>
        </w:tabs>
        <w:spacing w:line="360" w:lineRule="auto"/>
        <w:outlineLvl w:val="9"/>
        <w:rPr>
          <w:rFonts w:cs="宋体"/>
          <w:color w:val="000000" w:themeColor="text1"/>
          <w:highlight w:val="none"/>
          <w14:textFill>
            <w14:solidFill>
              <w14:schemeClr w14:val="tx1"/>
            </w14:solidFill>
          </w14:textFill>
        </w:rPr>
      </w:pPr>
    </w:p>
    <w:p w14:paraId="5869DBC0">
      <w:pPr>
        <w:pStyle w:val="76"/>
        <w:tabs>
          <w:tab w:val="left" w:pos="3570"/>
        </w:tabs>
        <w:spacing w:line="360" w:lineRule="auto"/>
        <w:rPr>
          <w:rFonts w:ascii="宋体" w:hAnsi="宋体" w:cs="宋体"/>
          <w:color w:val="000000" w:themeColor="text1"/>
          <w:highlight w:val="none"/>
          <w14:textFill>
            <w14:solidFill>
              <w14:schemeClr w14:val="tx1"/>
            </w14:solidFill>
          </w14:textFill>
        </w:rPr>
      </w:pPr>
    </w:p>
    <w:p w14:paraId="6CE85D38">
      <w:pPr>
        <w:pStyle w:val="76"/>
        <w:tabs>
          <w:tab w:val="left" w:pos="3570"/>
        </w:tabs>
        <w:spacing w:line="360" w:lineRule="auto"/>
        <w:rPr>
          <w:rFonts w:ascii="宋体" w:hAnsi="宋体" w:cs="宋体"/>
          <w:color w:val="000000" w:themeColor="text1"/>
          <w:highlight w:val="none"/>
          <w14:textFill>
            <w14:solidFill>
              <w14:schemeClr w14:val="tx1"/>
            </w14:solidFill>
          </w14:textFill>
        </w:rPr>
      </w:pPr>
    </w:p>
    <w:p w14:paraId="4D908838">
      <w:pPr>
        <w:pStyle w:val="7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法定代表人授权书</w:t>
      </w:r>
    </w:p>
    <w:p w14:paraId="362003ED">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（代理机构名称）</w:t>
      </w:r>
      <w:r>
        <w:rPr>
          <w:rFonts w:hint="eastAsia" w:ascii="宋体" w:hAnsi="宋体" w:cs="宋体"/>
          <w:color w:val="000000" w:themeColor="text1"/>
          <w:sz w:val="24"/>
          <w:szCs w:val="24"/>
          <w:highlight w:val="none"/>
          <w14:textFill>
            <w14:solidFill>
              <w14:schemeClr w14:val="tx1"/>
            </w14:solidFill>
          </w14:textFill>
        </w:rPr>
        <w:t>：</w:t>
      </w:r>
    </w:p>
    <w:p w14:paraId="0EC43841">
      <w:pPr>
        <w:pStyle w:val="76"/>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同志为我公司参加贵单位组织的编号为</w:t>
      </w:r>
      <w:r>
        <w:rPr>
          <w:rFonts w:hint="eastAsia" w:ascii="宋体" w:hAnsi="宋体" w:cs="宋体"/>
          <w:color w:val="000000" w:themeColor="text1"/>
          <w:sz w:val="24"/>
          <w:szCs w:val="24"/>
          <w:highlight w:val="none"/>
          <w:u w:val="single"/>
          <w14:textFill>
            <w14:solidFill>
              <w14:schemeClr w14:val="tx1"/>
            </w14:solidFill>
          </w14:textFill>
        </w:rPr>
        <w:t>（项目编号）</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 目 名 称）</w:t>
      </w:r>
      <w:r>
        <w:rPr>
          <w:rFonts w:hint="eastAsia" w:ascii="宋体" w:hAnsi="宋体" w:cs="宋体"/>
          <w:color w:val="000000" w:themeColor="text1"/>
          <w:sz w:val="24"/>
          <w:szCs w:val="24"/>
          <w:highlight w:val="none"/>
          <w14:textFill>
            <w14:solidFill>
              <w14:schemeClr w14:val="tx1"/>
            </w14:solidFill>
          </w14:textFill>
        </w:rPr>
        <w:t>采购活动的投标代表人，全权代表我公司处理在该项目采购活动中的一切事宜。代理期限从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日起至</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日止。 </w:t>
      </w:r>
    </w:p>
    <w:p w14:paraId="11141D66">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p w14:paraId="786E0B8A">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投标人（签章）：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9B7652D">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法定代表人（签名或盖章）：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51ECCE0">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签发日期：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15E6B1DE">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p w14:paraId="57F9CC34">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w:t>
      </w:r>
    </w:p>
    <w:p w14:paraId="02507A3B">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代理人工作单位：</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69F7D4C">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885D44A">
      <w:pPr>
        <w:pStyle w:val="76"/>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A583DC7">
      <w:pPr>
        <w:pStyle w:val="76"/>
        <w:tabs>
          <w:tab w:val="left" w:pos="3570"/>
        </w:tabs>
        <w:adjustRightInd w:val="0"/>
        <w:snapToGrid w:val="0"/>
        <w:spacing w:line="360" w:lineRule="auto"/>
        <w:ind w:left="-88" w:leftChars="-42" w:firstLine="600" w:firstLineChars="250"/>
        <w:rPr>
          <w:rFonts w:ascii="宋体" w:hAnsi="宋体" w:cs="宋体"/>
          <w:color w:val="000000" w:themeColor="text1"/>
          <w:sz w:val="24"/>
          <w:szCs w:val="24"/>
          <w:highlight w:val="none"/>
          <w:u w:val="single"/>
          <w14:textFill>
            <w14:solidFill>
              <w14:schemeClr w14:val="tx1"/>
            </w14:solidFill>
          </w14:textFill>
        </w:rPr>
      </w:pPr>
    </w:p>
    <w:tbl>
      <w:tblPr>
        <w:tblStyle w:val="23"/>
        <w:tblW w:w="784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1"/>
      </w:tblGrid>
      <w:tr w14:paraId="473E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841" w:type="dxa"/>
            <w:tcBorders>
              <w:top w:val="single" w:color="auto" w:sz="4" w:space="0"/>
              <w:left w:val="single" w:color="auto" w:sz="4" w:space="0"/>
              <w:bottom w:val="single" w:color="auto" w:sz="4" w:space="0"/>
              <w:right w:val="single" w:color="auto" w:sz="4" w:space="0"/>
            </w:tcBorders>
          </w:tcPr>
          <w:p w14:paraId="64839817">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法定代表人《居民身份证》扫描件</w:t>
            </w:r>
          </w:p>
          <w:p w14:paraId="10F546C1">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tc>
      </w:tr>
    </w:tbl>
    <w:p w14:paraId="092E5092">
      <w:pPr>
        <w:pStyle w:val="78"/>
        <w:tabs>
          <w:tab w:val="left" w:pos="3570"/>
        </w:tabs>
        <w:spacing w:line="360" w:lineRule="auto"/>
        <w:rPr>
          <w:rFonts w:ascii="宋体" w:hAnsi="宋体" w:eastAsia="宋体" w:cs="宋体"/>
          <w:color w:val="000000" w:themeColor="text1"/>
          <w:highlight w:val="none"/>
          <w14:textFill>
            <w14:solidFill>
              <w14:schemeClr w14:val="tx1"/>
            </w14:solidFill>
          </w14:textFill>
        </w:rPr>
      </w:pPr>
    </w:p>
    <w:tbl>
      <w:tblPr>
        <w:tblStyle w:val="23"/>
        <w:tblW w:w="784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1"/>
      </w:tblGrid>
      <w:tr w14:paraId="55EA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841" w:type="dxa"/>
            <w:tcBorders>
              <w:top w:val="single" w:color="auto" w:sz="4" w:space="0"/>
              <w:left w:val="single" w:color="auto" w:sz="4" w:space="0"/>
              <w:bottom w:val="single" w:color="auto" w:sz="4" w:space="0"/>
              <w:right w:val="single" w:color="auto" w:sz="4" w:space="0"/>
            </w:tcBorders>
          </w:tcPr>
          <w:p w14:paraId="1E07297A">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被授权人《居民身份证》扫描件</w:t>
            </w:r>
          </w:p>
        </w:tc>
      </w:tr>
    </w:tbl>
    <w:p w14:paraId="7D644D04">
      <w:pPr>
        <w:pStyle w:val="79"/>
        <w:tabs>
          <w:tab w:val="left" w:pos="3570"/>
          <w:tab w:val="left" w:pos="8786"/>
        </w:tabs>
        <w:spacing w:after="0" w:line="360" w:lineRule="auto"/>
        <w:rPr>
          <w:rFonts w:ascii="宋体" w:hAnsi="宋体" w:cs="宋体"/>
          <w:color w:val="000000" w:themeColor="text1"/>
          <w:sz w:val="24"/>
          <w:highlight w:val="none"/>
          <w14:textFill>
            <w14:solidFill>
              <w14:schemeClr w14:val="tx1"/>
            </w14:solidFill>
          </w14:textFill>
        </w:rPr>
      </w:pPr>
      <w:bookmarkStart w:id="338" w:name="_Toc11433"/>
      <w:bookmarkStart w:id="339" w:name="_Toc32217"/>
      <w:r>
        <w:rPr>
          <w:rFonts w:hint="eastAsia" w:ascii="宋体" w:hAnsi="宋体" w:eastAsia="宋体" w:cs="宋体"/>
          <w:color w:val="000000" w:themeColor="text1"/>
          <w:sz w:val="28"/>
          <w:szCs w:val="28"/>
          <w:highlight w:val="none"/>
          <w14:textFill>
            <w14:solidFill>
              <w14:schemeClr w14:val="tx1"/>
            </w14:solidFill>
          </w14:textFill>
        </w:rPr>
        <w:br w:type="page"/>
      </w:r>
      <w:bookmarkEnd w:id="338"/>
      <w:bookmarkEnd w:id="339"/>
    </w:p>
    <w:p w14:paraId="4E53CE41">
      <w:pPr>
        <w:pStyle w:val="81"/>
        <w:tabs>
          <w:tab w:val="left" w:pos="3570"/>
        </w:tabs>
        <w:spacing w:line="360" w:lineRule="auto"/>
        <w:outlineLvl w:val="2"/>
        <w:rPr>
          <w:rFonts w:hint="eastAsia" w:ascii="宋体" w:hAnsi="宋体" w:eastAsia="宋体" w:cs="宋体"/>
          <w:color w:val="000000" w:themeColor="text1"/>
          <w:highlight w:val="none"/>
          <w:lang w:eastAsia="zh-CN"/>
          <w14:textFill>
            <w14:solidFill>
              <w14:schemeClr w14:val="tx1"/>
            </w14:solidFill>
          </w14:textFill>
        </w:rPr>
      </w:pPr>
      <w:bookmarkStart w:id="340" w:name="_Toc16466"/>
      <w:bookmarkStart w:id="341" w:name="_Toc19239"/>
      <w:bookmarkStart w:id="342" w:name="_Toc31344"/>
      <w:bookmarkStart w:id="343" w:name="_Toc12214"/>
      <w:bookmarkStart w:id="344" w:name="_Toc10749"/>
      <w:r>
        <w:rPr>
          <w:rFonts w:eastAsia="仿宋"/>
          <w:color w:val="000000" w:themeColor="text1"/>
          <w:sz w:val="22"/>
          <w:szCs w:val="2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）中小企业声明函</w:t>
      </w:r>
      <w:bookmarkEnd w:id="340"/>
      <w:bookmarkEnd w:id="341"/>
      <w:bookmarkEnd w:id="342"/>
      <w:bookmarkEnd w:id="343"/>
      <w:bookmarkEnd w:id="344"/>
    </w:p>
    <w:p w14:paraId="3A3F97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themeColor="text1"/>
          <w:sz w:val="24"/>
          <w:szCs w:val="24"/>
          <w:highlight w:val="none"/>
          <w14:textFill>
            <w14:solidFill>
              <w14:schemeClr w14:val="tx1"/>
            </w14:solidFill>
          </w14:textFill>
        </w:rPr>
      </w:pPr>
      <w:bookmarkStart w:id="345" w:name="_Toc26310"/>
      <w:bookmarkStart w:id="346" w:name="_Toc20288"/>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.1 中小企业声明函</w:t>
      </w:r>
    </w:p>
    <w:p w14:paraId="0C6B477A">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14:textFill>
            <w14:solidFill>
              <w14:schemeClr w14:val="tx1"/>
            </w14:solidFill>
          </w14:textFill>
        </w:rPr>
        <w:t>（单位名称）的</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14:textFill>
            <w14:solidFill>
              <w14:schemeClr w14:val="tx1"/>
            </w14:solidFill>
          </w14:textFill>
        </w:rPr>
        <w:t>（项目名称）采购活动，工程的施工单位全部为符合政策要求的中小企业（或者：服务全部由符合政策要求的中小企业承接）。相关企业（含联合体中的中小企业、签订分包意向协议的中小企业）的具体情况如下：</w:t>
      </w:r>
    </w:p>
    <w:p w14:paraId="6336F34F">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1、</w:t>
      </w:r>
      <w:r>
        <w:rPr>
          <w:rFonts w:hint="eastAsia" w:ascii="宋体" w:hAnsi="宋体" w:cs="宋体"/>
          <w:b w:val="0"/>
          <w:bCs/>
          <w:color w:val="000000" w:themeColor="text1"/>
          <w:sz w:val="24"/>
          <w:lang w:val="en-US" w:eastAsia="zh-CN"/>
          <w14:textFill>
            <w14:solidFill>
              <w14:schemeClr w14:val="tx1"/>
            </w14:solidFill>
          </w14:textFill>
        </w:rPr>
        <w:t>中华人民共和国新疆出入境边防检查总站高清视频会议系统维保服务采购项目</w:t>
      </w:r>
      <w:r>
        <w:rPr>
          <w:rFonts w:hint="eastAsia" w:ascii="宋体" w:hAnsi="宋体"/>
          <w:color w:val="000000" w:themeColor="text1"/>
          <w:spacing w:val="-2"/>
          <w:sz w:val="24"/>
          <w:szCs w:val="24"/>
          <w:highlight w:val="none"/>
          <w:u w:val="single"/>
          <w14:textFill>
            <w14:solidFill>
              <w14:schemeClr w14:val="tx1"/>
            </w14:solidFill>
          </w14:textFill>
        </w:rPr>
        <w:t>（</w:t>
      </w:r>
      <w:r>
        <w:rPr>
          <w:rFonts w:hint="eastAsia" w:ascii="宋体" w:hAnsi="宋体"/>
          <w:color w:val="000000" w:themeColor="text1"/>
          <w:spacing w:val="-2"/>
          <w:sz w:val="24"/>
          <w:szCs w:val="24"/>
          <w:highlight w:val="none"/>
          <w:u w:val="single"/>
          <w:lang w:eastAsia="zh-CN"/>
          <w14:textFill>
            <w14:solidFill>
              <w14:schemeClr w14:val="tx1"/>
            </w14:solidFill>
          </w14:textFill>
        </w:rPr>
        <w:t>项目</w:t>
      </w:r>
      <w:r>
        <w:rPr>
          <w:rFonts w:hint="eastAsia" w:ascii="宋体" w:hAnsi="宋体"/>
          <w:color w:val="000000" w:themeColor="text1"/>
          <w:spacing w:val="-2"/>
          <w:sz w:val="24"/>
          <w:szCs w:val="24"/>
          <w:highlight w:val="none"/>
          <w:u w:val="single"/>
          <w14:textFill>
            <w14:solidFill>
              <w14:schemeClr w14:val="tx1"/>
            </w14:solidFill>
          </w14:textFill>
        </w:rPr>
        <w:t>名称）</w:t>
      </w:r>
      <w:r>
        <w:rPr>
          <w:rFonts w:hint="eastAsia" w:ascii="宋体" w:hAnsi="宋体"/>
          <w:color w:val="000000" w:themeColor="text1"/>
          <w:spacing w:val="-2"/>
          <w:sz w:val="24"/>
          <w:szCs w:val="24"/>
          <w:highlight w:val="none"/>
          <w14:textFill>
            <w14:solidFill>
              <w14:schemeClr w14:val="tx1"/>
            </w14:solidFill>
          </w14:textFill>
        </w:rPr>
        <w:t>，属于</w:t>
      </w:r>
      <w:r>
        <w:rPr>
          <w:rFonts w:hint="eastAsia" w:ascii="宋体" w:hAnsi="宋体"/>
          <w:color w:val="000000" w:themeColor="text1"/>
          <w:spacing w:val="-2"/>
          <w:sz w:val="24"/>
          <w:szCs w:val="24"/>
          <w:highlight w:val="none"/>
          <w:lang w:val="en-US" w:eastAsia="zh-CN"/>
          <w14:textFill>
            <w14:solidFill>
              <w14:schemeClr w14:val="tx1"/>
            </w14:solidFill>
          </w14:textFill>
        </w:rPr>
        <w:t>软件和信息技术服务业</w:t>
      </w:r>
      <w:r>
        <w:rPr>
          <w:rFonts w:hint="eastAsia" w:ascii="宋体" w:hAnsi="宋体"/>
          <w:color w:val="000000" w:themeColor="text1"/>
          <w:spacing w:val="-2"/>
          <w:sz w:val="24"/>
          <w:szCs w:val="24"/>
          <w:highlight w:val="none"/>
          <w:u w:val="single"/>
          <w14:textFill>
            <w14:solidFill>
              <w14:schemeClr w14:val="tx1"/>
            </w14:solidFill>
          </w14:textFill>
        </w:rPr>
        <w:t>（</w:t>
      </w:r>
      <w:r>
        <w:rPr>
          <w:rFonts w:hint="eastAsia" w:ascii="宋体" w:hAnsi="宋体"/>
          <w:color w:val="000000" w:themeColor="text1"/>
          <w:spacing w:val="-2"/>
          <w:sz w:val="24"/>
          <w:szCs w:val="24"/>
          <w:highlight w:val="none"/>
          <w:u w:val="single"/>
          <w:lang w:val="en-US" w:eastAsia="zh-CN"/>
          <w14:textFill>
            <w14:solidFill>
              <w14:schemeClr w14:val="tx1"/>
            </w14:solidFill>
          </w14:textFill>
        </w:rPr>
        <w:t>采购文件中明确的所属行业)</w:t>
      </w:r>
      <w:r>
        <w:rPr>
          <w:rFonts w:hint="eastAsia" w:ascii="宋体" w:hAnsi="宋体"/>
          <w:color w:val="000000" w:themeColor="text1"/>
          <w:spacing w:val="-2"/>
          <w:sz w:val="24"/>
          <w:szCs w:val="24"/>
          <w:highlight w:val="none"/>
          <w:u w:val="single"/>
          <w14:textFill>
            <w14:solidFill>
              <w14:schemeClr w14:val="tx1"/>
            </w14:solidFill>
          </w14:textFill>
        </w:rPr>
        <w:t>）</w:t>
      </w:r>
      <w:r>
        <w:rPr>
          <w:rFonts w:hint="eastAsia" w:ascii="宋体" w:hAnsi="宋体"/>
          <w:color w:val="000000" w:themeColor="text1"/>
          <w:spacing w:val="-2"/>
          <w:sz w:val="24"/>
          <w:szCs w:val="24"/>
          <w:highlight w:val="none"/>
          <w14:textFill>
            <w14:solidFill>
              <w14:schemeClr w14:val="tx1"/>
            </w14:solidFill>
          </w14:textFill>
        </w:rPr>
        <w:t>；承建（承接）企业为</w:t>
      </w:r>
      <w:r>
        <w:rPr>
          <w:rFonts w:hint="eastAsia" w:ascii="宋体" w:hAnsi="宋体"/>
          <w:color w:val="000000" w:themeColor="text1"/>
          <w:spacing w:val="-2"/>
          <w:sz w:val="24"/>
          <w:szCs w:val="24"/>
          <w:highlight w:val="none"/>
          <w:u w:val="single"/>
          <w14:textFill>
            <w14:solidFill>
              <w14:schemeClr w14:val="tx1"/>
            </w14:solidFill>
          </w14:textFill>
        </w:rPr>
        <w:t>（企业名称</w:t>
      </w:r>
      <w:r>
        <w:rPr>
          <w:rFonts w:hint="eastAsia" w:ascii="宋体" w:hAnsi="宋体"/>
          <w:color w:val="000000" w:themeColor="text1"/>
          <w:spacing w:val="-2"/>
          <w:sz w:val="24"/>
          <w:szCs w:val="24"/>
          <w:highlight w:val="none"/>
          <w14:textFill>
            <w14:solidFill>
              <w14:schemeClr w14:val="tx1"/>
            </w14:solidFill>
          </w14:textFill>
        </w:rPr>
        <w:t>），从业人员</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14:textFill>
            <w14:solidFill>
              <w14:schemeClr w14:val="tx1"/>
            </w14:solidFill>
          </w14:textFill>
        </w:rPr>
        <w:t>人，营业收入为</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14:textFill>
            <w14:solidFill>
              <w14:schemeClr w14:val="tx1"/>
            </w14:solidFill>
          </w14:textFill>
        </w:rPr>
        <w:t>万元，资产总额为</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14:textFill>
            <w14:solidFill>
              <w14:schemeClr w14:val="tx1"/>
            </w14:solidFill>
          </w14:textFill>
        </w:rPr>
        <w:t>万【从业人员、营业收入、资产总额填报上一年度数据，无上一年度数据的新成立企业可不填报。】，属于</w:t>
      </w:r>
      <w:r>
        <w:rPr>
          <w:rFonts w:hint="eastAsia" w:ascii="宋体" w:hAnsi="宋体"/>
          <w:color w:val="000000" w:themeColor="text1"/>
          <w:spacing w:val="-2"/>
          <w:sz w:val="24"/>
          <w:szCs w:val="24"/>
          <w:highlight w:val="none"/>
          <w:u w:val="single"/>
          <w14:textFill>
            <w14:solidFill>
              <w14:schemeClr w14:val="tx1"/>
            </w14:solidFill>
          </w14:textFill>
        </w:rPr>
        <w:t>（中型企业、小型企业、微型企业）</w:t>
      </w:r>
      <w:r>
        <w:rPr>
          <w:rFonts w:hint="eastAsia" w:ascii="宋体" w:hAnsi="宋体"/>
          <w:color w:val="000000" w:themeColor="text1"/>
          <w:spacing w:val="-2"/>
          <w:sz w:val="24"/>
          <w:szCs w:val="24"/>
          <w:highlight w:val="none"/>
          <w14:textFill>
            <w14:solidFill>
              <w14:schemeClr w14:val="tx1"/>
            </w14:solidFill>
          </w14:textFill>
        </w:rPr>
        <w:t>；</w:t>
      </w:r>
    </w:p>
    <w:p w14:paraId="634AAF07">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2、</w:t>
      </w:r>
      <w:r>
        <w:rPr>
          <w:rFonts w:hint="eastAsia" w:ascii="宋体" w:hAnsi="宋体"/>
          <w:color w:val="000000" w:themeColor="text1"/>
          <w:spacing w:val="-2"/>
          <w:sz w:val="24"/>
          <w:szCs w:val="24"/>
          <w:highlight w:val="none"/>
          <w:u w:val="single"/>
          <w14:textFill>
            <w14:solidFill>
              <w14:schemeClr w14:val="tx1"/>
            </w14:solidFill>
          </w14:textFill>
        </w:rPr>
        <w:t>（</w:t>
      </w:r>
      <w:r>
        <w:rPr>
          <w:rFonts w:hint="eastAsia" w:ascii="宋体" w:hAnsi="宋体"/>
          <w:color w:val="000000" w:themeColor="text1"/>
          <w:spacing w:val="-2"/>
          <w:sz w:val="24"/>
          <w:szCs w:val="24"/>
          <w:highlight w:val="none"/>
          <w:u w:val="single"/>
          <w:lang w:eastAsia="zh-CN"/>
          <w14:textFill>
            <w14:solidFill>
              <w14:schemeClr w14:val="tx1"/>
            </w14:solidFill>
          </w14:textFill>
        </w:rPr>
        <w:t>项目</w:t>
      </w:r>
      <w:r>
        <w:rPr>
          <w:rFonts w:hint="eastAsia" w:ascii="宋体" w:hAnsi="宋体"/>
          <w:color w:val="000000" w:themeColor="text1"/>
          <w:spacing w:val="-2"/>
          <w:sz w:val="24"/>
          <w:szCs w:val="24"/>
          <w:highlight w:val="none"/>
          <w:u w:val="single"/>
          <w14:textFill>
            <w14:solidFill>
              <w14:schemeClr w14:val="tx1"/>
            </w14:solidFill>
          </w14:textFill>
        </w:rPr>
        <w:t>名称）</w:t>
      </w:r>
      <w:r>
        <w:rPr>
          <w:rFonts w:hint="eastAsia" w:ascii="宋体" w:hAnsi="宋体"/>
          <w:color w:val="000000" w:themeColor="text1"/>
          <w:spacing w:val="-2"/>
          <w:sz w:val="24"/>
          <w:szCs w:val="24"/>
          <w:highlight w:val="none"/>
          <w14:textFill>
            <w14:solidFill>
              <w14:schemeClr w14:val="tx1"/>
            </w14:solidFill>
          </w14:textFill>
        </w:rPr>
        <w:t>，属于</w:t>
      </w:r>
      <w:r>
        <w:rPr>
          <w:rFonts w:hint="eastAsia" w:ascii="宋体" w:hAnsi="宋体"/>
          <w:color w:val="000000" w:themeColor="text1"/>
          <w:spacing w:val="-2"/>
          <w:sz w:val="24"/>
          <w:szCs w:val="24"/>
          <w:highlight w:val="none"/>
          <w:u w:val="single"/>
          <w14:textFill>
            <w14:solidFill>
              <w14:schemeClr w14:val="tx1"/>
            </w14:solidFill>
          </w14:textFill>
        </w:rPr>
        <w:t>（</w:t>
      </w:r>
      <w:r>
        <w:rPr>
          <w:rFonts w:hint="eastAsia" w:ascii="宋体" w:hAnsi="宋体"/>
          <w:color w:val="000000" w:themeColor="text1"/>
          <w:spacing w:val="-2"/>
          <w:sz w:val="24"/>
          <w:szCs w:val="24"/>
          <w:highlight w:val="none"/>
          <w:u w:val="single"/>
          <w:lang w:val="en-US" w:eastAsia="zh-CN"/>
          <w14:textFill>
            <w14:solidFill>
              <w14:schemeClr w14:val="tx1"/>
            </w14:solidFill>
          </w14:textFill>
        </w:rPr>
        <w:t>采购文件中明确的所属行业)</w:t>
      </w:r>
      <w:r>
        <w:rPr>
          <w:rFonts w:hint="eastAsia" w:ascii="宋体" w:hAnsi="宋体"/>
          <w:color w:val="000000" w:themeColor="text1"/>
          <w:spacing w:val="-2"/>
          <w:sz w:val="24"/>
          <w:szCs w:val="24"/>
          <w:highlight w:val="none"/>
          <w:u w:val="single"/>
          <w14:textFill>
            <w14:solidFill>
              <w14:schemeClr w14:val="tx1"/>
            </w14:solidFill>
          </w14:textFill>
        </w:rPr>
        <w:t>）</w:t>
      </w:r>
      <w:r>
        <w:rPr>
          <w:rFonts w:hint="eastAsia" w:ascii="宋体" w:hAnsi="宋体"/>
          <w:color w:val="000000" w:themeColor="text1"/>
          <w:spacing w:val="-2"/>
          <w:sz w:val="24"/>
          <w:szCs w:val="24"/>
          <w:highlight w:val="none"/>
          <w14:textFill>
            <w14:solidFill>
              <w14:schemeClr w14:val="tx1"/>
            </w14:solidFill>
          </w14:textFill>
        </w:rPr>
        <w:t>；承建（承接）企业为</w:t>
      </w:r>
      <w:r>
        <w:rPr>
          <w:rFonts w:hint="eastAsia" w:ascii="宋体" w:hAnsi="宋体"/>
          <w:color w:val="000000" w:themeColor="text1"/>
          <w:spacing w:val="-2"/>
          <w:sz w:val="24"/>
          <w:szCs w:val="24"/>
          <w:highlight w:val="none"/>
          <w:u w:val="single"/>
          <w14:textFill>
            <w14:solidFill>
              <w14:schemeClr w14:val="tx1"/>
            </w14:solidFill>
          </w14:textFill>
        </w:rPr>
        <w:t>（企业名称）</w:t>
      </w:r>
      <w:r>
        <w:rPr>
          <w:rFonts w:hint="eastAsia" w:ascii="宋体" w:hAnsi="宋体"/>
          <w:color w:val="000000" w:themeColor="text1"/>
          <w:spacing w:val="-2"/>
          <w:sz w:val="24"/>
          <w:szCs w:val="24"/>
          <w:highlight w:val="none"/>
          <w14:textFill>
            <w14:solidFill>
              <w14:schemeClr w14:val="tx1"/>
            </w14:solidFill>
          </w14:textFill>
        </w:rPr>
        <w:t>，从业人员人，营业收入为万元，资产总额为万元，属于</w:t>
      </w:r>
      <w:r>
        <w:rPr>
          <w:rFonts w:hint="eastAsia" w:ascii="宋体" w:hAnsi="宋体"/>
          <w:color w:val="000000" w:themeColor="text1"/>
          <w:spacing w:val="-2"/>
          <w:sz w:val="24"/>
          <w:szCs w:val="24"/>
          <w:highlight w:val="none"/>
          <w:u w:val="single"/>
          <w14:textFill>
            <w14:solidFill>
              <w14:schemeClr w14:val="tx1"/>
            </w14:solidFill>
          </w14:textFill>
        </w:rPr>
        <w:t>（中型企业、小型企业、微型企业）</w:t>
      </w:r>
      <w:r>
        <w:rPr>
          <w:rFonts w:hint="eastAsia" w:ascii="宋体" w:hAnsi="宋体"/>
          <w:color w:val="000000" w:themeColor="text1"/>
          <w:spacing w:val="-2"/>
          <w:sz w:val="24"/>
          <w:szCs w:val="24"/>
          <w:highlight w:val="none"/>
          <w14:textFill>
            <w14:solidFill>
              <w14:schemeClr w14:val="tx1"/>
            </w14:solidFill>
          </w14:textFill>
        </w:rPr>
        <w:t>；</w:t>
      </w:r>
    </w:p>
    <w:p w14:paraId="47F020D5">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w:t>
      </w:r>
    </w:p>
    <w:p w14:paraId="533AFAD0">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6046DECE">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本企业对上述声明内容的真实性负责。如有虚假，将依法承担相应责任。</w:t>
      </w:r>
    </w:p>
    <w:p w14:paraId="7F160AF5">
      <w:pPr>
        <w:spacing w:line="560" w:lineRule="exact"/>
        <w:ind w:firstLine="3776" w:firstLineChars="16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企业名称（盖章）：</w:t>
      </w:r>
    </w:p>
    <w:p w14:paraId="0429ED9C">
      <w:pPr>
        <w:spacing w:line="560" w:lineRule="exact"/>
        <w:ind w:firstLine="3776" w:firstLineChars="16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日期：年月日</w:t>
      </w:r>
    </w:p>
    <w:p w14:paraId="12559C5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18"/>
          <w:szCs w:val="18"/>
          <w:highlight w:val="none"/>
          <w14:textFill>
            <w14:solidFill>
              <w14:schemeClr w14:val="tx1"/>
            </w14:solidFill>
          </w14:textFill>
        </w:rPr>
        <w:t>注：</w:t>
      </w:r>
    </w:p>
    <w:p w14:paraId="0E15A33B">
      <w:pPr>
        <w:pStyle w:val="91"/>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18"/>
          <w:szCs w:val="18"/>
          <w:highlight w:val="none"/>
          <w14:textFill>
            <w14:solidFill>
              <w14:schemeClr w14:val="tx1"/>
            </w14:solidFill>
          </w14:textFill>
        </w:rPr>
        <w:t>如可以享受中小企业政策的供应商，按照如上声明函的内容如实填写，若不满足中小企业政策的供应商，请不要填写。</w:t>
      </w:r>
      <w:r>
        <w:rPr>
          <w:rFonts w:hint="eastAsia" w:asciiTheme="majorEastAsia" w:hAnsiTheme="majorEastAsia" w:eastAsiaTheme="majorEastAsia"/>
          <w:b/>
          <w:bCs/>
          <w:color w:val="000000" w:themeColor="text1"/>
          <w:sz w:val="18"/>
          <w:szCs w:val="18"/>
          <w:highlight w:val="none"/>
          <w14:textFill>
            <w14:solidFill>
              <w14:schemeClr w14:val="tx1"/>
            </w14:solidFill>
          </w14:textFill>
        </w:rPr>
        <w:t>如存在虚假声明或未按实际内容填写，供应商需承担由此产生的一切后果及相应的法律责任。</w:t>
      </w:r>
    </w:p>
    <w:p w14:paraId="3682F087">
      <w:pPr>
        <w:pStyle w:val="91"/>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hint="eastAsia" w:asciiTheme="majorEastAsia" w:hAnsiTheme="majorEastAsia" w:eastAsiaTheme="majorEastAsia"/>
          <w:b/>
          <w:bCs/>
          <w:color w:val="000000" w:themeColor="text1"/>
          <w:sz w:val="18"/>
          <w:szCs w:val="18"/>
          <w:highlight w:val="none"/>
          <w14:textFill>
            <w14:solidFill>
              <w14:schemeClr w14:val="tx1"/>
            </w14:solidFill>
          </w14:textFill>
        </w:rPr>
        <w:t>本声明函中“标的名称”是指采购需求中计划采购的商品，供应商必须按采购需求中列明的商品名称填写；“采购文件中明确的所属行业”是指投标人须知前附表中小微型企业有关政策中明确的行业，供应商必须明确填写行业。</w:t>
      </w:r>
    </w:p>
    <w:p w14:paraId="57CD5DC9">
      <w:pPr>
        <w:pStyle w:val="91"/>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bookmarkStart w:id="347" w:name="_Toc25507"/>
      <w:r>
        <w:rPr>
          <w:rFonts w:asciiTheme="majorEastAsia" w:hAnsiTheme="majorEastAsia" w:eastAsiaTheme="majorEastAsia"/>
          <w:b/>
          <w:bCs/>
          <w:color w:val="000000" w:themeColor="text1"/>
          <w:sz w:val="18"/>
          <w:szCs w:val="18"/>
          <w:highlight w:val="none"/>
          <w14:textFill>
            <w14:solidFill>
              <w14:schemeClr w14:val="tx1"/>
            </w14:solidFill>
          </w14:textFill>
        </w:rPr>
        <w:t>如</w:t>
      </w:r>
      <w:r>
        <w:rPr>
          <w:rFonts w:hint="eastAsia" w:asciiTheme="majorEastAsia" w:hAnsiTheme="majorEastAsia" w:eastAsiaTheme="majorEastAsia"/>
          <w:b/>
          <w:bCs/>
          <w:color w:val="000000" w:themeColor="text1"/>
          <w:sz w:val="18"/>
          <w:szCs w:val="18"/>
          <w:highlight w:val="none"/>
          <w14:textFill>
            <w14:solidFill>
              <w14:schemeClr w14:val="tx1"/>
            </w14:solidFill>
          </w14:textFill>
        </w:rPr>
        <w:t>供应商未填写或未按要求填写此表，评审时将不予认可</w:t>
      </w:r>
      <w:r>
        <w:rPr>
          <w:rFonts w:asciiTheme="majorEastAsia" w:hAnsiTheme="majorEastAsia" w:eastAsiaTheme="majorEastAsia"/>
          <w:b/>
          <w:bCs/>
          <w:color w:val="000000" w:themeColor="text1"/>
          <w:sz w:val="18"/>
          <w:szCs w:val="18"/>
          <w:highlight w:val="none"/>
          <w14:textFill>
            <w14:solidFill>
              <w14:schemeClr w14:val="tx1"/>
            </w14:solidFill>
          </w14:textFill>
        </w:rPr>
        <w:t>。</w:t>
      </w:r>
      <w:bookmarkEnd w:id="347"/>
    </w:p>
    <w:p w14:paraId="69EC6AF7">
      <w:pPr>
        <w:spacing w:line="360" w:lineRule="auto"/>
        <w:rPr>
          <w:b/>
          <w:bCs/>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highlight w:val="none"/>
          <w14:textFill>
            <w14:solidFill>
              <w14:schemeClr w14:val="tx1"/>
            </w14:solidFill>
          </w14:textFill>
        </w:rPr>
        <w:br w:type="page"/>
      </w:r>
      <w:bookmarkStart w:id="348" w:name="_Toc12495"/>
    </w:p>
    <w:p w14:paraId="1BE23DB2">
      <w:pPr>
        <w:spacing w:line="360" w:lineRule="auto"/>
        <w:jc w:val="center"/>
        <w:rPr>
          <w:rFonts w:ascii="宋体" w:hAnsi="宋体"/>
          <w:color w:val="000000" w:themeColor="text1"/>
          <w:sz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3</w:t>
      </w:r>
      <w:r>
        <w:rPr>
          <w:rFonts w:hint="eastAsia"/>
          <w:b/>
          <w:bCs/>
          <w:color w:val="000000" w:themeColor="text1"/>
          <w:sz w:val="24"/>
          <w:szCs w:val="24"/>
          <w:highlight w:val="none"/>
          <w14:textFill>
            <w14:solidFill>
              <w14:schemeClr w14:val="tx1"/>
            </w14:solidFill>
          </w14:textFill>
        </w:rPr>
        <w:t xml:space="preserve">.2 </w:t>
      </w:r>
      <w:r>
        <w:rPr>
          <w:b/>
          <w:bCs/>
          <w:color w:val="000000" w:themeColor="text1"/>
          <w:sz w:val="24"/>
          <w:szCs w:val="24"/>
          <w:highlight w:val="none"/>
          <w14:textFill>
            <w14:solidFill>
              <w14:schemeClr w14:val="tx1"/>
            </w14:solidFill>
          </w14:textFill>
        </w:rPr>
        <w:t>投标人</w:t>
      </w:r>
      <w:r>
        <w:rPr>
          <w:rFonts w:hint="eastAsia"/>
          <w:b/>
          <w:bCs/>
          <w:color w:val="000000" w:themeColor="text1"/>
          <w:sz w:val="24"/>
          <w:szCs w:val="24"/>
          <w:highlight w:val="none"/>
          <w14:textFill>
            <w14:solidFill>
              <w14:schemeClr w14:val="tx1"/>
            </w14:solidFill>
          </w14:textFill>
        </w:rPr>
        <w:t>监狱企业</w:t>
      </w:r>
      <w:r>
        <w:rPr>
          <w:b/>
          <w:bCs/>
          <w:color w:val="000000" w:themeColor="text1"/>
          <w:sz w:val="24"/>
          <w:szCs w:val="24"/>
          <w:highlight w:val="none"/>
          <w14:textFill>
            <w14:solidFill>
              <w14:schemeClr w14:val="tx1"/>
            </w14:solidFill>
          </w14:textFill>
        </w:rPr>
        <w:t>声明函</w:t>
      </w:r>
      <w:bookmarkEnd w:id="348"/>
    </w:p>
    <w:p w14:paraId="6F296750">
      <w:pPr>
        <w:spacing w:line="360" w:lineRule="auto"/>
        <w:ind w:left="1080" w:leftChars="257" w:hanging="540"/>
        <w:jc w:val="center"/>
        <w:rPr>
          <w:rFonts w:ascii="宋体" w:hAnsi="宋体"/>
          <w:b/>
          <w:color w:val="000000" w:themeColor="text1"/>
          <w:kern w:val="0"/>
          <w:sz w:val="24"/>
          <w:szCs w:val="20"/>
          <w:highlight w:val="none"/>
          <w14:textFill>
            <w14:solidFill>
              <w14:schemeClr w14:val="tx1"/>
            </w14:solidFill>
          </w14:textFill>
        </w:rPr>
      </w:pPr>
    </w:p>
    <w:p w14:paraId="16A898CC">
      <w:pPr>
        <w:widowControl/>
        <w:spacing w:before="100" w:beforeAutospacing="1" w:after="100" w:afterAutospacing="1"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）郑重声明下</w:t>
      </w:r>
      <w:r>
        <w:rPr>
          <w:rFonts w:hint="eastAsia" w:ascii="宋体" w:hAnsi="宋体" w:cs="宋体"/>
          <w:color w:val="000000" w:themeColor="text1"/>
          <w:kern w:val="0"/>
          <w:sz w:val="24"/>
          <w:highlight w:val="none"/>
          <w14:textFill>
            <w14:solidFill>
              <w14:schemeClr w14:val="tx1"/>
            </w14:solidFill>
          </w14:textFill>
        </w:rPr>
        <w:t>列事项（按照</w:t>
      </w:r>
      <w:r>
        <w:rPr>
          <w:rFonts w:ascii="宋体" w:hAnsi="宋体" w:cs="宋体"/>
          <w:color w:val="000000" w:themeColor="text1"/>
          <w:kern w:val="0"/>
          <w:sz w:val="24"/>
          <w:highlight w:val="none"/>
          <w14:textFill>
            <w14:solidFill>
              <w14:schemeClr w14:val="tx1"/>
            </w14:solidFill>
          </w14:textFill>
        </w:rPr>
        <w:t>实际情况勾选或</w:t>
      </w:r>
      <w:r>
        <w:rPr>
          <w:rFonts w:hint="eastAsia" w:ascii="宋体" w:hAnsi="宋体" w:cs="宋体"/>
          <w:color w:val="000000" w:themeColor="text1"/>
          <w:kern w:val="0"/>
          <w:sz w:val="24"/>
          <w:highlight w:val="none"/>
          <w14:textFill>
            <w14:solidFill>
              <w14:schemeClr w14:val="tx1"/>
            </w14:solidFill>
          </w14:textFill>
        </w:rPr>
        <w:t>填空）：</w:t>
      </w:r>
    </w:p>
    <w:p w14:paraId="68ED0E97">
      <w:pPr>
        <w:widowControl/>
        <w:spacing w:before="100" w:beforeAutospacing="1" w:after="100" w:afterAutospacing="1"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企业（单位）为直接投标人</w:t>
      </w:r>
      <w:r>
        <w:rPr>
          <w:rFonts w:ascii="宋体" w:hAnsi="宋体" w:cs="宋体"/>
          <w:color w:val="000000" w:themeColor="text1"/>
          <w:kern w:val="0"/>
          <w:sz w:val="24"/>
          <w:highlight w:val="none"/>
          <w14:textFill>
            <w14:solidFill>
              <w14:schemeClr w14:val="tx1"/>
            </w14:solidFill>
          </w14:textFill>
        </w:rPr>
        <w:t>提供本企业</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制造的货物</w:t>
      </w:r>
      <w:r>
        <w:rPr>
          <w:rFonts w:hint="eastAsia" w:ascii="宋体" w:hAnsi="宋体" w:cs="宋体"/>
          <w:color w:val="000000" w:themeColor="text1"/>
          <w:kern w:val="0"/>
          <w:sz w:val="24"/>
          <w:highlight w:val="none"/>
          <w14:textFill>
            <w14:solidFill>
              <w14:schemeClr w14:val="tx1"/>
            </w14:solidFill>
          </w14:textFill>
        </w:rPr>
        <w:t>。</w:t>
      </w:r>
    </w:p>
    <w:p w14:paraId="506F956E">
      <w:pPr>
        <w:widowControl/>
        <w:spacing w:before="100" w:beforeAutospacing="1" w:after="100" w:afterAutospacing="1" w:line="360" w:lineRule="auto"/>
        <w:ind w:firstLine="360" w:firstLineChars="1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（请填写：</w:t>
      </w:r>
      <w:r>
        <w:rPr>
          <w:rFonts w:hint="eastAsia" w:ascii="宋体" w:hAnsi="宋体" w:cs="宋体"/>
          <w:color w:val="000000" w:themeColor="text1"/>
          <w:kern w:val="0"/>
          <w:sz w:val="24"/>
          <w:highlight w:val="none"/>
          <w14:textFill>
            <w14:solidFill>
              <w14:schemeClr w14:val="tx1"/>
            </w14:solidFill>
          </w14:textFill>
        </w:rPr>
        <w:t>是、不是</w:t>
      </w:r>
      <w:r>
        <w:rPr>
          <w:rFonts w:ascii="宋体" w:hAnsi="宋体" w:cs="宋体"/>
          <w:color w:val="000000" w:themeColor="text1"/>
          <w:kern w:val="0"/>
          <w:sz w:val="24"/>
          <w:highlight w:val="none"/>
          <w14:textFill>
            <w14:solidFill>
              <w14:schemeClr w14:val="tx1"/>
            </w14:solidFill>
          </w14:textFill>
        </w:rPr>
        <w:t>）监狱企业。</w:t>
      </w:r>
      <w:r>
        <w:rPr>
          <w:rFonts w:hint="eastAsia" w:ascii="宋体" w:hAnsi="宋体" w:cs="宋体"/>
          <w:color w:val="000000" w:themeColor="text1"/>
          <w:kern w:val="0"/>
          <w:sz w:val="24"/>
          <w:highlight w:val="none"/>
          <w14:textFill>
            <w14:solidFill>
              <w14:schemeClr w14:val="tx1"/>
            </w14:solidFill>
          </w14:textFill>
        </w:rPr>
        <w:t>后附省级以上监狱管理局、戒毒管理局（含新疆生产建设兵团）出具的属于监狱企业的证明文件。</w:t>
      </w:r>
    </w:p>
    <w:p w14:paraId="1B0AFAAB">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本</w:t>
      </w:r>
      <w:r>
        <w:rPr>
          <w:rFonts w:hint="eastAsia" w:ascii="宋体" w:hAnsi="宋体" w:cs="宋体"/>
          <w:color w:val="000000" w:themeColor="text1"/>
          <w:kern w:val="0"/>
          <w:sz w:val="24"/>
          <w:highlight w:val="none"/>
          <w14:textFill>
            <w14:solidFill>
              <w14:schemeClr w14:val="tx1"/>
            </w14:solidFill>
          </w14:textFill>
        </w:rPr>
        <w:t>企业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）对上述声明的真实性负责。如有虚假，将依法承担相应责任。</w:t>
      </w:r>
    </w:p>
    <w:p w14:paraId="5A69CD27">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w:t>
      </w:r>
    </w:p>
    <w:p w14:paraId="230CFB47">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p>
    <w:p w14:paraId="56DCCC70">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p>
    <w:p w14:paraId="323A3560">
      <w:pPr>
        <w:spacing w:line="360" w:lineRule="auto"/>
        <w:ind w:left="1080" w:leftChars="257" w:hanging="540"/>
        <w:jc w:val="center"/>
        <w:rPr>
          <w:rFonts w:ascii="宋体" w:hAnsi="宋体"/>
          <w:b/>
          <w:color w:val="000000" w:themeColor="text1"/>
          <w:kern w:val="0"/>
          <w:sz w:val="24"/>
          <w:szCs w:val="20"/>
          <w:highlight w:val="none"/>
          <w14:textFill>
            <w14:solidFill>
              <w14:schemeClr w14:val="tx1"/>
            </w14:solidFill>
          </w14:textFill>
        </w:rPr>
      </w:pPr>
      <w:r>
        <w:rPr>
          <w:rFonts w:ascii="宋体" w:hAnsi="宋体"/>
          <w:b/>
          <w:color w:val="000000" w:themeColor="text1"/>
          <w:kern w:val="0"/>
          <w:sz w:val="24"/>
          <w:szCs w:val="20"/>
          <w:highlight w:val="none"/>
          <w14:textFill>
            <w14:solidFill>
              <w14:schemeClr w14:val="tx1"/>
            </w14:solidFill>
          </w14:textFill>
        </w:rPr>
        <w:t>　</w:t>
      </w:r>
    </w:p>
    <w:p w14:paraId="1759BE35">
      <w:pPr>
        <w:spacing w:line="360" w:lineRule="auto"/>
        <w:rPr>
          <w:rFonts w:ascii="宋体" w:hAnsi="宋体"/>
          <w:b/>
          <w:color w:val="000000" w:themeColor="text1"/>
          <w:sz w:val="24"/>
          <w:highlight w:val="none"/>
          <w14:textFill>
            <w14:solidFill>
              <w14:schemeClr w14:val="tx1"/>
            </w14:solidFill>
          </w14:textFill>
        </w:rPr>
      </w:pPr>
    </w:p>
    <w:p w14:paraId="56CBE0ED">
      <w:pPr>
        <w:widowControl/>
        <w:spacing w:before="100" w:beforeAutospacing="1" w:after="100" w:afterAutospacing="1" w:line="360" w:lineRule="auto"/>
        <w:ind w:firstLine="3960" w:firstLineChars="16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w:t>
      </w:r>
      <w:r>
        <w:rPr>
          <w:rFonts w:ascii="宋体" w:hAnsi="宋体" w:cs="宋体"/>
          <w:color w:val="000000" w:themeColor="text1"/>
          <w:kern w:val="0"/>
          <w:sz w:val="24"/>
          <w:highlight w:val="none"/>
          <w14:textFill>
            <w14:solidFill>
              <w14:schemeClr w14:val="tx1"/>
            </w14:solidFill>
          </w14:textFill>
        </w:rPr>
        <w:t>（盖章）：</w:t>
      </w:r>
      <w:r>
        <w:rPr>
          <w:rFonts w:ascii="宋体" w:hAnsi="宋体" w:cs="宋体"/>
          <w:color w:val="000000" w:themeColor="text1"/>
          <w:kern w:val="0"/>
          <w:sz w:val="24"/>
          <w:highlight w:val="none"/>
          <w:u w:val="single"/>
          <w14:textFill>
            <w14:solidFill>
              <w14:schemeClr w14:val="tx1"/>
            </w14:solidFill>
          </w14:textFill>
        </w:rPr>
        <w:t xml:space="preserve">             </w:t>
      </w:r>
    </w:p>
    <w:p w14:paraId="780EC86F">
      <w:pPr>
        <w:widowControl/>
        <w:spacing w:before="100" w:beforeAutospacing="1" w:after="100" w:afterAutospacing="1" w:line="360" w:lineRule="auto"/>
        <w:ind w:firstLine="3720" w:firstLineChars="1550"/>
        <w:jc w:val="left"/>
        <w:rPr>
          <w:rFonts w:ascii="宋体" w:hAnsi="宋体" w:cs="宋体"/>
          <w:color w:val="000000" w:themeColor="text1"/>
          <w:kern w:val="0"/>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日　期：</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147AF6EF">
      <w:pPr>
        <w:pStyle w:val="93"/>
        <w:spacing w:line="360" w:lineRule="auto"/>
        <w:ind w:firstLine="442" w:firstLineChars="200"/>
        <w:rPr>
          <w:rFonts w:ascii="宋体" w:hAnsi="宋体" w:cs="宋体"/>
          <w:b/>
          <w:bCs/>
          <w:color w:val="000000" w:themeColor="text1"/>
          <w:kern w:val="0"/>
          <w:sz w:val="22"/>
          <w:highlight w:val="none"/>
          <w14:textFill>
            <w14:solidFill>
              <w14:schemeClr w14:val="tx1"/>
            </w14:solidFill>
          </w14:textFill>
        </w:rPr>
      </w:pPr>
    </w:p>
    <w:p w14:paraId="3397F41B">
      <w:pPr>
        <w:pStyle w:val="93"/>
        <w:spacing w:line="360" w:lineRule="auto"/>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kern w:val="0"/>
          <w:sz w:val="22"/>
          <w:highlight w:val="none"/>
          <w14:textFill>
            <w14:solidFill>
              <w14:schemeClr w14:val="tx1"/>
            </w14:solidFill>
          </w14:textFill>
        </w:rPr>
        <w:t>注：如投标人为监狱企业，须提供省级以上监狱管理局、戒毒管理局（含新疆生产建设兵团）出具的属于监狱企业证明文件的，视同为小型和微型企业。</w:t>
      </w:r>
    </w:p>
    <w:p w14:paraId="62B99E19">
      <w:pPr>
        <w:spacing w:line="360" w:lineRule="auto"/>
        <w:jc w:val="center"/>
        <w:rPr>
          <w:rFonts w:ascii="宋体" w:hAnsi="宋体" w:cs="宋体"/>
          <w:b/>
          <w:bCs/>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br w:type="page"/>
      </w:r>
      <w:bookmarkStart w:id="349" w:name="_Toc3885"/>
      <w:bookmarkStart w:id="350" w:name="_Toc65166619"/>
      <w:bookmarkStart w:id="351" w:name="_Toc532473513"/>
    </w:p>
    <w:p w14:paraId="049052FE">
      <w:pPr>
        <w:spacing w:line="360" w:lineRule="auto"/>
        <w:jc w:val="center"/>
        <w:rPr>
          <w:rFonts w:ascii="宋体" w:hAnsi="宋体"/>
          <w:color w:val="000000" w:themeColor="text1"/>
          <w:sz w:val="24"/>
          <w:highlight w:val="none"/>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3</w:t>
      </w:r>
      <w:r>
        <w:rPr>
          <w:rFonts w:hint="eastAsia" w:hAnsi="宋体" w:cs="宋体"/>
          <w:b/>
          <w:bCs/>
          <w:color w:val="000000" w:themeColor="text1"/>
          <w:sz w:val="24"/>
          <w:szCs w:val="24"/>
          <w:highlight w:val="none"/>
          <w14:textFill>
            <w14:solidFill>
              <w14:schemeClr w14:val="tx1"/>
            </w14:solidFill>
          </w14:textFill>
        </w:rPr>
        <w:t xml:space="preserve">.3 </w:t>
      </w:r>
      <w:r>
        <w:rPr>
          <w:rFonts w:hint="eastAsia" w:ascii="宋体" w:hAnsi="宋体"/>
          <w:b/>
          <w:bCs/>
          <w:color w:val="000000" w:themeColor="text1"/>
          <w:sz w:val="24"/>
          <w:szCs w:val="24"/>
          <w:highlight w:val="none"/>
          <w14:textFill>
            <w14:solidFill>
              <w14:schemeClr w14:val="tx1"/>
            </w14:solidFill>
          </w14:textFill>
        </w:rPr>
        <w:t>残疾人福利性单位声明函</w:t>
      </w:r>
      <w:bookmarkEnd w:id="349"/>
      <w:bookmarkEnd w:id="350"/>
    </w:p>
    <w:bookmarkEnd w:id="351"/>
    <w:p w14:paraId="2B54B418">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4E085C99">
      <w:pPr>
        <w:spacing w:line="360" w:lineRule="auto"/>
        <w:ind w:firstLine="567"/>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本单位郑重声明，根据《财政部 民政部 中国残疾人联合会关于促进残疾人就业政府采购政策的通知》（财库〔2017〕</w:t>
      </w:r>
      <w:r>
        <w:rPr>
          <w:rFonts w:hint="eastAsia" w:ascii="宋体" w:hAnsi="宋体"/>
          <w:color w:val="000000" w:themeColor="text1"/>
          <w:kern w:val="0"/>
          <w:sz w:val="24"/>
          <w:szCs w:val="20"/>
          <w:highlight w:val="none"/>
          <w:lang w:eastAsia="zh-CN"/>
          <w14:textFill>
            <w14:solidFill>
              <w14:schemeClr w14:val="tx1"/>
            </w14:solidFill>
          </w14:textFill>
        </w:rPr>
        <w:t>183</w:t>
      </w:r>
      <w:r>
        <w:rPr>
          <w:rFonts w:hint="eastAsia" w:ascii="宋体" w:hAnsi="宋体"/>
          <w:color w:val="000000" w:themeColor="text1"/>
          <w:kern w:val="0"/>
          <w:sz w:val="24"/>
          <w:szCs w:val="20"/>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647B1C">
      <w:pPr>
        <w:spacing w:line="360" w:lineRule="auto"/>
        <w:ind w:left="1080" w:leftChars="257" w:hanging="540"/>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本单位对上述声明的真实性负责。如有虚假，将依法承担相应责任。</w:t>
      </w:r>
    </w:p>
    <w:p w14:paraId="052AD1D2">
      <w:pPr>
        <w:pStyle w:val="7"/>
        <w:spacing w:line="360" w:lineRule="auto"/>
        <w:rPr>
          <w:color w:val="000000" w:themeColor="text1"/>
          <w:highlight w:val="none"/>
          <w14:textFill>
            <w14:solidFill>
              <w14:schemeClr w14:val="tx1"/>
            </w14:solidFill>
          </w14:textFill>
        </w:rPr>
      </w:pPr>
    </w:p>
    <w:p w14:paraId="03E7974A">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47FC15D6">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6D636557">
      <w:pPr>
        <w:spacing w:line="360" w:lineRule="auto"/>
        <w:ind w:left="1080" w:leftChars="257" w:hanging="540"/>
        <w:jc w:val="center"/>
        <w:rPr>
          <w:rFonts w:ascii="宋体" w:hAnsi="宋体"/>
          <w:color w:val="000000" w:themeColor="text1"/>
          <w:kern w:val="0"/>
          <w:sz w:val="24"/>
          <w:szCs w:val="20"/>
          <w:highlight w:val="none"/>
          <w:u w:val="singl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 xml:space="preserve">              残疾人</w:t>
      </w:r>
      <w:r>
        <w:rPr>
          <w:rFonts w:ascii="宋体" w:hAnsi="宋体"/>
          <w:color w:val="000000" w:themeColor="text1"/>
          <w:kern w:val="0"/>
          <w:sz w:val="24"/>
          <w:szCs w:val="20"/>
          <w:highlight w:val="none"/>
          <w14:textFill>
            <w14:solidFill>
              <w14:schemeClr w14:val="tx1"/>
            </w14:solidFill>
          </w14:textFill>
        </w:rPr>
        <w:t>福利性单位</w:t>
      </w:r>
      <w:r>
        <w:rPr>
          <w:rFonts w:hint="eastAsia" w:ascii="宋体" w:hAnsi="宋体"/>
          <w:color w:val="000000" w:themeColor="text1"/>
          <w:kern w:val="0"/>
          <w:sz w:val="24"/>
          <w:szCs w:val="20"/>
          <w:highlight w:val="none"/>
          <w14:textFill>
            <w14:solidFill>
              <w14:schemeClr w14:val="tx1"/>
            </w14:solidFill>
          </w14:textFill>
        </w:rPr>
        <w:t>（盖章）：</w:t>
      </w:r>
      <w:r>
        <w:rPr>
          <w:rFonts w:hint="eastAsia" w:ascii="宋体" w:hAnsi="宋体"/>
          <w:color w:val="000000" w:themeColor="text1"/>
          <w:kern w:val="0"/>
          <w:sz w:val="24"/>
          <w:szCs w:val="20"/>
          <w:highlight w:val="none"/>
          <w:u w:val="single"/>
          <w14:textFill>
            <w14:solidFill>
              <w14:schemeClr w14:val="tx1"/>
            </w14:solidFill>
          </w14:textFill>
        </w:rPr>
        <w:t xml:space="preserve"> </w:t>
      </w:r>
      <w:r>
        <w:rPr>
          <w:rFonts w:ascii="宋体" w:hAnsi="宋体"/>
          <w:color w:val="000000" w:themeColor="text1"/>
          <w:kern w:val="0"/>
          <w:sz w:val="24"/>
          <w:szCs w:val="20"/>
          <w:highlight w:val="none"/>
          <w:u w:val="single"/>
          <w14:textFill>
            <w14:solidFill>
              <w14:schemeClr w14:val="tx1"/>
            </w14:solidFill>
          </w14:textFill>
        </w:rPr>
        <w:t xml:space="preserve">           </w:t>
      </w:r>
    </w:p>
    <w:p w14:paraId="289AC570">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 xml:space="preserve">       </w:t>
      </w:r>
      <w:r>
        <w:rPr>
          <w:rFonts w:ascii="宋体" w:hAnsi="宋体"/>
          <w:color w:val="000000" w:themeColor="text1"/>
          <w:kern w:val="0"/>
          <w:sz w:val="24"/>
          <w:szCs w:val="20"/>
          <w:highlight w:val="none"/>
          <w14:textFill>
            <w14:solidFill>
              <w14:schemeClr w14:val="tx1"/>
            </w14:solidFill>
          </w14:textFill>
        </w:rPr>
        <w:t xml:space="preserve">  </w:t>
      </w:r>
    </w:p>
    <w:p w14:paraId="05C63674">
      <w:pPr>
        <w:spacing w:line="360" w:lineRule="auto"/>
        <w:ind w:left="645" w:leftChars="307" w:firstLine="3120" w:firstLineChars="1300"/>
        <w:rPr>
          <w:rFonts w:ascii="宋体" w:hAnsi="宋体"/>
          <w:color w:val="000000" w:themeColor="text1"/>
          <w:kern w:val="0"/>
          <w:sz w:val="24"/>
          <w:szCs w:val="20"/>
          <w:highlight w:val="none"/>
          <w:u w:val="singl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日  期：</w:t>
      </w:r>
      <w:r>
        <w:rPr>
          <w:rFonts w:ascii="宋体" w:hAnsi="宋体"/>
          <w:color w:val="000000" w:themeColor="text1"/>
          <w:kern w:val="0"/>
          <w:sz w:val="24"/>
          <w:szCs w:val="20"/>
          <w:highlight w:val="none"/>
          <w:u w:val="single"/>
          <w14:textFill>
            <w14:solidFill>
              <w14:schemeClr w14:val="tx1"/>
            </w14:solidFill>
          </w14:textFill>
        </w:rPr>
        <w:t xml:space="preserve">                             </w:t>
      </w:r>
    </w:p>
    <w:p w14:paraId="5C238B98">
      <w:pPr>
        <w:pStyle w:val="93"/>
        <w:spacing w:before="624" w:beforeLines="200" w:line="360" w:lineRule="auto"/>
        <w:ind w:firstLine="442" w:firstLineChars="200"/>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注：符合享受政府采购支持政策的残疾人福利性单位条件且提供《残疾人福利性单位声明函》的，视同为小型和微型企业。</w:t>
      </w:r>
    </w:p>
    <w:p w14:paraId="782E879A">
      <w:pPr>
        <w:pStyle w:val="94"/>
        <w:tabs>
          <w:tab w:val="left" w:pos="3570"/>
        </w:tabs>
        <w:spacing w:line="360" w:lineRule="auto"/>
        <w:outlineLvl w:val="2"/>
        <w:rPr>
          <w:rFonts w:ascii="宋体" w:hAnsi="宋体" w:cs="宋体"/>
          <w:color w:val="000000" w:themeColor="text1"/>
          <w:szCs w:val="28"/>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14:textFill>
            <w14:solidFill>
              <w14:schemeClr w14:val="tx1"/>
            </w14:solidFill>
          </w14:textFill>
        </w:rPr>
        <w:br w:type="page"/>
      </w:r>
      <w:bookmarkEnd w:id="345"/>
      <w:bookmarkEnd w:id="346"/>
      <w:bookmarkStart w:id="352" w:name="_Toc24518"/>
      <w:bookmarkStart w:id="353" w:name="_Toc12173"/>
      <w:bookmarkStart w:id="354" w:name="_Toc13108"/>
      <w:bookmarkStart w:id="355" w:name="_Toc5628"/>
      <w:bookmarkStart w:id="356" w:name="_Toc10837"/>
      <w:r>
        <w:rPr>
          <w:rFonts w:eastAsia="仿宋"/>
          <w:color w:val="000000" w:themeColor="text1"/>
          <w:sz w:val="22"/>
          <w:szCs w:val="21"/>
          <w:highlight w:val="none"/>
          <w14:textFill>
            <w14:solidFill>
              <w14:schemeClr w14:val="tx1"/>
            </w14:solidFill>
          </w14:textFill>
        </w:rPr>
        <w:t>★</w:t>
      </w:r>
      <w:r>
        <w:rPr>
          <w:rFonts w:hint="eastAsia" w:ascii="宋体" w:hAnsi="宋体" w:cs="宋体"/>
          <w:b/>
          <w:bCs/>
          <w:color w:val="000000" w:themeColor="text1"/>
          <w:kern w:val="0"/>
          <w:sz w:val="24"/>
          <w:szCs w:val="22"/>
          <w:highlight w:val="none"/>
          <w14:textFill>
            <w14:solidFill>
              <w14:schemeClr w14:val="tx1"/>
            </w14:solidFill>
          </w14:textFill>
        </w:rPr>
        <w:t>（</w:t>
      </w:r>
      <w:r>
        <w:rPr>
          <w:rFonts w:hint="eastAsia" w:ascii="宋体" w:hAnsi="宋体" w:cs="宋体"/>
          <w:b/>
          <w:bCs/>
          <w:color w:val="000000" w:themeColor="text1"/>
          <w:kern w:val="0"/>
          <w:sz w:val="24"/>
          <w:szCs w:val="22"/>
          <w:highlight w:val="none"/>
          <w:lang w:val="en-US" w:eastAsia="zh-CN"/>
          <w14:textFill>
            <w14:solidFill>
              <w14:schemeClr w14:val="tx1"/>
            </w14:solidFill>
          </w14:textFill>
        </w:rPr>
        <w:t>4</w:t>
      </w:r>
      <w:r>
        <w:rPr>
          <w:rFonts w:hint="eastAsia" w:ascii="宋体" w:hAnsi="宋体" w:cs="宋体"/>
          <w:b/>
          <w:bCs/>
          <w:color w:val="000000" w:themeColor="text1"/>
          <w:kern w:val="0"/>
          <w:sz w:val="24"/>
          <w:szCs w:val="22"/>
          <w:highlight w:val="none"/>
          <w14:textFill>
            <w14:solidFill>
              <w14:schemeClr w14:val="tx1"/>
            </w14:solidFill>
          </w14:textFill>
        </w:rPr>
        <w:t>）《中华人民共和国政府采购法》第二十二条应当具备的条件</w:t>
      </w:r>
      <w:bookmarkEnd w:id="352"/>
      <w:bookmarkEnd w:id="353"/>
      <w:bookmarkEnd w:id="354"/>
      <w:bookmarkEnd w:id="355"/>
      <w:bookmarkEnd w:id="356"/>
      <w:r>
        <w:rPr>
          <w:rFonts w:hint="eastAsia" w:ascii="宋体" w:hAnsi="宋体" w:cs="宋体"/>
          <w:b/>
          <w:bCs/>
          <w:color w:val="000000" w:themeColor="text1"/>
          <w:kern w:val="0"/>
          <w:sz w:val="24"/>
          <w:szCs w:val="22"/>
          <w:highlight w:val="none"/>
          <w14:textFill>
            <w14:solidFill>
              <w14:schemeClr w14:val="tx1"/>
            </w14:solidFill>
          </w14:textFill>
        </w:rPr>
        <w:t xml:space="preserve"> </w:t>
      </w:r>
    </w:p>
    <w:p w14:paraId="3EF1736D">
      <w:pPr>
        <w:pStyle w:val="91"/>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 xml:space="preserve">1、具有独立承担民事责任的能力； </w:t>
      </w:r>
    </w:p>
    <w:p w14:paraId="78C00761">
      <w:pPr>
        <w:pStyle w:val="91"/>
        <w:widowControl/>
        <w:tabs>
          <w:tab w:val="left" w:pos="3570"/>
        </w:tabs>
        <w:spacing w:line="360" w:lineRule="auto"/>
        <w:jc w:val="left"/>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供应商是法人的应提供在工商部门注册有效的营业执照；供应商是事业单位的应提供有效的事业单位法人证书；供应商是非企业专业服务机构的应提供执业许可证等证明文件；供应商是个体工商户的应提供有效的个体工商户营业执照；供应商是自然人的应提供有效的自然人身份证明。</w:t>
      </w:r>
    </w:p>
    <w:p w14:paraId="1E3433A7">
      <w:pPr>
        <w:pStyle w:val="91"/>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 xml:space="preserve">2、具有良好的商业信誉和健全的财务会计制度； </w:t>
      </w:r>
    </w:p>
    <w:p w14:paraId="0FCDD5FD">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p>
    <w:p w14:paraId="67B1EB6C">
      <w:pPr>
        <w:pStyle w:val="91"/>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 xml:space="preserve">3、具有履行合同所必需的设备和专业技术能力； </w:t>
      </w:r>
    </w:p>
    <w:p w14:paraId="458119C3">
      <w:pPr>
        <w:pStyle w:val="91"/>
        <w:widowControl/>
        <w:tabs>
          <w:tab w:val="left" w:pos="3570"/>
        </w:tabs>
        <w:spacing w:line="360" w:lineRule="auto"/>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 xml:space="preserve">（提供具有履行合同所必需的设备和专业技术能力相关证明材料或声明；） </w:t>
      </w:r>
    </w:p>
    <w:p w14:paraId="41411B0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p>
    <w:p w14:paraId="23C7A1E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具有履行合同所必需的设备和专业技术能力</w:t>
      </w:r>
      <w:r>
        <w:rPr>
          <w:rFonts w:hint="eastAsia" w:ascii="宋体" w:hAnsi="宋体" w:eastAsia="宋体" w:cs="宋体"/>
          <w:color w:val="000000" w:themeColor="text1"/>
          <w:sz w:val="24"/>
          <w:szCs w:val="24"/>
          <w:highlight w:val="none"/>
          <w:lang w:val="zh-TW" w:eastAsia="zh-CN"/>
          <w14:textFill>
            <w14:solidFill>
              <w14:schemeClr w14:val="tx1"/>
            </w14:solidFill>
          </w14:textFill>
        </w:rPr>
        <w:t>声明函</w:t>
      </w:r>
    </w:p>
    <w:p w14:paraId="23C2822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(采购人名称)      </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p w14:paraId="7433DF0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对于贵单位的</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采购项目，</w:t>
      </w:r>
      <w:r>
        <w:rPr>
          <w:rFonts w:hint="eastAsia" w:ascii="宋体" w:hAnsi="宋体" w:eastAsia="宋体" w:cs="宋体"/>
          <w:color w:val="000000" w:themeColor="text1"/>
          <w:kern w:val="0"/>
          <w:sz w:val="24"/>
          <w:szCs w:val="24"/>
          <w:highlight w:val="none"/>
          <w14:textFill>
            <w14:solidFill>
              <w14:schemeClr w14:val="tx1"/>
            </w14:solidFill>
          </w14:textFill>
        </w:rPr>
        <w:t>我公司承诺</w:t>
      </w:r>
      <w:r>
        <w:rPr>
          <w:rFonts w:hint="eastAsia" w:ascii="宋体" w:hAnsi="宋体" w:eastAsia="宋体" w:cs="宋体"/>
          <w:color w:val="000000" w:themeColor="text1"/>
          <w:sz w:val="24"/>
          <w:szCs w:val="24"/>
          <w:highlight w:val="none"/>
          <w14:textFill>
            <w14:solidFill>
              <w14:schemeClr w14:val="tx1"/>
            </w14:solidFill>
          </w14:textFill>
        </w:rPr>
        <w:t>具备履行合同所必需的设备和专业技术能力</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如我单位中标，在项目实施过程中发现声明不实，我单位愿意放弃本次项目的中标资格，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中华人民共和国</w:t>
      </w:r>
      <w:r>
        <w:rPr>
          <w:rFonts w:hint="eastAsia" w:ascii="宋体" w:hAnsi="宋体" w:eastAsia="宋体" w:cs="宋体"/>
          <w:color w:val="000000" w:themeColor="text1"/>
          <w:sz w:val="24"/>
          <w:szCs w:val="24"/>
          <w:highlight w:val="none"/>
          <w14:textFill>
            <w14:solidFill>
              <w14:schemeClr w14:val="tx1"/>
            </w14:solidFill>
          </w14:textFill>
        </w:rPr>
        <w:t>政府采购法》有关提供虚假材料的规定，接受处罚。</w:t>
      </w:r>
    </w:p>
    <w:p w14:paraId="5A7AF081">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64615EC">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000000" w:themeColor="text1"/>
          <w:sz w:val="24"/>
          <w:szCs w:val="24"/>
          <w:highlight w:val="none"/>
          <w14:textFill>
            <w14:solidFill>
              <w14:schemeClr w14:val="tx1"/>
            </w14:solidFill>
          </w14:textFill>
        </w:rPr>
      </w:pPr>
    </w:p>
    <w:p w14:paraId="76F45965">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rPr>
          <w:rFonts w:hint="eastAsia" w:ascii="宋体" w:hAnsi="宋体" w:eastAsia="宋体" w:cs="宋体"/>
          <w:color w:val="000000" w:themeColor="text1"/>
          <w:sz w:val="24"/>
          <w:szCs w:val="24"/>
          <w:highlight w:val="none"/>
          <w:lang w:eastAsia="zh-CN"/>
          <w14:textFill>
            <w14:solidFill>
              <w14:schemeClr w14:val="tx1"/>
            </w14:solidFill>
          </w14:textFill>
        </w:rPr>
      </w:pPr>
    </w:p>
    <w:p w14:paraId="21F7CCBB">
      <w:pPr>
        <w:pStyle w:val="68"/>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（电子签章）</w:t>
      </w:r>
    </w:p>
    <w:p w14:paraId="29DF113A">
      <w:pPr>
        <w:pStyle w:val="68"/>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（签名或盖章）</w:t>
      </w:r>
    </w:p>
    <w:p w14:paraId="74D3AF98">
      <w:pPr>
        <w:pStyle w:val="92"/>
        <w:ind w:left="0" w:leftChars="0" w:firstLine="0" w:firstLineChars="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（年/月/日）</w:t>
      </w:r>
    </w:p>
    <w:p w14:paraId="1B7DE24A">
      <w:pP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br w:type="page"/>
      </w:r>
    </w:p>
    <w:p w14:paraId="5DD86C2E">
      <w:pPr>
        <w:pStyle w:val="91"/>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 xml:space="preserve">4、有依法缴纳税收和社会保障资金的良好记录； </w:t>
      </w:r>
    </w:p>
    <w:p w14:paraId="7D93FE7F">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（1）提供截止开标前近半年内任意一个月税收缴纳完成的证明资料。</w:t>
      </w:r>
    </w:p>
    <w:p w14:paraId="0700CF16">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提供截止开标前近半年内任意一个月（以税款所属期为准）税收部门出具的完成税收缴纳证明。其它无需纳税或免税的必须提供出具部门相关证明。</w:t>
      </w:r>
    </w:p>
    <w:p w14:paraId="51A9F9DA">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（2）提供截止开标前近半年内任意一个月税收部门或社保机构出具的完成社保缴纳证明。</w:t>
      </w:r>
    </w:p>
    <w:p w14:paraId="20E7BC07">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提供截止开标前近半年内任意一个月（以费款所属期为准）税收部门或社保机构出具的完成社保缴纳证明。其它无需缴纳或免缴的也必须提供社保部门相关证明。</w:t>
      </w:r>
    </w:p>
    <w:p w14:paraId="5FDBB8C4">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（3）其他组织和自然人也需按上述要求提供依法缴纳税收和社会保障资金的证明材料。</w:t>
      </w:r>
    </w:p>
    <w:p w14:paraId="0D755441">
      <w:pPr>
        <w:pStyle w:val="42"/>
        <w:spacing w:line="360" w:lineRule="auto"/>
        <w:ind w:firstLine="480" w:firstLineChars="200"/>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p>
    <w:p w14:paraId="02618F58">
      <w:pPr>
        <w:pStyle w:val="91"/>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 xml:space="preserve">5、参加招标采购活动前三年内，在经营活动中没有重大违法记录； </w:t>
      </w:r>
    </w:p>
    <w:p w14:paraId="7A260166">
      <w:pPr>
        <w:pStyle w:val="91"/>
        <w:widowControl/>
        <w:tabs>
          <w:tab w:val="left" w:pos="3570"/>
        </w:tabs>
        <w:spacing w:line="360" w:lineRule="auto"/>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（提供参加招标采购活动近三年无重大违法记录声明书；）</w:t>
      </w:r>
    </w:p>
    <w:p w14:paraId="37FE3752">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近三年内在经营活动中没有重大违法记录的书面声明</w:t>
      </w:r>
    </w:p>
    <w:p w14:paraId="5C64FD88">
      <w:pPr>
        <w:pStyle w:val="97"/>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000000" w:themeColor="text1"/>
          <w:sz w:val="24"/>
          <w:szCs w:val="24"/>
          <w:highlight w:val="none"/>
          <w14:textFill>
            <w14:solidFill>
              <w14:schemeClr w14:val="tx1"/>
            </w14:solidFill>
          </w14:textFill>
        </w:rPr>
      </w:pPr>
    </w:p>
    <w:p w14:paraId="42C54ADB">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（采购人）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2DDAF705">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项目投标文件递交截止时间前，我公司郑重承诺在参加本项目政府采购活动前三年内，在经营活动中无重大违法记录。公司未受到刑事处罚或责令停业、吊销许可证（或执照）、较大数额罚款（较大数额罚款”认定为200万元以上的罚款，法律、行政法规以及国务院有关部门明确规定相关领域“较大数额罚款”标准高于200万元的，从其规定。）等行政处罚；未处于财产被接管、冻结、破产状况。</w:t>
      </w:r>
    </w:p>
    <w:p w14:paraId="1A4C0716">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如发现我单位提供的声明函不实时，我公司愿意承担一切法律责任并认可采购人或采购代理机构作出的取消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资格、罚没保证金等决定。</w:t>
      </w:r>
    </w:p>
    <w:p w14:paraId="2CDB0ED3">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110C7E0C">
      <w:pPr>
        <w:pStyle w:val="68"/>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（电子签章）</w:t>
      </w:r>
    </w:p>
    <w:p w14:paraId="2B982CF1">
      <w:pPr>
        <w:pStyle w:val="68"/>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（签名或盖章）</w:t>
      </w:r>
    </w:p>
    <w:p w14:paraId="5E93551B">
      <w:pPr>
        <w:pStyle w:val="91"/>
        <w:widowControl/>
        <w:tabs>
          <w:tab w:val="left" w:pos="3570"/>
        </w:tabs>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（年/月/日）</w:t>
      </w:r>
      <w:r>
        <w:rPr>
          <w:rFonts w:hint="eastAsia" w:ascii="宋体" w:hAnsi="宋体" w:cs="宋体"/>
          <w:color w:val="000000" w:themeColor="text1"/>
          <w:kern w:val="0"/>
          <w:sz w:val="24"/>
          <w:szCs w:val="24"/>
          <w:highlight w:val="none"/>
          <w:lang w:bidi="ar"/>
          <w14:textFill>
            <w14:solidFill>
              <w14:schemeClr w14:val="tx1"/>
            </w14:solidFill>
          </w14:textFill>
        </w:rPr>
        <w:t xml:space="preserve"> </w:t>
      </w:r>
    </w:p>
    <w:p w14:paraId="746DB3FE">
      <w:pPr>
        <w:pStyle w:val="91"/>
        <w:widowControl/>
        <w:tabs>
          <w:tab w:val="left" w:pos="3570"/>
        </w:tabs>
        <w:spacing w:line="360" w:lineRule="auto"/>
        <w:jc w:val="left"/>
        <w:rPr>
          <w:rFonts w:hint="eastAsia" w:ascii="宋体" w:hAnsi="宋体" w:cs="宋体"/>
          <w:b/>
          <w:bCs w:val="0"/>
          <w:color w:val="000000" w:themeColor="text1"/>
          <w:kern w:val="0"/>
          <w:sz w:val="24"/>
          <w:szCs w:val="24"/>
          <w:highlight w:val="none"/>
          <w:lang w:bidi="ar"/>
          <w14:textFill>
            <w14:solidFill>
              <w14:schemeClr w14:val="tx1"/>
            </w14:solidFill>
          </w14:textFill>
        </w:rPr>
      </w:pPr>
      <w:r>
        <w:rPr>
          <w:rFonts w:hint="eastAsia" w:ascii="宋体" w:hAnsi="宋体" w:cs="宋体"/>
          <w:b/>
          <w:bCs w:val="0"/>
          <w:color w:val="000000" w:themeColor="text1"/>
          <w:kern w:val="0"/>
          <w:sz w:val="24"/>
          <w:szCs w:val="24"/>
          <w:highlight w:val="none"/>
          <w:lang w:bidi="ar"/>
          <w14:textFill>
            <w14:solidFill>
              <w14:schemeClr w14:val="tx1"/>
            </w14:solidFill>
          </w14:textFill>
        </w:rPr>
        <w:t>6、法律、行政法规规定的其他条件。</w:t>
      </w:r>
    </w:p>
    <w:p w14:paraId="35DDA69D">
      <w:pPr>
        <w:pStyle w:val="92"/>
        <w:rPr>
          <w:color w:val="000000" w:themeColor="text1"/>
          <w:highlight w:val="none"/>
          <w14:textFill>
            <w14:solidFill>
              <w14:schemeClr w14:val="tx1"/>
            </w14:solidFill>
          </w14:textFill>
        </w:rPr>
      </w:pPr>
    </w:p>
    <w:p w14:paraId="18846594">
      <w:pPr>
        <w:pStyle w:val="6"/>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声明函</w:t>
      </w:r>
    </w:p>
    <w:p w14:paraId="3B6108B6">
      <w:pPr>
        <w:pStyle w:val="6"/>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4F827D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(采购人名称)      </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p w14:paraId="2BC0B17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对于贵单位的</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采购项目，</w:t>
      </w:r>
      <w:r>
        <w:rPr>
          <w:rFonts w:hint="eastAsia" w:ascii="宋体" w:hAnsi="宋体" w:eastAsia="宋体" w:cs="宋体"/>
          <w:color w:val="000000" w:themeColor="text1"/>
          <w:kern w:val="0"/>
          <w:sz w:val="24"/>
          <w:szCs w:val="24"/>
          <w:highlight w:val="none"/>
          <w14:textFill>
            <w14:solidFill>
              <w14:schemeClr w14:val="tx1"/>
            </w14:solidFill>
          </w14:textFill>
        </w:rPr>
        <w:t>我公司承诺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我单位不属于以下情况：</w:t>
      </w:r>
    </w:p>
    <w:p w14:paraId="6D939262">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投标人与采购人、采购代理机构存在隶属关系或者其他利害关系。</w:t>
      </w:r>
    </w:p>
    <w:p w14:paraId="4D98CAA6">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（2）单位负责人为同一人或者存在直接控股、管理关系的不同投标人，参加同一合同下的政府采购活动；</w:t>
      </w:r>
    </w:p>
    <w:p w14:paraId="643FEB92">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（3）除单一来源采购项目外，为采购项目提供整体设计、规范编制或者项目管理、监理、检测等服务的投标人，再参加该采购项目的其他采购活动；</w:t>
      </w:r>
    </w:p>
    <w:p w14:paraId="596CD425">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如我单位中标，在项目实施过程中发现声明不实，我单位愿意放弃本次项目的中标资格，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中华人民共和国</w:t>
      </w:r>
      <w:r>
        <w:rPr>
          <w:rFonts w:hint="eastAsia" w:ascii="宋体" w:hAnsi="宋体" w:eastAsia="宋体" w:cs="宋体"/>
          <w:color w:val="000000" w:themeColor="text1"/>
          <w:sz w:val="24"/>
          <w:szCs w:val="24"/>
          <w:highlight w:val="none"/>
          <w14:textFill>
            <w14:solidFill>
              <w14:schemeClr w14:val="tx1"/>
            </w14:solidFill>
          </w14:textFill>
        </w:rPr>
        <w:t>政府采购法》有关提供虚假材料的规定，接受处罚。</w:t>
      </w:r>
    </w:p>
    <w:p w14:paraId="01ACD0D8">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1EFD6D9">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000000" w:themeColor="text1"/>
          <w:sz w:val="24"/>
          <w:szCs w:val="24"/>
          <w:highlight w:val="none"/>
          <w14:textFill>
            <w14:solidFill>
              <w14:schemeClr w14:val="tx1"/>
            </w14:solidFill>
          </w14:textFill>
        </w:rPr>
      </w:pPr>
    </w:p>
    <w:p w14:paraId="640E02E8">
      <w:pPr>
        <w:pStyle w:val="68"/>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（电子签章）</w:t>
      </w:r>
    </w:p>
    <w:p w14:paraId="792CB6FB">
      <w:pPr>
        <w:pStyle w:val="68"/>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（签名或盖章）</w:t>
      </w:r>
    </w:p>
    <w:p w14:paraId="38812710">
      <w:pPr>
        <w:pStyle w:val="92"/>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（年/月/日）</w:t>
      </w:r>
    </w:p>
    <w:p w14:paraId="4320E4BF">
      <w:pPr>
        <w:spacing w:line="360" w:lineRule="auto"/>
        <w:rPr>
          <w:rFonts w:hint="eastAsia" w:ascii="宋体" w:hAnsi="宋体" w:cs="宋体"/>
          <w:color w:val="000000" w:themeColor="text1"/>
          <w:sz w:val="24"/>
          <w:highlight w:val="none"/>
          <w14:textFill>
            <w14:solidFill>
              <w14:schemeClr w14:val="tx1"/>
            </w14:solidFill>
          </w14:textFill>
        </w:rPr>
        <w:sectPr>
          <w:pgSz w:w="11906" w:h="16838"/>
          <w:pgMar w:top="1440" w:right="1701" w:bottom="1440" w:left="1701" w:header="851" w:footer="992" w:gutter="0"/>
          <w:pgNumType w:fmt="decimal"/>
          <w:cols w:space="720" w:num="1"/>
          <w:docGrid w:type="lines" w:linePitch="312" w:charSpace="0"/>
        </w:sectPr>
      </w:pPr>
      <w:r>
        <w:rPr>
          <w:rFonts w:hint="eastAsia" w:ascii="宋体" w:hAnsi="宋体" w:cs="宋体"/>
          <w:color w:val="000000" w:themeColor="text1"/>
          <w:sz w:val="24"/>
          <w:highlight w:val="none"/>
          <w14:textFill>
            <w14:solidFill>
              <w14:schemeClr w14:val="tx1"/>
            </w14:solidFill>
          </w14:textFill>
        </w:rPr>
        <w:br w:type="page"/>
      </w:r>
    </w:p>
    <w:p w14:paraId="38E2DCF7">
      <w:pPr>
        <w:pStyle w:val="73"/>
        <w:numPr>
          <w:ilvl w:val="0"/>
          <w:numId w:val="0"/>
        </w:numPr>
        <w:tabs>
          <w:tab w:val="left" w:pos="3570"/>
        </w:tabs>
        <w:spacing w:line="360" w:lineRule="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357" w:name="_Toc10745"/>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）投标保证金</w:t>
      </w:r>
      <w:bookmarkEnd w:id="357"/>
    </w:p>
    <w:tbl>
      <w:tblPr>
        <w:tblStyle w:val="24"/>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14:paraId="63E2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7920" w:type="dxa"/>
          </w:tcPr>
          <w:p w14:paraId="5C3F95CC">
            <w:pPr>
              <w:widowControl w:val="0"/>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smallCaps w:val="0"/>
                <w:color w:val="000000" w:themeColor="text1"/>
                <w:spacing w:val="0"/>
                <w:position w:val="0"/>
                <w:sz w:val="24"/>
                <w:szCs w:val="24"/>
                <w:highlight w:val="none"/>
                <w:lang w:val="en-US" w:bidi="ar-SA"/>
                <w14:textFill>
                  <w14:solidFill>
                    <w14:schemeClr w14:val="tx1"/>
                  </w14:solidFill>
                </w14:textFill>
              </w:rPr>
              <w:t>缴费回单</w:t>
            </w:r>
          </w:p>
        </w:tc>
      </w:tr>
    </w:tbl>
    <w:p w14:paraId="59EC9A08">
      <w:pPr>
        <w:pStyle w:val="11"/>
        <w:jc w:val="center"/>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退还保证金说明函</w:t>
      </w:r>
    </w:p>
    <w:p w14:paraId="3A8582B5">
      <w:pPr>
        <w:pStyle w:val="11"/>
        <w:pageBreakBefore w:val="0"/>
        <w:kinsoku/>
        <w:wordWrap/>
        <w:overflowPunct/>
        <w:topLinePunct w:val="0"/>
        <w:bidi w:val="0"/>
        <w:spacing w:before="0" w:line="480" w:lineRule="exact"/>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采购</w:t>
      </w:r>
      <w:r>
        <w:rPr>
          <w:rFonts w:hint="eastAsia" w:ascii="宋体" w:hAnsi="宋体" w:eastAsia="宋体" w:cs="宋体"/>
          <w:bCs/>
          <w:color w:val="000000" w:themeColor="text1"/>
          <w:sz w:val="24"/>
          <w:szCs w:val="24"/>
          <w:highlight w:val="none"/>
          <w:u w:val="single"/>
          <w14:textFill>
            <w14:solidFill>
              <w14:schemeClr w14:val="tx1"/>
            </w14:solidFill>
          </w14:textFill>
        </w:rPr>
        <w:t>代理公司）</w:t>
      </w:r>
    </w:p>
    <w:p w14:paraId="56406A5F">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我单位已按项目（项目号：）的</w:t>
      </w:r>
      <w:r>
        <w:rPr>
          <w:rFonts w:hint="eastAsia" w:ascii="宋体" w:hAnsi="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要求，提交的保证金（</w:t>
      </w:r>
      <w:r>
        <w:rPr>
          <w:rFonts w:hint="eastAsia" w:ascii="宋体" w:hAnsi="宋体" w:eastAsia="宋体" w:cs="宋体"/>
          <w:color w:val="000000" w:themeColor="text1"/>
          <w:sz w:val="24"/>
          <w:szCs w:val="24"/>
          <w:highlight w:val="none"/>
          <w:u w:val="single"/>
          <w14:textFill>
            <w14:solidFill>
              <w14:schemeClr w14:val="tx1"/>
            </w14:solidFill>
          </w14:textFill>
        </w:rPr>
        <w:t>大写金额</w:t>
      </w:r>
      <w:r>
        <w:rPr>
          <w:rFonts w:hint="eastAsia" w:ascii="宋体" w:hAnsi="宋体" w:eastAsia="宋体" w:cs="宋体"/>
          <w:color w:val="000000" w:themeColor="text1"/>
          <w:sz w:val="24"/>
          <w:szCs w:val="24"/>
          <w:highlight w:val="none"/>
          <w14:textFill>
            <w14:solidFill>
              <w14:schemeClr w14:val="tx1"/>
            </w14:solidFill>
          </w14:textFill>
        </w:rPr>
        <w:t>）元，请贵公司退还时划到以下</w:t>
      </w:r>
      <w:r>
        <w:rPr>
          <w:rFonts w:hint="eastAsia" w:ascii="宋体" w:hAnsi="宋体" w:eastAsia="宋体" w:cs="宋体"/>
          <w:color w:val="000000" w:themeColor="text1"/>
          <w:sz w:val="24"/>
          <w:szCs w:val="24"/>
          <w:highlight w:val="none"/>
          <w:lang w:eastAsia="zh-CN"/>
          <w14:textFill>
            <w14:solidFill>
              <w14:schemeClr w14:val="tx1"/>
            </w14:solidFill>
          </w14:textFill>
        </w:rPr>
        <w:t>账户</w:t>
      </w:r>
      <w:r>
        <w:rPr>
          <w:rFonts w:hint="eastAsia" w:ascii="宋体" w:hAnsi="宋体" w:eastAsia="宋体" w:cs="宋体"/>
          <w:color w:val="000000" w:themeColor="text1"/>
          <w:sz w:val="24"/>
          <w:szCs w:val="24"/>
          <w:highlight w:val="none"/>
          <w14:textFill>
            <w14:solidFill>
              <w14:schemeClr w14:val="tx1"/>
            </w14:solidFill>
          </w14:textFill>
        </w:rPr>
        <w:t>：</w:t>
      </w:r>
    </w:p>
    <w:p w14:paraId="3B350C2B">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w:t>
      </w:r>
    </w:p>
    <w:p w14:paraId="499537EC">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收款单位地址：</w:t>
      </w:r>
    </w:p>
    <w:p w14:paraId="417F82CF">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p w14:paraId="45BEB0D2">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w:t>
      </w:r>
    </w:p>
    <w:p w14:paraId="3F537CFE">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1530BBC1">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09164CFD">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行号：</w:t>
      </w:r>
    </w:p>
    <w:p w14:paraId="37062B35">
      <w:pPr>
        <w:rPr>
          <w:rFonts w:hint="eastAsia" w:ascii="宋体" w:hAnsi="宋体" w:eastAsia="宋体" w:cs="宋体"/>
          <w:color w:val="000000" w:themeColor="text1"/>
          <w:sz w:val="24"/>
          <w:szCs w:val="24"/>
          <w:highlight w:val="none"/>
          <w14:textFill>
            <w14:solidFill>
              <w14:schemeClr w14:val="tx1"/>
            </w14:solidFill>
          </w14:textFill>
        </w:rPr>
      </w:pPr>
    </w:p>
    <w:p w14:paraId="72357CC4">
      <w:pPr>
        <w:pStyle w:val="6"/>
        <w:rPr>
          <w:rFonts w:hint="eastAsia"/>
          <w:color w:val="000000" w:themeColor="text1"/>
          <w:sz w:val="24"/>
          <w:szCs w:val="24"/>
          <w:highlight w:val="none"/>
          <w14:textFill>
            <w14:solidFill>
              <w14:schemeClr w14:val="tx1"/>
            </w14:solidFill>
          </w14:textFill>
        </w:rPr>
      </w:pPr>
    </w:p>
    <w:p w14:paraId="5BFA3E7B">
      <w:pPr>
        <w:snapToGrid w:val="0"/>
        <w:spacing w:line="360" w:lineRule="auto"/>
        <w:ind w:firstLine="480" w:firstLineChars="200"/>
        <w:jc w:val="left"/>
        <w:outlineLvl w:val="9"/>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因投标人提供的开户行和银行账号信息不准确或错误导致保证金不能及时退付或退付出现问题和纠纷的，由投标人承担责任。</w:t>
      </w:r>
    </w:p>
    <w:p w14:paraId="3780AADD">
      <w:pPr>
        <w:pStyle w:val="68"/>
        <w:tabs>
          <w:tab w:val="left" w:pos="3570"/>
        </w:tabs>
        <w:spacing w:line="360" w:lineRule="auto"/>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（电子签章）</w:t>
      </w:r>
    </w:p>
    <w:p w14:paraId="3D3A365E">
      <w:pPr>
        <w:pStyle w:val="68"/>
        <w:tabs>
          <w:tab w:val="left" w:pos="3570"/>
        </w:tabs>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（签名或盖章）</w:t>
      </w:r>
    </w:p>
    <w:p w14:paraId="4FD22FF6">
      <w:pPr>
        <w:pStyle w:val="68"/>
        <w:tabs>
          <w:tab w:val="left" w:pos="3570"/>
        </w:tabs>
        <w:spacing w:line="360" w:lineRule="auto"/>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（年/月/日）</w:t>
      </w:r>
    </w:p>
    <w:p w14:paraId="4D5BA878">
      <w:pP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br w:type="page"/>
      </w:r>
    </w:p>
    <w:p w14:paraId="670C8EEF">
      <w:pPr>
        <w:spacing w:before="212"/>
        <w:ind w:left="0" w:right="113" w:firstLine="0"/>
        <w:jc w:val="center"/>
        <w:outlineLvl w:val="9"/>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开票信息表格式</w:t>
      </w:r>
    </w:p>
    <w:p w14:paraId="7945A459">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4C217F2E">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项目编号：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w:t>
      </w:r>
    </w:p>
    <w:p w14:paraId="389EE8D6">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如果我单位中标/成交，请贵单位开具服务费发票：</w:t>
      </w:r>
    </w:p>
    <w:p w14:paraId="2112F35B">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zh-CN" w:eastAsia="zh-CN" w:bidi="zh-CN"/>
          <w14:textFill>
            <w14:solidFill>
              <w14:schemeClr w14:val="tx1"/>
            </w14:solidFill>
          </w14:textFill>
        </w:rPr>
        <w:t>开票类型为</w:t>
      </w:r>
      <w:r>
        <w:rPr>
          <w:rFonts w:hint="eastAsia" w:ascii="宋体" w:hAnsi="宋体" w:eastAsia="宋体" w:cs="宋体"/>
          <w:color w:val="000000" w:themeColor="text1"/>
          <w:spacing w:val="0"/>
          <w:w w:val="100"/>
          <w:kern w:val="2"/>
          <w:position w:val="0"/>
          <w:sz w:val="24"/>
          <w:szCs w:val="24"/>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t>（专票/普票）</w:t>
      </w:r>
    </w:p>
    <w:p w14:paraId="0801E2C0">
      <w:pPr>
        <w:pStyle w:val="11"/>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我单位开票信息为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754576B1">
      <w:pPr>
        <w:pStyle w:val="11"/>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单位全称：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028DAB8B">
      <w:pPr>
        <w:pStyle w:val="11"/>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纳税人识别号：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14EA2A7C">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511F785C">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电话：</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15CE5071">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33686544">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开户行账号：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7FE6B5C6">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p>
    <w:p w14:paraId="6241711C">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发票接收邮箱：</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50D6F21B">
      <w:pPr>
        <w:pStyle w:val="9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p>
    <w:p w14:paraId="7057E15F">
      <w:pPr>
        <w:pStyle w:val="9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请贵单位提供最新的开票信息，若因为贵单位提供的信息有误导致发票开错，我单位不承担任何责任；发票一经开出，会发至邮箱，请及时查收。</w:t>
      </w:r>
    </w:p>
    <w:p w14:paraId="5C12425E">
      <w:pPr>
        <w:pStyle w:val="9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FA558A4">
      <w:pPr>
        <w:pStyle w:val="68"/>
        <w:tabs>
          <w:tab w:val="left" w:pos="3570"/>
        </w:tabs>
        <w:spacing w:line="360" w:lineRule="auto"/>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（电子签章）</w:t>
      </w:r>
    </w:p>
    <w:p w14:paraId="774E7477">
      <w:pPr>
        <w:pStyle w:val="68"/>
        <w:tabs>
          <w:tab w:val="left" w:pos="3570"/>
        </w:tabs>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（签名或盖章）</w:t>
      </w:r>
    </w:p>
    <w:p w14:paraId="75065A13">
      <w:pPr>
        <w:pStyle w:val="68"/>
        <w:tabs>
          <w:tab w:val="left" w:pos="3570"/>
        </w:tabs>
        <w:spacing w:line="360" w:lineRule="auto"/>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（年/月/日）</w:t>
      </w:r>
    </w:p>
    <w:p w14:paraId="4EBA9C5C">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268DBE22">
      <w:pPr>
        <w:pStyle w:val="94"/>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358" w:name="_Toc6994"/>
      <w:bookmarkStart w:id="359" w:name="_Toc25585"/>
      <w:bookmarkStart w:id="360" w:name="_Toc31286"/>
      <w:r>
        <w:rPr>
          <w:rFonts w:hint="eastAsia" w:ascii="宋体" w:hAnsi="宋体" w:eastAsia="宋体" w:cs="宋体"/>
          <w:bCs/>
          <w:color w:val="000000" w:themeColor="text1"/>
          <w:kern w:val="2"/>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Cs/>
          <w:color w:val="000000" w:themeColor="text1"/>
          <w:kern w:val="2"/>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供应商认为有必要提供的声明及文件资料</w:t>
      </w:r>
      <w:bookmarkEnd w:id="358"/>
      <w:bookmarkEnd w:id="359"/>
      <w:bookmarkEnd w:id="360"/>
    </w:p>
    <w:p w14:paraId="5476D119">
      <w:pPr>
        <w:pStyle w:val="99"/>
        <w:tabs>
          <w:tab w:val="left" w:pos="3570"/>
        </w:tabs>
        <w:spacing w:after="0" w:line="360" w:lineRule="auto"/>
        <w:rPr>
          <w:rFonts w:ascii="宋体" w:hAnsi="宋体" w:cs="宋体"/>
          <w:color w:val="000000" w:themeColor="text1"/>
          <w:sz w:val="24"/>
          <w:highlight w:val="none"/>
          <w14:textFill>
            <w14:solidFill>
              <w14:schemeClr w14:val="tx1"/>
            </w14:solidFill>
          </w14:textFill>
        </w:rPr>
      </w:pPr>
    </w:p>
    <w:p w14:paraId="616B6E46">
      <w:pPr>
        <w:pStyle w:val="99"/>
        <w:tabs>
          <w:tab w:val="left" w:pos="3570"/>
        </w:tabs>
        <w:spacing w:after="0" w:line="360" w:lineRule="auto"/>
        <w:rPr>
          <w:rFonts w:ascii="宋体" w:hAnsi="宋体" w:cs="宋体"/>
          <w:color w:val="000000" w:themeColor="text1"/>
          <w:sz w:val="24"/>
          <w:highlight w:val="none"/>
          <w14:textFill>
            <w14:solidFill>
              <w14:schemeClr w14:val="tx1"/>
            </w14:solidFill>
          </w14:textFill>
        </w:rPr>
      </w:pPr>
    </w:p>
    <w:p w14:paraId="4C1B507D">
      <w:pPr>
        <w:pStyle w:val="99"/>
        <w:tabs>
          <w:tab w:val="left" w:pos="3570"/>
        </w:tabs>
        <w:spacing w:after="0" w:line="360" w:lineRule="auto"/>
        <w:rPr>
          <w:rFonts w:ascii="宋体" w:hAnsi="宋体" w:cs="宋体"/>
          <w:color w:val="000000" w:themeColor="text1"/>
          <w:sz w:val="24"/>
          <w:highlight w:val="none"/>
          <w14:textFill>
            <w14:solidFill>
              <w14:schemeClr w14:val="tx1"/>
            </w14:solidFill>
          </w14:textFill>
        </w:rPr>
        <w:sectPr>
          <w:footerReference r:id="rId10" w:type="default"/>
          <w:pgSz w:w="11906" w:h="16838"/>
          <w:pgMar w:top="1440" w:right="1701" w:bottom="1440" w:left="1701" w:header="851" w:footer="992" w:gutter="0"/>
          <w:pgNumType w:fmt="decimal"/>
          <w:cols w:space="720" w:num="1"/>
          <w:docGrid w:type="lines" w:linePitch="312" w:charSpace="0"/>
        </w:sectPr>
      </w:pPr>
    </w:p>
    <w:p w14:paraId="4292CCDC">
      <w:pPr>
        <w:pStyle w:val="104"/>
        <w:tabs>
          <w:tab w:val="left" w:pos="3570"/>
        </w:tabs>
        <w:spacing w:line="360" w:lineRule="auto"/>
        <w:outlineLvl w:val="1"/>
        <w:rPr>
          <w:rFonts w:ascii="宋体" w:hAnsi="宋体" w:eastAsia="宋体" w:cs="宋体"/>
          <w:color w:val="000000" w:themeColor="text1"/>
          <w:highlight w:val="none"/>
          <w14:textFill>
            <w14:solidFill>
              <w14:schemeClr w14:val="tx1"/>
            </w14:solidFill>
          </w14:textFill>
        </w:rPr>
      </w:pPr>
      <w:bookmarkStart w:id="361" w:name="_Toc28393"/>
      <w:bookmarkStart w:id="362" w:name="_Toc32401"/>
      <w:r>
        <w:rPr>
          <w:rFonts w:hint="eastAsia" w:ascii="宋体" w:hAnsi="宋体" w:eastAsia="宋体" w:cs="宋体"/>
          <w:color w:val="000000" w:themeColor="text1"/>
          <w:highlight w:val="none"/>
          <w14:textFill>
            <w14:solidFill>
              <w14:schemeClr w14:val="tx1"/>
            </w14:solidFill>
          </w14:textFill>
        </w:rPr>
        <w:t>三、商务文件</w:t>
      </w:r>
      <w:bookmarkEnd w:id="274"/>
      <w:bookmarkEnd w:id="275"/>
      <w:bookmarkEnd w:id="361"/>
      <w:bookmarkEnd w:id="362"/>
    </w:p>
    <w:p w14:paraId="2647BD63">
      <w:pPr>
        <w:pStyle w:val="105"/>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363" w:name="_Toc5101"/>
      <w:bookmarkStart w:id="364" w:name="_Toc15242"/>
      <w:bookmarkStart w:id="365" w:name="_Toc9959"/>
      <w:bookmarkStart w:id="366" w:name="_Toc23195"/>
      <w:r>
        <w:rPr>
          <w:rFonts w:hint="eastAsia" w:ascii="宋体" w:hAnsi="宋体" w:eastAsia="宋体" w:cs="宋体"/>
          <w:color w:val="000000" w:themeColor="text1"/>
          <w:sz w:val="28"/>
          <w:szCs w:val="28"/>
          <w:highlight w:val="none"/>
          <w14:textFill>
            <w14:solidFill>
              <w14:schemeClr w14:val="tx1"/>
            </w14:solidFill>
          </w14:textFill>
        </w:rPr>
        <w:t>★（1）投标函</w:t>
      </w:r>
      <w:bookmarkEnd w:id="363"/>
      <w:bookmarkEnd w:id="364"/>
      <w:bookmarkEnd w:id="365"/>
      <w:bookmarkEnd w:id="366"/>
    </w:p>
    <w:p w14:paraId="674E709A">
      <w:pPr>
        <w:pStyle w:val="106"/>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58284AB">
      <w:pPr>
        <w:pStyle w:val="106"/>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(投标人名称)授权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(投标人授权代理人姓名)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(职务、职称)为我方代表，参加贵方组织的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(项目名称、项目编号)招标的有关活动，并对此项目进行投标。为此：</w:t>
      </w:r>
    </w:p>
    <w:p w14:paraId="7AFBBCA4">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1、我方同意在本项目</w:t>
      </w:r>
      <w:r>
        <w:rPr>
          <w:rFonts w:hint="eastAsia" w:ascii="宋体" w:hAnsi="宋体" w:cs="宋体"/>
          <w:color w:val="000000" w:themeColor="text1"/>
          <w:sz w:val="24"/>
          <w:highlight w:val="none"/>
          <w:lang w:eastAsia="zh-CN"/>
          <w14:textFill>
            <w14:solidFill>
              <w14:schemeClr w14:val="tx1"/>
            </w14:solidFill>
          </w14:textFill>
        </w:rPr>
        <w:t>竞争性谈判文件</w:t>
      </w:r>
      <w:r>
        <w:rPr>
          <w:rFonts w:hint="eastAsia" w:ascii="宋体" w:hAnsi="宋体" w:cs="宋体"/>
          <w:color w:val="000000" w:themeColor="text1"/>
          <w:sz w:val="24"/>
          <w:highlight w:val="none"/>
          <w14:textFill>
            <w14:solidFill>
              <w14:schemeClr w14:val="tx1"/>
            </w14:solidFill>
          </w14:textFill>
        </w:rPr>
        <w:t>中规定的投标有效期</w:t>
      </w:r>
      <w:r>
        <w:rPr>
          <w:rFonts w:hint="eastAsia" w:ascii="宋体" w:hAnsi="宋体" w:cs="宋体"/>
          <w:color w:val="000000" w:themeColor="text1"/>
          <w:sz w:val="24"/>
          <w:highlight w:val="none"/>
          <w:u w:val="single"/>
          <w:lang w:val="en-US" w:eastAsia="zh-CN"/>
          <w14:textFill>
            <w14:solidFill>
              <w14:schemeClr w14:val="tx1"/>
            </w14:solidFill>
          </w14:textFill>
        </w:rPr>
        <w:t xml:space="preserve"> 自投标截止之日起90日历天 </w:t>
      </w:r>
      <w:r>
        <w:rPr>
          <w:rFonts w:hint="eastAsia" w:ascii="宋体" w:hAnsi="宋体" w:cs="宋体"/>
          <w:color w:val="000000" w:themeColor="text1"/>
          <w:sz w:val="24"/>
          <w:highlight w:val="none"/>
          <w14:textFill>
            <w14:solidFill>
              <w14:schemeClr w14:val="tx1"/>
            </w14:solidFill>
          </w14:textFill>
        </w:rPr>
        <w:t>遵守本</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中的承诺且在此期限期满之前均具有约束力。</w:t>
      </w:r>
    </w:p>
    <w:p w14:paraId="383C276E">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2、我方承诺已经具备《中华人民共和国政府采购法》中规定的参加政府采购活动的供应商应当具备的条件：</w:t>
      </w:r>
    </w:p>
    <w:p w14:paraId="0CA88570">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3D29EC5">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32E8863E">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59FEF4FA">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29A5911F">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5）参加此项采购活动前三年内，在经营活动中没有重大违法记录；</w:t>
      </w:r>
    </w:p>
    <w:p w14:paraId="6FD7954E">
      <w:pPr>
        <w:pStyle w:val="107"/>
        <w:tabs>
          <w:tab w:val="left" w:pos="357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7B76B44A">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3、提供投标人须知规定的全部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w:t>
      </w:r>
    </w:p>
    <w:p w14:paraId="3A9ED14E">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4、按</w:t>
      </w:r>
      <w:r>
        <w:rPr>
          <w:rFonts w:hint="eastAsia" w:ascii="宋体" w:hAnsi="宋体" w:cs="宋体"/>
          <w:color w:val="000000" w:themeColor="text1"/>
          <w:sz w:val="24"/>
          <w:highlight w:val="none"/>
          <w:lang w:eastAsia="zh-CN"/>
          <w14:textFill>
            <w14:solidFill>
              <w14:schemeClr w14:val="tx1"/>
            </w14:solidFill>
          </w14:textFill>
        </w:rPr>
        <w:t>竞争性谈判文件</w:t>
      </w:r>
      <w:r>
        <w:rPr>
          <w:rFonts w:hint="eastAsia" w:ascii="宋体" w:hAnsi="宋体" w:cs="宋体"/>
          <w:color w:val="000000" w:themeColor="text1"/>
          <w:sz w:val="24"/>
          <w:highlight w:val="none"/>
          <w14:textFill>
            <w14:solidFill>
              <w14:schemeClr w14:val="tx1"/>
            </w14:solidFill>
          </w14:textFill>
        </w:rPr>
        <w:t>要求提供和交付的货物及相关服务的投标报价详见</w:t>
      </w:r>
      <w:r>
        <w:rPr>
          <w:rFonts w:hint="eastAsia" w:ascii="宋体" w:hAnsi="宋体" w:cs="宋体"/>
          <w:color w:val="000000" w:themeColor="text1"/>
          <w:sz w:val="24"/>
          <w:highlight w:val="none"/>
          <w:lang w:eastAsia="zh-CN"/>
          <w14:textFill>
            <w14:solidFill>
              <w14:schemeClr w14:val="tx1"/>
            </w14:solidFill>
          </w14:textFill>
        </w:rPr>
        <w:t>报价一览表</w:t>
      </w:r>
      <w:r>
        <w:rPr>
          <w:rFonts w:hint="eastAsia" w:ascii="宋体" w:hAnsi="宋体" w:cs="宋体"/>
          <w:color w:val="000000" w:themeColor="text1"/>
          <w:sz w:val="24"/>
          <w:highlight w:val="none"/>
          <w14:textFill>
            <w14:solidFill>
              <w14:schemeClr w14:val="tx1"/>
            </w14:solidFill>
          </w14:textFill>
        </w:rPr>
        <w:t>。</w:t>
      </w:r>
    </w:p>
    <w:p w14:paraId="6DCF0BA3">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5、保证忠实地执行双方所签订的合同，并承担合同规定的责任和义务。</w:t>
      </w:r>
    </w:p>
    <w:p w14:paraId="1D702633">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6、我方承诺完全满足和响应</w:t>
      </w:r>
      <w:r>
        <w:rPr>
          <w:rFonts w:hint="eastAsia" w:ascii="宋体" w:hAnsi="宋体" w:cs="宋体"/>
          <w:color w:val="000000" w:themeColor="text1"/>
          <w:sz w:val="24"/>
          <w:highlight w:val="none"/>
          <w:lang w:eastAsia="zh-CN"/>
          <w14:textFill>
            <w14:solidFill>
              <w14:schemeClr w14:val="tx1"/>
            </w14:solidFill>
          </w14:textFill>
        </w:rPr>
        <w:t>竞争性谈判文件</w:t>
      </w:r>
      <w:r>
        <w:rPr>
          <w:rFonts w:hint="eastAsia" w:ascii="宋体" w:hAnsi="宋体" w:cs="宋体"/>
          <w:color w:val="000000" w:themeColor="text1"/>
          <w:sz w:val="24"/>
          <w:highlight w:val="none"/>
          <w14:textFill>
            <w14:solidFill>
              <w14:schemeClr w14:val="tx1"/>
            </w14:solidFill>
          </w14:textFill>
        </w:rPr>
        <w:t>中的各项技术和服务要求，若有偏差，已在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偏离表中予以明确特别说明。</w:t>
      </w:r>
    </w:p>
    <w:p w14:paraId="24959ABD">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7、我方承诺：完全理解投标报价若超过项目预算时，投标将被拒绝。</w:t>
      </w:r>
    </w:p>
    <w:p w14:paraId="0DB583A5">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8、我方承诺：与在本项目中设计编制技术规格的机构及其附属机构无任何直接隶属关系和利益关联。</w:t>
      </w:r>
    </w:p>
    <w:p w14:paraId="733B9854">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9、如果在开标后规定的投标有效期内撤回投标，我方的投标保证金可被贵方没收。</w:t>
      </w:r>
    </w:p>
    <w:p w14:paraId="306153B5">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10、我方完全理解贵方不一定接受最低价的投标或收到的任何投标。</w:t>
      </w:r>
    </w:p>
    <w:p w14:paraId="7714F8A7">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11、我方承诺：</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464F14F">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12、我方已详细审核全部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，包括</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修改书（如有的话）、参考资料及有关附件，确认无误。</w:t>
      </w:r>
    </w:p>
    <w:p w14:paraId="2447DCCE">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13、我方承诺：采购人若需追加采购本项目</w:t>
      </w:r>
      <w:r>
        <w:rPr>
          <w:rFonts w:hint="eastAsia" w:ascii="宋体" w:hAnsi="宋体" w:cs="宋体"/>
          <w:color w:val="000000" w:themeColor="text1"/>
          <w:sz w:val="24"/>
          <w:highlight w:val="none"/>
          <w:lang w:eastAsia="zh-CN"/>
          <w14:textFill>
            <w14:solidFill>
              <w14:schemeClr w14:val="tx1"/>
            </w14:solidFill>
          </w14:textFill>
        </w:rPr>
        <w:t>竞争性谈判文件</w:t>
      </w:r>
      <w:r>
        <w:rPr>
          <w:rFonts w:hint="eastAsia" w:ascii="宋体" w:hAnsi="宋体" w:cs="宋体"/>
          <w:color w:val="000000" w:themeColor="text1"/>
          <w:sz w:val="24"/>
          <w:highlight w:val="none"/>
          <w14:textFill>
            <w14:solidFill>
              <w14:schemeClr w14:val="tx1"/>
            </w14:solidFill>
          </w14:textFill>
        </w:rPr>
        <w:t>所列货物及相关服务的，在不改变合同其他实质性条款的前提下，按相同或更优惠的折扣率保证供货。</w:t>
      </w:r>
    </w:p>
    <w:p w14:paraId="457C0FE8">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14、我方承诺：如所报货物属国家强制认证产品的，均已通过认证且在有效期内，否则，由此产生的一切法律责任由我方承担。</w:t>
      </w:r>
    </w:p>
    <w:p w14:paraId="1524D25E">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15、我方承诺：接受</w:t>
      </w:r>
      <w:r>
        <w:rPr>
          <w:rFonts w:hint="eastAsia" w:ascii="宋体" w:hAnsi="宋体" w:cs="宋体"/>
          <w:color w:val="000000" w:themeColor="text1"/>
          <w:sz w:val="24"/>
          <w:highlight w:val="none"/>
          <w:lang w:eastAsia="zh-CN"/>
          <w14:textFill>
            <w14:solidFill>
              <w14:schemeClr w14:val="tx1"/>
            </w14:solidFill>
          </w14:textFill>
        </w:rPr>
        <w:t>竞争性谈判文件</w:t>
      </w:r>
      <w:r>
        <w:rPr>
          <w:rFonts w:hint="eastAsia" w:ascii="宋体" w:hAnsi="宋体" w:cs="宋体"/>
          <w:color w:val="000000" w:themeColor="text1"/>
          <w:sz w:val="24"/>
          <w:highlight w:val="none"/>
          <w14:textFill>
            <w14:solidFill>
              <w14:schemeClr w14:val="tx1"/>
            </w14:solidFill>
          </w14:textFill>
        </w:rPr>
        <w:t>中的全部条款且无任何异议，保证遵守</w:t>
      </w:r>
      <w:r>
        <w:rPr>
          <w:rFonts w:hint="eastAsia" w:ascii="宋体" w:hAnsi="宋体" w:cs="宋体"/>
          <w:color w:val="000000" w:themeColor="text1"/>
          <w:sz w:val="24"/>
          <w:highlight w:val="none"/>
          <w:lang w:eastAsia="zh-CN"/>
          <w14:textFill>
            <w14:solidFill>
              <w14:schemeClr w14:val="tx1"/>
            </w14:solidFill>
          </w14:textFill>
        </w:rPr>
        <w:t>竞争性谈判文件</w:t>
      </w:r>
      <w:r>
        <w:rPr>
          <w:rFonts w:hint="eastAsia" w:ascii="宋体" w:hAnsi="宋体" w:cs="宋体"/>
          <w:color w:val="000000" w:themeColor="text1"/>
          <w:sz w:val="24"/>
          <w:highlight w:val="none"/>
          <w14:textFill>
            <w14:solidFill>
              <w14:schemeClr w14:val="tx1"/>
            </w14:solidFill>
          </w14:textFill>
        </w:rPr>
        <w:t>的规定。</w:t>
      </w:r>
    </w:p>
    <w:p w14:paraId="644E54AA">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685BB4E">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1）提供虚假材料谋取中标、成交的；</w:t>
      </w:r>
    </w:p>
    <w:p w14:paraId="1D5E8C80">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2）采取不正当手段诋毁、排挤其他供应商的；</w:t>
      </w:r>
    </w:p>
    <w:p w14:paraId="29C74A8C">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3）与采购人、其他供应商或者采购代理机构工作人员恶意串通的；</w:t>
      </w:r>
    </w:p>
    <w:p w14:paraId="0BF10A73">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4）向采购人、采购代理机构工作人员行贿或者提供其他不正当利益的；</w:t>
      </w:r>
    </w:p>
    <w:p w14:paraId="7EAA3BF9">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5）在采购过程中与采购人进行协商谈判的；</w:t>
      </w:r>
    </w:p>
    <w:p w14:paraId="71FE5288">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6）拒绝有关部门监督检查或提供虚假情况的。</w:t>
      </w:r>
    </w:p>
    <w:p w14:paraId="6B7DC0A5">
      <w:pPr>
        <w:pStyle w:val="107"/>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17、</w:t>
      </w:r>
      <w:r>
        <w:rPr>
          <w:rFonts w:hint="eastAsia" w:ascii="宋体" w:hAnsi="宋体" w:cs="宋体"/>
          <w:color w:val="000000" w:themeColor="text1"/>
          <w:sz w:val="24"/>
          <w:highlight w:val="none"/>
          <w14:textFill>
            <w14:solidFill>
              <w14:schemeClr w14:val="tx1"/>
            </w14:solidFill>
          </w14:textFill>
        </w:rPr>
        <w:t>与本投标有关的一切往来通讯请寄：</w:t>
      </w:r>
    </w:p>
    <w:p w14:paraId="3BC24044">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地址：____________________________________________________</w:t>
      </w:r>
    </w:p>
    <w:p w14:paraId="29F6FD0D">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邮编：____________　</w:t>
      </w:r>
    </w:p>
    <w:p w14:paraId="6A860CA7">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电话：____________　</w:t>
      </w:r>
    </w:p>
    <w:p w14:paraId="653CA9E8">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传真：____________</w:t>
      </w:r>
    </w:p>
    <w:p w14:paraId="5735568C">
      <w:pPr>
        <w:pStyle w:val="106"/>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投标人法定代表人或授权代理人联系电话，e-mail：</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F1D054">
      <w:pPr>
        <w:pStyle w:val="106"/>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p>
    <w:p w14:paraId="7C75D491">
      <w:pPr>
        <w:pStyle w:val="106"/>
        <w:widowControl/>
        <w:tabs>
          <w:tab w:val="left" w:pos="3570"/>
        </w:tabs>
        <w:spacing w:line="360" w:lineRule="auto"/>
        <w:ind w:left="101" w:leftChars="48" w:firstLine="361" w:firstLineChars="150"/>
        <w:rPr>
          <w:rFonts w:ascii="宋体" w:hAnsi="宋体" w:cs="宋体"/>
          <w:b/>
          <w:color w:val="000000" w:themeColor="text1"/>
          <w:sz w:val="24"/>
          <w:highlight w:val="none"/>
          <w14:textFill>
            <w14:solidFill>
              <w14:schemeClr w14:val="tx1"/>
            </w14:solidFill>
          </w14:textFill>
        </w:rPr>
      </w:pPr>
    </w:p>
    <w:p w14:paraId="18C49C22">
      <w:pPr>
        <w:pStyle w:val="106"/>
        <w:widowControl/>
        <w:tabs>
          <w:tab w:val="left" w:pos="3570"/>
        </w:tabs>
        <w:spacing w:line="360" w:lineRule="auto"/>
        <w:ind w:left="101" w:leftChars="48" w:firstLine="361" w:firstLineChars="150"/>
        <w:rPr>
          <w:rFonts w:ascii="宋体" w:hAnsi="宋体" w:cs="宋体"/>
          <w:b/>
          <w:color w:val="000000" w:themeColor="text1"/>
          <w:sz w:val="24"/>
          <w:highlight w:val="none"/>
          <w14:textFill>
            <w14:solidFill>
              <w14:schemeClr w14:val="tx1"/>
            </w14:solidFill>
          </w14:textFill>
        </w:rPr>
      </w:pPr>
    </w:p>
    <w:p w14:paraId="1029D169">
      <w:pPr>
        <w:pStyle w:val="106"/>
        <w:widowControl/>
        <w:tabs>
          <w:tab w:val="left" w:pos="3570"/>
        </w:tabs>
        <w:spacing w:line="360" w:lineRule="auto"/>
        <w:ind w:left="101" w:leftChars="48" w:firstLine="361" w:firstLineChars="1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投标人法定代表人签名：</w:t>
      </w:r>
    </w:p>
    <w:p w14:paraId="13E81C63">
      <w:pPr>
        <w:pStyle w:val="106"/>
        <w:widowControl/>
        <w:tabs>
          <w:tab w:val="left" w:pos="3570"/>
        </w:tabs>
        <w:spacing w:line="360" w:lineRule="auto"/>
        <w:ind w:left="0" w:leftChars="0"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投标人公章：</w:t>
      </w:r>
    </w:p>
    <w:p w14:paraId="2D29AE39">
      <w:pPr>
        <w:pStyle w:val="106"/>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日　期：</w:t>
      </w:r>
    </w:p>
    <w:p w14:paraId="73242B96">
      <w:pPr>
        <w:pStyle w:val="106"/>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p>
    <w:p w14:paraId="3BBD784B">
      <w:pPr>
        <w:pStyle w:val="106"/>
        <w:widowControl/>
        <w:tabs>
          <w:tab w:val="left" w:pos="3570"/>
        </w:tabs>
        <w:spacing w:line="360" w:lineRule="auto"/>
        <w:ind w:left="0" w:leftChars="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说明：除可填报项目外，对本投标函的任何修改将被视为非实质性响应投标，从而导致该投标被拒绝。</w:t>
      </w:r>
    </w:p>
    <w:p w14:paraId="6F151FA0">
      <w:pPr>
        <w:pStyle w:val="108"/>
        <w:tabs>
          <w:tab w:val="left" w:pos="3570"/>
        </w:tabs>
        <w:spacing w:after="0" w:line="360" w:lineRule="auto"/>
        <w:rPr>
          <w:rFonts w:ascii="宋体" w:hAnsi="宋体" w:cs="宋体"/>
          <w:b/>
          <w:color w:val="000000" w:themeColor="text1"/>
          <w:szCs w:val="21"/>
          <w:highlight w:val="none"/>
          <w14:textFill>
            <w14:solidFill>
              <w14:schemeClr w14:val="tx1"/>
            </w14:solidFill>
          </w14:textFill>
        </w:rPr>
      </w:pPr>
    </w:p>
    <w:p w14:paraId="6FE0EE0B">
      <w:pPr>
        <w:pStyle w:val="109"/>
        <w:tabs>
          <w:tab w:val="left" w:pos="3570"/>
        </w:tabs>
        <w:spacing w:line="360" w:lineRule="auto"/>
        <w:outlineLvl w:val="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67" w:name="_Toc1137"/>
      <w:bookmarkStart w:id="368" w:name="_Toc104"/>
      <w:bookmarkStart w:id="369" w:name="_Toc27925"/>
      <w:bookmarkStart w:id="370" w:name="_Toc27325"/>
      <w:r>
        <w:rPr>
          <w:rFonts w:hint="eastAsia" w:ascii="宋体" w:hAnsi="宋体" w:eastAsia="宋体" w:cs="宋体"/>
          <w:color w:val="000000" w:themeColor="text1"/>
          <w:sz w:val="28"/>
          <w:szCs w:val="28"/>
          <w:highlight w:val="none"/>
          <w:lang w:eastAsia="zh-CN"/>
          <w14:textFill>
            <w14:solidFill>
              <w14:schemeClr w14:val="tx1"/>
            </w14:solidFill>
          </w14:textFill>
        </w:rPr>
        <w:t>★（2）</w:t>
      </w:r>
      <w:bookmarkEnd w:id="367"/>
      <w:bookmarkEnd w:id="368"/>
      <w:bookmarkEnd w:id="369"/>
      <w:r>
        <w:rPr>
          <w:rFonts w:hint="eastAsia" w:ascii="宋体" w:hAnsi="宋体" w:eastAsia="宋体" w:cs="宋体"/>
          <w:color w:val="000000" w:themeColor="text1"/>
          <w:sz w:val="28"/>
          <w:szCs w:val="28"/>
          <w:highlight w:val="none"/>
          <w:lang w:eastAsia="zh-CN"/>
          <w14:textFill>
            <w14:solidFill>
              <w14:schemeClr w14:val="tx1"/>
            </w14:solidFill>
          </w14:textFill>
        </w:rPr>
        <w:t>报价一览表</w:t>
      </w:r>
      <w:bookmarkEnd w:id="370"/>
    </w:p>
    <w:p w14:paraId="786D6907">
      <w:pPr>
        <w:pStyle w:val="88"/>
        <w:tabs>
          <w:tab w:val="left" w:pos="3570"/>
        </w:tabs>
        <w:spacing w:line="360" w:lineRule="auto"/>
        <w:ind w:firstLine="482" w:firstLineChars="200"/>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报价一览表</w:t>
      </w:r>
    </w:p>
    <w:p w14:paraId="63A02C01">
      <w:pPr>
        <w:pStyle w:val="9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571E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72E521E9">
            <w:pPr>
              <w:pStyle w:val="91"/>
              <w:tabs>
                <w:tab w:val="left" w:pos="1337"/>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p>
        </w:tc>
        <w:tc>
          <w:tcPr>
            <w:tcW w:w="6770" w:type="dxa"/>
            <w:tcBorders>
              <w:bottom w:val="single" w:color="auto" w:sz="4" w:space="0"/>
            </w:tcBorders>
            <w:vAlign w:val="center"/>
          </w:tcPr>
          <w:p w14:paraId="097B72AD">
            <w:pPr>
              <w:pStyle w:val="91"/>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05B5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10018FD9">
            <w:pPr>
              <w:pStyle w:val="91"/>
              <w:tabs>
                <w:tab w:val="left" w:pos="1337"/>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 标 报 价</w:t>
            </w:r>
          </w:p>
        </w:tc>
        <w:tc>
          <w:tcPr>
            <w:tcW w:w="6770" w:type="dxa"/>
          </w:tcPr>
          <w:p w14:paraId="088C032A">
            <w:pPr>
              <w:pStyle w:val="91"/>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p>
          <w:p w14:paraId="281C5F48">
            <w:pPr>
              <w:pStyle w:val="91"/>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小写：</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3D58CE2B">
            <w:pPr>
              <w:pStyle w:val="91"/>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p>
          <w:p w14:paraId="1D4653D7">
            <w:pPr>
              <w:pStyle w:val="91"/>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大写：</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531A83E2">
            <w:pPr>
              <w:pStyle w:val="91"/>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27C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0CB6A40D">
            <w:pPr>
              <w:pStyle w:val="91"/>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报价单位</w:t>
            </w:r>
          </w:p>
        </w:tc>
        <w:tc>
          <w:tcPr>
            <w:tcW w:w="6770" w:type="dxa"/>
          </w:tcPr>
          <w:p w14:paraId="68AA9A08">
            <w:pPr>
              <w:pStyle w:val="91"/>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元</w:t>
            </w:r>
          </w:p>
        </w:tc>
      </w:tr>
      <w:tr w14:paraId="115D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15D9DBAF">
            <w:pPr>
              <w:pStyle w:val="91"/>
              <w:tabs>
                <w:tab w:val="left" w:pos="1337"/>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服务期限</w:t>
            </w:r>
          </w:p>
        </w:tc>
        <w:tc>
          <w:tcPr>
            <w:tcW w:w="6770" w:type="dxa"/>
          </w:tcPr>
          <w:p w14:paraId="1F1DDDFE">
            <w:pPr>
              <w:pStyle w:val="91"/>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1711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46486550">
            <w:pPr>
              <w:pStyle w:val="91"/>
              <w:tabs>
                <w:tab w:val="left" w:pos="1337"/>
              </w:tabs>
              <w:spacing w:line="360" w:lineRule="auto"/>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服务地点</w:t>
            </w:r>
          </w:p>
        </w:tc>
        <w:tc>
          <w:tcPr>
            <w:tcW w:w="6770" w:type="dxa"/>
          </w:tcPr>
          <w:p w14:paraId="7A58A408">
            <w:pPr>
              <w:pStyle w:val="91"/>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165C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19621F9F">
            <w:pPr>
              <w:pStyle w:val="91"/>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联系人及联系方式</w:t>
            </w:r>
          </w:p>
        </w:tc>
        <w:tc>
          <w:tcPr>
            <w:tcW w:w="6770" w:type="dxa"/>
          </w:tcPr>
          <w:p w14:paraId="266DE7B2">
            <w:pPr>
              <w:pStyle w:val="91"/>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745B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14:paraId="23C5CE28">
            <w:pPr>
              <w:pStyle w:val="91"/>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备注：</w:t>
            </w:r>
          </w:p>
        </w:tc>
      </w:tr>
    </w:tbl>
    <w:p w14:paraId="35C575B7">
      <w:pPr>
        <w:pStyle w:val="9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说明：1、投标人严格按照规定的格式填写，投标报价为总价。</w:t>
      </w:r>
    </w:p>
    <w:p w14:paraId="207AD1CB">
      <w:pPr>
        <w:pStyle w:val="9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2、任何有选择或有条件的投标报价或表中某一包填写多个报价，均将导致投标被拒绝。</w:t>
      </w:r>
    </w:p>
    <w:p w14:paraId="620B4DB2">
      <w:pPr>
        <w:pStyle w:val="91"/>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70298F4">
      <w:pPr>
        <w:pStyle w:val="110"/>
        <w:tabs>
          <w:tab w:val="left" w:pos="3570"/>
        </w:tabs>
        <w:adjustRightInd w:val="0"/>
        <w:snapToGrid w:val="0"/>
        <w:spacing w:before="936" w:beforeLines="300"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投标人法定代表人（签名或盖章）：                  </w:t>
      </w:r>
    </w:p>
    <w:p w14:paraId="76C57C05">
      <w:pPr>
        <w:pStyle w:val="110"/>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EFEB3FC">
      <w:pPr>
        <w:pStyle w:val="110"/>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45E7902C">
      <w:pPr>
        <w:pStyle w:val="111"/>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21B4E06C">
      <w:pPr>
        <w:pStyle w:val="111"/>
        <w:tabs>
          <w:tab w:val="left" w:pos="3570"/>
        </w:tabs>
        <w:spacing w:line="360" w:lineRule="auto"/>
        <w:outlineLvl w:val="2"/>
        <w:rPr>
          <w:rFonts w:hint="eastAsia" w:ascii="宋体" w:hAnsi="宋体" w:eastAsia="宋体" w:cs="宋体"/>
          <w:color w:val="000000" w:themeColor="text1"/>
          <w:sz w:val="24"/>
          <w:highlight w:val="none"/>
          <w14:textFill>
            <w14:solidFill>
              <w14:schemeClr w14:val="tx1"/>
            </w14:solidFill>
          </w14:textFill>
        </w:rPr>
        <w:sectPr>
          <w:pgSz w:w="11906" w:h="16838"/>
          <w:pgMar w:top="1440" w:right="1701" w:bottom="1440" w:left="1701" w:header="851" w:footer="992" w:gutter="0"/>
          <w:pgNumType w:fmt="decimal"/>
          <w:cols w:space="720" w:num="1"/>
          <w:docGrid w:type="lines" w:linePitch="312" w:charSpace="0"/>
        </w:sectPr>
      </w:pPr>
    </w:p>
    <w:p w14:paraId="39EC447B">
      <w:pPr>
        <w:pStyle w:val="111"/>
        <w:tabs>
          <w:tab w:val="left" w:pos="3570"/>
        </w:tabs>
        <w:spacing w:line="360" w:lineRule="auto"/>
        <w:outlineLvl w:val="2"/>
        <w:rPr>
          <w:rFonts w:ascii="宋体" w:hAnsi="宋体" w:eastAsia="宋体" w:cs="宋体"/>
          <w:color w:val="000000" w:themeColor="text1"/>
          <w:sz w:val="28"/>
          <w:szCs w:val="28"/>
          <w:highlight w:val="none"/>
          <w14:textFill>
            <w14:solidFill>
              <w14:schemeClr w14:val="tx1"/>
            </w14:solidFill>
          </w14:textFill>
        </w:rPr>
      </w:pPr>
      <w:bookmarkStart w:id="371" w:name="_Toc25026"/>
      <w:bookmarkStart w:id="372" w:name="_Toc17596"/>
      <w:bookmarkStart w:id="373" w:name="_Toc3087"/>
      <w:bookmarkStart w:id="374" w:name="_Toc19033"/>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（3）投标报价明细表</w:t>
      </w:r>
      <w:bookmarkEnd w:id="371"/>
      <w:bookmarkEnd w:id="372"/>
      <w:bookmarkEnd w:id="373"/>
      <w:bookmarkEnd w:id="374"/>
    </w:p>
    <w:p w14:paraId="5C07DD1C">
      <w:pPr>
        <w:pStyle w:val="112"/>
        <w:spacing w:line="360" w:lineRule="auto"/>
        <w:ind w:left="0" w:leftChars="0" w:firstLine="0" w:firstLineChars="0"/>
        <w:jc w:val="center"/>
        <w:rPr>
          <w:rFonts w:ascii="宋体" w:hAnsi="宋体" w:cs="宋体"/>
          <w:color w:val="000000" w:themeColor="text1"/>
          <w:szCs w:val="24"/>
          <w:highlight w:val="none"/>
          <w14:textFill>
            <w14:solidFill>
              <w14:schemeClr w14:val="tx1"/>
            </w14:solidFill>
          </w14:textFill>
        </w:rPr>
      </w:pPr>
      <w:bookmarkStart w:id="375" w:name="_Toc28046"/>
      <w:r>
        <w:rPr>
          <w:rFonts w:hint="eastAsia" w:ascii="宋体" w:hAnsi="宋体" w:cs="宋体"/>
          <w:color w:val="000000" w:themeColor="text1"/>
          <w:szCs w:val="24"/>
          <w:highlight w:val="none"/>
          <w14:textFill>
            <w14:solidFill>
              <w14:schemeClr w14:val="tx1"/>
            </w14:solidFill>
          </w14:textFill>
        </w:rPr>
        <w:t>1、投标报价明细表</w:t>
      </w:r>
    </w:p>
    <w:p w14:paraId="0CC8B1F1">
      <w:pPr>
        <w:pStyle w:val="112"/>
        <w:spacing w:line="360" w:lineRule="auto"/>
        <w:ind w:left="0" w:leftChars="0" w:firstLine="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项目编号：</w:t>
      </w:r>
      <w:r>
        <w:rPr>
          <w:rFonts w:hint="eastAsia" w:ascii="宋体" w:hAnsi="宋体" w:cs="宋体"/>
          <w:color w:val="000000" w:themeColor="text1"/>
          <w:szCs w:val="24"/>
          <w:highlight w:val="none"/>
          <w:u w:val="single"/>
          <w14:textFill>
            <w14:solidFill>
              <w14:schemeClr w14:val="tx1"/>
            </w14:solidFill>
          </w14:textFill>
        </w:rPr>
        <w:t xml:space="preserve">                     </w:t>
      </w:r>
      <w:r>
        <w:rPr>
          <w:rFonts w:hint="eastAsia" w:ascii="宋体" w:hAnsi="宋体" w:cs="宋体"/>
          <w:color w:val="000000" w:themeColor="text1"/>
          <w:szCs w:val="24"/>
          <w:highlight w:val="none"/>
          <w14:textFill>
            <w14:solidFill>
              <w14:schemeClr w14:val="tx1"/>
            </w14:solidFill>
          </w14:textFill>
        </w:rPr>
        <w:t xml:space="preserve">                    价格单位：元</w:t>
      </w:r>
    </w:p>
    <w:tbl>
      <w:tblPr>
        <w:tblStyle w:val="23"/>
        <w:tblW w:w="14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1842"/>
        <w:gridCol w:w="4883"/>
        <w:gridCol w:w="3371"/>
        <w:gridCol w:w="1048"/>
        <w:gridCol w:w="636"/>
        <w:gridCol w:w="787"/>
        <w:gridCol w:w="561"/>
        <w:gridCol w:w="520"/>
      </w:tblGrid>
      <w:tr w14:paraId="4C33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5C2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CFB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服务名称</w:t>
            </w:r>
          </w:p>
        </w:tc>
        <w:tc>
          <w:tcPr>
            <w:tcW w:w="4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897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服务内容</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F28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包含设备</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094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维保周期（月）</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64A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CF5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设备数量</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972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单价</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AE5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小计</w:t>
            </w:r>
          </w:p>
        </w:tc>
      </w:tr>
      <w:tr w14:paraId="04A8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8F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6EB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驻场服务</w:t>
            </w:r>
          </w:p>
        </w:tc>
        <w:tc>
          <w:tcPr>
            <w:tcW w:w="4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D0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1名驻场工程师7*12小时（早10时至晚22时）驻场服务小时驻场值守、系统运行监控、运维服务热线值守服务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8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总站所属会议终端</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07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B2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9E1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89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D5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95CE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47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D40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故障诊断、维修服务、应急服务（TE30系列终端）</w:t>
            </w:r>
          </w:p>
        </w:tc>
        <w:tc>
          <w:tcPr>
            <w:tcW w:w="4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F7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B9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华为TE30视频会议终端及配套VPM220&amp;VPM200麦克风，VPC600&amp;VPC620会议摄像机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5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BB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6B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D3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F5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E97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E4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C8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故障诊断、维修服务、应急服务（TE40系列终端）</w:t>
            </w:r>
          </w:p>
        </w:tc>
        <w:tc>
          <w:tcPr>
            <w:tcW w:w="4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E6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CF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华为TE40视频会议终端及配套VPM220&amp;VPM200麦克风，VPC600&amp;VPC620会议摄像机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0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8A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BC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328</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D3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DA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DE9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1A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5D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故障诊断、维修服务、应急服务（TE50系列终端）</w:t>
            </w:r>
          </w:p>
        </w:tc>
        <w:tc>
          <w:tcPr>
            <w:tcW w:w="4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B9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64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华为TE50视频会议终端及配套VPM220&amp;VPM200麦克风，VPC600&amp;VPC620会议摄像机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D4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F4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B5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84</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9B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AE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096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FF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A2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故障诊断、维修服务、应急服务（TE60系列终端）</w:t>
            </w:r>
          </w:p>
        </w:tc>
        <w:tc>
          <w:tcPr>
            <w:tcW w:w="4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D9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FA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华为TE60视频会议终端及配套VPM220&amp;VPM200麦克风，VPC600&amp;VPC620会议摄像机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19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788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95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0C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A3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677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1D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A45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故障诊断、维修服务、应急服务（bar300系列终端）</w:t>
            </w:r>
          </w:p>
        </w:tc>
        <w:tc>
          <w:tcPr>
            <w:tcW w:w="4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44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333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华为bar300视频会议终端及配套VPM220&amp;VPM200麦克风，VPC600&amp;VPC620会议摄像机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BA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7B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C5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08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35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D69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2B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04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故障诊断、维修服务、应急服务（box300系列终端）</w:t>
            </w:r>
          </w:p>
        </w:tc>
        <w:tc>
          <w:tcPr>
            <w:tcW w:w="4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1F8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BCD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华为box300/310视频会议终端及配套VPM220&amp;VPM200麦克风，VPC600&amp;VPC620会议摄像机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9E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F1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12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0C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54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DD2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2C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67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故障诊断、维修服务、应急服务（box400/500/600系列终端）</w:t>
            </w:r>
          </w:p>
        </w:tc>
        <w:tc>
          <w:tcPr>
            <w:tcW w:w="4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EE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含总站机关、28个站级单位及所属边境管理大队、边境派出所、边境检查站、及前出点位视频会议系统故障诊断、维修服务、应急服务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0AC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华为box400/500/600/610视频会议终端及配套VPM220&amp;VPM200麦克风，VPC600&amp;VPC620会议摄像机</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F1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19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F3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CD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D5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3E3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F6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62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故障诊断、维修服务、应急服务（mcu）</w:t>
            </w:r>
          </w:p>
        </w:tc>
        <w:tc>
          <w:tcPr>
            <w:tcW w:w="4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64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含总站机关、伊犁、塔城、阿勒泰、克州、博州、喀什、哈密、昌吉、和田支队、阿拉山口，霍尔果斯，红其拉甫，卡拉苏，吐尔尕特，喀什边检站及南疆轮训大队</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436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华为VP9630mcu3台</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华为vp9650mcu31台</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华为vp9660mcu2台</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华为vp9850mcu6台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B0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03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02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0B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F5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5A7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32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BDE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故障诊断、维修服务、应急服务（其他硬件设备维修服务）</w:t>
            </w:r>
          </w:p>
        </w:tc>
        <w:tc>
          <w:tcPr>
            <w:tcW w:w="4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0A1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含总站机关、俱乐部部分设备故障诊断、维修服务、应急服务</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577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指挥中心2侧辅屏幕</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指挥中心后侧横幅显示屏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指挥中心外侧值班信息显示屏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俱乐部主屏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俱乐部两侧屏幕</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41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1C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D4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77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8A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02A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30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CBD557">
            <w:pPr>
              <w:jc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合计</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4B5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bl>
    <w:p w14:paraId="0DF4D9A2">
      <w:pPr>
        <w:pStyle w:val="62"/>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w:t>
      </w:r>
    </w:p>
    <w:p w14:paraId="3E459F33">
      <w:pPr>
        <w:pStyle w:val="62"/>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cs="仿宋" w:asciiTheme="majorEastAsia" w:hAnsiTheme="majorEastAsia" w:eastAsiaTheme="majorEastAsia"/>
          <w:color w:val="000000" w:themeColor="text1"/>
          <w:sz w:val="24"/>
          <w:highlight w:val="none"/>
          <w14:textFill>
            <w14:solidFill>
              <w14:schemeClr w14:val="tx1"/>
            </w14:solidFill>
          </w14:textFill>
        </w:rPr>
        <w:t>投标供应商必须按照规定要求完整填写《投标报价明细表》，如有缺失，将导致投标被拒绝。</w:t>
      </w:r>
    </w:p>
    <w:p w14:paraId="264E1E95">
      <w:pPr>
        <w:pStyle w:val="62"/>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2、分项报价总计价格必须与《报价一览表》报价一致。</w:t>
      </w:r>
    </w:p>
    <w:p w14:paraId="5C53A23D">
      <w:pPr>
        <w:pStyle w:val="110"/>
        <w:keepNext w:val="0"/>
        <w:keepLines w:val="0"/>
        <w:pageBreakBefore w:val="0"/>
        <w:widowControl w:val="0"/>
        <w:tabs>
          <w:tab w:val="left" w:pos="3570"/>
        </w:tabs>
        <w:kinsoku/>
        <w:wordWrap/>
        <w:overflowPunct/>
        <w:topLinePunct w:val="0"/>
        <w:autoSpaceDE/>
        <w:autoSpaceDN/>
        <w:bidi w:val="0"/>
        <w:adjustRightInd w:val="0"/>
        <w:snapToGrid w:val="0"/>
        <w:spacing w:line="360" w:lineRule="auto"/>
        <w:textAlignment w:val="auto"/>
        <w:rPr>
          <w:rFonts w:hint="eastAsia" w:ascii="宋体" w:hAnsi="宋体" w:cs="宋体"/>
          <w:color w:val="000000" w:themeColor="text1"/>
          <w:sz w:val="24"/>
          <w:szCs w:val="24"/>
          <w:highlight w:val="none"/>
          <w14:textFill>
            <w14:solidFill>
              <w14:schemeClr w14:val="tx1"/>
            </w14:solidFill>
          </w14:textFill>
        </w:rPr>
      </w:pPr>
    </w:p>
    <w:p w14:paraId="3EFD1D19">
      <w:pPr>
        <w:pStyle w:val="110"/>
        <w:keepNext w:val="0"/>
        <w:keepLines w:val="0"/>
        <w:pageBreakBefore w:val="0"/>
        <w:widowControl w:val="0"/>
        <w:tabs>
          <w:tab w:val="left" w:pos="3570"/>
        </w:tabs>
        <w:kinsoku/>
        <w:wordWrap/>
        <w:overflowPunct/>
        <w:topLinePunct w:val="0"/>
        <w:autoSpaceDE/>
        <w:autoSpaceDN/>
        <w:bidi w:val="0"/>
        <w:adjustRightInd w:val="0"/>
        <w:snapToGrid w:val="0"/>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投标人法定代表人（签名或盖章）：                  </w:t>
      </w:r>
    </w:p>
    <w:p w14:paraId="44F13658">
      <w:pPr>
        <w:pStyle w:val="110"/>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59DF543">
      <w:pPr>
        <w:pStyle w:val="110"/>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16512FD6">
      <w:pPr>
        <w:spacing w:line="360" w:lineRule="auto"/>
        <w:rPr>
          <w:rFonts w:hint="eastAsia" w:ascii="宋体" w:hAnsi="宋体" w:cs="宋体"/>
          <w:color w:val="000000" w:themeColor="text1"/>
          <w:sz w:val="24"/>
          <w:highlight w:val="none"/>
          <w14:textFill>
            <w14:solidFill>
              <w14:schemeClr w14:val="tx1"/>
            </w14:solidFill>
          </w14:textFill>
        </w:rPr>
        <w:sectPr>
          <w:pgSz w:w="16838" w:h="11906" w:orient="landscape"/>
          <w:pgMar w:top="1701" w:right="1440" w:bottom="1701" w:left="1440" w:header="851" w:footer="992" w:gutter="0"/>
          <w:pgNumType w:fmt="decimal"/>
          <w:cols w:space="720" w:num="1"/>
          <w:docGrid w:type="lines" w:linePitch="312" w:charSpace="0"/>
        </w:sectPr>
      </w:pPr>
      <w:bookmarkStart w:id="376" w:name="_Toc26598"/>
      <w:r>
        <w:rPr>
          <w:rFonts w:hint="eastAsia" w:ascii="宋体" w:hAnsi="宋体" w:cs="宋体"/>
          <w:color w:val="000000" w:themeColor="text1"/>
          <w:sz w:val="24"/>
          <w:highlight w:val="none"/>
          <w14:textFill>
            <w14:solidFill>
              <w14:schemeClr w14:val="tx1"/>
            </w14:solidFill>
          </w14:textFill>
        </w:rPr>
        <w:br w:type="page"/>
      </w:r>
    </w:p>
    <w:p w14:paraId="49783681">
      <w:pPr>
        <w:pStyle w:val="111"/>
        <w:tabs>
          <w:tab w:val="left" w:pos="3570"/>
        </w:tabs>
        <w:spacing w:line="360" w:lineRule="auto"/>
        <w:outlineLvl w:val="2"/>
        <w:rPr>
          <w:rFonts w:hint="eastAsia" w:ascii="宋体" w:hAnsi="宋体" w:eastAsia="宋体" w:cs="宋体"/>
          <w:color w:val="000000" w:themeColor="text1"/>
          <w:sz w:val="28"/>
          <w:szCs w:val="28"/>
          <w:highlight w:val="none"/>
          <w14:textFill>
            <w14:solidFill>
              <w14:schemeClr w14:val="tx1"/>
            </w14:solidFill>
          </w14:textFill>
        </w:rPr>
      </w:pPr>
      <w:bookmarkStart w:id="377" w:name="_Toc29226"/>
      <w:bookmarkStart w:id="378" w:name="_Toc23839"/>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售后服务承诺书</w:t>
      </w:r>
      <w:bookmarkEnd w:id="376"/>
      <w:bookmarkEnd w:id="377"/>
      <w:bookmarkEnd w:id="378"/>
    </w:p>
    <w:bookmarkEnd w:id="375"/>
    <w:p w14:paraId="28A1D65C">
      <w:pPr>
        <w:pStyle w:val="123"/>
        <w:tabs>
          <w:tab w:val="left" w:pos="3570"/>
        </w:tabs>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①售后服务：</w:t>
      </w:r>
    </w:p>
    <w:p w14:paraId="67BE7837">
      <w:pPr>
        <w:pStyle w:val="123"/>
        <w:tabs>
          <w:tab w:val="left" w:pos="3570"/>
        </w:tabs>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&lt;1&gt;售后服务承诺书；</w:t>
      </w:r>
    </w:p>
    <w:p w14:paraId="226EE02F">
      <w:pPr>
        <w:pStyle w:val="123"/>
        <w:tabs>
          <w:tab w:val="left" w:pos="3570"/>
        </w:tabs>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&lt;2&gt;售后服务的程序、内容及措施；</w:t>
      </w:r>
    </w:p>
    <w:p w14:paraId="2C26D802">
      <w:pPr>
        <w:pStyle w:val="123"/>
        <w:tabs>
          <w:tab w:val="left" w:pos="3570"/>
        </w:tabs>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&lt;3&gt;响应时间情况；</w:t>
      </w:r>
    </w:p>
    <w:p w14:paraId="30188362">
      <w:pPr>
        <w:pStyle w:val="123"/>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&lt;4&gt;其他相关内容。</w:t>
      </w:r>
    </w:p>
    <w:p w14:paraId="198F6B8D">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②售后服务网点明细表（包括联系人、详细地址、电话、传真）及</w:t>
      </w:r>
      <w:r>
        <w:rPr>
          <w:rFonts w:hint="eastAsia" w:ascii="宋体" w:hAnsi="宋体" w:cs="宋体"/>
          <w:color w:val="000000" w:themeColor="text1"/>
          <w:sz w:val="24"/>
          <w:highlight w:val="none"/>
          <w14:textFill>
            <w14:solidFill>
              <w14:schemeClr w14:val="tx1"/>
            </w14:solidFill>
          </w14:textFill>
        </w:rPr>
        <w:t>本地化服务情况一览表；</w:t>
      </w:r>
    </w:p>
    <w:p w14:paraId="3C58FF45">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p>
    <w:p w14:paraId="68336FB8">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附本地化服务一览表：</w:t>
      </w:r>
    </w:p>
    <w:tbl>
      <w:tblPr>
        <w:tblStyle w:val="23"/>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1693"/>
      </w:tblGrid>
      <w:tr w14:paraId="5F89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14:paraId="49EA2C4C">
            <w:pPr>
              <w:pStyle w:val="123"/>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6813" w:type="dxa"/>
            <w:gridSpan w:val="3"/>
          </w:tcPr>
          <w:p w14:paraId="2E7B30FF">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33D7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1B534A59">
            <w:pPr>
              <w:pStyle w:val="123"/>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本地化服务形式</w:t>
            </w:r>
          </w:p>
        </w:tc>
        <w:tc>
          <w:tcPr>
            <w:tcW w:w="6813" w:type="dxa"/>
            <w:gridSpan w:val="3"/>
            <w:vAlign w:val="center"/>
          </w:tcPr>
          <w:p w14:paraId="4051781D">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在本地具有固定的合作伙伴</w:t>
            </w:r>
          </w:p>
          <w:p w14:paraId="7A5B5EFE">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在本地注册成立</w:t>
            </w:r>
          </w:p>
        </w:tc>
      </w:tr>
      <w:tr w14:paraId="715A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vAlign w:val="center"/>
          </w:tcPr>
          <w:p w14:paraId="26EF183B">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以下本地注册的公司无需填写</w:t>
            </w:r>
          </w:p>
        </w:tc>
      </w:tr>
      <w:tr w14:paraId="0C1A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00E4B0D5">
            <w:pPr>
              <w:pStyle w:val="123"/>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本地化服务地点及联系方式</w:t>
            </w:r>
          </w:p>
        </w:tc>
        <w:tc>
          <w:tcPr>
            <w:tcW w:w="2940" w:type="dxa"/>
            <w:vAlign w:val="center"/>
          </w:tcPr>
          <w:p w14:paraId="056D6641">
            <w:pPr>
              <w:pStyle w:val="123"/>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tc>
        <w:tc>
          <w:tcPr>
            <w:tcW w:w="2180" w:type="dxa"/>
            <w:vAlign w:val="center"/>
          </w:tcPr>
          <w:p w14:paraId="14D2C8CC">
            <w:pPr>
              <w:pStyle w:val="123"/>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负责人及联系方式（附身份证号码）</w:t>
            </w:r>
          </w:p>
        </w:tc>
        <w:tc>
          <w:tcPr>
            <w:tcW w:w="1693" w:type="dxa"/>
          </w:tcPr>
          <w:p w14:paraId="7A4A2BDE">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027B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6917F03A">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服务人员名单及联系方式（附身份证号码）：</w:t>
            </w:r>
          </w:p>
          <w:p w14:paraId="29FB571E">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2872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67E4169D">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其他有关证明文件说明（如营业执照等）：</w:t>
            </w:r>
          </w:p>
          <w:p w14:paraId="09609FFD">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1F1A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6EE69467">
            <w:pPr>
              <w:pStyle w:val="123"/>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备注：1、具有合作伙伴的应填写合作伙伴的相关资料，并提供双方的合作协议以及合作伙伴的营业执照等证明文件。</w:t>
            </w:r>
          </w:p>
          <w:p w14:paraId="6BF9EFA2">
            <w:pPr>
              <w:pStyle w:val="123"/>
              <w:tabs>
                <w:tab w:val="left" w:pos="3570"/>
              </w:tabs>
              <w:spacing w:line="360" w:lineRule="auto"/>
              <w:ind w:left="2" w:leftChars="1"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2、如供应商不能提供本地化服务，可不填报。</w:t>
            </w:r>
          </w:p>
        </w:tc>
      </w:tr>
    </w:tbl>
    <w:p w14:paraId="0D02826F">
      <w:pPr>
        <w:pStyle w:val="123"/>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6AE20A59">
      <w:pPr>
        <w:pStyle w:val="125"/>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bookmarkStart w:id="379" w:name="_Toc1467"/>
      <w:bookmarkStart w:id="380" w:name="_Toc8462"/>
      <w:bookmarkStart w:id="381" w:name="_Toc13216"/>
      <w:bookmarkStart w:id="382" w:name="_Toc16825"/>
      <w:r>
        <w:rPr>
          <w:rFonts w:hint="eastAsia" w:ascii="宋体" w:hAnsi="宋体" w:eastAsia="宋体"/>
          <w:b w:val="0"/>
          <w:bCs/>
          <w:color w:val="000000" w:themeColor="text1"/>
          <w:kern w:val="0"/>
          <w:sz w:val="24"/>
          <w:szCs w:val="22"/>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商务条款偏离说明表</w:t>
      </w:r>
      <w:bookmarkEnd w:id="379"/>
      <w:bookmarkEnd w:id="380"/>
      <w:bookmarkEnd w:id="381"/>
      <w:bookmarkEnd w:id="382"/>
    </w:p>
    <w:p w14:paraId="1BE3D2D4">
      <w:pPr>
        <w:pStyle w:val="126"/>
        <w:jc w:val="center"/>
        <w:rPr>
          <w:rFonts w:asciiTheme="majorEastAsia" w:hAnsiTheme="majorEastAsia" w:eastAsiaTheme="majorEastAsia"/>
          <w:color w:val="000000" w:themeColor="text1"/>
          <w:highlight w:val="none"/>
          <w14:textFill>
            <w14:solidFill>
              <w14:schemeClr w14:val="tx1"/>
            </w14:solidFill>
          </w14:textFill>
        </w:rPr>
      </w:pPr>
      <w:r>
        <w:rPr>
          <w:rFonts w:asciiTheme="majorEastAsia" w:hAnsiTheme="majorEastAsia" w:eastAsiaTheme="majorEastAsia"/>
          <w:color w:val="000000" w:themeColor="text1"/>
          <w:highlight w:val="none"/>
          <w14:textFill>
            <w14:solidFill>
              <w14:schemeClr w14:val="tx1"/>
            </w14:solidFill>
          </w14:textFill>
        </w:rPr>
        <w:t>商务条款偏离说明表</w:t>
      </w:r>
    </w:p>
    <w:p w14:paraId="4196D108">
      <w:pPr>
        <w:pStyle w:val="127"/>
        <w:spacing w:line="360" w:lineRule="auto"/>
        <w:ind w:left="0" w:leftChars="0" w:firstLine="0" w:firstLineChars="0"/>
        <w:rPr>
          <w:rFonts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 xml:space="preserve">项目编号：                                          </w:t>
      </w:r>
    </w:p>
    <w:tbl>
      <w:tblPr>
        <w:tblStyle w:val="23"/>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535"/>
        <w:gridCol w:w="2748"/>
        <w:gridCol w:w="1360"/>
        <w:gridCol w:w="939"/>
      </w:tblGrid>
      <w:tr w14:paraId="0D2D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316" w:type="dxa"/>
            <w:vAlign w:val="center"/>
          </w:tcPr>
          <w:p w14:paraId="4C730635">
            <w:pPr>
              <w:pStyle w:val="62"/>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序号</w:t>
            </w:r>
          </w:p>
        </w:tc>
        <w:tc>
          <w:tcPr>
            <w:tcW w:w="2535" w:type="dxa"/>
            <w:vAlign w:val="center"/>
          </w:tcPr>
          <w:p w14:paraId="6DB65E73">
            <w:pPr>
              <w:pStyle w:val="62"/>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竞争性谈判文件</w:t>
            </w:r>
            <w:r>
              <w:rPr>
                <w:rFonts w:hint="eastAsia" w:asciiTheme="majorEastAsia" w:hAnsiTheme="majorEastAsia" w:eastAsiaTheme="majorEastAsia"/>
                <w:color w:val="000000" w:themeColor="text1"/>
                <w:sz w:val="24"/>
                <w:highlight w:val="none"/>
                <w14:textFill>
                  <w14:solidFill>
                    <w14:schemeClr w14:val="tx1"/>
                  </w14:solidFill>
                </w14:textFill>
              </w:rPr>
              <w:t>的商务条款</w:t>
            </w:r>
          </w:p>
        </w:tc>
        <w:tc>
          <w:tcPr>
            <w:tcW w:w="2748" w:type="dxa"/>
            <w:vAlign w:val="center"/>
          </w:tcPr>
          <w:p w14:paraId="1C7559BA">
            <w:pPr>
              <w:pStyle w:val="62"/>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的商务条款</w:t>
            </w:r>
          </w:p>
        </w:tc>
        <w:tc>
          <w:tcPr>
            <w:tcW w:w="1360" w:type="dxa"/>
            <w:vAlign w:val="center"/>
          </w:tcPr>
          <w:p w14:paraId="76538D9F">
            <w:pPr>
              <w:pStyle w:val="62"/>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偏离</w:t>
            </w:r>
          </w:p>
        </w:tc>
        <w:tc>
          <w:tcPr>
            <w:tcW w:w="939" w:type="dxa"/>
            <w:vAlign w:val="center"/>
          </w:tcPr>
          <w:p w14:paraId="4C50997A">
            <w:pPr>
              <w:pStyle w:val="62"/>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备注</w:t>
            </w:r>
          </w:p>
        </w:tc>
      </w:tr>
      <w:tr w14:paraId="7BCE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16" w:type="dxa"/>
            <w:vAlign w:val="center"/>
          </w:tcPr>
          <w:p w14:paraId="0966827F">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535" w:type="dxa"/>
            <w:vAlign w:val="center"/>
          </w:tcPr>
          <w:p w14:paraId="402CDB8A">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748" w:type="dxa"/>
            <w:vAlign w:val="center"/>
          </w:tcPr>
          <w:p w14:paraId="3AA589BE">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60" w:type="dxa"/>
            <w:vAlign w:val="center"/>
          </w:tcPr>
          <w:p w14:paraId="58543D0F">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9" w:type="dxa"/>
            <w:vAlign w:val="center"/>
          </w:tcPr>
          <w:p w14:paraId="27A135CE">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56CB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16" w:type="dxa"/>
            <w:vAlign w:val="center"/>
          </w:tcPr>
          <w:p w14:paraId="4A2E0CF6">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535" w:type="dxa"/>
            <w:vAlign w:val="center"/>
          </w:tcPr>
          <w:p w14:paraId="09EB1548">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748" w:type="dxa"/>
            <w:vAlign w:val="center"/>
          </w:tcPr>
          <w:p w14:paraId="71C39CC9">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60" w:type="dxa"/>
            <w:vAlign w:val="center"/>
          </w:tcPr>
          <w:p w14:paraId="5F056ADF">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9" w:type="dxa"/>
            <w:vAlign w:val="center"/>
          </w:tcPr>
          <w:p w14:paraId="6DFD853A">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2A2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16" w:type="dxa"/>
            <w:vAlign w:val="center"/>
          </w:tcPr>
          <w:p w14:paraId="37F1A429">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535" w:type="dxa"/>
            <w:vAlign w:val="center"/>
          </w:tcPr>
          <w:p w14:paraId="3EEF7741">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748" w:type="dxa"/>
            <w:vAlign w:val="center"/>
          </w:tcPr>
          <w:p w14:paraId="7D58F4E1">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60" w:type="dxa"/>
            <w:vAlign w:val="center"/>
          </w:tcPr>
          <w:p w14:paraId="520E74AE">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9" w:type="dxa"/>
            <w:vAlign w:val="center"/>
          </w:tcPr>
          <w:p w14:paraId="0BC4BCE8">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5D2E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316" w:type="dxa"/>
            <w:vAlign w:val="center"/>
          </w:tcPr>
          <w:p w14:paraId="2889C92F">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535" w:type="dxa"/>
            <w:vAlign w:val="center"/>
          </w:tcPr>
          <w:p w14:paraId="4EF4BE9C">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748" w:type="dxa"/>
            <w:vAlign w:val="center"/>
          </w:tcPr>
          <w:p w14:paraId="6485DD27">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60" w:type="dxa"/>
            <w:vAlign w:val="center"/>
          </w:tcPr>
          <w:p w14:paraId="264DF747">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9" w:type="dxa"/>
            <w:vAlign w:val="center"/>
          </w:tcPr>
          <w:p w14:paraId="0B894F72">
            <w:pPr>
              <w:pStyle w:val="128"/>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bl>
    <w:p w14:paraId="6EA55D32">
      <w:pPr>
        <w:spacing w:line="440" w:lineRule="exact"/>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说明：</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供应商</w:t>
      </w:r>
      <w:r>
        <w:rPr>
          <w:rFonts w:hint="eastAsia" w:asciiTheme="majorEastAsia" w:hAnsiTheme="majorEastAsia" w:eastAsiaTheme="majorEastAsia"/>
          <w:color w:val="000000" w:themeColor="text1"/>
          <w:sz w:val="24"/>
          <w:szCs w:val="24"/>
          <w:highlight w:val="none"/>
          <w14:textFill>
            <w14:solidFill>
              <w14:schemeClr w14:val="tx1"/>
            </w14:solidFill>
          </w14:textFill>
        </w:rPr>
        <w:t>须对</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竞争性谈判</w:t>
      </w:r>
      <w:r>
        <w:rPr>
          <w:rFonts w:hint="eastAsia" w:asciiTheme="majorEastAsia" w:hAnsiTheme="majorEastAsia" w:eastAsiaTheme="majorEastAsia"/>
          <w:color w:val="000000" w:themeColor="text1"/>
          <w:sz w:val="24"/>
          <w:szCs w:val="24"/>
          <w:highlight w:val="none"/>
          <w14:textFill>
            <w14:solidFill>
              <w14:schemeClr w14:val="tx1"/>
            </w14:solidFill>
          </w14:textFill>
        </w:rPr>
        <w:t>文件</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第三部分采购需求中的商务</w:t>
      </w:r>
      <w:r>
        <w:rPr>
          <w:rFonts w:hint="eastAsia" w:asciiTheme="majorEastAsia" w:hAnsiTheme="majorEastAsia" w:eastAsiaTheme="majorEastAsia"/>
          <w:color w:val="000000" w:themeColor="text1"/>
          <w:sz w:val="24"/>
          <w:szCs w:val="24"/>
          <w:highlight w:val="none"/>
          <w14:textFill>
            <w14:solidFill>
              <w14:schemeClr w14:val="tx1"/>
            </w14:solidFill>
          </w14:textFill>
        </w:rPr>
        <w:t>要求进行点对点应答，进行逐条逐项答复、说明和解释</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olor w:val="000000" w:themeColor="text1"/>
          <w:sz w:val="24"/>
          <w:highlight w:val="none"/>
          <w14:textFill>
            <w14:solidFill>
              <w14:schemeClr w14:val="tx1"/>
            </w14:solidFill>
          </w14:textFill>
        </w:rPr>
        <w:t>如有偏离，</w:t>
      </w:r>
      <w:r>
        <w:rPr>
          <w:rFonts w:hint="eastAsia"/>
          <w:bCs/>
          <w:color w:val="000000" w:themeColor="text1"/>
          <w:sz w:val="24"/>
          <w14:textFill>
            <w14:solidFill>
              <w14:schemeClr w14:val="tx1"/>
            </w14:solidFill>
          </w14:textFill>
        </w:rPr>
        <w:t>并在备注中注明偏离的具体内容。</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w:t>
      </w:r>
    </w:p>
    <w:p w14:paraId="1D95976B">
      <w:pPr>
        <w:pStyle w:val="123"/>
        <w:rPr>
          <w:rFonts w:asciiTheme="majorEastAsia" w:hAnsiTheme="majorEastAsia" w:eastAsiaTheme="majorEastAsia"/>
          <w:color w:val="000000" w:themeColor="text1"/>
          <w:highlight w:val="none"/>
          <w14:textFill>
            <w14:solidFill>
              <w14:schemeClr w14:val="tx1"/>
            </w14:solidFill>
          </w14:textFill>
        </w:rPr>
      </w:pPr>
    </w:p>
    <w:p w14:paraId="1C547357">
      <w:pPr>
        <w:pStyle w:val="128"/>
        <w:spacing w:line="360" w:lineRule="auto"/>
        <w:ind w:left="2"/>
        <w:rPr>
          <w:rFonts w:hint="default" w:asciiTheme="majorEastAsia" w:hAnsiTheme="majorEastAsia" w:eastAsiaTheme="majorEastAsia"/>
          <w:color w:val="000000" w:themeColor="text1"/>
          <w:sz w:val="24"/>
          <w:highlight w:val="none"/>
          <w:lang w:val="en-US" w:eastAsia="zh-CN"/>
          <w14:textFill>
            <w14:solidFill>
              <w14:schemeClr w14:val="tx1"/>
            </w14:solidFill>
          </w14:textFill>
        </w:rPr>
      </w:pPr>
    </w:p>
    <w:p w14:paraId="63AB3281">
      <w:pPr>
        <w:pStyle w:val="129"/>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383" w:name="_Toc4348"/>
      <w:bookmarkStart w:id="384" w:name="_Toc23529"/>
      <w:bookmarkStart w:id="385" w:name="_Toc29322"/>
      <w:r>
        <w:rPr>
          <w:rFonts w:hint="eastAsia" w:ascii="宋体" w:hAnsi="宋体" w:eastAsia="宋体" w:cs="宋体"/>
          <w:color w:val="000000" w:themeColor="text1"/>
          <w:sz w:val="28"/>
          <w:szCs w:val="28"/>
          <w:highlight w:val="none"/>
          <w14:textFill>
            <w14:solidFill>
              <w14:schemeClr w14:val="tx1"/>
            </w14:solidFill>
          </w14:textFill>
        </w:rPr>
        <w:t>（6）</w:t>
      </w:r>
      <w:bookmarkEnd w:id="383"/>
      <w:bookmarkEnd w:id="384"/>
      <w:r>
        <w:rPr>
          <w:rFonts w:hint="eastAsia" w:ascii="宋体" w:hAnsi="宋体" w:eastAsia="宋体" w:cs="宋体"/>
          <w:color w:val="000000" w:themeColor="text1"/>
          <w:sz w:val="28"/>
          <w:szCs w:val="28"/>
          <w:highlight w:val="none"/>
          <w14:textFill>
            <w14:solidFill>
              <w14:schemeClr w14:val="tx1"/>
            </w14:solidFill>
          </w14:textFill>
        </w:rPr>
        <w:t>类似项目业绩表</w:t>
      </w:r>
      <w:bookmarkEnd w:id="385"/>
    </w:p>
    <w:p w14:paraId="7C1D22AF">
      <w:pPr>
        <w:pStyle w:val="96"/>
        <w:tabs>
          <w:tab w:val="left" w:pos="3570"/>
        </w:tabs>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p>
    <w:p w14:paraId="706B6D6F">
      <w:pPr>
        <w:pStyle w:val="9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5DA407A9">
      <w:pPr>
        <w:pStyle w:val="96"/>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采购项目名称：</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2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0B28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5C6A131D">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200" w:type="dxa"/>
          </w:tcPr>
          <w:p w14:paraId="1288DADA">
            <w:pPr>
              <w:pStyle w:val="96"/>
              <w:tabs>
                <w:tab w:val="left" w:pos="2265"/>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b/>
            </w:r>
          </w:p>
        </w:tc>
      </w:tr>
      <w:tr w14:paraId="08A5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D1086EC">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项目单位名称</w:t>
            </w:r>
          </w:p>
        </w:tc>
        <w:tc>
          <w:tcPr>
            <w:tcW w:w="7200" w:type="dxa"/>
          </w:tcPr>
          <w:p w14:paraId="68C9C819">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6960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5B09DF8">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项目单位联系人姓名及联系方式</w:t>
            </w:r>
          </w:p>
        </w:tc>
        <w:tc>
          <w:tcPr>
            <w:tcW w:w="7200" w:type="dxa"/>
          </w:tcPr>
          <w:p w14:paraId="0AFDFED8">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2D4A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28B9E90">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合同金额</w:t>
            </w:r>
          </w:p>
        </w:tc>
        <w:tc>
          <w:tcPr>
            <w:tcW w:w="7200" w:type="dxa"/>
          </w:tcPr>
          <w:p w14:paraId="090962E6">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12A4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43DDD411">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项目负责人</w:t>
            </w:r>
          </w:p>
          <w:p w14:paraId="155FD0D4">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7200" w:type="dxa"/>
          </w:tcPr>
          <w:p w14:paraId="21D4F566">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61D4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170995F4">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项目实施时间</w:t>
            </w:r>
          </w:p>
        </w:tc>
        <w:tc>
          <w:tcPr>
            <w:tcW w:w="7200" w:type="dxa"/>
          </w:tcPr>
          <w:p w14:paraId="3BE00B84">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7B1B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4BD7A1E5">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项目内容说明</w:t>
            </w:r>
          </w:p>
        </w:tc>
        <w:tc>
          <w:tcPr>
            <w:tcW w:w="7200" w:type="dxa"/>
          </w:tcPr>
          <w:p w14:paraId="70BEBF35">
            <w:pPr>
              <w:pStyle w:val="9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bl>
    <w:p w14:paraId="7A5735A7">
      <w:pPr>
        <w:pStyle w:val="96"/>
        <w:tabs>
          <w:tab w:val="left" w:pos="3570"/>
        </w:tabs>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说明：1．每个合同须单独附表，并附上相关证明材料，否则专家在评审时将不予采信；</w:t>
      </w:r>
    </w:p>
    <w:p w14:paraId="2242FAFF">
      <w:pPr>
        <w:pStyle w:val="9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投标人法定代表人（签名或盖章）：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5E766FCC">
      <w:pPr>
        <w:pStyle w:val="96"/>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CDB992E">
      <w:pPr>
        <w:pStyle w:val="96"/>
        <w:tabs>
          <w:tab w:val="left" w:pos="357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5D884037">
      <w:pPr>
        <w:pStyle w:val="95"/>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3EE558B2">
      <w:pPr>
        <w:pStyle w:val="95"/>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7D7D2E72">
      <w:pPr>
        <w:rPr>
          <w:rFonts w:hint="eastAsia" w:ascii="宋体" w:hAnsi="宋体" w:cs="宋体"/>
          <w:color w:val="000000" w:themeColor="text1"/>
          <w:kern w:val="0"/>
          <w:sz w:val="24"/>
          <w:highlight w:val="none"/>
          <w14:textFill>
            <w14:solidFill>
              <w14:schemeClr w14:val="tx1"/>
            </w14:solidFill>
          </w14:textFill>
        </w:rPr>
      </w:pPr>
    </w:p>
    <w:p w14:paraId="5F33023E">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157F5922">
      <w:pPr>
        <w:pStyle w:val="129"/>
        <w:tabs>
          <w:tab w:val="left" w:pos="3570"/>
        </w:tabs>
        <w:spacing w:line="360" w:lineRule="auto"/>
        <w:outlineLvl w:val="2"/>
        <w:rPr>
          <w:rFonts w:hint="default" w:ascii="宋体" w:hAnsi="宋体" w:eastAsia="宋体" w:cs="宋体"/>
          <w:color w:val="000000" w:themeColor="text1"/>
          <w:sz w:val="28"/>
          <w:szCs w:val="28"/>
          <w:highlight w:val="none"/>
          <w:lang w:val="en-US" w:eastAsia="zh-CN"/>
          <w14:textFill>
            <w14:solidFill>
              <w14:schemeClr w14:val="tx1"/>
            </w14:solidFill>
          </w14:textFill>
        </w:rPr>
      </w:pPr>
      <w:bookmarkStart w:id="386" w:name="_Toc6284"/>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）拟投入本项目的主要成员表</w:t>
      </w:r>
      <w:bookmarkEnd w:id="386"/>
    </w:p>
    <w:tbl>
      <w:tblPr>
        <w:tblStyle w:val="2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90"/>
        <w:gridCol w:w="1979"/>
        <w:gridCol w:w="1881"/>
        <w:gridCol w:w="1745"/>
        <w:gridCol w:w="1946"/>
      </w:tblGrid>
      <w:tr w14:paraId="49EB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717" w:type="dxa"/>
            <w:noWrap w:val="0"/>
            <w:vAlign w:val="center"/>
          </w:tcPr>
          <w:p w14:paraId="784944C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1290" w:type="dxa"/>
            <w:noWrap w:val="0"/>
            <w:vAlign w:val="center"/>
          </w:tcPr>
          <w:p w14:paraId="188A23A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w:t>
            </w:r>
          </w:p>
        </w:tc>
        <w:tc>
          <w:tcPr>
            <w:tcW w:w="1979" w:type="dxa"/>
            <w:noWrap w:val="0"/>
            <w:vAlign w:val="center"/>
          </w:tcPr>
          <w:p w14:paraId="216AF5F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性别</w:t>
            </w:r>
          </w:p>
        </w:tc>
        <w:tc>
          <w:tcPr>
            <w:tcW w:w="1881" w:type="dxa"/>
            <w:noWrap w:val="0"/>
            <w:vAlign w:val="center"/>
          </w:tcPr>
          <w:p w14:paraId="22389789">
            <w:pPr>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证书编号</w:t>
            </w:r>
          </w:p>
        </w:tc>
        <w:tc>
          <w:tcPr>
            <w:tcW w:w="1745" w:type="dxa"/>
            <w:noWrap w:val="0"/>
            <w:vAlign w:val="center"/>
          </w:tcPr>
          <w:p w14:paraId="7D17104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岗位</w:t>
            </w:r>
          </w:p>
        </w:tc>
        <w:tc>
          <w:tcPr>
            <w:tcW w:w="1946" w:type="dxa"/>
            <w:noWrap w:val="0"/>
            <w:vAlign w:val="center"/>
          </w:tcPr>
          <w:p w14:paraId="7862F84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从事该岗位时间</w:t>
            </w:r>
          </w:p>
        </w:tc>
      </w:tr>
      <w:tr w14:paraId="32FA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17" w:type="dxa"/>
            <w:noWrap w:val="0"/>
            <w:vAlign w:val="center"/>
          </w:tcPr>
          <w:p w14:paraId="5794D6F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290" w:type="dxa"/>
            <w:noWrap w:val="0"/>
            <w:vAlign w:val="center"/>
          </w:tcPr>
          <w:p w14:paraId="289D65F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79" w:type="dxa"/>
            <w:noWrap w:val="0"/>
            <w:vAlign w:val="center"/>
          </w:tcPr>
          <w:p w14:paraId="759321C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81" w:type="dxa"/>
            <w:noWrap w:val="0"/>
            <w:vAlign w:val="center"/>
          </w:tcPr>
          <w:p w14:paraId="710E488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45" w:type="dxa"/>
            <w:noWrap w:val="0"/>
            <w:vAlign w:val="center"/>
          </w:tcPr>
          <w:p w14:paraId="2FFFF78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6" w:type="dxa"/>
            <w:noWrap w:val="0"/>
            <w:vAlign w:val="center"/>
          </w:tcPr>
          <w:p w14:paraId="5DF70671">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DC6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17" w:type="dxa"/>
            <w:noWrap w:val="0"/>
            <w:vAlign w:val="center"/>
          </w:tcPr>
          <w:p w14:paraId="6982FFA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290" w:type="dxa"/>
            <w:noWrap w:val="0"/>
            <w:vAlign w:val="center"/>
          </w:tcPr>
          <w:p w14:paraId="06D6B012">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79" w:type="dxa"/>
            <w:noWrap w:val="0"/>
            <w:vAlign w:val="center"/>
          </w:tcPr>
          <w:p w14:paraId="3819F9B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81" w:type="dxa"/>
            <w:noWrap w:val="0"/>
            <w:vAlign w:val="center"/>
          </w:tcPr>
          <w:p w14:paraId="005168C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45" w:type="dxa"/>
            <w:noWrap w:val="0"/>
            <w:vAlign w:val="center"/>
          </w:tcPr>
          <w:p w14:paraId="491D34D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6" w:type="dxa"/>
            <w:noWrap w:val="0"/>
            <w:vAlign w:val="center"/>
          </w:tcPr>
          <w:p w14:paraId="7410E1B5">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A9B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17" w:type="dxa"/>
            <w:noWrap w:val="0"/>
            <w:vAlign w:val="center"/>
          </w:tcPr>
          <w:p w14:paraId="7D08CA62">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1290" w:type="dxa"/>
            <w:noWrap w:val="0"/>
            <w:vAlign w:val="center"/>
          </w:tcPr>
          <w:p w14:paraId="3857084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79" w:type="dxa"/>
            <w:noWrap w:val="0"/>
            <w:vAlign w:val="center"/>
          </w:tcPr>
          <w:p w14:paraId="6039DDE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81" w:type="dxa"/>
            <w:noWrap w:val="0"/>
            <w:vAlign w:val="center"/>
          </w:tcPr>
          <w:p w14:paraId="3D7741C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45" w:type="dxa"/>
            <w:noWrap w:val="0"/>
            <w:vAlign w:val="center"/>
          </w:tcPr>
          <w:p w14:paraId="1034801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6" w:type="dxa"/>
            <w:noWrap w:val="0"/>
            <w:vAlign w:val="center"/>
          </w:tcPr>
          <w:p w14:paraId="236722A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631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717" w:type="dxa"/>
            <w:noWrap w:val="0"/>
            <w:vAlign w:val="center"/>
          </w:tcPr>
          <w:p w14:paraId="467C4ADA">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1290" w:type="dxa"/>
            <w:noWrap w:val="0"/>
            <w:vAlign w:val="center"/>
          </w:tcPr>
          <w:p w14:paraId="72D5C56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79" w:type="dxa"/>
            <w:noWrap w:val="0"/>
            <w:vAlign w:val="center"/>
          </w:tcPr>
          <w:p w14:paraId="3838805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81" w:type="dxa"/>
            <w:noWrap w:val="0"/>
            <w:vAlign w:val="center"/>
          </w:tcPr>
          <w:p w14:paraId="774B93FA">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45" w:type="dxa"/>
            <w:noWrap w:val="0"/>
            <w:vAlign w:val="center"/>
          </w:tcPr>
          <w:p w14:paraId="19FCAC1A">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46" w:type="dxa"/>
            <w:noWrap w:val="0"/>
            <w:vAlign w:val="center"/>
          </w:tcPr>
          <w:p w14:paraId="2327520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2B7323E">
      <w:pPr>
        <w:pStyle w:val="95"/>
        <w:tabs>
          <w:tab w:val="left" w:pos="3570"/>
        </w:tabs>
        <w:spacing w:line="360" w:lineRule="auto"/>
        <w:rPr>
          <w:rFonts w:ascii="宋体" w:hAnsi="宋体" w:cs="宋体"/>
          <w:color w:val="000000" w:themeColor="text1"/>
          <w:sz w:val="24"/>
          <w:highlight w:val="none"/>
          <w14:textFill>
            <w14:solidFill>
              <w14:schemeClr w14:val="tx1"/>
            </w14:solidFill>
          </w14:textFill>
        </w:rPr>
      </w:pPr>
    </w:p>
    <w:p w14:paraId="61B46BE5">
      <w:pPr>
        <w:pStyle w:val="9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投标人法定代表人（签名或盖章）：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BEA1E79">
      <w:pPr>
        <w:pStyle w:val="96"/>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0B4AF56">
      <w:pPr>
        <w:pStyle w:val="96"/>
        <w:tabs>
          <w:tab w:val="left" w:pos="357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7F5791F9">
      <w:pPr>
        <w:pStyle w:val="95"/>
        <w:tabs>
          <w:tab w:val="left" w:pos="3570"/>
        </w:tabs>
        <w:spacing w:line="360" w:lineRule="auto"/>
        <w:rPr>
          <w:rFonts w:hint="eastAsia" w:ascii="宋体" w:hAnsi="宋体" w:cs="宋体"/>
          <w:color w:val="000000" w:themeColor="text1"/>
          <w:sz w:val="24"/>
          <w:highlight w:val="none"/>
          <w:lang w:val="en-US" w:eastAsia="zh-CN"/>
          <w14:textFill>
            <w14:solidFill>
              <w14:schemeClr w14:val="tx1"/>
            </w14:solidFill>
          </w14:textFill>
        </w:rPr>
      </w:pPr>
    </w:p>
    <w:p w14:paraId="3011FFE2">
      <w:pPr>
        <w:pStyle w:val="95"/>
        <w:tabs>
          <w:tab w:val="left" w:pos="3570"/>
        </w:tabs>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注：需提供人员的身份证明、劳动关系证明、学历和技术专业资质证明资料；</w:t>
      </w:r>
    </w:p>
    <w:p w14:paraId="08CA0BE0">
      <w:pP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br w:type="page"/>
      </w:r>
    </w:p>
    <w:p w14:paraId="537F8E45">
      <w:pPr>
        <w:pStyle w:val="95"/>
        <w:tabs>
          <w:tab w:val="left" w:pos="3570"/>
        </w:tabs>
        <w:spacing w:line="360" w:lineRule="auto"/>
        <w:outlineLvl w:val="1"/>
        <w:rPr>
          <w:rFonts w:hint="default" w:ascii="宋体" w:hAnsi="宋体" w:eastAsia="宋体" w:cs="宋体"/>
          <w:b/>
          <w:color w:val="000000" w:themeColor="text1"/>
          <w:sz w:val="28"/>
          <w:szCs w:val="28"/>
          <w:highlight w:val="none"/>
          <w:lang w:val="en-US" w:eastAsia="zh-CN" w:bidi="ar-SA"/>
          <w14:textFill>
            <w14:solidFill>
              <w14:schemeClr w14:val="tx1"/>
            </w14:solidFill>
          </w14:textFill>
        </w:rPr>
      </w:pPr>
      <w:bookmarkStart w:id="387" w:name="_Toc30803"/>
      <w:r>
        <w:rPr>
          <w:rFonts w:hint="eastAsia" w:ascii="宋体" w:hAnsi="宋体" w:eastAsia="宋体" w:cs="宋体"/>
          <w:b/>
          <w:color w:val="000000" w:themeColor="text1"/>
          <w:sz w:val="28"/>
          <w:szCs w:val="28"/>
          <w:highlight w:val="none"/>
          <w:lang w:val="en-US" w:eastAsia="zh-CN" w:bidi="ar-SA"/>
          <w14:textFill>
            <w14:solidFill>
              <w14:schemeClr w14:val="tx1"/>
            </w14:solidFill>
          </w14:textFill>
        </w:rPr>
        <w:t>（8）供应商认为有必要提供的其他资料</w:t>
      </w:r>
      <w:bookmarkEnd w:id="387"/>
    </w:p>
    <w:p w14:paraId="30EBF354">
      <w:pPr>
        <w:pStyle w:val="99"/>
        <w:tabs>
          <w:tab w:val="left" w:pos="3570"/>
        </w:tabs>
        <w:spacing w:after="0" w:line="360" w:lineRule="auto"/>
        <w:rPr>
          <w:rFonts w:ascii="宋体" w:hAnsi="宋体" w:cs="宋体"/>
          <w:color w:val="000000" w:themeColor="text1"/>
          <w:sz w:val="24"/>
          <w:highlight w:val="none"/>
          <w14:textFill>
            <w14:solidFill>
              <w14:schemeClr w14:val="tx1"/>
            </w14:solidFill>
          </w14:textFill>
        </w:rPr>
      </w:pPr>
    </w:p>
    <w:p w14:paraId="274A353C">
      <w:pPr>
        <w:rPr>
          <w:rFonts w:hint="eastAsia" w:ascii="宋体" w:hAnsi="宋体" w:eastAsia="宋体" w:cs="宋体"/>
          <w:color w:val="000000" w:themeColor="text1"/>
          <w:szCs w:val="32"/>
          <w:highlight w:val="none"/>
          <w14:textFill>
            <w14:solidFill>
              <w14:schemeClr w14:val="tx1"/>
            </w14:solidFill>
          </w14:textFill>
        </w:rPr>
      </w:pPr>
      <w:bookmarkStart w:id="388" w:name="_Toc8298"/>
      <w:bookmarkStart w:id="389" w:name="_Toc1874"/>
      <w:bookmarkStart w:id="390" w:name="_Toc28750"/>
      <w:r>
        <w:rPr>
          <w:rFonts w:hint="eastAsia" w:ascii="宋体" w:hAnsi="宋体" w:eastAsia="宋体" w:cs="宋体"/>
          <w:color w:val="000000" w:themeColor="text1"/>
          <w:szCs w:val="32"/>
          <w:highlight w:val="none"/>
          <w14:textFill>
            <w14:solidFill>
              <w14:schemeClr w14:val="tx1"/>
            </w14:solidFill>
          </w14:textFill>
        </w:rPr>
        <w:br w:type="page"/>
      </w:r>
    </w:p>
    <w:p w14:paraId="4A25A7E5">
      <w:pPr>
        <w:pStyle w:val="126"/>
        <w:tabs>
          <w:tab w:val="left" w:pos="3570"/>
        </w:tabs>
        <w:spacing w:line="360" w:lineRule="auto"/>
        <w:jc w:val="center"/>
        <w:outlineLvl w:val="1"/>
        <w:rPr>
          <w:rFonts w:ascii="宋体" w:hAnsi="宋体" w:eastAsia="宋体" w:cs="宋体"/>
          <w:color w:val="000000" w:themeColor="text1"/>
          <w:highlight w:val="none"/>
          <w14:textFill>
            <w14:solidFill>
              <w14:schemeClr w14:val="tx1"/>
            </w14:solidFill>
          </w14:textFill>
        </w:rPr>
      </w:pPr>
      <w:bookmarkStart w:id="391" w:name="_Toc16394"/>
      <w:r>
        <w:rPr>
          <w:rFonts w:hint="eastAsia" w:ascii="宋体" w:hAnsi="宋体" w:eastAsia="宋体" w:cs="宋体"/>
          <w:color w:val="000000" w:themeColor="text1"/>
          <w:szCs w:val="32"/>
          <w:highlight w:val="none"/>
          <w14:textFill>
            <w14:solidFill>
              <w14:schemeClr w14:val="tx1"/>
            </w14:solidFill>
          </w14:textFill>
        </w:rPr>
        <w:t>四、技术文件</w:t>
      </w:r>
      <w:bookmarkEnd w:id="388"/>
      <w:bookmarkEnd w:id="389"/>
      <w:bookmarkEnd w:id="390"/>
      <w:bookmarkEnd w:id="391"/>
    </w:p>
    <w:p w14:paraId="62066689">
      <w:pPr>
        <w:pStyle w:val="129"/>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392" w:name="_Toc29640"/>
      <w:bookmarkStart w:id="393" w:name="_Toc23873"/>
      <w:bookmarkStart w:id="394" w:name="_Toc1115"/>
      <w:bookmarkStart w:id="395" w:name="_Toc24179"/>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投标人自行编写的技术文件</w:t>
      </w:r>
      <w:bookmarkEnd w:id="392"/>
      <w:bookmarkEnd w:id="393"/>
      <w:bookmarkEnd w:id="394"/>
      <w:bookmarkEnd w:id="395"/>
    </w:p>
    <w:p w14:paraId="1507B47B">
      <w:pPr>
        <w:pStyle w:val="123"/>
        <w:spacing w:line="360" w:lineRule="auto"/>
        <w:rPr>
          <w:rFonts w:hint="eastAsia" w:ascii="宋体" w:hAnsi="宋体" w:eastAsia="宋体" w:cs="Times New Roman"/>
          <w:color w:val="000000" w:themeColor="text1"/>
          <w:kern w:val="0"/>
          <w:sz w:val="24"/>
          <w:szCs w:val="22"/>
          <w:highlight w:val="none"/>
          <w:lang w:eastAsia="zh-CN"/>
          <w14:textFill>
            <w14:solidFill>
              <w14:schemeClr w14:val="tx1"/>
            </w14:solidFill>
          </w14:textFill>
        </w:rPr>
      </w:pPr>
      <w:r>
        <w:rPr>
          <w:rFonts w:hint="eastAsia" w:asciiTheme="majorEastAsia" w:hAnsiTheme="majorEastAsia" w:eastAsiaTheme="majorEastAsia"/>
          <w:color w:val="000000" w:themeColor="text1"/>
          <w:kern w:val="0"/>
          <w:sz w:val="24"/>
          <w:highlight w:val="none"/>
          <w14:textFill>
            <w14:solidFill>
              <w14:schemeClr w14:val="tx1"/>
            </w14:solidFill>
          </w14:textFill>
        </w:rPr>
        <w:t>&lt;</w:t>
      </w:r>
      <w:r>
        <w:rPr>
          <w:rFonts w:hint="eastAsia" w:asciiTheme="majorEastAsia" w:hAnsiTheme="majorEastAsia" w:eastAsiaTheme="majorEastAsia"/>
          <w:color w:val="000000" w:themeColor="text1"/>
          <w:kern w:val="0"/>
          <w:sz w:val="24"/>
          <w:highlight w:val="none"/>
          <w:lang w:val="en-US" w:eastAsia="zh-CN"/>
          <w14:textFill>
            <w14:solidFill>
              <w14:schemeClr w14:val="tx1"/>
            </w14:solidFill>
          </w14:textFill>
        </w:rPr>
        <w:t>1&gt;</w:t>
      </w:r>
      <w:r>
        <w:rPr>
          <w:rFonts w:hint="eastAsia" w:ascii="宋体" w:hAnsi="宋体" w:eastAsia="宋体" w:cs="Times New Roman"/>
          <w:color w:val="000000" w:themeColor="text1"/>
          <w:kern w:val="0"/>
          <w:sz w:val="24"/>
          <w:szCs w:val="22"/>
          <w:highlight w:val="none"/>
          <w14:textFill>
            <w14:solidFill>
              <w14:schemeClr w14:val="tx1"/>
            </w14:solidFill>
          </w14:textFill>
        </w:rPr>
        <w:t>项目服务</w:t>
      </w:r>
      <w:r>
        <w:rPr>
          <w:rFonts w:hint="eastAsia" w:ascii="宋体" w:hAnsi="宋体" w:cs="Times New Roman"/>
          <w:color w:val="000000" w:themeColor="text1"/>
          <w:kern w:val="0"/>
          <w:sz w:val="24"/>
          <w:szCs w:val="22"/>
          <w:highlight w:val="none"/>
          <w:lang w:val="en-US" w:eastAsia="zh-CN"/>
          <w14:textFill>
            <w14:solidFill>
              <w14:schemeClr w14:val="tx1"/>
            </w14:solidFill>
          </w14:textFill>
        </w:rPr>
        <w:t>方案</w:t>
      </w:r>
    </w:p>
    <w:p w14:paraId="617477F7">
      <w:pPr>
        <w:pStyle w:val="123"/>
        <w:spacing w:line="360" w:lineRule="auto"/>
        <w:rPr>
          <w:rFonts w:hint="default"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&lt;2&gt;</w:t>
      </w:r>
      <w:r>
        <w:rPr>
          <w:rFonts w:hint="eastAsia" w:ascii="宋体" w:hAnsi="宋体" w:eastAsia="宋体" w:cs="Times New Roman"/>
          <w:color w:val="000000" w:themeColor="text1"/>
          <w:kern w:val="0"/>
          <w:sz w:val="24"/>
          <w:szCs w:val="22"/>
          <w:highlight w:val="none"/>
          <w14:textFill>
            <w14:solidFill>
              <w14:schemeClr w14:val="tx1"/>
            </w14:solidFill>
          </w14:textFill>
        </w:rPr>
        <w:t>岗位设置及配备情况</w:t>
      </w:r>
    </w:p>
    <w:p w14:paraId="4CCCFFD8">
      <w:pPr>
        <w:pStyle w:val="123"/>
        <w:tabs>
          <w:tab w:val="left" w:pos="5580"/>
        </w:tabs>
        <w:spacing w:line="360" w:lineRule="auto"/>
        <w:jc w:val="left"/>
        <w:rPr>
          <w:rFonts w:asciiTheme="majorEastAsia" w:hAnsiTheme="majorEastAsia" w:eastAsiaTheme="majorEastAsia"/>
          <w:b/>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kern w:val="0"/>
          <w:sz w:val="24"/>
          <w:highlight w:val="none"/>
          <w14:textFill>
            <w14:solidFill>
              <w14:schemeClr w14:val="tx1"/>
            </w14:solidFill>
          </w14:textFill>
        </w:rPr>
        <w:t>&lt;3&gt;</w:t>
      </w:r>
      <w:r>
        <w:rPr>
          <w:rFonts w:hint="eastAsia" w:cs="宋体" w:asciiTheme="majorEastAsia" w:hAnsiTheme="majorEastAsia" w:eastAsiaTheme="majorEastAsia"/>
          <w:color w:val="000000" w:themeColor="text1"/>
          <w:szCs w:val="21"/>
          <w:highlight w:val="none"/>
          <w:lang w:val="zh-TW" w:eastAsia="zh-TW"/>
          <w14:textFill>
            <w14:solidFill>
              <w14:schemeClr w14:val="tx1"/>
            </w14:solidFill>
          </w14:textFill>
        </w:rPr>
        <w:t>★</w:t>
      </w:r>
      <w:r>
        <w:rPr>
          <w:rFonts w:hint="eastAsia" w:asciiTheme="majorEastAsia" w:hAnsiTheme="majorEastAsia" w:eastAsiaTheme="majorEastAsia"/>
          <w:b/>
          <w:color w:val="000000" w:themeColor="text1"/>
          <w:sz w:val="24"/>
          <w:highlight w:val="none"/>
          <w14:textFill>
            <w14:solidFill>
              <w14:schemeClr w14:val="tx1"/>
            </w14:solidFill>
          </w14:textFill>
        </w:rPr>
        <w:t>技术规范偏离表</w:t>
      </w:r>
    </w:p>
    <w:p w14:paraId="67C943DE">
      <w:pPr>
        <w:pStyle w:val="133"/>
        <w:spacing w:line="360" w:lineRule="auto"/>
        <w:ind w:left="0" w:leftChars="0" w:firstLine="0" w:firstLineChars="0"/>
        <w:rPr>
          <w:rFonts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项目编号：</w:t>
      </w:r>
    </w:p>
    <w:tbl>
      <w:tblPr>
        <w:tblStyle w:val="23"/>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3279"/>
        <w:gridCol w:w="2020"/>
        <w:gridCol w:w="1411"/>
        <w:gridCol w:w="1286"/>
      </w:tblGrid>
      <w:tr w14:paraId="4ACD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442" w:type="dxa"/>
            <w:vAlign w:val="center"/>
          </w:tcPr>
          <w:p w14:paraId="3E84EE9D">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序号</w:t>
            </w:r>
          </w:p>
        </w:tc>
        <w:tc>
          <w:tcPr>
            <w:tcW w:w="3279" w:type="dxa"/>
            <w:vAlign w:val="center"/>
          </w:tcPr>
          <w:p w14:paraId="19A60BB9">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竞争性谈判文件</w:t>
            </w:r>
            <w:r>
              <w:rPr>
                <w:rFonts w:hint="eastAsia" w:asciiTheme="majorEastAsia" w:hAnsiTheme="majorEastAsia" w:eastAsiaTheme="majorEastAsia"/>
                <w:color w:val="000000" w:themeColor="text1"/>
                <w:sz w:val="24"/>
                <w:highlight w:val="none"/>
                <w14:textFill>
                  <w14:solidFill>
                    <w14:schemeClr w14:val="tx1"/>
                  </w14:solidFill>
                </w14:textFill>
              </w:rPr>
              <w:t>技术规范、要求</w:t>
            </w:r>
          </w:p>
        </w:tc>
        <w:tc>
          <w:tcPr>
            <w:tcW w:w="2020" w:type="dxa"/>
            <w:vAlign w:val="center"/>
          </w:tcPr>
          <w:p w14:paraId="356ED529">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对应规范</w:t>
            </w:r>
          </w:p>
        </w:tc>
        <w:tc>
          <w:tcPr>
            <w:tcW w:w="1411" w:type="dxa"/>
            <w:vAlign w:val="center"/>
          </w:tcPr>
          <w:p w14:paraId="0B49E52F">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偏离</w:t>
            </w:r>
          </w:p>
        </w:tc>
        <w:tc>
          <w:tcPr>
            <w:tcW w:w="1286" w:type="dxa"/>
            <w:vAlign w:val="center"/>
          </w:tcPr>
          <w:p w14:paraId="10691F3C">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备注</w:t>
            </w:r>
          </w:p>
        </w:tc>
      </w:tr>
      <w:tr w14:paraId="1677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42" w:type="dxa"/>
            <w:vAlign w:val="center"/>
          </w:tcPr>
          <w:p w14:paraId="449095F7">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3279" w:type="dxa"/>
            <w:vAlign w:val="center"/>
          </w:tcPr>
          <w:p w14:paraId="74C29930">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20" w:type="dxa"/>
            <w:vAlign w:val="center"/>
          </w:tcPr>
          <w:p w14:paraId="3F820EA3">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411" w:type="dxa"/>
            <w:vAlign w:val="center"/>
          </w:tcPr>
          <w:p w14:paraId="5300E6B6">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286" w:type="dxa"/>
            <w:vAlign w:val="center"/>
          </w:tcPr>
          <w:p w14:paraId="65ACEDA2">
            <w:pPr>
              <w:pStyle w:val="123"/>
              <w:tabs>
                <w:tab w:val="left" w:pos="754"/>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3B0E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42" w:type="dxa"/>
            <w:vAlign w:val="center"/>
          </w:tcPr>
          <w:p w14:paraId="2C29E5B2">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3279" w:type="dxa"/>
            <w:vAlign w:val="center"/>
          </w:tcPr>
          <w:p w14:paraId="6675501A">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20" w:type="dxa"/>
            <w:vAlign w:val="center"/>
          </w:tcPr>
          <w:p w14:paraId="24856C20">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411" w:type="dxa"/>
            <w:vAlign w:val="center"/>
          </w:tcPr>
          <w:p w14:paraId="417D4D55">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286" w:type="dxa"/>
            <w:vAlign w:val="center"/>
          </w:tcPr>
          <w:p w14:paraId="30B448AD">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710C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42" w:type="dxa"/>
            <w:vAlign w:val="center"/>
          </w:tcPr>
          <w:p w14:paraId="73968F04">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3279" w:type="dxa"/>
            <w:vAlign w:val="center"/>
          </w:tcPr>
          <w:p w14:paraId="0EC5373A">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20" w:type="dxa"/>
            <w:vAlign w:val="center"/>
          </w:tcPr>
          <w:p w14:paraId="2ADF9771">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411" w:type="dxa"/>
            <w:vAlign w:val="center"/>
          </w:tcPr>
          <w:p w14:paraId="0E36DA90">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286" w:type="dxa"/>
            <w:vAlign w:val="center"/>
          </w:tcPr>
          <w:p w14:paraId="123F570F">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78EB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2" w:type="dxa"/>
            <w:vAlign w:val="center"/>
          </w:tcPr>
          <w:p w14:paraId="458E9984">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3279" w:type="dxa"/>
            <w:vAlign w:val="center"/>
          </w:tcPr>
          <w:p w14:paraId="772D1581">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20" w:type="dxa"/>
            <w:vAlign w:val="center"/>
          </w:tcPr>
          <w:p w14:paraId="4F2DB222">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411" w:type="dxa"/>
            <w:vAlign w:val="center"/>
          </w:tcPr>
          <w:p w14:paraId="3FA029ED">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286" w:type="dxa"/>
            <w:vAlign w:val="center"/>
          </w:tcPr>
          <w:p w14:paraId="6FC2F7F0">
            <w:pPr>
              <w:pStyle w:val="123"/>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bl>
    <w:p w14:paraId="7DABAE81">
      <w:pPr>
        <w:pStyle w:val="134"/>
        <w:spacing w:before="0" w:after="0" w:line="360" w:lineRule="auto"/>
        <w:ind w:right="960" w:firstLine="0" w:firstLineChars="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注：供应商</w:t>
      </w:r>
      <w:r>
        <w:rPr>
          <w:rFonts w:hint="eastAsia" w:asciiTheme="majorEastAsia" w:hAnsiTheme="majorEastAsia" w:eastAsiaTheme="majorEastAsia"/>
          <w:color w:val="000000" w:themeColor="text1"/>
          <w:sz w:val="24"/>
          <w:szCs w:val="24"/>
          <w:highlight w:val="none"/>
          <w14:textFill>
            <w14:solidFill>
              <w14:schemeClr w14:val="tx1"/>
            </w14:solidFill>
          </w14:textFill>
        </w:rPr>
        <w:t>须对</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竞争性谈判</w:t>
      </w:r>
      <w:r>
        <w:rPr>
          <w:rFonts w:hint="eastAsia" w:asciiTheme="majorEastAsia" w:hAnsiTheme="majorEastAsia" w:eastAsiaTheme="majorEastAsia"/>
          <w:color w:val="000000" w:themeColor="text1"/>
          <w:sz w:val="24"/>
          <w:szCs w:val="24"/>
          <w:highlight w:val="none"/>
          <w14:textFill>
            <w14:solidFill>
              <w14:schemeClr w14:val="tx1"/>
            </w14:solidFill>
          </w14:textFill>
        </w:rPr>
        <w:t>文件</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第三部分采购需求中的技术</w:t>
      </w:r>
      <w:r>
        <w:rPr>
          <w:rFonts w:hint="eastAsia" w:asciiTheme="majorEastAsia" w:hAnsiTheme="majorEastAsia" w:eastAsiaTheme="majorEastAsia"/>
          <w:color w:val="000000" w:themeColor="text1"/>
          <w:sz w:val="24"/>
          <w:szCs w:val="24"/>
          <w:highlight w:val="none"/>
          <w14:textFill>
            <w14:solidFill>
              <w14:schemeClr w14:val="tx1"/>
            </w14:solidFill>
          </w14:textFill>
        </w:rPr>
        <w:t>要求进行点对点应答，进行逐条逐项答复、说明和解释</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olor w:val="000000" w:themeColor="text1"/>
          <w:sz w:val="24"/>
          <w:highlight w:val="none"/>
          <w14:textFill>
            <w14:solidFill>
              <w14:schemeClr w14:val="tx1"/>
            </w14:solidFill>
          </w14:textFill>
        </w:rPr>
        <w:t>如有偏离，</w:t>
      </w:r>
      <w:r>
        <w:rPr>
          <w:rFonts w:hint="eastAsia"/>
          <w:bCs/>
          <w:color w:val="000000" w:themeColor="text1"/>
          <w:sz w:val="24"/>
          <w14:textFill>
            <w14:solidFill>
              <w14:schemeClr w14:val="tx1"/>
            </w14:solidFill>
          </w14:textFill>
        </w:rPr>
        <w:t>并在备注中注明偏离的具体内容。</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w:t>
      </w:r>
    </w:p>
    <w:p w14:paraId="6BC6E7FF">
      <w:pPr>
        <w:pStyle w:val="37"/>
        <w:spacing w:line="360" w:lineRule="auto"/>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p>
    <w:p w14:paraId="046F2ABC">
      <w:pPr>
        <w:pStyle w:val="37"/>
        <w:spacing w:line="360" w:lineRule="auto"/>
        <w:rPr>
          <w:rFonts w:hint="eastAsia" w:ascii="宋体" w:hAnsi="宋体" w:eastAsia="宋体" w:cs="Times New Roman"/>
          <w:color w:val="000000" w:themeColor="text1"/>
          <w:kern w:val="0"/>
          <w:sz w:val="24"/>
          <w:szCs w:val="22"/>
          <w:highlight w:val="none"/>
          <w14:textFill>
            <w14:solidFill>
              <w14:schemeClr w14:val="tx1"/>
            </w14:solidFill>
          </w14:textFill>
        </w:rPr>
      </w:pP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&lt;4&gt;</w:t>
      </w:r>
      <w:r>
        <w:rPr>
          <w:rFonts w:hint="eastAsia" w:ascii="宋体" w:hAnsi="宋体" w:eastAsia="宋体" w:cs="Times New Roman"/>
          <w:color w:val="000000" w:themeColor="text1"/>
          <w:kern w:val="0"/>
          <w:sz w:val="24"/>
          <w:szCs w:val="22"/>
          <w:highlight w:val="none"/>
          <w14:textFill>
            <w14:solidFill>
              <w14:schemeClr w14:val="tx1"/>
            </w14:solidFill>
          </w14:textFill>
        </w:rPr>
        <w:t>项目组织、运作和管理等；</w:t>
      </w:r>
    </w:p>
    <w:p w14:paraId="4483F957">
      <w:pPr>
        <w:pStyle w:val="132"/>
        <w:spacing w:line="360" w:lineRule="auto"/>
        <w:rPr>
          <w:rFonts w:ascii="宋体" w:hAnsi="宋体"/>
          <w:color w:val="000000" w:themeColor="text1"/>
          <w:kern w:val="0"/>
          <w:sz w:val="24"/>
          <w:highlight w:val="none"/>
          <w14:textFill>
            <w14:solidFill>
              <w14:schemeClr w14:val="tx1"/>
            </w14:solidFill>
          </w14:textFill>
        </w:rPr>
      </w:pPr>
    </w:p>
    <w:p w14:paraId="604EA877">
      <w:pPr>
        <w:widowControl w:val="0"/>
        <w:numPr>
          <w:ilvl w:val="0"/>
          <w:numId w:val="0"/>
        </w:numPr>
        <w:jc w:val="both"/>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&lt;5&gt;</w:t>
      </w:r>
      <w:r>
        <w:rPr>
          <w:rFonts w:hint="eastAsia" w:ascii="宋体" w:hAnsi="宋体" w:cs="宋体"/>
          <w:color w:val="000000" w:themeColor="text1"/>
          <w:kern w:val="0"/>
          <w:sz w:val="24"/>
          <w:highlight w:val="none"/>
          <w14:textFill>
            <w14:solidFill>
              <w14:schemeClr w14:val="tx1"/>
            </w14:solidFill>
          </w14:textFill>
        </w:rPr>
        <w:t>供应商认为有必要提供的其他技术文件。</w:t>
      </w:r>
    </w:p>
    <w:p w14:paraId="2938FB97">
      <w:pPr>
        <w:pStyle w:val="132"/>
        <w:tabs>
          <w:tab w:val="left" w:pos="3570"/>
          <w:tab w:val="left" w:pos="5580"/>
        </w:tabs>
        <w:spacing w:line="360" w:lineRule="auto"/>
        <w:jc w:val="left"/>
        <w:rPr>
          <w:rFonts w:ascii="宋体" w:hAnsi="宋体" w:cs="宋体"/>
          <w:color w:val="000000" w:themeColor="text1"/>
          <w:kern w:val="0"/>
          <w:sz w:val="24"/>
          <w:highlight w:val="none"/>
          <w14:textFill>
            <w14:solidFill>
              <w14:schemeClr w14:val="tx1"/>
            </w14:solidFill>
          </w14:textFill>
        </w:rPr>
      </w:pPr>
    </w:p>
    <w:bookmarkEnd w:id="276"/>
    <w:p w14:paraId="7EC1CFA3">
      <w:pPr>
        <w:rPr>
          <w:color w:val="000000" w:themeColor="text1"/>
          <w:highlight w:val="none"/>
          <w14:textFill>
            <w14:solidFill>
              <w14:schemeClr w14:val="tx1"/>
            </w14:solidFill>
          </w14:textFill>
        </w:rPr>
      </w:pPr>
    </w:p>
    <w:sectPr>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宋体-简">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E0E37">
    <w:pPr>
      <w:pStyle w:val="16"/>
      <w:tabs>
        <w:tab w:val="left" w:pos="4717"/>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CE3C">
    <w:pPr>
      <w:pStyle w:val="16"/>
      <w:pBdr>
        <w:top w:val="single" w:color="auto" w:sz="4" w:space="0"/>
      </w:pBdr>
      <w:tabs>
        <w:tab w:val="left" w:pos="6932"/>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601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FB57">
    <w:pPr>
      <w:pStyle w:val="16"/>
      <w:pBdr>
        <w:top w:val="single" w:color="auto" w:sz="4"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3609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C3609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6377C">
    <w:pPr>
      <w:pStyle w:val="16"/>
      <w:pBdr>
        <w:top w:val="single" w:color="auto" w:sz="4"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3DCE0">
                          <w:pPr>
                            <w:pStyle w:val="16"/>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63DCE0">
                    <w:pPr>
                      <w:pStyle w:val="16"/>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6F9F">
    <w:pPr>
      <w:pStyle w:val="17"/>
      <w:pBdr>
        <w:bottom w:val="thinThickSmallGap" w:color="auto" w:sz="12" w:space="1"/>
      </w:pBdr>
    </w:pPr>
    <w:r>
      <w:rPr>
        <w:rFonts w:hint="eastAsia" w:ascii="等线" w:hAnsi="等线" w:eastAsia="等线" w:cs="等线"/>
        <w:b/>
        <w:bCs/>
        <w:sz w:val="21"/>
        <w:szCs w:val="21"/>
      </w:rPr>
      <w:t>新疆君凯杰工程项目管理有限公司</w:t>
    </w:r>
    <w:r>
      <w:rPr>
        <w:rFonts w:hint="eastAsia" w:ascii="等线" w:hAnsi="等线" w:eastAsia="等线" w:cs="等线"/>
        <w:sz w:val="24"/>
        <w:szCs w:val="24"/>
      </w:rPr>
      <w:t xml:space="preserve"> </w:t>
    </w:r>
    <w:r>
      <w:rPr>
        <w:rFonts w:hint="eastAsia" w:ascii="等线" w:hAnsi="等线" w:eastAsia="等线" w:cs="等线"/>
      </w:rPr>
      <w:t xml:space="preserve">                                      </w:t>
    </w:r>
    <w:r>
      <w:rPr>
        <w:rFonts w:hint="eastAsia"/>
        <w:b/>
        <w:bCs/>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8390">
    <w:pPr>
      <w:pStyle w:val="17"/>
      <w:pBdr>
        <w:bottom w:val="thinThickSmallGap" w:color="auto" w:sz="12" w:space="1"/>
      </w:pBdr>
    </w:pPr>
    <w:r>
      <w:rPr>
        <w:rFonts w:hint="eastAsia" w:ascii="等线" w:hAnsi="等线" w:eastAsia="等线" w:cs="等线"/>
        <w:b/>
        <w:bCs/>
        <w:sz w:val="21"/>
        <w:szCs w:val="21"/>
      </w:rPr>
      <w:t>新疆君凯杰工程项目管理有限公司</w:t>
    </w:r>
    <w:r>
      <w:rPr>
        <w:rFonts w:hint="eastAsia" w:ascii="等线" w:hAnsi="等线" w:eastAsia="等线" w:cs="等线"/>
        <w:sz w:val="21"/>
        <w:szCs w:val="21"/>
      </w:rPr>
      <w:t xml:space="preserve"> </w:t>
    </w:r>
    <w:r>
      <w:rPr>
        <w:rFonts w:hint="eastAsia" w:ascii="等线" w:hAnsi="等线" w:eastAsia="等线" w:cs="等线"/>
      </w:rPr>
      <w:t xml:space="preserve">                                        </w:t>
    </w:r>
    <w:r>
      <w:rPr>
        <w:rFonts w:hint="eastAsia"/>
      </w:rPr>
      <w:t xml:space="preserve"> </w:t>
    </w:r>
    <w:r>
      <w:rPr>
        <w:rFonts w:hint="eastAsia"/>
        <w:b/>
        <w:bCs/>
      </w:rPr>
      <w:t>【专业 诚信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B203">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C199B"/>
    <w:multiLevelType w:val="singleLevel"/>
    <w:tmpl w:val="F5BC199B"/>
    <w:lvl w:ilvl="0" w:tentative="0">
      <w:start w:val="1"/>
      <w:numFmt w:val="decimal"/>
      <w:suff w:val="nothing"/>
      <w:lvlText w:val="%1）"/>
      <w:lvlJc w:val="left"/>
    </w:lvl>
  </w:abstractNum>
  <w:abstractNum w:abstractNumId="1">
    <w:nsid w:val="FFFFFF88"/>
    <w:multiLevelType w:val="singleLevel"/>
    <w:tmpl w:val="FFFFFF88"/>
    <w:lvl w:ilvl="0" w:tentative="0">
      <w:start w:val="1"/>
      <w:numFmt w:val="decimal"/>
      <w:pStyle w:val="144"/>
      <w:lvlText w:val="%1."/>
      <w:lvlJc w:val="left"/>
      <w:pPr>
        <w:tabs>
          <w:tab w:val="left" w:pos="360"/>
        </w:tabs>
        <w:ind w:left="360" w:hanging="360"/>
      </w:pPr>
    </w:lvl>
  </w:abstractNum>
  <w:abstractNum w:abstractNumId="2">
    <w:nsid w:val="4A50324B"/>
    <w:multiLevelType w:val="multilevel"/>
    <w:tmpl w:val="4A50324B"/>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630801E8"/>
    <w:multiLevelType w:val="multilevel"/>
    <w:tmpl w:val="630801E8"/>
    <w:lvl w:ilvl="0" w:tentative="0">
      <w:start w:val="1"/>
      <w:numFmt w:val="bullet"/>
      <w:lvlText w:val=""/>
      <w:lvlJc w:val="left"/>
      <w:pPr>
        <w:tabs>
          <w:tab w:val="left" w:pos="480"/>
        </w:tabs>
        <w:ind w:left="480" w:hanging="48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658C6D29"/>
    <w:multiLevelType w:val="multilevel"/>
    <w:tmpl w:val="658C6D29"/>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
    <w:nsid w:val="66D34135"/>
    <w:multiLevelType w:val="singleLevel"/>
    <w:tmpl w:val="66D34135"/>
    <w:lvl w:ilvl="0" w:tentative="0">
      <w:start w:val="4"/>
      <w:numFmt w:val="decimal"/>
      <w:suff w:val="nothing"/>
      <w:lvlText w:val="%1）"/>
      <w:lvlJc w:val="left"/>
      <w:pPr>
        <w:ind w:left="120" w:firstLine="0"/>
      </w:pPr>
    </w:lvl>
  </w:abstractNum>
  <w:abstractNum w:abstractNumId="7">
    <w:nsid w:val="77705526"/>
    <w:multiLevelType w:val="multilevel"/>
    <w:tmpl w:val="77705526"/>
    <w:lvl w:ilvl="0" w:tentative="0">
      <w:start w:val="1"/>
      <w:numFmt w:val="bullet"/>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8">
    <w:nsid w:val="7D99202C"/>
    <w:multiLevelType w:val="singleLevel"/>
    <w:tmpl w:val="7D99202C"/>
    <w:lvl w:ilvl="0" w:tentative="0">
      <w:start w:val="1"/>
      <w:numFmt w:val="decimal"/>
      <w:suff w:val="nothing"/>
      <w:lvlText w:val="%1、"/>
      <w:lvlJc w:val="left"/>
    </w:lvl>
  </w:abstractNum>
  <w:num w:numId="1">
    <w:abstractNumId w:val="4"/>
  </w:num>
  <w:num w:numId="2">
    <w:abstractNumId w:val="1"/>
  </w:num>
  <w:num w:numId="3">
    <w:abstractNumId w:val="7"/>
  </w:num>
  <w:num w:numId="4">
    <w:abstractNumId w:val="2"/>
  </w:num>
  <w:num w:numId="5">
    <w:abstractNumId w:val="3"/>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TRjZjQ5MzQxODZlODEwNDkzM2FjMTFjNzI4MmUifQ=="/>
  </w:docVars>
  <w:rsids>
    <w:rsidRoot w:val="2B3275BB"/>
    <w:rsid w:val="01F54D67"/>
    <w:rsid w:val="036A1D9D"/>
    <w:rsid w:val="0B75148C"/>
    <w:rsid w:val="0B991789"/>
    <w:rsid w:val="0D3C08CE"/>
    <w:rsid w:val="0E8A4AD4"/>
    <w:rsid w:val="12426CF7"/>
    <w:rsid w:val="144A2AAE"/>
    <w:rsid w:val="192137CF"/>
    <w:rsid w:val="1B2E3AD1"/>
    <w:rsid w:val="1B3D6F7B"/>
    <w:rsid w:val="1C2C7853"/>
    <w:rsid w:val="1D7879E5"/>
    <w:rsid w:val="1E2B1D5A"/>
    <w:rsid w:val="1EA20367"/>
    <w:rsid w:val="205748EC"/>
    <w:rsid w:val="21BA7518"/>
    <w:rsid w:val="23712BD9"/>
    <w:rsid w:val="28A46846"/>
    <w:rsid w:val="2B3275BB"/>
    <w:rsid w:val="2F2C114B"/>
    <w:rsid w:val="30D4393A"/>
    <w:rsid w:val="32D827AB"/>
    <w:rsid w:val="33E6363E"/>
    <w:rsid w:val="347555A8"/>
    <w:rsid w:val="34FB5965"/>
    <w:rsid w:val="356F1B25"/>
    <w:rsid w:val="37DB4030"/>
    <w:rsid w:val="3A8F5DD5"/>
    <w:rsid w:val="3CD30555"/>
    <w:rsid w:val="3D670A7E"/>
    <w:rsid w:val="3DB80768"/>
    <w:rsid w:val="401E15E2"/>
    <w:rsid w:val="4037207C"/>
    <w:rsid w:val="41DA3C4E"/>
    <w:rsid w:val="42CD6DEA"/>
    <w:rsid w:val="435B1214"/>
    <w:rsid w:val="4AAB5291"/>
    <w:rsid w:val="52AB1A9E"/>
    <w:rsid w:val="53BD7A98"/>
    <w:rsid w:val="55002950"/>
    <w:rsid w:val="5720110A"/>
    <w:rsid w:val="5A532442"/>
    <w:rsid w:val="5D4053CC"/>
    <w:rsid w:val="5E082E71"/>
    <w:rsid w:val="5EF131F9"/>
    <w:rsid w:val="5F3D5B3C"/>
    <w:rsid w:val="617867B5"/>
    <w:rsid w:val="618E0CD5"/>
    <w:rsid w:val="64260E91"/>
    <w:rsid w:val="65D87C2A"/>
    <w:rsid w:val="703D7168"/>
    <w:rsid w:val="741C651D"/>
    <w:rsid w:val="773B2117"/>
    <w:rsid w:val="7E68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qFormat/>
    <w:uiPriority w:val="0"/>
    <w:pPr>
      <w:outlineLvl w:val="1"/>
    </w:pPr>
    <w:rPr>
      <w:rFonts w:ascii="Arial" w:hAnsi="Arial" w:eastAsia="黑体"/>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3920" w:leftChars="1400"/>
    </w:pPr>
  </w:style>
  <w:style w:type="paragraph" w:styleId="7">
    <w:name w:val="Normal Indent"/>
    <w:basedOn w:val="1"/>
    <w:unhideWhenUsed/>
    <w:qFormat/>
    <w:uiPriority w:val="0"/>
    <w:pPr>
      <w:ind w:firstLine="420" w:firstLineChars="200"/>
    </w:pPr>
  </w:style>
  <w:style w:type="paragraph" w:styleId="8">
    <w:name w:val="toa heading"/>
    <w:basedOn w:val="1"/>
    <w:next w:val="1"/>
    <w:qFormat/>
    <w:uiPriority w:val="0"/>
    <w:pPr>
      <w:spacing w:before="120"/>
    </w:pPr>
    <w:rPr>
      <w:rFonts w:ascii="Cambria" w:hAnsi="Cambria"/>
      <w:sz w:val="28"/>
    </w:rPr>
  </w:style>
  <w:style w:type="paragraph" w:styleId="9">
    <w:name w:val="annotation text"/>
    <w:basedOn w:val="1"/>
    <w:qFormat/>
    <w:uiPriority w:val="0"/>
    <w:pPr>
      <w:jc w:val="left"/>
    </w:pPr>
    <w:rPr>
      <w:rFonts w:ascii="Times New Roman" w:hAnsi="Times New Roman"/>
      <w:kern w:val="2"/>
      <w:sz w:val="21"/>
      <w:szCs w:val="24"/>
    </w:rPr>
  </w:style>
  <w:style w:type="paragraph" w:styleId="10">
    <w:name w:val="Body Text 3"/>
    <w:basedOn w:val="1"/>
    <w:qFormat/>
    <w:uiPriority w:val="0"/>
    <w:pPr>
      <w:spacing w:after="120"/>
    </w:pPr>
    <w:rPr>
      <w:sz w:val="16"/>
      <w:szCs w:val="16"/>
    </w:rPr>
  </w:style>
  <w:style w:type="paragraph" w:styleId="11">
    <w:name w:val="Body Text"/>
    <w:basedOn w:val="1"/>
    <w:next w:val="1"/>
    <w:qFormat/>
    <w:uiPriority w:val="0"/>
    <w:pPr>
      <w:spacing w:after="120"/>
    </w:pPr>
    <w:rPr>
      <w:rFonts w:ascii="Times New Roman" w:hAnsi="Times New Roman"/>
      <w:szCs w:val="24"/>
    </w:rPr>
  </w:style>
  <w:style w:type="paragraph" w:styleId="12">
    <w:name w:val="Body Text Indent"/>
    <w:basedOn w:val="1"/>
    <w:qFormat/>
    <w:uiPriority w:val="0"/>
    <w:pPr>
      <w:spacing w:line="500" w:lineRule="exact"/>
      <w:ind w:left="1588" w:leftChars="832" w:firstLine="433" w:firstLineChars="196"/>
    </w:pPr>
    <w:rPr>
      <w:rFonts w:ascii="Times New Roman" w:hAnsi="Times New Roman"/>
      <w:sz w:val="24"/>
      <w:szCs w:val="24"/>
    </w:rPr>
  </w:style>
  <w:style w:type="paragraph" w:styleId="13">
    <w:name w:val="toc 3"/>
    <w:basedOn w:val="1"/>
    <w:next w:val="1"/>
    <w:qFormat/>
    <w:uiPriority w:val="39"/>
    <w:pPr>
      <w:ind w:left="840" w:leftChars="400"/>
    </w:pPr>
  </w:style>
  <w:style w:type="paragraph" w:styleId="14">
    <w:name w:val="Plain Text"/>
    <w:basedOn w:val="1"/>
    <w:qFormat/>
    <w:uiPriority w:val="0"/>
    <w:rPr>
      <w:rFonts w:ascii="宋体" w:hAnsi="Courier New"/>
      <w:szCs w:val="21"/>
    </w:rPr>
  </w:style>
  <w:style w:type="paragraph" w:styleId="15">
    <w:name w:val="Body Text Indent 2"/>
    <w:basedOn w:val="1"/>
    <w:qFormat/>
    <w:uiPriority w:val="99"/>
    <w:pPr>
      <w:ind w:firstLine="480"/>
    </w:pPr>
    <w:rPr>
      <w:rFonts w:hint="eastAsia" w:ascii="Helvetica Neue" w:hAnsi="Helvetica Neue" w:eastAsia="宋体-简"/>
      <w:color w:val="000000"/>
    </w:rPr>
  </w:style>
  <w:style w:type="paragraph" w:styleId="16">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footnote text"/>
    <w:basedOn w:val="1"/>
    <w:qFormat/>
    <w:uiPriority w:val="99"/>
    <w:pPr>
      <w:snapToGrid w:val="0"/>
      <w:jc w:val="left"/>
    </w:pPr>
    <w:rPr>
      <w:sz w:val="18"/>
    </w:rPr>
  </w:style>
  <w:style w:type="paragraph" w:styleId="20">
    <w:name w:val="toc 2"/>
    <w:basedOn w:val="1"/>
    <w:next w:val="1"/>
    <w:qFormat/>
    <w:uiPriority w:val="39"/>
    <w:pPr>
      <w:ind w:left="420" w:leftChars="200"/>
    </w:pPr>
  </w:style>
  <w:style w:type="paragraph" w:styleId="21">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22">
    <w:name w:val="Body Text First Indent 2"/>
    <w:basedOn w:val="12"/>
    <w:qFormat/>
    <w:uiPriority w:val="0"/>
    <w:pPr>
      <w:ind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Hyperlink"/>
    <w:qFormat/>
    <w:uiPriority w:val="0"/>
    <w:rPr>
      <w:rFonts w:ascii="Arial" w:hAnsi="Arial" w:eastAsia="黑体" w:cs="Arial"/>
      <w:snapToGrid w:val="0"/>
      <w:color w:val="000000"/>
      <w:kern w:val="0"/>
      <w:sz w:val="18"/>
      <w:szCs w:val="18"/>
      <w:u w:val="none"/>
    </w:rPr>
  </w:style>
  <w:style w:type="paragraph" w:customStyle="1" w:styleId="29">
    <w:name w:val="方案正文"/>
    <w:basedOn w:val="12"/>
    <w:qFormat/>
    <w:uiPriority w:val="0"/>
    <w:pPr>
      <w:spacing w:before="156" w:line="360" w:lineRule="auto"/>
      <w:ind w:firstLine="359" w:firstLineChars="171"/>
      <w:jc w:val="left"/>
    </w:pPr>
    <w:rPr>
      <w:rFonts w:cs="宋体"/>
      <w:sz w:val="24"/>
    </w:rPr>
  </w:style>
  <w:style w:type="paragraph" w:customStyle="1" w:styleId="30">
    <w:name w:val="表格文字"/>
    <w:basedOn w:val="29"/>
    <w:next w:val="11"/>
    <w:qFormat/>
    <w:uiPriority w:val="0"/>
    <w:pPr>
      <w:spacing w:line="200" w:lineRule="atLeast"/>
      <w:ind w:firstLine="171"/>
      <w:jc w:val="center"/>
    </w:pPr>
    <w:rPr>
      <w:rFonts w:ascii="微软雅黑" w:hAnsi="微软雅黑" w:eastAsia="微软雅黑"/>
      <w:sz w:val="21"/>
      <w:szCs w:val="20"/>
    </w:rPr>
  </w:style>
  <w:style w:type="paragraph" w:customStyle="1" w:styleId="31">
    <w:name w:val="Body Text First Indent 21"/>
    <w:basedOn w:val="32"/>
    <w:next w:val="1"/>
    <w:qFormat/>
    <w:uiPriority w:val="0"/>
    <w:pPr>
      <w:ind w:firstLine="420"/>
    </w:pPr>
  </w:style>
  <w:style w:type="paragraph" w:customStyle="1" w:styleId="32">
    <w:name w:val="Body Text Indent1"/>
    <w:basedOn w:val="1"/>
    <w:next w:val="1"/>
    <w:qFormat/>
    <w:uiPriority w:val="0"/>
    <w:pPr>
      <w:spacing w:line="500" w:lineRule="exact"/>
      <w:ind w:left="1588" w:leftChars="832" w:firstLine="433" w:firstLineChars="196"/>
    </w:pPr>
    <w:rPr>
      <w:sz w:val="24"/>
    </w:rPr>
  </w:style>
  <w:style w:type="paragraph" w:customStyle="1" w:styleId="33">
    <w:name w:val="正文_3"/>
    <w:basedOn w:val="34"/>
    <w:next w:val="8"/>
    <w:qFormat/>
    <w:uiPriority w:val="0"/>
  </w:style>
  <w:style w:type="paragraph" w:customStyle="1" w:styleId="34">
    <w:name w:val="正文_4"/>
    <w:next w:val="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首行缩进"/>
    <w:basedOn w:val="34"/>
    <w:qFormat/>
    <w:uiPriority w:val="0"/>
    <w:pPr>
      <w:ind w:firstLine="480" w:firstLineChars="200"/>
    </w:pPr>
    <w:rPr>
      <w:lang w:val="zh-CN"/>
    </w:rPr>
  </w:style>
  <w:style w:type="character" w:customStyle="1" w:styleId="36">
    <w:name w:val="16"/>
    <w:qFormat/>
    <w:uiPriority w:val="0"/>
    <w:rPr>
      <w:rFonts w:hint="default" w:ascii="Times New Roman" w:hAnsi="Times New Roman" w:eastAsia="宋体" w:cs="Times New Roman"/>
      <w:b/>
      <w:bCs/>
      <w:color w:val="000000"/>
      <w:kern w:val="44"/>
      <w:sz w:val="44"/>
      <w:szCs w:val="44"/>
      <w:u w:val="none" w:color="000000"/>
    </w:rPr>
  </w:style>
  <w:style w:type="paragraph" w:customStyle="1" w:styleId="37">
    <w:name w:val="正文_0"/>
    <w:basedOn w:val="38"/>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8">
    <w:name w:val="正文_1"/>
    <w:next w:val="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列表_0"/>
    <w:basedOn w:val="38"/>
    <w:semiHidden/>
    <w:qFormat/>
    <w:locked/>
    <w:uiPriority w:val="0"/>
    <w:pPr>
      <w:ind w:left="200" w:hanging="200" w:hangingChars="200"/>
    </w:pPr>
  </w:style>
  <w:style w:type="paragraph" w:customStyle="1" w:styleId="40">
    <w:name w:val="页脚_0"/>
    <w:basedOn w:val="37"/>
    <w:unhideWhenUsed/>
    <w:qFormat/>
    <w:uiPriority w:val="99"/>
    <w:pPr>
      <w:tabs>
        <w:tab w:val="center" w:pos="4153"/>
        <w:tab w:val="right" w:pos="8306"/>
      </w:tabs>
      <w:snapToGrid w:val="0"/>
      <w:jc w:val="left"/>
    </w:pPr>
    <w:rPr>
      <w:sz w:val="18"/>
      <w:szCs w:val="18"/>
    </w:rPr>
  </w:style>
  <w:style w:type="paragraph" w:customStyle="1" w:styleId="41">
    <w:name w:val="正文_0_1"/>
    <w:basedOn w:val="33"/>
    <w:qFormat/>
    <w:uiPriority w:val="0"/>
    <w:rPr>
      <w:rFonts w:eastAsia="仿宋_GB2312"/>
      <w:sz w:val="28"/>
      <w:szCs w:val="24"/>
    </w:rPr>
  </w:style>
  <w:style w:type="paragraph" w:customStyle="1" w:styleId="42">
    <w:name w:val="正文_1_1"/>
    <w:basedOn w:val="43"/>
    <w:next w:val="50"/>
    <w:qFormat/>
    <w:uiPriority w:val="0"/>
    <w:rPr>
      <w:szCs w:val="22"/>
    </w:rPr>
  </w:style>
  <w:style w:type="paragraph" w:customStyle="1" w:styleId="43">
    <w:name w:val="正文_2_0_0"/>
    <w:basedOn w:val="44"/>
    <w:next w:val="46"/>
    <w:qFormat/>
    <w:uiPriority w:val="0"/>
    <w:rPr>
      <w:szCs w:val="24"/>
    </w:rPr>
  </w:style>
  <w:style w:type="paragraph" w:customStyle="1" w:styleId="44">
    <w:name w:val="正文_3_1"/>
    <w:next w:val="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缩进_1"/>
    <w:basedOn w:val="44"/>
    <w:unhideWhenUsed/>
    <w:qFormat/>
    <w:uiPriority w:val="0"/>
    <w:pPr>
      <w:ind w:firstLine="420" w:firstLineChars="200"/>
    </w:pPr>
  </w:style>
  <w:style w:type="paragraph" w:customStyle="1" w:styleId="46">
    <w:name w:val="正文文本_0_1"/>
    <w:basedOn w:val="47"/>
    <w:qFormat/>
    <w:uiPriority w:val="0"/>
    <w:pPr>
      <w:spacing w:after="120"/>
    </w:pPr>
    <w:rPr>
      <w:rFonts w:ascii="Calibri" w:hAnsi="Calibri"/>
      <w:kern w:val="0"/>
      <w:sz w:val="20"/>
    </w:rPr>
  </w:style>
  <w:style w:type="paragraph" w:customStyle="1" w:styleId="47">
    <w:name w:val="正文_2_2"/>
    <w:next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首行缩进 2_0"/>
    <w:basedOn w:val="49"/>
    <w:qFormat/>
    <w:uiPriority w:val="0"/>
    <w:pPr>
      <w:ind w:firstLine="420" w:firstLineChars="200"/>
    </w:pPr>
  </w:style>
  <w:style w:type="paragraph" w:customStyle="1" w:styleId="49">
    <w:name w:val="正文文本缩进_0_1"/>
    <w:basedOn w:val="44"/>
    <w:qFormat/>
    <w:uiPriority w:val="0"/>
    <w:pPr>
      <w:spacing w:line="500" w:lineRule="exact"/>
      <w:ind w:left="1588" w:leftChars="832" w:firstLine="433" w:firstLineChars="196"/>
    </w:pPr>
    <w:rPr>
      <w:sz w:val="24"/>
    </w:rPr>
  </w:style>
  <w:style w:type="paragraph" w:customStyle="1" w:styleId="50">
    <w:name w:val="正文首行缩进_0"/>
    <w:basedOn w:val="1"/>
    <w:unhideWhenUsed/>
    <w:qFormat/>
    <w:uiPriority w:val="99"/>
    <w:pPr>
      <w:spacing w:after="120"/>
      <w:ind w:firstLine="420" w:firstLineChars="100"/>
    </w:pPr>
  </w:style>
  <w:style w:type="paragraph" w:customStyle="1" w:styleId="51">
    <w:name w:val="正文_1_0"/>
    <w:basedOn w:val="43"/>
    <w:next w:val="52"/>
    <w:qFormat/>
    <w:uiPriority w:val="0"/>
    <w:rPr>
      <w:rFonts w:ascii="Times New Roman" w:hAnsi="Times New Roman"/>
    </w:rPr>
  </w:style>
  <w:style w:type="paragraph" w:customStyle="1" w:styleId="52">
    <w:name w:val="正文缩进_0_0"/>
    <w:basedOn w:val="41"/>
    <w:unhideWhenUsed/>
    <w:qFormat/>
    <w:uiPriority w:val="0"/>
    <w:pPr>
      <w:ind w:firstLine="420" w:firstLineChars="200"/>
    </w:pPr>
  </w:style>
  <w:style w:type="paragraph" w:customStyle="1" w:styleId="53">
    <w:name w:val="Normal_0_0"/>
    <w:qFormat/>
    <w:uiPriority w:val="0"/>
    <w:pPr>
      <w:widowControl w:val="0"/>
      <w:jc w:val="both"/>
    </w:pPr>
    <w:rPr>
      <w:rFonts w:ascii="Calibri" w:hAnsi="Calibri" w:eastAsia="Times New Roman" w:cs="Times New Roman"/>
      <w:lang w:val="en-US" w:eastAsia="zh-CN" w:bidi="ar-SA"/>
    </w:rPr>
  </w:style>
  <w:style w:type="paragraph" w:customStyle="1" w:styleId="54">
    <w:name w:val="正文_3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2"/>
    <w:next w:val="56"/>
    <w:qFormat/>
    <w:uiPriority w:val="0"/>
    <w:rPr>
      <w:rFonts w:ascii="Times New Roman" w:hAnsi="Times New Roman" w:eastAsia="Times New Roman" w:cs="Times New Roman"/>
      <w:sz w:val="24"/>
      <w:szCs w:val="24"/>
      <w:lang w:val="en-US" w:eastAsia="zh-CN" w:bidi="ar-SA"/>
    </w:rPr>
  </w:style>
  <w:style w:type="paragraph" w:customStyle="1" w:styleId="56">
    <w:name w:val="正文缩进1"/>
    <w:basedOn w:val="55"/>
    <w:unhideWhenUsed/>
    <w:qFormat/>
    <w:uiPriority w:val="0"/>
    <w:pPr>
      <w:ind w:firstLine="420" w:firstLineChars="200"/>
    </w:pPr>
    <w:rPr>
      <w:rFonts w:ascii="Calibri" w:hAnsi="Calibri"/>
      <w:szCs w:val="22"/>
    </w:rPr>
  </w:style>
  <w:style w:type="paragraph" w:customStyle="1" w:styleId="57">
    <w:name w:val="正文_2_1"/>
    <w:basedOn w:val="42"/>
    <w:next w:val="58"/>
    <w:qFormat/>
    <w:uiPriority w:val="0"/>
  </w:style>
  <w:style w:type="paragraph" w:customStyle="1" w:styleId="58">
    <w:name w:val="正文文本_2_1"/>
    <w:basedOn w:val="57"/>
    <w:qFormat/>
    <w:uiPriority w:val="99"/>
    <w:pPr>
      <w:spacing w:after="120"/>
    </w:pPr>
  </w:style>
  <w:style w:type="paragraph" w:customStyle="1" w:styleId="59">
    <w:name w:val="正文_0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0">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1">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Normal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Body text|1"/>
    <w:basedOn w:val="1"/>
    <w:qFormat/>
    <w:uiPriority w:val="0"/>
    <w:pPr>
      <w:spacing w:after="170" w:line="410" w:lineRule="auto"/>
      <w:ind w:firstLine="400"/>
    </w:pPr>
    <w:rPr>
      <w:rFonts w:ascii="宋体" w:hAnsi="宋体" w:eastAsia="宋体" w:cs="宋体"/>
      <w:lang w:val="zh-TW" w:eastAsia="zh-TW" w:bidi="zh-TW"/>
    </w:rPr>
  </w:style>
  <w:style w:type="paragraph" w:customStyle="1" w:styleId="65">
    <w:name w:val="Normal_20"/>
    <w:qFormat/>
    <w:uiPriority w:val="0"/>
    <w:rPr>
      <w:rFonts w:ascii="Times New Roman" w:hAnsi="Times New Roman" w:eastAsia="Times New Roman" w:cs="Times New Roman"/>
      <w:sz w:val="24"/>
      <w:szCs w:val="24"/>
      <w:lang w:val="en-US" w:eastAsia="zh-CN" w:bidi="ar-SA"/>
    </w:rPr>
  </w:style>
  <w:style w:type="paragraph" w:customStyle="1" w:styleId="66">
    <w:name w:val="Normal_0_1"/>
    <w:qFormat/>
    <w:uiPriority w:val="0"/>
    <w:rPr>
      <w:rFonts w:ascii="黑体" w:hAnsi="黑体" w:eastAsia="黑体" w:cs="Times New Roman"/>
      <w:b/>
      <w:sz w:val="32"/>
      <w:szCs w:val="24"/>
      <w:lang w:val="en-US" w:eastAsia="zh-CN" w:bidi="ar-SA"/>
    </w:rPr>
  </w:style>
  <w:style w:type="paragraph" w:customStyle="1" w:styleId="67">
    <w:name w:val="Normal_1_0"/>
    <w:qFormat/>
    <w:uiPriority w:val="0"/>
    <w:rPr>
      <w:rFonts w:ascii="黑体" w:hAnsi="黑体" w:eastAsia="黑体" w:cs="Times New Roman"/>
      <w:b/>
      <w:sz w:val="32"/>
      <w:szCs w:val="24"/>
      <w:lang w:val="en-US" w:eastAsia="zh-CN" w:bidi="ar-SA"/>
    </w:rPr>
  </w:style>
  <w:style w:type="paragraph" w:customStyle="1" w:styleId="68">
    <w:name w:val="正文_5"/>
    <w:basedOn w:val="69"/>
    <w:next w:val="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6"/>
    <w:next w:val="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列表_1"/>
    <w:basedOn w:val="69"/>
    <w:semiHidden/>
    <w:qFormat/>
    <w:locked/>
    <w:uiPriority w:val="0"/>
    <w:pPr>
      <w:ind w:left="200" w:hanging="200" w:hangingChars="200"/>
    </w:pPr>
  </w:style>
  <w:style w:type="paragraph" w:customStyle="1" w:styleId="71">
    <w:name w:val="段_0"/>
    <w:next w:val="68"/>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2">
    <w:name w:val="Normal_2"/>
    <w:qFormat/>
    <w:uiPriority w:val="0"/>
    <w:rPr>
      <w:rFonts w:ascii="黑体" w:hAnsi="黑体" w:eastAsia="黑体" w:cs="Times New Roman"/>
      <w:b/>
      <w:sz w:val="32"/>
      <w:szCs w:val="24"/>
      <w:lang w:val="en-US" w:eastAsia="zh-CN" w:bidi="ar-SA"/>
    </w:rPr>
  </w:style>
  <w:style w:type="paragraph" w:customStyle="1" w:styleId="73">
    <w:name w:val="Normal_3"/>
    <w:qFormat/>
    <w:uiPriority w:val="0"/>
    <w:rPr>
      <w:rFonts w:ascii="黑体" w:hAnsi="黑体" w:eastAsia="黑体" w:cs="Times New Roman"/>
      <w:b/>
      <w:sz w:val="32"/>
      <w:szCs w:val="24"/>
      <w:lang w:val="en-US" w:eastAsia="zh-CN" w:bidi="ar-SA"/>
    </w:rPr>
  </w:style>
  <w:style w:type="paragraph" w:customStyle="1" w:styleId="74">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5">
    <w:name w:val="Normal_4"/>
    <w:qFormat/>
    <w:uiPriority w:val="0"/>
    <w:rPr>
      <w:rFonts w:ascii="黑体" w:hAnsi="黑体" w:eastAsia="黑体" w:cs="Times New Roman"/>
      <w:b/>
      <w:sz w:val="32"/>
      <w:szCs w:val="24"/>
      <w:lang w:val="en-US" w:eastAsia="zh-CN" w:bidi="ar-SA"/>
    </w:rPr>
  </w:style>
  <w:style w:type="paragraph" w:customStyle="1" w:styleId="76">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标题 3_0_0"/>
    <w:basedOn w:val="76"/>
    <w:next w:val="76"/>
    <w:qFormat/>
    <w:uiPriority w:val="0"/>
    <w:pPr>
      <w:autoSpaceDE w:val="0"/>
      <w:autoSpaceDN w:val="0"/>
      <w:adjustRightInd w:val="0"/>
      <w:spacing w:line="500" w:lineRule="exact"/>
      <w:jc w:val="center"/>
      <w:outlineLvl w:val="2"/>
    </w:pPr>
    <w:rPr>
      <w:rFonts w:ascii="宋体" w:hAnsi="宋体"/>
      <w:b/>
      <w:szCs w:val="28"/>
    </w:rPr>
  </w:style>
  <w:style w:type="paragraph" w:customStyle="1" w:styleId="78">
    <w:name w:val="Normal_5"/>
    <w:qFormat/>
    <w:uiPriority w:val="0"/>
    <w:rPr>
      <w:rFonts w:ascii="黑体" w:hAnsi="黑体" w:eastAsia="黑体" w:cs="Times New Roman"/>
      <w:b/>
      <w:sz w:val="32"/>
      <w:szCs w:val="24"/>
      <w:lang w:val="en-US" w:eastAsia="zh-CN" w:bidi="ar-SA"/>
    </w:rPr>
  </w:style>
  <w:style w:type="paragraph" w:customStyle="1" w:styleId="79">
    <w:name w:val="正文文本_0"/>
    <w:basedOn w:val="80"/>
    <w:qFormat/>
    <w:uiPriority w:val="0"/>
    <w:pPr>
      <w:spacing w:after="120"/>
    </w:pPr>
    <w:rPr>
      <w:szCs w:val="24"/>
    </w:rPr>
  </w:style>
  <w:style w:type="paragraph" w:customStyle="1" w:styleId="80">
    <w:name w:val="正文_2"/>
    <w:basedOn w:val="33"/>
    <w:next w:val="35"/>
    <w:qFormat/>
    <w:uiPriority w:val="0"/>
  </w:style>
  <w:style w:type="paragraph" w:customStyle="1" w:styleId="81">
    <w:name w:val="Normal_6"/>
    <w:qFormat/>
    <w:uiPriority w:val="0"/>
    <w:rPr>
      <w:rFonts w:ascii="黑体" w:hAnsi="黑体" w:eastAsia="黑体" w:cs="Times New Roman"/>
      <w:b/>
      <w:sz w:val="32"/>
      <w:szCs w:val="24"/>
      <w:lang w:val="en-US" w:eastAsia="zh-CN" w:bidi="ar-SA"/>
    </w:rPr>
  </w:style>
  <w:style w:type="paragraph" w:customStyle="1" w:styleId="82">
    <w:name w:val="正文_3_0"/>
    <w:basedOn w:val="83"/>
    <w:next w:val="88"/>
    <w:qFormat/>
    <w:uiPriority w:val="0"/>
  </w:style>
  <w:style w:type="paragraph" w:customStyle="1" w:styleId="83">
    <w:name w:val="正文_4_0"/>
    <w:basedOn w:val="34"/>
    <w:next w:val="84"/>
    <w:qFormat/>
    <w:uiPriority w:val="0"/>
  </w:style>
  <w:style w:type="paragraph" w:customStyle="1" w:styleId="84">
    <w:name w:val="正文文本_2_0"/>
    <w:basedOn w:val="85"/>
    <w:qFormat/>
    <w:uiPriority w:val="0"/>
    <w:pPr>
      <w:spacing w:after="120"/>
    </w:pPr>
  </w:style>
  <w:style w:type="paragraph" w:customStyle="1" w:styleId="85">
    <w:name w:val="正文_2_0"/>
    <w:basedOn w:val="80"/>
    <w:next w:val="86"/>
    <w:qFormat/>
    <w:uiPriority w:val="0"/>
  </w:style>
  <w:style w:type="paragraph" w:customStyle="1" w:styleId="86">
    <w:name w:val="Body Text First Indent 21_0"/>
    <w:basedOn w:val="87"/>
    <w:next w:val="67"/>
    <w:qFormat/>
    <w:uiPriority w:val="0"/>
    <w:pPr>
      <w:ind w:firstLine="420"/>
    </w:pPr>
    <w:rPr>
      <w:rFonts w:eastAsia="宋体"/>
      <w:szCs w:val="22"/>
    </w:rPr>
  </w:style>
  <w:style w:type="paragraph" w:customStyle="1" w:styleId="87">
    <w:name w:val="Body Text Indent1_0"/>
    <w:basedOn w:val="53"/>
    <w:next w:val="67"/>
    <w:qFormat/>
    <w:uiPriority w:val="0"/>
    <w:pPr>
      <w:spacing w:line="500" w:lineRule="exact"/>
      <w:ind w:left="1588" w:leftChars="832" w:firstLine="433" w:firstLineChars="196"/>
    </w:pPr>
    <w:rPr>
      <w:sz w:val="24"/>
    </w:rPr>
  </w:style>
  <w:style w:type="paragraph" w:customStyle="1" w:styleId="88">
    <w:name w:val="正文文本_2"/>
    <w:basedOn w:val="89"/>
    <w:unhideWhenUsed/>
    <w:qFormat/>
    <w:uiPriority w:val="0"/>
    <w:rPr>
      <w:rFonts w:ascii="Times New Roman" w:hAnsi="Times New Roman" w:eastAsia="黑体"/>
      <w:sz w:val="36"/>
    </w:rPr>
  </w:style>
  <w:style w:type="paragraph" w:customStyle="1" w:styleId="89">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_4_1"/>
    <w:next w:val="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正文_5_0"/>
    <w:next w:val="9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正文缩进_0_0_0"/>
    <w:basedOn w:val="91"/>
    <w:unhideWhenUsed/>
    <w:qFormat/>
    <w:uiPriority w:val="0"/>
    <w:pPr>
      <w:ind w:firstLine="420" w:firstLineChars="200"/>
    </w:pPr>
    <w:rPr>
      <w:rFonts w:ascii="Calibri" w:hAnsi="Calibri"/>
    </w:rPr>
  </w:style>
  <w:style w:type="paragraph" w:customStyle="1" w:styleId="93">
    <w:name w:val="正文_4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Normal_7"/>
    <w:qFormat/>
    <w:uiPriority w:val="0"/>
    <w:rPr>
      <w:rFonts w:ascii="黑体" w:hAnsi="黑体" w:eastAsia="黑体" w:cs="Times New Roman"/>
      <w:b/>
      <w:sz w:val="32"/>
      <w:szCs w:val="24"/>
      <w:lang w:val="en-US" w:eastAsia="zh-CN" w:bidi="ar-SA"/>
    </w:rPr>
  </w:style>
  <w:style w:type="paragraph" w:customStyle="1" w:styleId="95">
    <w:name w:val="正文_4_0_0"/>
    <w:basedOn w:val="90"/>
    <w:qFormat/>
    <w:uiPriority w:val="0"/>
  </w:style>
  <w:style w:type="paragraph" w:customStyle="1" w:styleId="96">
    <w:name w:val="正文_0_0_1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97">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9">
    <w:name w:val="正文文本_4"/>
    <w:basedOn w:val="100"/>
    <w:qFormat/>
    <w:uiPriority w:val="0"/>
    <w:pPr>
      <w:spacing w:after="120"/>
    </w:pPr>
    <w:rPr>
      <w:rFonts w:ascii="Times New Roman" w:hAnsi="Times New Roman"/>
      <w:szCs w:val="24"/>
    </w:rPr>
  </w:style>
  <w:style w:type="paragraph" w:customStyle="1" w:styleId="100">
    <w:name w:val="正文_9"/>
    <w:next w:val="1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正文首行缩进_0_0"/>
    <w:basedOn w:val="102"/>
    <w:unhideWhenUsed/>
    <w:qFormat/>
    <w:uiPriority w:val="99"/>
    <w:pPr>
      <w:ind w:firstLine="420" w:firstLineChars="100"/>
    </w:pPr>
    <w:rPr>
      <w:szCs w:val="22"/>
    </w:rPr>
  </w:style>
  <w:style w:type="paragraph" w:customStyle="1" w:styleId="102">
    <w:name w:val="正文文本_0_1_0"/>
    <w:basedOn w:val="103"/>
    <w:qFormat/>
    <w:uiPriority w:val="0"/>
    <w:pPr>
      <w:spacing w:after="120"/>
    </w:pPr>
    <w:rPr>
      <w:rFonts w:ascii="Calibri" w:hAnsi="Calibri"/>
      <w:szCs w:val="24"/>
    </w:rPr>
  </w:style>
  <w:style w:type="paragraph" w:customStyle="1" w:styleId="103">
    <w:name w:val="正文_1_1_0"/>
    <w:next w:val="101"/>
    <w:qFormat/>
    <w:uiPriority w:val="0"/>
    <w:pPr>
      <w:widowControl w:val="0"/>
      <w:jc w:val="both"/>
    </w:pPr>
    <w:rPr>
      <w:rFonts w:ascii="Times New Roman" w:hAnsi="Times New Roman" w:eastAsia="宋体" w:cs="Times New Roman"/>
      <w:lang w:val="en-US" w:eastAsia="zh-CN" w:bidi="ar-SA"/>
    </w:rPr>
  </w:style>
  <w:style w:type="paragraph" w:customStyle="1" w:styleId="104">
    <w:name w:val="Normal_10"/>
    <w:qFormat/>
    <w:uiPriority w:val="0"/>
    <w:rPr>
      <w:rFonts w:ascii="黑体" w:hAnsi="黑体" w:eastAsia="黑体" w:cs="Times New Roman"/>
      <w:b/>
      <w:sz w:val="32"/>
      <w:szCs w:val="24"/>
      <w:lang w:val="en-US" w:eastAsia="zh-CN" w:bidi="ar-SA"/>
    </w:rPr>
  </w:style>
  <w:style w:type="paragraph" w:customStyle="1" w:styleId="105">
    <w:name w:val="Normal_11"/>
    <w:qFormat/>
    <w:uiPriority w:val="0"/>
    <w:rPr>
      <w:rFonts w:ascii="黑体" w:hAnsi="黑体" w:eastAsia="黑体" w:cs="Times New Roman"/>
      <w:b/>
      <w:sz w:val="32"/>
      <w:szCs w:val="24"/>
      <w:lang w:val="en-US" w:eastAsia="zh-CN" w:bidi="ar-SA"/>
    </w:rPr>
  </w:style>
  <w:style w:type="paragraph" w:customStyle="1" w:styleId="106">
    <w:name w:val="日期_1"/>
    <w:basedOn w:val="107"/>
    <w:next w:val="107"/>
    <w:qFormat/>
    <w:uiPriority w:val="0"/>
    <w:pPr>
      <w:ind w:left="100" w:leftChars="2500"/>
    </w:pPr>
    <w:rPr>
      <w:rFonts w:ascii="Times New Roman" w:hAnsi="Times New Roman"/>
      <w:szCs w:val="24"/>
    </w:rPr>
  </w:style>
  <w:style w:type="paragraph" w:customStyle="1" w:styleId="107">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文本_1"/>
    <w:basedOn w:val="42"/>
    <w:qFormat/>
    <w:uiPriority w:val="0"/>
    <w:pPr>
      <w:spacing w:after="120"/>
    </w:pPr>
    <w:rPr>
      <w:rFonts w:ascii="Times New Roman" w:hAnsi="Times New Roman"/>
      <w:szCs w:val="24"/>
    </w:rPr>
  </w:style>
  <w:style w:type="paragraph" w:customStyle="1" w:styleId="109">
    <w:name w:val="Normal_12"/>
    <w:qFormat/>
    <w:uiPriority w:val="0"/>
    <w:rPr>
      <w:rFonts w:ascii="黑体" w:hAnsi="黑体" w:eastAsia="黑体" w:cs="Times New Roman"/>
      <w:b/>
      <w:sz w:val="32"/>
      <w:szCs w:val="24"/>
      <w:lang w:val="en-US" w:eastAsia="zh-CN" w:bidi="ar-SA"/>
    </w:rPr>
  </w:style>
  <w:style w:type="paragraph" w:customStyle="1" w:styleId="110">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1">
    <w:name w:val="Normal_13"/>
    <w:qFormat/>
    <w:uiPriority w:val="0"/>
    <w:rPr>
      <w:rFonts w:ascii="黑体" w:hAnsi="黑体" w:eastAsia="黑体" w:cs="Times New Roman"/>
      <w:b/>
      <w:sz w:val="32"/>
      <w:szCs w:val="24"/>
      <w:lang w:val="en-US" w:eastAsia="zh-CN" w:bidi="ar-SA"/>
    </w:rPr>
  </w:style>
  <w:style w:type="paragraph" w:customStyle="1" w:styleId="112">
    <w:name w:val="正文文本缩进_1_0"/>
    <w:basedOn w:val="62"/>
    <w:qFormat/>
    <w:uiPriority w:val="0"/>
    <w:pPr>
      <w:spacing w:line="500" w:lineRule="exact"/>
      <w:ind w:left="1588" w:leftChars="832" w:firstLine="433" w:firstLineChars="196"/>
    </w:pPr>
    <w:rPr>
      <w:kern w:val="0"/>
      <w:sz w:val="24"/>
    </w:rPr>
  </w:style>
  <w:style w:type="paragraph" w:customStyle="1" w:styleId="113">
    <w:name w:val="正文_7"/>
    <w:next w:val="1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样式 黑色 首行缩进:  0.85 厘米 行距: 固定值 20 磅_1"/>
    <w:basedOn w:val="113"/>
    <w:qFormat/>
    <w:uiPriority w:val="0"/>
    <w:pPr>
      <w:spacing w:line="400" w:lineRule="exact"/>
      <w:ind w:firstLine="480"/>
    </w:pPr>
    <w:rPr>
      <w:rFonts w:ascii="宋体" w:hAnsi="宋体" w:cs="宋体"/>
      <w:color w:val="000000"/>
      <w:sz w:val="24"/>
    </w:rPr>
  </w:style>
  <w:style w:type="paragraph" w:customStyle="1" w:styleId="115">
    <w:name w:val="正文_1_0_0_0"/>
    <w:basedOn w:val="116"/>
    <w:next w:val="118"/>
    <w:qFormat/>
    <w:uiPriority w:val="0"/>
    <w:rPr>
      <w:rFonts w:ascii="Times New Roman" w:hAnsi="Times New Roman"/>
    </w:rPr>
  </w:style>
  <w:style w:type="paragraph" w:customStyle="1" w:styleId="116">
    <w:name w:val="正文_2_0_0_0"/>
    <w:basedOn w:val="43"/>
    <w:next w:val="117"/>
    <w:qFormat/>
    <w:uiPriority w:val="0"/>
  </w:style>
  <w:style w:type="paragraph" w:customStyle="1" w:styleId="117">
    <w:name w:val="引文目录标题_0_0_0"/>
    <w:basedOn w:val="83"/>
    <w:next w:val="83"/>
    <w:qFormat/>
    <w:uiPriority w:val="0"/>
    <w:pPr>
      <w:spacing w:before="120"/>
    </w:pPr>
    <w:rPr>
      <w:rFonts w:ascii="Cambria" w:hAnsi="Cambria"/>
      <w:sz w:val="28"/>
    </w:rPr>
  </w:style>
  <w:style w:type="paragraph" w:customStyle="1" w:styleId="118">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9">
    <w:name w:val="正文_0_0_3"/>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20">
    <w:name w:val="正文文本缩进_1"/>
    <w:basedOn w:val="121"/>
    <w:unhideWhenUsed/>
    <w:qFormat/>
    <w:uiPriority w:val="99"/>
    <w:pPr>
      <w:spacing w:after="120"/>
      <w:ind w:left="420" w:leftChars="200"/>
    </w:pPr>
    <w:rPr>
      <w:rFonts w:ascii="Times New Roman" w:hAnsi="Times New Roman"/>
    </w:rPr>
  </w:style>
  <w:style w:type="paragraph" w:customStyle="1" w:styleId="12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文本_3"/>
    <w:basedOn w:val="121"/>
    <w:qFormat/>
    <w:uiPriority w:val="0"/>
    <w:pPr>
      <w:spacing w:after="120"/>
    </w:pPr>
    <w:rPr>
      <w:rFonts w:ascii="Times New Roman" w:hAnsi="Times New Roman"/>
      <w:szCs w:val="24"/>
    </w:rPr>
  </w:style>
  <w:style w:type="paragraph" w:customStyle="1" w:styleId="125">
    <w:name w:val="Normal_15"/>
    <w:qFormat/>
    <w:uiPriority w:val="0"/>
    <w:rPr>
      <w:rFonts w:ascii="黑体" w:hAnsi="黑体" w:eastAsia="黑体" w:cs="Times New Roman"/>
      <w:b/>
      <w:sz w:val="32"/>
      <w:szCs w:val="24"/>
      <w:lang w:val="en-US" w:eastAsia="zh-CN" w:bidi="ar-SA"/>
    </w:rPr>
  </w:style>
  <w:style w:type="paragraph" w:customStyle="1" w:styleId="126">
    <w:name w:val="Normal_16"/>
    <w:qFormat/>
    <w:uiPriority w:val="0"/>
    <w:rPr>
      <w:rFonts w:ascii="黑体" w:hAnsi="黑体" w:eastAsia="黑体" w:cs="Times New Roman"/>
      <w:b/>
      <w:sz w:val="32"/>
      <w:szCs w:val="24"/>
      <w:lang w:val="en-US" w:eastAsia="zh-CN" w:bidi="ar-SA"/>
    </w:rPr>
  </w:style>
  <w:style w:type="paragraph" w:customStyle="1" w:styleId="127">
    <w:name w:val="正文文本缩进_5"/>
    <w:basedOn w:val="128"/>
    <w:qFormat/>
    <w:uiPriority w:val="0"/>
    <w:pPr>
      <w:spacing w:line="500" w:lineRule="exact"/>
      <w:ind w:left="1588" w:leftChars="832" w:firstLine="433" w:firstLineChars="196"/>
    </w:pPr>
    <w:rPr>
      <w:kern w:val="0"/>
      <w:sz w:val="24"/>
    </w:rPr>
  </w:style>
  <w:style w:type="paragraph" w:customStyle="1" w:styleId="128">
    <w:name w:val="正文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Normal_17"/>
    <w:qFormat/>
    <w:uiPriority w:val="0"/>
    <w:rPr>
      <w:rFonts w:ascii="黑体" w:hAnsi="黑体" w:eastAsia="黑体" w:cs="Times New Roman"/>
      <w:b/>
      <w:sz w:val="32"/>
      <w:szCs w:val="24"/>
      <w:lang w:val="en-US" w:eastAsia="zh-CN" w:bidi="ar-SA"/>
    </w:rPr>
  </w:style>
  <w:style w:type="paragraph" w:customStyle="1" w:styleId="130">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正文文本缩进_3"/>
    <w:basedOn w:val="132"/>
    <w:qFormat/>
    <w:uiPriority w:val="0"/>
    <w:pPr>
      <w:spacing w:line="500" w:lineRule="exact"/>
      <w:ind w:left="1588" w:leftChars="832" w:firstLine="433" w:firstLineChars="196"/>
    </w:pPr>
    <w:rPr>
      <w:rFonts w:ascii="Calibri" w:hAnsi="Calibri"/>
      <w:sz w:val="24"/>
    </w:rPr>
  </w:style>
  <w:style w:type="paragraph" w:customStyle="1" w:styleId="132">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正文文本缩进_4"/>
    <w:basedOn w:val="123"/>
    <w:qFormat/>
    <w:uiPriority w:val="0"/>
    <w:pPr>
      <w:spacing w:line="500" w:lineRule="exact"/>
      <w:ind w:left="1588" w:leftChars="832" w:firstLine="433" w:firstLineChars="196"/>
    </w:pPr>
    <w:rPr>
      <w:rFonts w:ascii="Calibri" w:hAnsi="Calibri"/>
      <w:sz w:val="24"/>
    </w:rPr>
  </w:style>
  <w:style w:type="paragraph" w:customStyle="1" w:styleId="134">
    <w:name w:val="题注_0"/>
    <w:basedOn w:val="62"/>
    <w:next w:val="135"/>
    <w:qFormat/>
    <w:uiPriority w:val="0"/>
    <w:pPr>
      <w:spacing w:before="152" w:after="160"/>
    </w:pPr>
    <w:rPr>
      <w:rFonts w:ascii="Arial" w:hAnsi="Arial" w:eastAsia="黑体" w:cs="Arial"/>
      <w:sz w:val="20"/>
      <w:szCs w:val="20"/>
    </w:rPr>
  </w:style>
  <w:style w:type="paragraph" w:customStyle="1" w:styleId="13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UserStyle_4"/>
    <w:basedOn w:val="1"/>
    <w:qFormat/>
    <w:uiPriority w:val="0"/>
  </w:style>
  <w:style w:type="character" w:customStyle="1" w:styleId="137">
    <w:name w:val="NormalCharacter"/>
    <w:link w:val="138"/>
    <w:qFormat/>
    <w:uiPriority w:val="0"/>
  </w:style>
  <w:style w:type="paragraph" w:customStyle="1" w:styleId="138">
    <w:name w:val="UserStyle_5"/>
    <w:basedOn w:val="1"/>
    <w:link w:val="137"/>
    <w:qFormat/>
    <w:uiPriority w:val="0"/>
    <w:pPr>
      <w:widowControl/>
      <w:spacing w:after="160" w:line="240" w:lineRule="exact"/>
      <w:jc w:val="left"/>
      <w:textAlignment w:val="baseline"/>
    </w:pPr>
  </w:style>
  <w:style w:type="paragraph" w:customStyle="1" w:styleId="139">
    <w:name w:val="GXSJTable"/>
    <w:qFormat/>
    <w:uiPriority w:val="0"/>
    <w:pPr>
      <w:widowControl w:val="0"/>
      <w:adjustRightInd w:val="0"/>
      <w:snapToGrid w:val="0"/>
      <w:spacing w:line="264" w:lineRule="auto"/>
      <w:jc w:val="center"/>
    </w:pPr>
    <w:rPr>
      <w:rFonts w:ascii="Times New Roman" w:hAnsi="Times New Roman" w:eastAsia="仿宋_GB2312" w:cs="宋体"/>
      <w:color w:val="000000"/>
      <w:spacing w:val="11"/>
      <w:kern w:val="44"/>
      <w:sz w:val="21"/>
      <w:szCs w:val="21"/>
      <w:lang w:val="en-US" w:eastAsia="zh-CN" w:bidi="ar-SA"/>
    </w:rPr>
  </w:style>
  <w:style w:type="paragraph" w:customStyle="1" w:styleId="140">
    <w:name w:val="表格内容"/>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paragraph" w:customStyle="1" w:styleId="141">
    <w:name w:val="正文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U_正文2"/>
    <w:basedOn w:val="1"/>
    <w:qFormat/>
    <w:uiPriority w:val="0"/>
    <w:pPr>
      <w:spacing w:beforeLines="10" w:afterLines="10" w:line="300" w:lineRule="auto"/>
    </w:pPr>
    <w:rPr>
      <w:sz w:val="24"/>
      <w:szCs w:val="20"/>
    </w:rPr>
  </w:style>
  <w:style w:type="paragraph" w:customStyle="1" w:styleId="143">
    <w:name w:val="U_正文"/>
    <w:basedOn w:val="1"/>
    <w:qFormat/>
    <w:uiPriority w:val="0"/>
    <w:pPr>
      <w:spacing w:beforeLines="20" w:afterLines="20" w:line="300" w:lineRule="auto"/>
      <w:ind w:firstLine="200" w:firstLineChars="200"/>
    </w:pPr>
    <w:rPr>
      <w:sz w:val="24"/>
      <w:szCs w:val="20"/>
    </w:rPr>
  </w:style>
  <w:style w:type="paragraph" w:customStyle="1" w:styleId="144">
    <w:name w:val="U_编号"/>
    <w:basedOn w:val="1"/>
    <w:qFormat/>
    <w:uiPriority w:val="0"/>
    <w:pPr>
      <w:numPr>
        <w:ilvl w:val="0"/>
        <w:numId w:val="2"/>
      </w:numPr>
      <w:tabs>
        <w:tab w:val="left" w:pos="420"/>
      </w:tabs>
      <w:spacing w:before="10" w:beforeLines="10" w:after="10" w:afterLines="10" w:line="300" w:lineRule="auto"/>
    </w:pPr>
    <w:rPr>
      <w:sz w:val="24"/>
      <w:szCs w:val="22"/>
    </w:rPr>
  </w:style>
  <w:style w:type="paragraph" w:customStyle="1" w:styleId="145">
    <w:name w:val="BodyText"/>
    <w:basedOn w:val="1"/>
    <w:qFormat/>
    <w:uiPriority w:val="0"/>
    <w:pPr>
      <w:spacing w:after="120"/>
    </w:pPr>
  </w:style>
  <w:style w:type="paragraph" w:customStyle="1" w:styleId="146">
    <w:name w:val="表格文本"/>
    <w:qFormat/>
    <w:uiPriority w:val="0"/>
    <w:pPr>
      <w:tabs>
        <w:tab w:val="decimal" w:pos="0"/>
      </w:tabs>
    </w:pPr>
    <w:rPr>
      <w:rFonts w:ascii="Arial" w:hAnsi="Arial" w:eastAsia="宋体" w:cs="Times New Roman"/>
      <w:sz w:val="18"/>
      <w:szCs w:val="21"/>
      <w:lang w:val="en-US" w:eastAsia="zh-CN" w:bidi="ar-SA"/>
    </w:rPr>
  </w:style>
  <w:style w:type="character" w:customStyle="1" w:styleId="147">
    <w:name w:val="font21"/>
    <w:basedOn w:val="25"/>
    <w:qFormat/>
    <w:uiPriority w:val="0"/>
    <w:rPr>
      <w:rFonts w:hint="eastAsia" w:ascii="宋体" w:hAnsi="宋体" w:eastAsia="宋体" w:cs="宋体"/>
      <w:b/>
      <w:bCs/>
      <w:color w:val="000000"/>
      <w:sz w:val="24"/>
      <w:szCs w:val="24"/>
      <w:u w:val="none"/>
    </w:rPr>
  </w:style>
  <w:style w:type="paragraph" w:customStyle="1" w:styleId="148">
    <w:name w:val="_Style 2"/>
    <w:basedOn w:val="2"/>
    <w:next w:val="1"/>
    <w:qFormat/>
    <w:uiPriority w:val="39"/>
    <w:pPr>
      <w:keepNext/>
      <w:keepLines/>
      <w:pageBreakBefore w:val="0"/>
      <w:pBdr>
        <w:bottom w:val="none" w:color="auto" w:sz="0" w:space="0"/>
      </w:pBdr>
      <w:tabs>
        <w:tab w:val="left" w:pos="360"/>
      </w:tabs>
      <w:adjustRightInd w:val="0"/>
      <w:spacing w:before="480" w:line="276" w:lineRule="auto"/>
      <w:ind w:left="0" w:firstLine="0"/>
      <w:textAlignment w:val="baseline"/>
      <w:outlineLvl w:val="9"/>
    </w:pPr>
    <w:rPr>
      <w:rFonts w:ascii="仿宋" w:hAnsi="仿宋" w:eastAsia="仿宋"/>
      <w:b w:val="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42835</Words>
  <Characters>45411</Characters>
  <Lines>0</Lines>
  <Paragraphs>0</Paragraphs>
  <TotalTime>12</TotalTime>
  <ScaleCrop>false</ScaleCrop>
  <LinksUpToDate>false</LinksUpToDate>
  <CharactersWithSpaces>45871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2024-05-31T10:36:00Z</dcterms:created>
  <dc:creator>晨～曦</dc:creator>
  <cp:lastModifiedBy>阿司匹林</cp:lastModifiedBy>
  <dcterms:modified xsi:type="dcterms:W3CDTF">2025-06-25T03:25:25Z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B3F7B3539B50471CA8A7D3649902F1E2_13</vt:lpwstr>
  </property>
  <property fmtid="{D5CDD505-2E9C-101B-9397-08002B2CF9AE}" pid="4" name="KSOTemplateDocerSaveRecord">
    <vt:lpwstr>eyJoZGlkIjoiM2Q5OWZhN2IzNGVjMTg0YmJjZjczOTg2OGIyMzk0NzQiLCJ1c2VySWQiOiI0NTAyNzY3MTgifQ==</vt:lpwstr>
  </property>
</Properties>
</file>