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opLinePunct/>
        <w:ind w:firstLine="0" w:firstLineChars="0"/>
        <w:jc w:val="left"/>
        <w:rPr>
          <w:rFonts w:hint="eastAsia" w:ascii="仿宋" w:hAnsi="仿宋" w:eastAsia="仿宋" w:cs="仿宋"/>
          <w:b/>
          <w:color w:val="000000" w:themeColor="text1"/>
          <w:highlight w:val="none"/>
          <w14:textFill>
            <w14:solidFill>
              <w14:schemeClr w14:val="tx1"/>
            </w14:solidFill>
          </w14:textFill>
        </w:rPr>
      </w:pPr>
    </w:p>
    <w:p>
      <w:pPr>
        <w:pStyle w:val="19"/>
        <w:topLinePunct/>
        <w:ind w:firstLine="0" w:firstLineChars="0"/>
        <w:jc w:val="left"/>
        <w:rPr>
          <w:rFonts w:hint="eastAsia" w:ascii="仿宋" w:hAnsi="仿宋" w:eastAsia="仿宋" w:cs="仿宋"/>
          <w:b/>
          <w:color w:val="000000" w:themeColor="text1"/>
          <w:highlight w:val="none"/>
          <w14:textFill>
            <w14:solidFill>
              <w14:schemeClr w14:val="tx1"/>
            </w14:solidFill>
          </w14:textFill>
        </w:rPr>
      </w:pPr>
    </w:p>
    <w:p>
      <w:pPr>
        <w:tabs>
          <w:tab w:val="left" w:pos="1134"/>
          <w:tab w:val="left" w:pos="5481"/>
          <w:tab w:val="left" w:pos="5859"/>
        </w:tabs>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新疆生产建设兵团</w:t>
      </w:r>
    </w:p>
    <w:p>
      <w:pPr>
        <w:tabs>
          <w:tab w:val="left" w:pos="1134"/>
          <w:tab w:val="left" w:pos="5481"/>
          <w:tab w:val="left" w:pos="5859"/>
        </w:tabs>
        <w:jc w:val="center"/>
        <w:rPr>
          <w:rFonts w:hint="eastAsia" w:ascii="仿宋" w:hAnsi="仿宋" w:eastAsia="仿宋" w:cs="仿宋"/>
          <w:b/>
          <w:color w:val="000000" w:themeColor="text1"/>
          <w:sz w:val="72"/>
          <w:szCs w:val="72"/>
          <w:highlight w:val="none"/>
          <w14:textFill>
            <w14:solidFill>
              <w14:schemeClr w14:val="tx1"/>
            </w14:solidFill>
          </w14:textFill>
        </w:rPr>
      </w:pPr>
    </w:p>
    <w:p>
      <w:pPr>
        <w:tabs>
          <w:tab w:val="left" w:pos="1134"/>
          <w:tab w:val="left" w:pos="5481"/>
          <w:tab w:val="left" w:pos="5859"/>
        </w:tabs>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政府采购</w:t>
      </w:r>
    </w:p>
    <w:p>
      <w:pPr>
        <w:tabs>
          <w:tab w:val="left" w:pos="1134"/>
          <w:tab w:val="left" w:pos="5481"/>
          <w:tab w:val="left" w:pos="5859"/>
        </w:tabs>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招标文件</w:t>
      </w:r>
    </w:p>
    <w:p>
      <w:pPr>
        <w:tabs>
          <w:tab w:val="left" w:pos="1134"/>
          <w:tab w:val="left" w:pos="5160"/>
        </w:tabs>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公开招标</w:t>
      </w:r>
    </w:p>
    <w:p>
      <w:pPr>
        <w:tabs>
          <w:tab w:val="left" w:pos="1134"/>
          <w:tab w:val="left" w:pos="5160"/>
        </w:tabs>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（服务类）</w:t>
      </w:r>
    </w:p>
    <w:p>
      <w:pPr>
        <w:tabs>
          <w:tab w:val="left" w:pos="1134"/>
          <w:tab w:val="left" w:pos="5481"/>
          <w:tab w:val="left" w:pos="5859"/>
        </w:tabs>
        <w:topLinePunct/>
        <w:jc w:val="center"/>
        <w:rPr>
          <w:rFonts w:hint="eastAsia" w:ascii="仿宋" w:hAnsi="仿宋" w:eastAsia="仿宋" w:cs="仿宋"/>
          <w:color w:val="000000" w:themeColor="text1"/>
          <w:sz w:val="52"/>
          <w:szCs w:val="52"/>
          <w:highlight w:val="none"/>
          <w14:textFill>
            <w14:solidFill>
              <w14:schemeClr w14:val="tx1"/>
            </w14:solidFill>
          </w14:textFill>
        </w:rPr>
      </w:pPr>
    </w:p>
    <w:p>
      <w:pPr>
        <w:pStyle w:val="19"/>
        <w:topLinePunct/>
        <w:ind w:firstLine="0" w:firstLineChars="0"/>
        <w:jc w:val="left"/>
        <w:rPr>
          <w:rFonts w:hint="eastAsia" w:ascii="仿宋" w:hAnsi="仿宋" w:eastAsia="仿宋" w:cs="仿宋"/>
          <w:b/>
          <w:color w:val="000000" w:themeColor="text1"/>
          <w:highlight w:val="none"/>
          <w14:textFill>
            <w14:solidFill>
              <w14:schemeClr w14:val="tx1"/>
            </w14:solidFill>
          </w14:textFill>
        </w:rPr>
      </w:pPr>
    </w:p>
    <w:p>
      <w:pPr>
        <w:pStyle w:val="19"/>
        <w:topLinePunct/>
        <w:ind w:firstLine="0" w:firstLineChars="0"/>
        <w:jc w:val="left"/>
        <w:rPr>
          <w:rFonts w:hint="eastAsia" w:ascii="仿宋" w:hAnsi="仿宋" w:eastAsia="仿宋" w:cs="仿宋"/>
          <w:b/>
          <w:color w:val="000000" w:themeColor="text1"/>
          <w:highlight w:val="none"/>
          <w14:textFill>
            <w14:solidFill>
              <w14:schemeClr w14:val="tx1"/>
            </w14:solidFill>
          </w14:textFill>
        </w:rPr>
      </w:pPr>
    </w:p>
    <w:p>
      <w:pPr>
        <w:pStyle w:val="19"/>
        <w:ind w:firstLine="964" w:firstLineChars="300"/>
        <w:jc w:val="both"/>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项目名称：</w:t>
      </w:r>
      <w:r>
        <w:rPr>
          <w:rFonts w:hint="eastAsia" w:ascii="仿宋" w:hAnsi="仿宋" w:eastAsia="仿宋" w:cs="仿宋"/>
          <w:b/>
          <w:color w:val="000000" w:themeColor="text1"/>
          <w:highlight w:val="none"/>
          <w:u w:val="single"/>
          <w:lang w:eastAsia="zh-CN"/>
          <w14:textFill>
            <w14:solidFill>
              <w14:schemeClr w14:val="tx1"/>
            </w14:solidFill>
          </w14:textFill>
        </w:rPr>
        <w:t>头屯河农场市政服务项目</w:t>
      </w:r>
    </w:p>
    <w:p>
      <w:pPr>
        <w:pStyle w:val="19"/>
        <w:ind w:firstLine="964" w:firstLineChars="300"/>
        <w:jc w:val="both"/>
        <w:rPr>
          <w:rFonts w:hint="eastAsia" w:ascii="仿宋" w:hAnsi="仿宋" w:eastAsia="仿宋" w:cs="仿宋"/>
          <w:b/>
          <w:color w:val="000000" w:themeColor="text1"/>
          <w:highlight w:val="none"/>
          <w:lang w:eastAsia="zh-CN"/>
          <w14:textFill>
            <w14:solidFill>
              <w14:schemeClr w14:val="tx1"/>
            </w14:solidFill>
          </w14:textFill>
        </w:rPr>
      </w:pPr>
      <w:bookmarkStart w:id="0" w:name="_Toc19659"/>
      <w:r>
        <w:rPr>
          <w:rFonts w:hint="eastAsia" w:ascii="仿宋" w:hAnsi="仿宋" w:eastAsia="仿宋" w:cs="仿宋"/>
          <w:b/>
          <w:color w:val="000000" w:themeColor="text1"/>
          <w:highlight w:val="none"/>
          <w14:textFill>
            <w14:solidFill>
              <w14:schemeClr w14:val="tx1"/>
            </w14:solidFill>
          </w14:textFill>
        </w:rPr>
        <w:t>项目编号：</w:t>
      </w:r>
      <w:bookmarkEnd w:id="0"/>
      <w:r>
        <w:rPr>
          <w:rFonts w:hint="eastAsia" w:ascii="仿宋" w:hAnsi="仿宋" w:eastAsia="仿宋" w:cs="仿宋"/>
          <w:b/>
          <w:color w:val="000000" w:themeColor="text1"/>
          <w:highlight w:val="none"/>
          <w:lang w:val="en-US" w:eastAsia="zh-CN"/>
          <w14:textFill>
            <w14:solidFill>
              <w14:schemeClr w14:val="tx1"/>
            </w14:solidFill>
          </w14:textFill>
        </w:rPr>
        <w:t>BT12STTH202306</w:t>
      </w:r>
    </w:p>
    <w:p>
      <w:pPr>
        <w:pStyle w:val="19"/>
        <w:ind w:left="2564" w:leftChars="456" w:hanging="1606" w:hangingChars="500"/>
        <w:jc w:val="both"/>
        <w:rPr>
          <w:rFonts w:hint="eastAsia" w:ascii="仿宋" w:hAnsi="仿宋" w:eastAsia="仿宋" w:cs="仿宋"/>
          <w:b/>
          <w:i w:val="0"/>
          <w:color w:val="000000" w:themeColor="text1"/>
          <w:kern w:val="2"/>
          <w:sz w:val="32"/>
          <w:szCs w:val="20"/>
          <w:highlight w:val="none"/>
          <w:lang w:val="en-US" w:eastAsia="zh-CN" w:bidi="ar-SA"/>
          <w14:textFill>
            <w14:solidFill>
              <w14:schemeClr w14:val="tx1"/>
            </w14:solidFill>
          </w14:textFill>
        </w:rPr>
      </w:pPr>
      <w:r>
        <w:rPr>
          <w:rFonts w:hint="eastAsia" w:ascii="仿宋" w:hAnsi="仿宋" w:eastAsia="仿宋" w:cs="仿宋"/>
          <w:b/>
          <w:i w:val="0"/>
          <w:color w:val="000000" w:themeColor="text1"/>
          <w:kern w:val="2"/>
          <w:sz w:val="32"/>
          <w:szCs w:val="20"/>
          <w:highlight w:val="none"/>
          <w:lang w:val="en-US" w:eastAsia="zh-CN" w:bidi="ar-SA"/>
          <w14:textFill>
            <w14:solidFill>
              <w14:schemeClr w14:val="tx1"/>
            </w14:solidFill>
          </w14:textFill>
        </w:rPr>
        <w:t>采购单位：新疆生产建设兵团第十二师头屯河农场城镇管理服务中心</w:t>
      </w:r>
    </w:p>
    <w:p>
      <w:pPr>
        <w:pStyle w:val="19"/>
        <w:ind w:firstLine="964" w:firstLineChars="300"/>
        <w:jc w:val="both"/>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采购代理机构：</w:t>
      </w:r>
      <w:r>
        <w:rPr>
          <w:rFonts w:hint="eastAsia" w:ascii="仿宋" w:hAnsi="仿宋" w:eastAsia="仿宋" w:cs="仿宋"/>
          <w:b/>
          <w:color w:val="000000" w:themeColor="text1"/>
          <w:highlight w:val="none"/>
          <w:u w:val="single"/>
          <w:lang w:eastAsia="zh-CN"/>
          <w14:textFill>
            <w14:solidFill>
              <w14:schemeClr w14:val="tx1"/>
            </w14:solidFill>
          </w14:textFill>
        </w:rPr>
        <w:t>新疆森海旭和工程咨询有限公司</w:t>
      </w:r>
    </w:p>
    <w:p>
      <w:pPr>
        <w:pStyle w:val="19"/>
        <w:ind w:firstLine="1928" w:firstLineChars="600"/>
        <w:jc w:val="both"/>
        <w:rPr>
          <w:rFonts w:hint="eastAsia" w:ascii="仿宋" w:hAnsi="仿宋" w:eastAsia="仿宋" w:cs="仿宋"/>
          <w:b/>
          <w:color w:val="000000" w:themeColor="text1"/>
          <w:sz w:val="44"/>
          <w:highlight w:val="none"/>
          <w:lang w:val="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日期：</w:t>
      </w:r>
      <w:bookmarkStart w:id="1" w:name="EBf5b10e9eaaa44041a117d717902a64e6"/>
      <w:r>
        <w:rPr>
          <w:rFonts w:hint="eastAsia" w:ascii="仿宋" w:hAnsi="仿宋" w:eastAsia="仿宋" w:cs="仿宋"/>
          <w:b/>
          <w:color w:val="000000" w:themeColor="text1"/>
          <w:highlight w:val="none"/>
          <w14:textFill>
            <w14:solidFill>
              <w14:schemeClr w14:val="tx1"/>
            </w14:solidFill>
          </w14:textFill>
        </w:rPr>
        <w:t>202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年</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月</w:t>
      </w:r>
      <w:r>
        <w:rPr>
          <w:rFonts w:hint="eastAsia" w:ascii="仿宋" w:hAnsi="仿宋" w:eastAsia="仿宋" w:cs="仿宋"/>
          <w:b/>
          <w:color w:val="000000" w:themeColor="text1"/>
          <w:highlight w:val="none"/>
          <w:lang w:val="en-US" w:eastAsia="zh-CN"/>
          <w14:textFill>
            <w14:solidFill>
              <w14:schemeClr w14:val="tx1"/>
            </w14:solidFill>
          </w14:textFill>
        </w:rPr>
        <w:t>19</w:t>
      </w:r>
      <w:r>
        <w:rPr>
          <w:rFonts w:hint="eastAsia" w:ascii="仿宋" w:hAnsi="仿宋" w:eastAsia="仿宋" w:cs="仿宋"/>
          <w:b/>
          <w:color w:val="000000" w:themeColor="text1"/>
          <w:highlight w:val="none"/>
          <w14:textFill>
            <w14:solidFill>
              <w14:schemeClr w14:val="tx1"/>
            </w14:solidFill>
          </w14:textFill>
        </w:rPr>
        <w:t>日</w:t>
      </w:r>
      <w:bookmarkEnd w:id="1"/>
      <w:r>
        <w:rPr>
          <w:rFonts w:hint="eastAsia" w:ascii="仿宋" w:hAnsi="仿宋" w:eastAsia="仿宋" w:cs="仿宋"/>
          <w:b/>
          <w:color w:val="000000" w:themeColor="text1"/>
          <w:sz w:val="44"/>
          <w:highlight w:val="none"/>
          <w:lang w:val="zh-CN"/>
          <w14:textFill>
            <w14:solidFill>
              <w14:schemeClr w14:val="tx1"/>
            </w14:solidFill>
          </w14:textFill>
        </w:rPr>
        <w:br w:type="page"/>
      </w:r>
      <w:r>
        <w:rPr>
          <w:rFonts w:hint="eastAsia" w:ascii="仿宋" w:hAnsi="仿宋" w:eastAsia="仿宋" w:cs="仿宋"/>
          <w:b/>
          <w:color w:val="000000" w:themeColor="text1"/>
          <w:sz w:val="4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44"/>
          <w:highlight w:val="none"/>
          <w:lang w:val="zh-CN"/>
          <w14:textFill>
            <w14:solidFill>
              <w14:schemeClr w14:val="tx1"/>
            </w14:solidFill>
          </w14:textFill>
        </w:rPr>
        <w:t>目  录</w:t>
      </w:r>
    </w:p>
    <w:p>
      <w:pPr>
        <w:pStyle w:val="29"/>
        <w:tabs>
          <w:tab w:val="right" w:leader="dot" w:pos="8312"/>
          <w:tab w:val="clear" w:pos="8222"/>
        </w:tabs>
      </w:pPr>
      <w:bookmarkStart w:id="2" w:name="_Toc531075007"/>
      <w:bookmarkStart w:id="3" w:name="_Toc456718476"/>
      <w:r>
        <w:rPr>
          <w:rFonts w:hint="eastAsia" w:ascii="仿宋" w:hAnsi="仿宋" w:eastAsia="仿宋" w:cs="仿宋"/>
          <w:color w:val="000000" w:themeColor="text1"/>
          <w:highlight w:val="none"/>
          <w:lang w:val="zh-CN"/>
          <w14:textFill>
            <w14:solidFill>
              <w14:schemeClr w14:val="tx1"/>
            </w14:solidFill>
          </w14:textFill>
        </w:rPr>
        <w:fldChar w:fldCharType="begin"/>
      </w:r>
      <w:r>
        <w:rPr>
          <w:rFonts w:hint="eastAsia" w:ascii="仿宋" w:hAnsi="仿宋" w:eastAsia="仿宋" w:cs="仿宋"/>
          <w:color w:val="000000" w:themeColor="text1"/>
          <w:highlight w:val="none"/>
          <w:lang w:val="zh-CN"/>
          <w14:textFill>
            <w14:solidFill>
              <w14:schemeClr w14:val="tx1"/>
            </w14:solidFill>
          </w14:textFill>
        </w:rPr>
        <w:instrText xml:space="preserve">TOC \o "1-1" \h \u </w:instrText>
      </w:r>
      <w:r>
        <w:rPr>
          <w:rFonts w:hint="eastAsia" w:ascii="仿宋" w:hAnsi="仿宋" w:eastAsia="仿宋" w:cs="仿宋"/>
          <w:color w:val="000000" w:themeColor="text1"/>
          <w:highlight w:val="none"/>
          <w:lang w:val="zh-CN"/>
          <w14:textFill>
            <w14:solidFill>
              <w14:schemeClr w14:val="tx1"/>
            </w14:solidFill>
          </w14:textFill>
        </w:rPr>
        <w:fldChar w:fldCharType="separate"/>
      </w:r>
      <w:r>
        <w:rPr>
          <w:rFonts w:hint="eastAsia" w:ascii="仿宋" w:hAnsi="仿宋" w:eastAsia="仿宋" w:cs="仿宋"/>
          <w:color w:val="000000" w:themeColor="text1"/>
          <w:highlight w:val="none"/>
          <w:lang w:val="zh-CN"/>
          <w14:textFill>
            <w14:solidFill>
              <w14:schemeClr w14:val="tx1"/>
            </w14:solidFill>
          </w14:textFill>
        </w:rPr>
        <w:fldChar w:fldCharType="begin"/>
      </w:r>
      <w:r>
        <w:rPr>
          <w:rFonts w:hint="eastAsia" w:ascii="仿宋" w:hAnsi="仿宋" w:eastAsia="仿宋" w:cs="仿宋"/>
          <w:highlight w:val="none"/>
          <w:lang w:val="zh-CN"/>
        </w:rPr>
        <w:instrText xml:space="preserve"> HYPERLINK \l _Toc4605 </w:instrText>
      </w:r>
      <w:r>
        <w:rPr>
          <w:rFonts w:hint="eastAsia" w:ascii="仿宋" w:hAnsi="仿宋" w:eastAsia="仿宋" w:cs="仿宋"/>
          <w:highlight w:val="none"/>
          <w:lang w:val="zh-CN"/>
        </w:rPr>
        <w:fldChar w:fldCharType="separate"/>
      </w:r>
      <w:r>
        <w:rPr>
          <w:rFonts w:hint="eastAsia" w:ascii="仿宋" w:hAnsi="仿宋" w:eastAsia="仿宋" w:cs="仿宋"/>
          <w:szCs w:val="20"/>
          <w:highlight w:val="none"/>
        </w:rPr>
        <w:t>第一章 招标公告</w:t>
      </w:r>
      <w:r>
        <w:tab/>
      </w:r>
      <w:r>
        <w:fldChar w:fldCharType="begin"/>
      </w:r>
      <w:r>
        <w:instrText xml:space="preserve"> PAGEREF _Toc4605 \h </w:instrText>
      </w:r>
      <w:r>
        <w:fldChar w:fldCharType="separate"/>
      </w:r>
      <w:r>
        <w:t>1</w:t>
      </w:r>
      <w:r>
        <w:fldChar w:fldCharType="end"/>
      </w:r>
      <w:r>
        <w:rPr>
          <w:rFonts w:hint="eastAsia" w:ascii="仿宋" w:hAnsi="仿宋" w:eastAsia="仿宋" w:cs="仿宋"/>
          <w:color w:val="000000" w:themeColor="text1"/>
          <w:highlight w:val="none"/>
          <w:lang w:val="zh-CN"/>
          <w14:textFill>
            <w14:solidFill>
              <w14:schemeClr w14:val="tx1"/>
            </w14:solidFill>
          </w14:textFill>
        </w:rPr>
        <w:fldChar w:fldCharType="end"/>
      </w:r>
    </w:p>
    <w:p>
      <w:pPr>
        <w:pStyle w:val="29"/>
        <w:tabs>
          <w:tab w:val="right" w:leader="dot" w:pos="8312"/>
          <w:tab w:val="clear" w:pos="8222"/>
        </w:tabs>
      </w:pPr>
      <w:r>
        <w:rPr>
          <w:rFonts w:hint="eastAsia" w:ascii="仿宋" w:hAnsi="仿宋" w:eastAsia="仿宋" w:cs="仿宋"/>
          <w:color w:val="000000" w:themeColor="text1"/>
          <w:highlight w:val="none"/>
          <w:lang w:val="zh-CN"/>
          <w14:textFill>
            <w14:solidFill>
              <w14:schemeClr w14:val="tx1"/>
            </w14:solidFill>
          </w14:textFill>
        </w:rPr>
        <w:fldChar w:fldCharType="begin"/>
      </w:r>
      <w:r>
        <w:rPr>
          <w:rFonts w:hint="eastAsia" w:ascii="仿宋" w:hAnsi="仿宋" w:eastAsia="仿宋" w:cs="仿宋"/>
          <w:highlight w:val="none"/>
          <w:lang w:val="zh-CN"/>
        </w:rPr>
        <w:instrText xml:space="preserve"> HYPERLINK \l _Toc19336 </w:instrText>
      </w:r>
      <w:r>
        <w:rPr>
          <w:rFonts w:hint="eastAsia" w:ascii="仿宋" w:hAnsi="仿宋" w:eastAsia="仿宋" w:cs="仿宋"/>
          <w:highlight w:val="none"/>
          <w:lang w:val="zh-CN"/>
        </w:rPr>
        <w:fldChar w:fldCharType="separate"/>
      </w:r>
      <w:r>
        <w:rPr>
          <w:rFonts w:hint="eastAsia" w:ascii="仿宋" w:hAnsi="仿宋" w:eastAsia="仿宋" w:cs="仿宋"/>
          <w:szCs w:val="20"/>
          <w:highlight w:val="none"/>
        </w:rPr>
        <w:t xml:space="preserve">第二章 </w:t>
      </w:r>
      <w:r>
        <w:rPr>
          <w:rFonts w:hint="eastAsia" w:ascii="仿宋" w:hAnsi="仿宋" w:eastAsia="仿宋" w:cs="仿宋"/>
          <w:highlight w:val="none"/>
        </w:rPr>
        <w:t>供应商须知</w:t>
      </w:r>
      <w:r>
        <w:tab/>
      </w:r>
      <w:r>
        <w:fldChar w:fldCharType="begin"/>
      </w:r>
      <w:r>
        <w:instrText xml:space="preserve"> PAGEREF _Toc19336 \h </w:instrText>
      </w:r>
      <w:r>
        <w:fldChar w:fldCharType="separate"/>
      </w:r>
      <w:r>
        <w:t>5</w:t>
      </w:r>
      <w:r>
        <w:fldChar w:fldCharType="end"/>
      </w:r>
      <w:r>
        <w:rPr>
          <w:rFonts w:hint="eastAsia" w:ascii="仿宋" w:hAnsi="仿宋" w:eastAsia="仿宋" w:cs="仿宋"/>
          <w:color w:val="000000" w:themeColor="text1"/>
          <w:highlight w:val="none"/>
          <w:lang w:val="zh-CN"/>
          <w14:textFill>
            <w14:solidFill>
              <w14:schemeClr w14:val="tx1"/>
            </w14:solidFill>
          </w14:textFill>
        </w:rPr>
        <w:fldChar w:fldCharType="end"/>
      </w:r>
    </w:p>
    <w:p>
      <w:pPr>
        <w:pStyle w:val="29"/>
        <w:tabs>
          <w:tab w:val="right" w:leader="dot" w:pos="8312"/>
          <w:tab w:val="clear" w:pos="8222"/>
        </w:tabs>
      </w:pPr>
      <w:r>
        <w:rPr>
          <w:rFonts w:hint="eastAsia" w:ascii="仿宋" w:hAnsi="仿宋" w:eastAsia="仿宋" w:cs="仿宋"/>
          <w:color w:val="000000" w:themeColor="text1"/>
          <w:highlight w:val="none"/>
          <w:lang w:val="zh-CN"/>
          <w14:textFill>
            <w14:solidFill>
              <w14:schemeClr w14:val="tx1"/>
            </w14:solidFill>
          </w14:textFill>
        </w:rPr>
        <w:fldChar w:fldCharType="begin"/>
      </w:r>
      <w:r>
        <w:rPr>
          <w:rFonts w:hint="eastAsia" w:ascii="仿宋" w:hAnsi="仿宋" w:eastAsia="仿宋" w:cs="仿宋"/>
          <w:highlight w:val="none"/>
          <w:lang w:val="zh-CN"/>
        </w:rPr>
        <w:instrText xml:space="preserve"> HYPERLINK \l _Toc14866 </w:instrText>
      </w:r>
      <w:r>
        <w:rPr>
          <w:rFonts w:hint="eastAsia" w:ascii="仿宋" w:hAnsi="仿宋" w:eastAsia="仿宋" w:cs="仿宋"/>
          <w:highlight w:val="none"/>
          <w:lang w:val="zh-CN"/>
        </w:rPr>
        <w:fldChar w:fldCharType="separate"/>
      </w:r>
      <w:r>
        <w:rPr>
          <w:rFonts w:hint="eastAsia" w:ascii="仿宋" w:hAnsi="仿宋" w:eastAsia="仿宋" w:cs="仿宋"/>
          <w:szCs w:val="20"/>
          <w:highlight w:val="none"/>
        </w:rPr>
        <w:t xml:space="preserve">第三章 </w:t>
      </w:r>
      <w:r>
        <w:rPr>
          <w:rFonts w:hint="eastAsia" w:ascii="仿宋" w:hAnsi="仿宋" w:eastAsia="仿宋" w:cs="仿宋"/>
          <w:highlight w:val="none"/>
        </w:rPr>
        <w:t>采购需求</w:t>
      </w:r>
      <w:r>
        <w:tab/>
      </w:r>
      <w:r>
        <w:fldChar w:fldCharType="begin"/>
      </w:r>
      <w:r>
        <w:instrText xml:space="preserve"> PAGEREF _Toc14866 \h </w:instrText>
      </w:r>
      <w:r>
        <w:fldChar w:fldCharType="separate"/>
      </w:r>
      <w:r>
        <w:t>33</w:t>
      </w:r>
      <w:r>
        <w:fldChar w:fldCharType="end"/>
      </w:r>
      <w:r>
        <w:rPr>
          <w:rFonts w:hint="eastAsia" w:ascii="仿宋" w:hAnsi="仿宋" w:eastAsia="仿宋" w:cs="仿宋"/>
          <w:color w:val="000000" w:themeColor="text1"/>
          <w:highlight w:val="none"/>
          <w:lang w:val="zh-CN"/>
          <w14:textFill>
            <w14:solidFill>
              <w14:schemeClr w14:val="tx1"/>
            </w14:solidFill>
          </w14:textFill>
        </w:rPr>
        <w:fldChar w:fldCharType="end"/>
      </w:r>
    </w:p>
    <w:p>
      <w:pPr>
        <w:pStyle w:val="29"/>
        <w:tabs>
          <w:tab w:val="right" w:leader="dot" w:pos="8312"/>
          <w:tab w:val="clear" w:pos="8222"/>
        </w:tabs>
      </w:pPr>
      <w:r>
        <w:rPr>
          <w:rFonts w:hint="eastAsia" w:ascii="仿宋" w:hAnsi="仿宋" w:eastAsia="仿宋" w:cs="仿宋"/>
          <w:color w:val="000000" w:themeColor="text1"/>
          <w:highlight w:val="none"/>
          <w:lang w:val="zh-CN"/>
          <w14:textFill>
            <w14:solidFill>
              <w14:schemeClr w14:val="tx1"/>
            </w14:solidFill>
          </w14:textFill>
        </w:rPr>
        <w:fldChar w:fldCharType="begin"/>
      </w:r>
      <w:r>
        <w:rPr>
          <w:rFonts w:hint="eastAsia" w:ascii="仿宋" w:hAnsi="仿宋" w:eastAsia="仿宋" w:cs="仿宋"/>
          <w:highlight w:val="none"/>
          <w:lang w:val="zh-CN"/>
        </w:rPr>
        <w:instrText xml:space="preserve"> HYPERLINK \l _Toc32415 </w:instrText>
      </w:r>
      <w:r>
        <w:rPr>
          <w:rFonts w:hint="eastAsia" w:ascii="仿宋" w:hAnsi="仿宋" w:eastAsia="仿宋" w:cs="仿宋"/>
          <w:highlight w:val="none"/>
          <w:lang w:val="zh-CN"/>
        </w:rPr>
        <w:fldChar w:fldCharType="separate"/>
      </w:r>
      <w:r>
        <w:rPr>
          <w:rFonts w:hint="eastAsia" w:ascii="仿宋" w:hAnsi="仿宋" w:eastAsia="仿宋" w:cs="仿宋"/>
          <w:bCs/>
          <w:kern w:val="44"/>
          <w:szCs w:val="20"/>
          <w:highlight w:val="none"/>
        </w:rPr>
        <w:t>第四章 评审方法</w:t>
      </w:r>
      <w:r>
        <w:tab/>
      </w:r>
      <w:r>
        <w:fldChar w:fldCharType="begin"/>
      </w:r>
      <w:r>
        <w:instrText xml:space="preserve"> PAGEREF _Toc32415 \h </w:instrText>
      </w:r>
      <w:r>
        <w:fldChar w:fldCharType="separate"/>
      </w:r>
      <w:r>
        <w:t>41</w:t>
      </w:r>
      <w:r>
        <w:fldChar w:fldCharType="end"/>
      </w:r>
      <w:r>
        <w:rPr>
          <w:rFonts w:hint="eastAsia" w:ascii="仿宋" w:hAnsi="仿宋" w:eastAsia="仿宋" w:cs="仿宋"/>
          <w:color w:val="000000" w:themeColor="text1"/>
          <w:highlight w:val="none"/>
          <w:lang w:val="zh-CN"/>
          <w14:textFill>
            <w14:solidFill>
              <w14:schemeClr w14:val="tx1"/>
            </w14:solidFill>
          </w14:textFill>
        </w:rPr>
        <w:fldChar w:fldCharType="end"/>
      </w:r>
    </w:p>
    <w:p>
      <w:pPr>
        <w:pStyle w:val="29"/>
        <w:tabs>
          <w:tab w:val="right" w:leader="dot" w:pos="8312"/>
          <w:tab w:val="clear" w:pos="8222"/>
        </w:tabs>
      </w:pPr>
      <w:r>
        <w:rPr>
          <w:rFonts w:hint="eastAsia" w:ascii="仿宋" w:hAnsi="仿宋" w:eastAsia="仿宋" w:cs="仿宋"/>
          <w:color w:val="000000" w:themeColor="text1"/>
          <w:highlight w:val="none"/>
          <w:lang w:val="zh-CN"/>
          <w14:textFill>
            <w14:solidFill>
              <w14:schemeClr w14:val="tx1"/>
            </w14:solidFill>
          </w14:textFill>
        </w:rPr>
        <w:fldChar w:fldCharType="begin"/>
      </w:r>
      <w:r>
        <w:rPr>
          <w:rFonts w:hint="eastAsia" w:ascii="仿宋" w:hAnsi="仿宋" w:eastAsia="仿宋" w:cs="仿宋"/>
          <w:highlight w:val="none"/>
          <w:lang w:val="zh-CN"/>
        </w:rPr>
        <w:instrText xml:space="preserve"> HYPERLINK \l _Toc29923 </w:instrText>
      </w:r>
      <w:r>
        <w:rPr>
          <w:rFonts w:hint="eastAsia" w:ascii="仿宋" w:hAnsi="仿宋" w:eastAsia="仿宋" w:cs="仿宋"/>
          <w:highlight w:val="none"/>
          <w:lang w:val="zh-CN"/>
        </w:rPr>
        <w:fldChar w:fldCharType="separate"/>
      </w:r>
      <w:r>
        <w:rPr>
          <w:rFonts w:hint="eastAsia" w:ascii="仿宋" w:hAnsi="仿宋" w:eastAsia="仿宋" w:cs="仿宋"/>
          <w:bCs/>
          <w:kern w:val="44"/>
          <w:szCs w:val="20"/>
          <w:highlight w:val="none"/>
        </w:rPr>
        <w:t>第五章 合同格式及合同条款</w:t>
      </w:r>
      <w:r>
        <w:tab/>
      </w:r>
      <w:r>
        <w:fldChar w:fldCharType="begin"/>
      </w:r>
      <w:r>
        <w:instrText xml:space="preserve"> PAGEREF _Toc29923 \h </w:instrText>
      </w:r>
      <w:r>
        <w:fldChar w:fldCharType="separate"/>
      </w:r>
      <w:r>
        <w:t>46</w:t>
      </w:r>
      <w:r>
        <w:fldChar w:fldCharType="end"/>
      </w:r>
      <w:r>
        <w:rPr>
          <w:rFonts w:hint="eastAsia" w:ascii="仿宋" w:hAnsi="仿宋" w:eastAsia="仿宋" w:cs="仿宋"/>
          <w:color w:val="000000" w:themeColor="text1"/>
          <w:highlight w:val="none"/>
          <w:lang w:val="zh-CN"/>
          <w14:textFill>
            <w14:solidFill>
              <w14:schemeClr w14:val="tx1"/>
            </w14:solidFill>
          </w14:textFill>
        </w:rPr>
        <w:fldChar w:fldCharType="end"/>
      </w:r>
    </w:p>
    <w:p>
      <w:pPr>
        <w:pStyle w:val="29"/>
        <w:tabs>
          <w:tab w:val="right" w:leader="dot" w:pos="8312"/>
          <w:tab w:val="clear" w:pos="8222"/>
        </w:tabs>
      </w:pPr>
      <w:r>
        <w:rPr>
          <w:rFonts w:hint="eastAsia" w:ascii="仿宋" w:hAnsi="仿宋" w:eastAsia="仿宋" w:cs="仿宋"/>
          <w:color w:val="000000" w:themeColor="text1"/>
          <w:highlight w:val="none"/>
          <w:lang w:val="zh-CN"/>
          <w14:textFill>
            <w14:solidFill>
              <w14:schemeClr w14:val="tx1"/>
            </w14:solidFill>
          </w14:textFill>
        </w:rPr>
        <w:fldChar w:fldCharType="begin"/>
      </w:r>
      <w:r>
        <w:rPr>
          <w:rFonts w:hint="eastAsia" w:ascii="仿宋" w:hAnsi="仿宋" w:eastAsia="仿宋" w:cs="仿宋"/>
          <w:highlight w:val="none"/>
          <w:lang w:val="zh-CN"/>
        </w:rPr>
        <w:instrText xml:space="preserve"> HYPERLINK \l _Toc19291 </w:instrText>
      </w:r>
      <w:r>
        <w:rPr>
          <w:rFonts w:hint="eastAsia" w:ascii="仿宋" w:hAnsi="仿宋" w:eastAsia="仿宋" w:cs="仿宋"/>
          <w:highlight w:val="none"/>
          <w:lang w:val="zh-CN"/>
        </w:rPr>
        <w:fldChar w:fldCharType="separate"/>
      </w:r>
      <w:r>
        <w:rPr>
          <w:rFonts w:hint="eastAsia" w:ascii="仿宋" w:hAnsi="仿宋" w:eastAsia="仿宋" w:cs="仿宋"/>
          <w:bCs/>
          <w:kern w:val="44"/>
          <w:szCs w:val="20"/>
          <w:highlight w:val="none"/>
        </w:rPr>
        <w:t xml:space="preserve">第六章 </w:t>
      </w:r>
      <w:r>
        <w:rPr>
          <w:rFonts w:hint="eastAsia" w:ascii="仿宋" w:hAnsi="仿宋" w:eastAsia="仿宋" w:cs="仿宋"/>
          <w:bCs/>
          <w:kern w:val="44"/>
          <w:szCs w:val="20"/>
          <w:highlight w:val="none"/>
          <w:lang w:val="en-US" w:eastAsia="zh-CN"/>
        </w:rPr>
        <w:t>投标</w:t>
      </w:r>
      <w:r>
        <w:rPr>
          <w:rFonts w:hint="eastAsia" w:ascii="仿宋" w:hAnsi="仿宋" w:eastAsia="仿宋" w:cs="仿宋"/>
          <w:bCs/>
          <w:kern w:val="44"/>
          <w:szCs w:val="20"/>
          <w:highlight w:val="none"/>
        </w:rPr>
        <w:t>文件格式</w:t>
      </w:r>
      <w:r>
        <w:tab/>
      </w:r>
      <w:r>
        <w:fldChar w:fldCharType="begin"/>
      </w:r>
      <w:r>
        <w:instrText xml:space="preserve"> PAGEREF _Toc19291 \h </w:instrText>
      </w:r>
      <w:r>
        <w:fldChar w:fldCharType="separate"/>
      </w:r>
      <w:r>
        <w:t>52</w:t>
      </w:r>
      <w:r>
        <w:fldChar w:fldCharType="end"/>
      </w:r>
      <w:r>
        <w:rPr>
          <w:rFonts w:hint="eastAsia" w:ascii="仿宋" w:hAnsi="仿宋" w:eastAsia="仿宋" w:cs="仿宋"/>
          <w:color w:val="000000" w:themeColor="text1"/>
          <w:highlight w:val="none"/>
          <w:lang w:val="zh-CN"/>
          <w14:textFill>
            <w14:solidFill>
              <w14:schemeClr w14:val="tx1"/>
            </w14:solidFill>
          </w14:textFill>
        </w:rPr>
        <w:fldChar w:fldCharType="end"/>
      </w:r>
    </w:p>
    <w:p>
      <w:pPr>
        <w:pStyle w:val="29"/>
        <w:tabs>
          <w:tab w:val="right" w:leader="dot" w:pos="8312"/>
          <w:tab w:val="clear" w:pos="8222"/>
        </w:tabs>
      </w:pPr>
    </w:p>
    <w:p>
      <w:pPr>
        <w:topLinePunct/>
        <w:spacing w:line="400" w:lineRule="exact"/>
        <w:ind w:firstLine="420" w:firstLine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fldChar w:fldCharType="end"/>
      </w:r>
    </w:p>
    <w:p>
      <w:pPr>
        <w:pStyle w:val="2"/>
        <w:keepNext w:val="0"/>
        <w:keepLines w:val="0"/>
        <w:topLinePunct/>
        <w:spacing w:before="0" w:after="0" w:line="240" w:lineRule="auto"/>
        <w:ind w:firstLine="880" w:firstLineChars="200"/>
        <w:rPr>
          <w:rFonts w:hint="eastAsia" w:ascii="仿宋" w:hAnsi="仿宋" w:eastAsia="仿宋" w:cs="仿宋"/>
          <w:color w:val="000000" w:themeColor="text1"/>
          <w:szCs w:val="20"/>
          <w:highlight w:val="none"/>
          <w14:textFill>
            <w14:solidFill>
              <w14:schemeClr w14:val="tx1"/>
            </w14:solidFill>
          </w14:textFill>
        </w:rPr>
        <w:sectPr>
          <w:pgSz w:w="11906" w:h="16838"/>
          <w:pgMar w:top="1440" w:right="1797" w:bottom="1440" w:left="1797" w:header="851" w:footer="992" w:gutter="0"/>
          <w:pgNumType w:start="0"/>
          <w:cols w:space="720" w:num="1"/>
          <w:titlePg/>
          <w:docGrid w:type="lines" w:linePitch="312" w:charSpace="0"/>
        </w:sectPr>
      </w:pPr>
      <w:bookmarkStart w:id="4" w:name="_Toc532543563"/>
    </w:p>
    <w:p>
      <w:pPr>
        <w:pStyle w:val="2"/>
        <w:keepNext w:val="0"/>
        <w:keepLines w:val="0"/>
        <w:topLinePunct/>
        <w:spacing w:before="0" w:after="0" w:line="240" w:lineRule="auto"/>
        <w:ind w:firstLine="880" w:firstLineChars="200"/>
        <w:rPr>
          <w:rFonts w:hint="eastAsia" w:ascii="仿宋" w:hAnsi="仿宋" w:eastAsia="仿宋" w:cs="仿宋"/>
          <w:color w:val="000000" w:themeColor="text1"/>
          <w:szCs w:val="20"/>
          <w:highlight w:val="none"/>
          <w14:textFill>
            <w14:solidFill>
              <w14:schemeClr w14:val="tx1"/>
            </w14:solidFill>
          </w14:textFill>
        </w:rPr>
      </w:pPr>
      <w:bookmarkStart w:id="5" w:name="_Toc4605"/>
      <w:bookmarkStart w:id="6" w:name="_Toc32330"/>
      <w:r>
        <w:rPr>
          <w:rFonts w:hint="eastAsia" w:ascii="仿宋" w:hAnsi="仿宋" w:eastAsia="仿宋" w:cs="仿宋"/>
          <w:color w:val="000000" w:themeColor="text1"/>
          <w:szCs w:val="20"/>
          <w:highlight w:val="none"/>
          <w14:textFill>
            <w14:solidFill>
              <w14:schemeClr w14:val="tx1"/>
            </w14:solidFill>
          </w14:textFill>
        </w:rPr>
        <w:t xml:space="preserve">第一章 </w:t>
      </w:r>
      <w:bookmarkEnd w:id="2"/>
      <w:bookmarkEnd w:id="4"/>
      <w:r>
        <w:rPr>
          <w:rFonts w:hint="eastAsia" w:ascii="仿宋" w:hAnsi="仿宋" w:eastAsia="仿宋" w:cs="仿宋"/>
          <w:color w:val="000000" w:themeColor="text1"/>
          <w:szCs w:val="20"/>
          <w:highlight w:val="none"/>
          <w14:textFill>
            <w14:solidFill>
              <w14:schemeClr w14:val="tx1"/>
            </w14:solidFill>
          </w14:textFill>
        </w:rPr>
        <w:t>招标公告</w:t>
      </w:r>
      <w:bookmarkEnd w:id="5"/>
      <w:bookmarkEnd w:id="6"/>
    </w:p>
    <w:tbl>
      <w:tblPr>
        <w:tblStyle w:val="38"/>
        <w:tblW w:w="85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66" w:type="dxa"/>
            <w:noWrap w:val="0"/>
            <w:vAlign w:val="center"/>
          </w:tcPr>
          <w:p>
            <w:pPr>
              <w:pStyle w:val="101"/>
              <w:wordWrap w:val="0"/>
              <w:autoSpaceDE w:val="0"/>
              <w:spacing w:before="0" w:beforeAutospacing="0" w:after="0" w:afterAutospacing="0" w:line="400" w:lineRule="exact"/>
              <w:jc w:val="both"/>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7" w:name="EBc884e50b9a914054b9124fad1c99d853"/>
            <w:r>
              <w:rPr>
                <w:rFonts w:hint="eastAsia" w:ascii="仿宋" w:hAnsi="仿宋" w:eastAsia="仿宋" w:cs="仿宋"/>
                <w:color w:val="000000" w:themeColor="text1"/>
                <w:sz w:val="24"/>
                <w:szCs w:val="24"/>
                <w:highlight w:val="none"/>
                <w:lang w:eastAsia="zh-CN"/>
                <w14:textFill>
                  <w14:solidFill>
                    <w14:schemeClr w14:val="tx1"/>
                  </w14:solidFill>
                </w14:textFill>
              </w:rPr>
              <w:t>项目概况</w:t>
            </w:r>
          </w:p>
          <w:p>
            <w:pPr>
              <w:pStyle w:val="101"/>
              <w:wordWrap w:val="0"/>
              <w:autoSpaceDE w:val="0"/>
              <w:spacing w:before="0" w:beforeAutospacing="0" w:after="0" w:afterAutospacing="0" w:line="400" w:lineRule="exact"/>
              <w:ind w:firstLine="480" w:firstLineChars="200"/>
              <w:jc w:val="both"/>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头屯河农场市政服务项目招标项目的潜在投标人应在登陆</w:t>
            </w:r>
            <w:r>
              <w:rPr>
                <w:rFonts w:hint="eastAsia" w:ascii="仿宋" w:hAnsi="仿宋" w:eastAsia="仿宋" w:cs="仿宋"/>
                <w:color w:val="000000" w:themeColor="text1"/>
                <w:sz w:val="24"/>
                <w:szCs w:val="24"/>
                <w:highlight w:val="none"/>
                <w:lang w:val="en-US" w:eastAsia="zh-CN"/>
                <w14:textFill>
                  <w14:solidFill>
                    <w14:schemeClr w14:val="tx1"/>
                  </w14:solidFill>
                </w14:textFill>
              </w:rPr>
              <w:t>兵团</w:t>
            </w:r>
            <w:r>
              <w:rPr>
                <w:rFonts w:hint="eastAsia" w:ascii="仿宋" w:hAnsi="仿宋" w:eastAsia="仿宋" w:cs="仿宋"/>
                <w:color w:val="000000" w:themeColor="text1"/>
                <w:sz w:val="24"/>
                <w:szCs w:val="24"/>
                <w:highlight w:val="none"/>
                <w:lang w:eastAsia="zh-CN"/>
                <w14:textFill>
                  <w14:solidFill>
                    <w14:schemeClr w14:val="tx1"/>
                  </w14:solidFill>
                </w14:textFill>
              </w:rPr>
              <w:t>政采云平台http://www.zcygov.cn/在线申请获取获取招标文件，并于2023年</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eastAsia="zh-CN"/>
                <w14:textFill>
                  <w14:solidFill>
                    <w14:schemeClr w14:val="tx1"/>
                  </w14:solidFill>
                </w14:textFill>
              </w:rPr>
              <w:t>日1</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0 （北京时间）前递交投标文件。</w:t>
            </w:r>
          </w:p>
        </w:tc>
      </w:tr>
    </w:tbl>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8" w:name="_Toc2688"/>
      <w:bookmarkStart w:id="9" w:name="_Toc9192"/>
      <w:bookmarkStart w:id="10" w:name="_Toc623"/>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一、项目基本情况</w:t>
      </w:r>
      <w:bookmarkEnd w:id="8"/>
      <w:bookmarkEnd w:id="9"/>
      <w:bookmarkEnd w:id="10"/>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项目编号：</w:t>
      </w:r>
      <w:r>
        <w:rPr>
          <w:rFonts w:hint="eastAsia" w:ascii="宋体" w:hAnsi="宋体" w:cs="仿宋_GB2312"/>
          <w:kern w:val="2"/>
          <w:sz w:val="24"/>
          <w:lang w:val="en-US" w:eastAsia="zh-CN"/>
        </w:rPr>
        <w:t>BT12STTH202306</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项目名称：头屯河农场市政服务项目</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预算金额（元）：</w:t>
      </w:r>
      <w:r>
        <w:rPr>
          <w:rFonts w:hint="eastAsia" w:ascii="仿宋" w:hAnsi="仿宋" w:eastAsia="仿宋" w:cs="仿宋"/>
          <w:color w:val="0000FF"/>
          <w:kern w:val="0"/>
          <w:sz w:val="24"/>
          <w:szCs w:val="24"/>
          <w:highlight w:val="none"/>
          <w:lang w:val="en-US" w:eastAsia="zh-CN"/>
        </w:rPr>
        <w:t>830万元</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最高限价（元）：</w:t>
      </w:r>
      <w:r>
        <w:rPr>
          <w:rFonts w:hint="eastAsia" w:ascii="仿宋" w:hAnsi="仿宋" w:eastAsia="仿宋" w:cs="仿宋"/>
          <w:color w:val="0000FF"/>
          <w:kern w:val="0"/>
          <w:sz w:val="24"/>
          <w:szCs w:val="24"/>
          <w:highlight w:val="none"/>
          <w:lang w:val="en-US" w:eastAsia="zh-CN"/>
        </w:rPr>
        <w:t>830万元</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采购需求：1.道路清扫保洁：道路清扫和保洁、机械化清扫、果皮箱（清掏）、垃圾桶清洗和消毒、小广告清除。</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2.垃圾清运：垃圾收集和清运。</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3.公厕管理：公厕内设施、设备及开关门时间、消杀灭蚊及化粪池、文明服务质量。</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4.冬季冰雪清除：及时清除、拉运道路上的积雪。</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5.洒水降尘：4月1日-10月1日，正常温度下每天部分主次干道每日洒水不低于1次；（高温达零上30摄氏度以上）期间部分主次干道每日洒水不低于2次；（高温达到35摄氏度以上）每日洒水不低于3次。</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环境卫生综合整治区域：东至头屯河公路西侧，南至八钢卡点，西至柯坪路沿线，北至南坪街沿线两侧及老机关片区；农场区域内合同外环境卫生应急处置；大型接待路线或迎检等特殊情况下，城镇管理服务中心交办的其他整治区域或相关事项。具体详见招标文件第三部分采购需求。</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合同履约期限：自合同签订之日起1年。</w:t>
      </w:r>
    </w:p>
    <w:p>
      <w:pPr>
        <w:pStyle w:val="102"/>
        <w:keepNext w:val="0"/>
        <w:keepLines w:val="0"/>
        <w:pageBreakBefore w:val="0"/>
        <w:kinsoku/>
        <w:overflowPunct/>
        <w:topLinePunct/>
        <w:autoSpaceDN/>
        <w:bidi w:val="0"/>
        <w:adjustRightInd/>
        <w:snapToGrid/>
        <w:spacing w:line="360" w:lineRule="auto"/>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本项目（否）接受联合体投标。</w:t>
      </w:r>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1" w:name="_Toc12928"/>
      <w:bookmarkStart w:id="12" w:name="_Toc6693"/>
      <w:bookmarkStart w:id="13" w:name="_Toc8729"/>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二、申请人的资格要求</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符合《政府采购法》第二十二条规定、《中华人民共和国政府采购法实施条例》第十七条规定。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符合《中华人民共和国政府采购法》第二十二条规定、《中华人民共和国政府采购法实施条例》第十七条规定。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投标人法人营业执照（副本）或事业单位法人证书（副本）或个体工商户营业执照或有效的自然人身份证明、组织机构代码证扫描件（投标人按“三证合一”登记制度办理营业执照的,组织机构代码证和税务登记证（副本）以投标人所提供的营业执照（副本）扫描件为准。）投标人法定代表人身份证明和法定代表人授权代表委托书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具有良好的商业信誉和健全的财务会计制度，提供（2021年度或2022年度）经第三方审计的财务会计报告，如供应商无法提供经第三方审计的财务会计报告，则需提供供应商基本账户银行出具的资信证明（递交响应文件截止时间前三个月内）的扫描件，银行出具的存款证明不能作为银行资信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（3）具有履行合同所必需的设备和专业技术能力，投标人须提供相关资料或书面声明（格式自拟）；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有依法缴纳税收和社会保障金的良好记录，1)投标人依法缴纳税收的证明材料复印件加盖公章（提供投标截止日期之前6个月内任何一期的纳税记录或证明文件,如依法免税或不需要缴纳税收的,提供相应证明材料）；2)投标人依法缴纳社会保障资金的证明材料复印件加盖公章（提供投标截止日期之前6个月内任何一期的缴费记录或证明文件,如依法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参加政府采购活动前三年内,在经营活动中没有重大违法记录，1）投标人参加政府采购活动前3年内在经营活动中没有重大违法记录的书面声明（格式自拟）；2）投标人近三年（2020年1月1日-投标截止日）在“信用中国”网站（</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val="en-US" w:eastAsia="zh-CN"/>
          <w14:textFill>
            <w14:solidFill>
              <w14:schemeClr w14:val="tx1"/>
            </w14:solidFill>
          </w14:textFill>
        </w:rPr>
        <w:instrText xml:space="preserve"> HYPERLINK "http://www.creditchina.gov.cn/" </w:instrTex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http://www.creditchina.gov.cn/</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中未被列入失信被执行人名单、重大税收违法失信主体名单；3）近三年（2020年1月1日-投标截止日）在“中国政府采购网”（www.ccgp.gov.cn）未被列入严重违法失信行为记录名单；（查询的时间以采购人或采购代理机构开标当日查询记录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1、具备法律、行政法规规定的其他条件的证明材料：1）、投标文件是否含有采购人不能接受的附加条件；2）、是否违反国家法律、法规和采购文件规定的其他无效情形。3）、未与其他投标人串通投标,或者与招标人串通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落实政府采购政策需满足的资格要求：</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本项目专门面向中小企业采购，</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不在执行价格评审优惠政策，</w:t>
      </w:r>
      <w:r>
        <w:rPr>
          <w:rFonts w:hint="eastAsia" w:ascii="仿宋" w:hAnsi="仿宋" w:eastAsia="仿宋" w:cs="仿宋"/>
          <w:color w:val="000000" w:themeColor="text1"/>
          <w:sz w:val="24"/>
          <w:szCs w:val="24"/>
          <w:highlight w:val="none"/>
          <w:lang w:val="en-US" w:eastAsia="zh-CN"/>
          <w14:textFill>
            <w14:solidFill>
              <w14:schemeClr w14:val="tx1"/>
            </w14:solidFill>
          </w14:textFill>
        </w:rPr>
        <w:t>具体要求详见《政府采购促进中小企业发展管理办法》（财库〔2020〕46 号）及其相关规定，此外，监狱企业、残疾人福利性单位在本项目采购活动中视同小型、微型企业。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（1）财政部、工业和信息化部文件关于印发《政府采购促进中小企业发展管理办法》（财库[2020]46号文）；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（2）财政部、司法部《关于政府采购支持监狱企业发展有关问题的通知》（财库〔2014〕68号）；</w:t>
      </w:r>
    </w:p>
    <w:p>
      <w:pPr>
        <w:pStyle w:val="111"/>
        <w:keepNext w:val="0"/>
        <w:keepLines w:val="0"/>
        <w:pageBreakBefore w:val="0"/>
        <w:kinsoku/>
        <w:wordWrap w:val="0"/>
        <w:overflowPunct/>
        <w:topLinePunct/>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财政部、民政部、中国残疾人联合会文件《关于促进残疾人就业政府采购政策的通知》（财库[2017]141号）；监狱企业、残疾人福利性单位视同小型、微型企业,享受小型、微型企业评审中价格扣除的政府采购政策。</w:t>
      </w:r>
    </w:p>
    <w:p>
      <w:pPr>
        <w:pStyle w:val="111"/>
        <w:keepNext w:val="0"/>
        <w:keepLines w:val="0"/>
        <w:pageBreakBefore w:val="0"/>
        <w:kinsoku/>
        <w:wordWrap w:val="0"/>
        <w:overflowPunct/>
        <w:topLinePunct/>
        <w:autoSpaceDN/>
        <w:bidi w:val="0"/>
        <w:adjustRightInd/>
        <w:snapToGrid/>
        <w:spacing w:line="360" w:lineRule="auto"/>
        <w:ind w:firstLine="482"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本项目的特定资格要求：无。</w:t>
      </w:r>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4" w:name="_Toc139"/>
      <w:bookmarkStart w:id="15" w:name="_Toc9130"/>
      <w:bookmarkStart w:id="16" w:name="_Toc1171"/>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三、获取招标文件</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时间：2023年7月20日至2023年8月4日（北京时间）每天上午00:00至12:00，下午12:00至23:59。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地点：新疆兵团政府采购网政采云平台http://ccgp-bingtuan.gov.cn获取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售价（元）：0。</w:t>
      </w:r>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7" w:name="_Toc18412"/>
      <w:bookmarkStart w:id="18" w:name="_Toc24628"/>
      <w:bookmarkStart w:id="19" w:name="_Toc1810"/>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bookmarkStart w:id="20" w:name="_Toc28359005"/>
      <w:bookmarkStart w:id="21" w:name="_Toc28359082"/>
      <w:bookmarkStart w:id="22" w:name="_Toc35393624"/>
      <w:bookmarkStart w:id="23" w:name="_Toc35393793"/>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提交投标文件</w:t>
      </w:r>
      <w:bookmarkEnd w:id="20"/>
      <w:bookmarkEnd w:id="21"/>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截止时间、开标时间和地点</w:t>
      </w:r>
      <w:bookmarkEnd w:id="17"/>
      <w:bookmarkEnd w:id="18"/>
      <w:bookmarkEnd w:id="19"/>
      <w:bookmarkEnd w:id="22"/>
      <w:bookmarkEnd w:id="23"/>
    </w:p>
    <w:p>
      <w:pPr>
        <w:pStyle w:val="33"/>
        <w:keepNext w:val="0"/>
        <w:keepLines w:val="0"/>
        <w:pageBreakBefore w:val="0"/>
        <w:widowControl w:val="0"/>
        <w:kinsoku/>
        <w:overflowPunct/>
        <w:topLinePunct/>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FF"/>
          <w:kern w:val="2"/>
          <w:sz w:val="24"/>
          <w:szCs w:val="24"/>
          <w:highlight w:val="none"/>
          <w:lang w:eastAsia="zh-CN"/>
        </w:rPr>
        <w:t>2023年</w:t>
      </w:r>
      <w:r>
        <w:rPr>
          <w:rFonts w:hint="eastAsia" w:ascii="仿宋" w:hAnsi="仿宋" w:eastAsia="仿宋" w:cs="仿宋"/>
          <w:color w:val="0000FF"/>
          <w:kern w:val="2"/>
          <w:sz w:val="24"/>
          <w:szCs w:val="24"/>
          <w:highlight w:val="none"/>
          <w:lang w:val="en-US" w:eastAsia="zh-CN"/>
        </w:rPr>
        <w:t>8</w:t>
      </w:r>
      <w:r>
        <w:rPr>
          <w:rFonts w:hint="eastAsia" w:ascii="仿宋" w:hAnsi="仿宋" w:eastAsia="仿宋" w:cs="仿宋"/>
          <w:color w:val="0000FF"/>
          <w:kern w:val="2"/>
          <w:sz w:val="24"/>
          <w:szCs w:val="24"/>
          <w:highlight w:val="none"/>
          <w:lang w:eastAsia="zh-CN"/>
        </w:rPr>
        <w:t>月</w:t>
      </w:r>
      <w:r>
        <w:rPr>
          <w:rFonts w:hint="eastAsia" w:ascii="仿宋" w:hAnsi="仿宋" w:eastAsia="仿宋" w:cs="仿宋"/>
          <w:color w:val="0000FF"/>
          <w:kern w:val="2"/>
          <w:sz w:val="24"/>
          <w:szCs w:val="24"/>
          <w:highlight w:val="none"/>
          <w:lang w:val="en-US" w:eastAsia="zh-CN"/>
        </w:rPr>
        <w:t>9</w:t>
      </w:r>
      <w:r>
        <w:rPr>
          <w:rFonts w:hint="eastAsia" w:ascii="仿宋" w:hAnsi="仿宋" w:eastAsia="仿宋" w:cs="仿宋"/>
          <w:color w:val="0000FF"/>
          <w:kern w:val="2"/>
          <w:sz w:val="24"/>
          <w:szCs w:val="24"/>
          <w:highlight w:val="none"/>
          <w:lang w:eastAsia="zh-CN"/>
        </w:rPr>
        <w:t>日1</w:t>
      </w:r>
      <w:r>
        <w:rPr>
          <w:rFonts w:hint="eastAsia" w:ascii="仿宋" w:hAnsi="仿宋" w:eastAsia="仿宋" w:cs="仿宋"/>
          <w:color w:val="0000FF"/>
          <w:kern w:val="2"/>
          <w:sz w:val="24"/>
          <w:szCs w:val="24"/>
          <w:highlight w:val="none"/>
          <w:lang w:val="en-US" w:eastAsia="zh-CN"/>
        </w:rPr>
        <w:t>0</w:t>
      </w:r>
      <w:r>
        <w:rPr>
          <w:rFonts w:hint="eastAsia" w:ascii="仿宋" w:hAnsi="仿宋" w:eastAsia="仿宋" w:cs="仿宋"/>
          <w:color w:val="0000FF"/>
          <w:kern w:val="2"/>
          <w:sz w:val="24"/>
          <w:szCs w:val="24"/>
          <w:highlight w:val="none"/>
          <w:lang w:eastAsia="zh-CN"/>
        </w:rPr>
        <w:t>:</w:t>
      </w:r>
      <w:r>
        <w:rPr>
          <w:rFonts w:hint="eastAsia" w:ascii="仿宋" w:hAnsi="仿宋" w:eastAsia="仿宋" w:cs="仿宋"/>
          <w:color w:val="0000FF"/>
          <w:kern w:val="2"/>
          <w:sz w:val="24"/>
          <w:szCs w:val="24"/>
          <w:highlight w:val="none"/>
          <w:lang w:val="en-US" w:eastAsia="zh-CN"/>
        </w:rPr>
        <w:t>3</w:t>
      </w:r>
      <w:r>
        <w:rPr>
          <w:rFonts w:hint="eastAsia" w:ascii="仿宋" w:hAnsi="仿宋" w:eastAsia="仿宋" w:cs="仿宋"/>
          <w:color w:val="0000FF"/>
          <w:kern w:val="2"/>
          <w:sz w:val="24"/>
          <w:szCs w:val="24"/>
          <w:highlight w:val="none"/>
          <w:lang w:eastAsia="zh-CN"/>
        </w:rPr>
        <w:t>0</w:t>
      </w:r>
      <w:r>
        <w:rPr>
          <w:rFonts w:hint="eastAsia" w:ascii="仿宋" w:hAnsi="仿宋" w:eastAsia="仿宋" w:cs="仿宋"/>
          <w:color w:val="000000" w:themeColor="text1"/>
          <w:kern w:val="2"/>
          <w:sz w:val="24"/>
          <w:szCs w:val="24"/>
          <w:highlight w:val="none"/>
          <w14:textFill>
            <w14:solidFill>
              <w14:schemeClr w14:val="tx1"/>
            </w14:solidFill>
          </w14:textFill>
        </w:rPr>
        <w:t>（北京时间）</w:t>
      </w:r>
    </w:p>
    <w:p>
      <w:pPr>
        <w:pStyle w:val="33"/>
        <w:keepNext w:val="0"/>
        <w:keepLines w:val="0"/>
        <w:pageBreakBefore w:val="0"/>
        <w:widowControl w:val="0"/>
        <w:kinsoku/>
        <w:overflowPunct/>
        <w:topLinePunct/>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b/>
          <w:bCs/>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地点：供应商登陆兵团政采云https://www.zcygov.cn/不见面开标大厅。</w:t>
      </w:r>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24" w:name="_Toc16213"/>
      <w:bookmarkStart w:id="25" w:name="_Toc6691"/>
      <w:bookmarkStart w:id="26" w:name="_Toc13678"/>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五、公告期限</w:t>
      </w:r>
      <w:bookmarkEnd w:id="24"/>
      <w:bookmarkEnd w:id="25"/>
      <w:bookmarkEnd w:id="26"/>
    </w:p>
    <w:p>
      <w:pPr>
        <w:pStyle w:val="111"/>
        <w:keepNext w:val="0"/>
        <w:keepLines w:val="0"/>
        <w:pageBreakBefore w:val="0"/>
        <w:kinsoku/>
        <w:overflowPunct/>
        <w:topLine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自本公告发布之日起5个工作日。</w:t>
      </w:r>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27" w:name="_Toc9306"/>
      <w:bookmarkStart w:id="28" w:name="_Toc8764"/>
      <w:bookmarkStart w:id="29" w:name="_Toc24247"/>
      <w:bookmarkStart w:id="30" w:name="_Toc25857"/>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六、其他补充事宜</w:t>
      </w:r>
      <w:bookmarkEnd w:id="27"/>
      <w:bookmarkEnd w:id="28"/>
      <w:bookmarkEnd w:id="29"/>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bookmarkStart w:id="31" w:name="_Toc22268"/>
      <w:bookmarkStart w:id="32" w:name="_Toc6822"/>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1、本项目实行网上投标，采用电子投标文件；</w:t>
      </w:r>
      <w:bookmarkEnd w:id="31"/>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bookmarkStart w:id="33" w:name="_Toc8022"/>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bookmarkEnd w:id="33"/>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bookmarkStart w:id="34" w:name="_Toc18996"/>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bookmarkEnd w:id="34"/>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bookmarkStart w:id="35" w:name="_Toc4041"/>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4、供应商在开标时须使用制作加密电子投标文件所使用的CA锁及电脑，电脑须提前配置好浏览器（建议使用360浏览器极速模式或谷歌浏览器），以便开标时解锁。</w:t>
      </w:r>
      <w:bookmarkEnd w:id="35"/>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bookmarkStart w:id="36" w:name="_Toc14003"/>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https://service.zcygov.cn/#/help，“项目采购”—“操作流程-电子招投标”—“政府采购项目电子交易管理操作指南-供应商”版面获取操作指南。</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fldChar w:fldCharType="end"/>
      </w:r>
      <w:bookmarkEnd w:id="36"/>
    </w:p>
    <w:p>
      <w:pPr>
        <w:pStyle w:val="101"/>
        <w:keepNext w:val="0"/>
        <w:keepLines w:val="0"/>
        <w:pageBreakBefore w:val="0"/>
        <w:kinsoku/>
        <w:wordWrap w:val="0"/>
        <w:overflowPunct/>
        <w:autoSpaceDE w:val="0"/>
        <w:autoSpaceDN/>
        <w:bidi w:val="0"/>
        <w:adjustRightInd/>
        <w:snapToGrid/>
        <w:spacing w:before="0" w:beforeAutospacing="0" w:after="0" w:afterAutospacing="0" w:line="360" w:lineRule="auto"/>
        <w:jc w:val="both"/>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37" w:name="_Toc15464"/>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七、对本次招标提出询问，请按以下方式联系</w:t>
      </w:r>
      <w:bookmarkEnd w:id="30"/>
      <w:bookmarkEnd w:id="32"/>
      <w:bookmarkEnd w:id="37"/>
    </w:p>
    <w:bookmarkEnd w:id="7"/>
    <w:p>
      <w:pPr>
        <w:pStyle w:val="111"/>
        <w:keepNext w:val="0"/>
        <w:keepLines w:val="0"/>
        <w:pageBreakBefore w:val="0"/>
        <w:kinsoku/>
        <w:overflowPunct/>
        <w:topLine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1、采购人信息</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名  称：</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新疆生产建设兵团第十二师头屯河农场城镇管理服务中心</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地  址：</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乌鲁木齐头屯河区屯坪南路183号</w:t>
      </w:r>
      <w:r>
        <w:rPr>
          <w:rFonts w:hint="eastAsia" w:ascii="仿宋" w:hAnsi="仿宋" w:eastAsia="仿宋" w:cs="仿宋"/>
          <w:color w:val="000000" w:themeColor="text1"/>
          <w:kern w:val="0"/>
          <w:sz w:val="24"/>
          <w:szCs w:val="24"/>
          <w:highlight w:val="none"/>
          <w14:textFill>
            <w14:solidFill>
              <w14:schemeClr w14:val="tx1"/>
            </w14:solidFill>
          </w14:textFill>
        </w:rPr>
        <w:t> </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联系方式：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13899970932</w:t>
      </w:r>
    </w:p>
    <w:p>
      <w:pPr>
        <w:pStyle w:val="111"/>
        <w:keepNext w:val="0"/>
        <w:keepLines w:val="0"/>
        <w:pageBreakBefore w:val="0"/>
        <w:kinsoku/>
        <w:overflowPunct/>
        <w:topLine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2、采购代理机构信息</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bookmarkStart w:id="38" w:name="_Toc10571"/>
      <w:bookmarkStart w:id="39" w:name="_Toc532543564"/>
      <w:bookmarkStart w:id="40" w:name="_Toc531075008"/>
      <w:r>
        <w:rPr>
          <w:rFonts w:hint="eastAsia" w:ascii="仿宋" w:hAnsi="仿宋" w:eastAsia="仿宋" w:cs="仿宋"/>
          <w:color w:val="000000" w:themeColor="text1"/>
          <w:kern w:val="0"/>
          <w:sz w:val="24"/>
          <w:szCs w:val="24"/>
          <w:highlight w:val="none"/>
          <w14:textFill>
            <w14:solidFill>
              <w14:schemeClr w14:val="tx1"/>
            </w14:solidFill>
          </w14:textFill>
        </w:rPr>
        <w:t>名   称：</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新疆森海旭和工程咨询有限公司</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地   址：</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乌鲁木齐市水磨沟区龙腾路1118号万科中央公园2期9栋9层902室</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联系方式：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黄涛、侯杰</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15899206993</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p>
      <w:pPr>
        <w:keepNext w:val="0"/>
        <w:keepLines w:val="0"/>
        <w:pageBreakBefore w:val="0"/>
        <w:kinsoku/>
        <w:overflowPunct/>
        <w:autoSpaceDN/>
        <w:bidi w:val="0"/>
        <w:adjustRightInd/>
        <w:snapToGrid/>
        <w:spacing w:line="360" w:lineRule="auto"/>
        <w:ind w:firstLine="480" w:firstLineChars="200"/>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 项目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联系方式</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项目联系人：</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黄涛、侯杰</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p>
      <w:pPr>
        <w:keepNext w:val="0"/>
        <w:keepLines w:val="0"/>
        <w:pageBreakBefore w:val="0"/>
        <w:kinsoku/>
        <w:overflowPunct/>
        <w:autoSpaceDN/>
        <w:bidi w:val="0"/>
        <w:adjustRightInd/>
        <w:snapToGrid/>
        <w:spacing w:line="360" w:lineRule="auto"/>
        <w:ind w:firstLine="48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电　话</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lang w:eastAsia="zh-CN"/>
          <w14:textFill>
            <w14:solidFill>
              <w14:schemeClr w14:val="tx1"/>
            </w14:solidFill>
          </w14:textFill>
        </w:rPr>
        <w:t>15899206993</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8"/>
          <w:szCs w:val="28"/>
          <w:highlight w:val="none"/>
          <w14:textFill>
            <w14:solidFill>
              <w14:schemeClr w14:val="tx1"/>
            </w14:solidFill>
          </w14:textFill>
        </w:rPr>
        <w:t xml:space="preserve"> </w:t>
      </w:r>
    </w:p>
    <w:p>
      <w:pPr>
        <w:pStyle w:val="2"/>
        <w:keepNext w:val="0"/>
        <w:keepLines w:val="0"/>
        <w:topLinePunct/>
        <w:spacing w:before="0" w:after="0" w:line="240" w:lineRule="auto"/>
        <w:ind w:firstLine="8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0"/>
          <w:highlight w:val="none"/>
          <w14:textFill>
            <w14:solidFill>
              <w14:schemeClr w14:val="tx1"/>
            </w14:solidFill>
          </w14:textFill>
        </w:rPr>
        <w:br w:type="page"/>
      </w:r>
      <w:bookmarkStart w:id="41" w:name="_Toc22429"/>
      <w:bookmarkStart w:id="42" w:name="_Toc19336"/>
      <w:r>
        <w:rPr>
          <w:rFonts w:hint="eastAsia" w:ascii="仿宋" w:hAnsi="仿宋" w:eastAsia="仿宋" w:cs="仿宋"/>
          <w:color w:val="000000" w:themeColor="text1"/>
          <w:szCs w:val="20"/>
          <w:highlight w:val="none"/>
          <w14:textFill>
            <w14:solidFill>
              <w14:schemeClr w14:val="tx1"/>
            </w14:solidFill>
          </w14:textFill>
        </w:rPr>
        <w:t xml:space="preserve">第二章 </w:t>
      </w:r>
      <w:r>
        <w:rPr>
          <w:rFonts w:hint="eastAsia" w:ascii="仿宋" w:hAnsi="仿宋" w:eastAsia="仿宋" w:cs="仿宋"/>
          <w:color w:val="000000" w:themeColor="text1"/>
          <w:highlight w:val="none"/>
          <w14:textFill>
            <w14:solidFill>
              <w14:schemeClr w14:val="tx1"/>
            </w14:solidFill>
          </w14:textFill>
        </w:rPr>
        <w:t>供应商须知</w:t>
      </w:r>
      <w:bookmarkEnd w:id="38"/>
      <w:bookmarkEnd w:id="39"/>
      <w:bookmarkEnd w:id="40"/>
      <w:bookmarkEnd w:id="41"/>
      <w:bookmarkEnd w:id="42"/>
    </w:p>
    <w:p>
      <w:pPr>
        <w:pStyle w:val="111"/>
        <w:topLinePunct/>
        <w:rPr>
          <w:rFonts w:hint="eastAsia" w:ascii="仿宋" w:hAnsi="仿宋" w:eastAsia="仿宋" w:cs="仿宋"/>
          <w:b/>
          <w:bCs/>
          <w:color w:val="000000" w:themeColor="text1"/>
          <w:sz w:val="32"/>
          <w:szCs w:val="32"/>
          <w:highlight w:val="none"/>
          <w14:textFill>
            <w14:solidFill>
              <w14:schemeClr w14:val="tx1"/>
            </w14:solidFill>
          </w14:textFill>
        </w:rPr>
      </w:pPr>
      <w:bookmarkStart w:id="43" w:name="_Toc21720"/>
      <w:bookmarkStart w:id="44" w:name="EB99f3ffc62d4744a9abed5da111a780a5"/>
      <w:r>
        <w:rPr>
          <w:rFonts w:hint="eastAsia" w:ascii="仿宋" w:hAnsi="仿宋" w:eastAsia="仿宋" w:cs="仿宋"/>
          <w:b/>
          <w:bCs/>
          <w:color w:val="000000" w:themeColor="text1"/>
          <w:sz w:val="32"/>
          <w:szCs w:val="32"/>
          <w:highlight w:val="none"/>
          <w14:textFill>
            <w14:solidFill>
              <w14:schemeClr w14:val="tx1"/>
            </w14:solidFill>
          </w14:textFill>
        </w:rPr>
        <w:t>供应商须知前附表</w:t>
      </w:r>
    </w:p>
    <w:tbl>
      <w:tblPr>
        <w:tblStyle w:val="38"/>
        <w:tblW w:w="9490" w:type="dxa"/>
        <w:tblInd w:w="-38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988"/>
        <w:gridCol w:w="6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序列号</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条款名称</w:t>
            </w:r>
          </w:p>
        </w:tc>
        <w:tc>
          <w:tcPr>
            <w:tcW w:w="6385"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编列内容规定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项目编号</w:t>
            </w:r>
          </w:p>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项目名称</w:t>
            </w:r>
          </w:p>
        </w:tc>
        <w:tc>
          <w:tcPr>
            <w:tcW w:w="6385" w:type="dxa"/>
            <w:noWrap w:val="0"/>
            <w:vAlign w:val="center"/>
          </w:tcPr>
          <w:p>
            <w:pPr>
              <w:pStyle w:val="104"/>
              <w:wordWrap w:val="0"/>
              <w:spacing w:line="400" w:lineRule="exac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头屯河农场市政服务项目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2</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采购人</w:t>
            </w:r>
          </w:p>
        </w:tc>
        <w:tc>
          <w:tcPr>
            <w:tcW w:w="6385" w:type="dxa"/>
            <w:noWrap w:val="0"/>
            <w:vAlign w:val="center"/>
          </w:tcPr>
          <w:p>
            <w:pPr>
              <w:pStyle w:val="104"/>
              <w:wordWrap w:val="0"/>
              <w:spacing w:line="400" w:lineRule="exac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名 称：</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新疆生产建设兵团第十二师头屯河农场城镇管理服务中心</w:t>
            </w:r>
          </w:p>
          <w:p>
            <w:pPr>
              <w:pStyle w:val="104"/>
              <w:wordWrap w:val="0"/>
              <w:spacing w:line="400" w:lineRule="exac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地  址：</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乌鲁木齐头屯河区屯坪南路183号</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 </w:t>
            </w:r>
          </w:p>
          <w:p>
            <w:pPr>
              <w:pStyle w:val="104"/>
              <w:wordWrap w:val="0"/>
              <w:spacing w:line="400" w:lineRule="exac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联系方式：</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杨波  13899970932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3</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采购代理机构</w:t>
            </w:r>
          </w:p>
        </w:tc>
        <w:tc>
          <w:tcPr>
            <w:tcW w:w="6385" w:type="dxa"/>
            <w:noWrap w:val="0"/>
            <w:vAlign w:val="center"/>
          </w:tcPr>
          <w:p>
            <w:pPr>
              <w:pStyle w:val="104"/>
              <w:wordWrap w:val="0"/>
              <w:spacing w:line="400" w:lineRule="exac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名称：</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新疆森海旭和工程咨询有限公司</w:t>
            </w:r>
          </w:p>
          <w:p>
            <w:pPr>
              <w:pStyle w:val="104"/>
              <w:wordWrap w:val="0"/>
              <w:spacing w:line="400" w:lineRule="exac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地址：</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乌鲁木齐市水磨沟区龙腾路1118号万科中央公园2期9栋9层902室</w:t>
            </w:r>
          </w:p>
          <w:p>
            <w:pPr>
              <w:pStyle w:val="104"/>
              <w:wordWrap w:val="0"/>
              <w:spacing w:line="400" w:lineRule="exac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联系方式：</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黄涛、侯杰</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15899206993</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4</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监管部门</w:t>
            </w:r>
          </w:p>
        </w:tc>
        <w:tc>
          <w:tcPr>
            <w:tcW w:w="6385" w:type="dxa"/>
            <w:noWrap w:val="0"/>
            <w:vAlign w:val="center"/>
          </w:tcPr>
          <w:p>
            <w:pPr>
              <w:pStyle w:val="104"/>
              <w:wordWrap w:val="0"/>
              <w:spacing w:line="400" w:lineRule="exac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名  称：</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新疆生产建设兵团第十二师头屯河农场经济发展办公室</w:t>
            </w:r>
          </w:p>
          <w:p>
            <w:pPr>
              <w:pStyle w:val="104"/>
              <w:wordWrap w:val="0"/>
              <w:spacing w:line="400" w:lineRule="exac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地  址：</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乌鲁木齐头屯河区屯坪南路183号</w:t>
            </w:r>
          </w:p>
          <w:p>
            <w:pPr>
              <w:pStyle w:val="104"/>
              <w:wordWrap w:val="0"/>
              <w:spacing w:line="400" w:lineRule="exac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联系方式：</w:t>
            </w:r>
            <w:r>
              <w:rPr>
                <w:rFonts w:hint="eastAsia"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宋健  13565422081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5</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项目预算</w:t>
            </w:r>
          </w:p>
        </w:tc>
        <w:tc>
          <w:tcPr>
            <w:tcW w:w="6385" w:type="dxa"/>
            <w:noWrap w:val="0"/>
            <w:vAlign w:val="center"/>
          </w:tcPr>
          <w:p>
            <w:pPr>
              <w:pStyle w:val="104"/>
              <w:wordWrap w:val="0"/>
              <w:spacing w:line="400" w:lineRule="exact"/>
              <w:rPr>
                <w:rFonts w:hint="default" w:ascii="Times New Roman" w:hAnsi="Times New Roman" w:eastAsia="仿宋" w:cs="Times New Roman"/>
                <w:color w:val="auto"/>
                <w:kern w:val="0"/>
                <w:sz w:val="24"/>
                <w:szCs w:val="24"/>
                <w:highlight w:val="none"/>
                <w:lang w:val="zh-CN" w:eastAsia="zh-CN"/>
              </w:rPr>
            </w:pPr>
            <w:r>
              <w:rPr>
                <w:rFonts w:hint="default" w:ascii="Times New Roman" w:hAnsi="Times New Roman" w:eastAsia="仿宋" w:cs="Times New Roman"/>
                <w:color w:val="000000" w:themeColor="text1"/>
                <w:kern w:val="0"/>
                <w:sz w:val="24"/>
                <w:szCs w:val="24"/>
                <w:highlight w:val="none"/>
                <w:lang w:val="zh-CN" w:eastAsia="zh-CN"/>
                <w14:textFill>
                  <w14:solidFill>
                    <w14:schemeClr w14:val="tx1"/>
                  </w14:solidFill>
                </w14:textFill>
              </w:rPr>
              <w:t>金额（小写）</w:t>
            </w:r>
            <w:r>
              <w:rPr>
                <w:rFonts w:hint="default" w:ascii="Times New Roman" w:hAnsi="Times New Roman" w:eastAsia="仿宋" w:cs="Times New Roman"/>
                <w:color w:val="auto"/>
                <w:kern w:val="0"/>
                <w:sz w:val="24"/>
                <w:szCs w:val="24"/>
                <w:highlight w:val="none"/>
                <w:lang w:val="zh-CN" w:eastAsia="zh-CN"/>
              </w:rPr>
              <w:t>：</w:t>
            </w:r>
            <w:r>
              <w:rPr>
                <w:rFonts w:hint="eastAsia" w:ascii="Times New Roman" w:hAnsi="Times New Roman" w:eastAsia="仿宋" w:cs="Times New Roman"/>
                <w:color w:val="auto"/>
                <w:kern w:val="0"/>
                <w:sz w:val="24"/>
                <w:szCs w:val="24"/>
                <w:highlight w:val="none"/>
                <w:lang w:val="en-US" w:eastAsia="zh-CN"/>
              </w:rPr>
              <w:t>8300000.00</w:t>
            </w:r>
            <w:r>
              <w:rPr>
                <w:rFonts w:hint="default" w:ascii="Times New Roman" w:hAnsi="Times New Roman" w:eastAsia="仿宋" w:cs="Times New Roman"/>
                <w:color w:val="auto"/>
                <w:kern w:val="0"/>
                <w:sz w:val="24"/>
                <w:szCs w:val="24"/>
                <w:highlight w:val="none"/>
                <w:lang w:val="en-US" w:eastAsia="zh-CN"/>
              </w:rPr>
              <w:t xml:space="preserve">元   </w:t>
            </w:r>
          </w:p>
          <w:p>
            <w:pPr>
              <w:pStyle w:val="104"/>
              <w:wordWrap w:val="0"/>
              <w:spacing w:line="400" w:lineRule="exact"/>
              <w:rPr>
                <w:rFonts w:hint="default" w:ascii="Times New Roman" w:hAnsi="Times New Roman" w:eastAsia="仿宋" w:cs="Times New Roman"/>
                <w:color w:val="000000" w:themeColor="text1"/>
                <w:kern w:val="0"/>
                <w:sz w:val="28"/>
                <w:szCs w:val="28"/>
                <w:highlight w:val="none"/>
                <w:lang w:val="en-US" w:eastAsia="zh-CN"/>
                <w14:textFill>
                  <w14:solidFill>
                    <w14:schemeClr w14:val="tx1"/>
                  </w14:solidFill>
                </w14:textFill>
              </w:rPr>
            </w:pPr>
            <w:r>
              <w:rPr>
                <w:rFonts w:hint="default" w:ascii="Times New Roman" w:hAnsi="Times New Roman" w:eastAsia="仿宋" w:cs="Times New Roman"/>
                <w:color w:val="auto"/>
                <w:kern w:val="0"/>
                <w:sz w:val="24"/>
                <w:szCs w:val="24"/>
                <w:highlight w:val="none"/>
                <w:lang w:val="zh-CN" w:eastAsia="zh-CN"/>
              </w:rPr>
              <w:t>金额（大写）：</w:t>
            </w:r>
            <w:r>
              <w:rPr>
                <w:rFonts w:hint="eastAsia" w:ascii="Times New Roman" w:hAnsi="Times New Roman" w:eastAsia="仿宋" w:cs="Times New Roman"/>
                <w:color w:val="auto"/>
                <w:kern w:val="0"/>
                <w:sz w:val="24"/>
                <w:szCs w:val="24"/>
                <w:highlight w:val="none"/>
                <w:lang w:val="en-US" w:eastAsia="zh-CN"/>
              </w:rPr>
              <w:t>捌佰叁拾万元整</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 xml:space="preserve"> </w:t>
            </w:r>
          </w:p>
          <w:p>
            <w:pPr>
              <w:pStyle w:val="104"/>
              <w:wordWrap w:val="0"/>
              <w:spacing w:line="400" w:lineRule="exact"/>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供应商投标报价超过项目预算金额的按无效投标处理。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6</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供应商资格条件</w:t>
            </w:r>
          </w:p>
        </w:tc>
        <w:tc>
          <w:tcPr>
            <w:tcW w:w="6385" w:type="dxa"/>
            <w:noWrap w:val="0"/>
            <w:vAlign w:val="center"/>
          </w:tcPr>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一、符合《中华人民共和国政府采购法》第二十二条规定、《中华人民共和国政府采购法实施条例》第十七条规定。</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投标人法人营业执照（副本）或事业单位法人证书（副本）或个体工商户营业执照或有效的自然人身份证明、组织机构代码证扫描件（投标人按“三证合一”登记制度办理营业执照的,组织机构代码证和税务登记证（副本）以投标人所提供的营业执照（副本）扫描件为准。）投标人法定代表人身份证明和法定代表人授权代表委托书扫描件。</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（2）具有良好的商业信誉和健全的财务会计制度，提供（</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2021年度或2022年度</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经第三方审计的财务会计报告，如供应商无法提供经第三方审计的财务会计报告，则需提供供应商基本账户银行出具的资信证明（递交响应文件截止时间前三个月内）的扫描件，银行出具的存款证明不能作为银行资信证明。</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（3）具有履行合同所必需的设备和专业技术能力，投标人须提供相关资料或书面声明（格式自拟）；</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4）有依法缴纳税收和社会保障金的良好记录，1)投标人依法缴纳税收的证明材料复印件加盖公章（提供投标截止日期之前6个月内任何一期的纳税记录或证明文件,如依法免税或不需要缴纳税收的,提供相应证明材料）；2)投标人依法缴纳社会保障资金的证明材料复印件加盖公章（提供投标截止日期之前6个月内任何一期的缴费记录或证明文件,如依法不需要缴纳社会保障资金的,提供相应证明材料）。</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参加政府采购活动前三年内,在经营活动中没有重大违法记录，1）投标人参加政府采购活动前3年内在经营活动中没有重大违法记录的书面声明（格式自拟）；2）投标人近三年（2020年1月1日-投标截止日）在“信用中国”网站（</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instrText xml:space="preserve"> HYPERLINK "http://www.creditchina.gov.cn/" </w:instrTex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http://www.creditchina.gov.cn/</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fldChar w:fldCharType="end"/>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中未被列入失信被执行人名单、重大税收违法失信主体名单；3）近三年（2020年1月1日-投标截止日）在“中国政府采购网”（www.ccgp.gov.cn）未被列入严重违法失信行为记录名单；（查询的时间以采购人或采购代理机构开标当日查询记录为准）。</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6）具备法律、行政法规规定的其他条件的证明材料：1）、投标文件是否含有采购人不能接受的附加条件；2）、是否违反国家法律、法规和采购文件规定的其他无效情形。3）、未与其他投标人串通投标,或者与招标人串通投标。</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二、落实政府采购政策需满足的资格要求：本项目专门面向中小企业（包括符合中小企业划分标准的个体工商户）采购，不在执行价格评审优惠政策，具体要求详见《政府采购促进中小企业发展管理办法》（财库〔2020〕46号）及其相关规定，此外，监狱企业、残疾人福利性单位在本项目采购活动中视同小型、微型企业）。</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（1）财政部、工业和信息化部文件关于印发《政府采购促进中小企业发展管理办法》（财库[2020]46号文）；</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（2）财政部、司法部《关于政府采购支持监狱企业发展有关问题的通知》（财库〔2014〕68号）；</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财政部、民政部、中国残疾人联合会文件《关于促进残疾人就业政府采购政策的通知》（财库[2017]141号）；监狱企业、残疾人福利性单位视同小型、微型企业,享受小型、微型企业评审中价格扣除的政府采购政策。</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三、本项目的特定资格要求：无。</w:t>
            </w:r>
          </w:p>
          <w:p>
            <w:pPr>
              <w:pStyle w:val="103"/>
              <w:wordWrap w:val="0"/>
              <w:adjustRightInd w:val="0"/>
              <w:snapToGrid w:val="0"/>
              <w:spacing w:line="40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四、其他：法定代表人或者负责人为同一人或者存在控股、管理关系的两个以上投标人,不得参加同一项目的投标；除单一来源采购项目外,为采购项目提供整体设计、规范编制或者项目管理、监理、检测等服务的投标人,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7</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联合体投标</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 xml:space="preserve">☑不接受 </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□接受</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8</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备选方案</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 xml:space="preserve">☑ 不接受            </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 接受</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9</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信息公告媒体</w:t>
            </w:r>
          </w:p>
        </w:tc>
        <w:tc>
          <w:tcPr>
            <w:tcW w:w="6385" w:type="dxa"/>
            <w:noWrap w:val="0"/>
            <w:vAlign w:val="center"/>
          </w:tcPr>
          <w:p>
            <w:pPr>
              <w:pStyle w:val="111"/>
              <w:wordWrap w:val="0"/>
              <w:topLinePunct/>
              <w:adjustRightInd w:val="0"/>
              <w:snapToGrid w:val="0"/>
              <w:spacing w:line="400" w:lineRule="exact"/>
              <w:jc w:val="left"/>
              <w:rPr>
                <w:rFonts w:hint="default" w:ascii="Times New Roman" w:hAnsi="Times New Roman" w:eastAsia="仿宋"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兵团政府采购网（</w:t>
            </w:r>
            <w:r>
              <w:rPr>
                <w:rFonts w:hint="default" w:ascii="Times New Roman" w:hAnsi="Times New Roman" w:eastAsia="仿宋" w:cs="Times New Roman"/>
                <w:color w:val="000000" w:themeColor="text1"/>
                <w:sz w:val="24"/>
                <w:szCs w:val="24"/>
                <w:highlight w:val="none"/>
                <w14:textFill>
                  <w14:solidFill>
                    <w14:schemeClr w14:val="tx1"/>
                  </w14:solidFill>
                </w14:textFill>
              </w:rPr>
              <w:t>http://ccgp-bingtuan.gov.cn/</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10</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响应文件递交截止时间</w:t>
            </w:r>
          </w:p>
        </w:tc>
        <w:tc>
          <w:tcPr>
            <w:tcW w:w="6385" w:type="dxa"/>
            <w:noWrap w:val="0"/>
            <w:vAlign w:val="center"/>
          </w:tcPr>
          <w:p>
            <w:pPr>
              <w:pStyle w:val="103"/>
              <w:adjustRightInd w:val="0"/>
              <w:snapToGrid w:val="0"/>
              <w:spacing w:line="40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FF"/>
                <w:sz w:val="24"/>
                <w:szCs w:val="24"/>
                <w:highlight w:val="none"/>
                <w:lang w:eastAsia="zh-CN"/>
              </w:rPr>
              <w:t>2023年</w:t>
            </w:r>
            <w:r>
              <w:rPr>
                <w:rFonts w:hint="eastAsia" w:ascii="Times New Roman" w:hAnsi="Times New Roman" w:eastAsia="仿宋" w:cs="Times New Roman"/>
                <w:color w:val="0000FF"/>
                <w:sz w:val="24"/>
                <w:szCs w:val="24"/>
                <w:highlight w:val="none"/>
                <w:lang w:val="en-US" w:eastAsia="zh-CN"/>
              </w:rPr>
              <w:t>8</w:t>
            </w:r>
            <w:r>
              <w:rPr>
                <w:rFonts w:hint="eastAsia" w:ascii="Times New Roman" w:hAnsi="Times New Roman" w:eastAsia="仿宋" w:cs="Times New Roman"/>
                <w:color w:val="0000FF"/>
                <w:sz w:val="24"/>
                <w:szCs w:val="24"/>
                <w:highlight w:val="none"/>
                <w:lang w:eastAsia="zh-CN"/>
              </w:rPr>
              <w:t>月</w:t>
            </w:r>
            <w:r>
              <w:rPr>
                <w:rFonts w:hint="eastAsia" w:ascii="Times New Roman" w:hAnsi="Times New Roman" w:eastAsia="仿宋" w:cs="Times New Roman"/>
                <w:color w:val="0000FF"/>
                <w:sz w:val="24"/>
                <w:szCs w:val="24"/>
                <w:highlight w:val="none"/>
                <w:lang w:val="en-US" w:eastAsia="zh-CN"/>
              </w:rPr>
              <w:t>9</w:t>
            </w:r>
            <w:r>
              <w:rPr>
                <w:rFonts w:hint="eastAsia" w:ascii="Times New Roman" w:hAnsi="Times New Roman" w:eastAsia="仿宋" w:cs="Times New Roman"/>
                <w:color w:val="0000FF"/>
                <w:sz w:val="24"/>
                <w:szCs w:val="24"/>
                <w:highlight w:val="none"/>
                <w:lang w:eastAsia="zh-CN"/>
              </w:rPr>
              <w:t>日1</w:t>
            </w:r>
            <w:r>
              <w:rPr>
                <w:rFonts w:hint="eastAsia" w:ascii="Times New Roman" w:hAnsi="Times New Roman" w:eastAsia="仿宋" w:cs="Times New Roman"/>
                <w:color w:val="0000FF"/>
                <w:sz w:val="24"/>
                <w:szCs w:val="24"/>
                <w:highlight w:val="none"/>
                <w:lang w:val="en-US" w:eastAsia="zh-CN"/>
              </w:rPr>
              <w:t>0</w:t>
            </w:r>
            <w:r>
              <w:rPr>
                <w:rFonts w:hint="eastAsia" w:ascii="Times New Roman" w:hAnsi="Times New Roman" w:eastAsia="仿宋" w:cs="Times New Roman"/>
                <w:color w:val="0000FF"/>
                <w:sz w:val="24"/>
                <w:szCs w:val="24"/>
                <w:highlight w:val="none"/>
                <w:lang w:eastAsia="zh-CN"/>
              </w:rPr>
              <w:t>:</w:t>
            </w:r>
            <w:r>
              <w:rPr>
                <w:rFonts w:hint="eastAsia" w:ascii="Times New Roman" w:hAnsi="Times New Roman" w:eastAsia="仿宋" w:cs="Times New Roman"/>
                <w:color w:val="0000FF"/>
                <w:sz w:val="24"/>
                <w:szCs w:val="24"/>
                <w:highlight w:val="none"/>
                <w:lang w:val="en-US" w:eastAsia="zh-CN"/>
              </w:rPr>
              <w:t>3</w:t>
            </w:r>
            <w:r>
              <w:rPr>
                <w:rFonts w:hint="eastAsia" w:ascii="Times New Roman" w:hAnsi="Times New Roman" w:eastAsia="仿宋" w:cs="Times New Roman"/>
                <w:color w:val="0000FF"/>
                <w:sz w:val="24"/>
                <w:szCs w:val="24"/>
                <w:highlight w:val="none"/>
                <w:lang w:eastAsia="zh-CN"/>
              </w:rPr>
              <w:t>0</w:t>
            </w:r>
            <w:r>
              <w:rPr>
                <w:rFonts w:hint="default" w:ascii="Times New Roman" w:hAnsi="Times New Roman" w:eastAsia="仿宋" w:cs="Times New Roman"/>
                <w:color w:val="0000FF"/>
                <w:sz w:val="24"/>
                <w:szCs w:val="24"/>
                <w:highlight w:val="none"/>
                <w:lang w:eastAsia="zh-CN"/>
              </w:rPr>
              <w:t xml:space="preserve"> </w:t>
            </w:r>
            <w:r>
              <w:rPr>
                <w:rFonts w:hint="default" w:ascii="Times New Roman" w:hAnsi="Times New Roman" w:eastAsia="仿宋" w:cs="Times New Roman"/>
                <w:color w:val="0000FF"/>
                <w:sz w:val="24"/>
                <w:szCs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11</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开标</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时间、地点</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FF"/>
                <w:sz w:val="24"/>
                <w:szCs w:val="24"/>
                <w:highlight w:val="none"/>
              </w:rPr>
            </w:pPr>
            <w:r>
              <w:rPr>
                <w:rFonts w:hint="default" w:ascii="Times New Roman" w:hAnsi="Times New Roman" w:eastAsia="仿宋" w:cs="Times New Roman"/>
                <w:color w:val="0000FF"/>
                <w:sz w:val="24"/>
                <w:szCs w:val="24"/>
                <w:highlight w:val="none"/>
                <w:lang w:val="en-US" w:eastAsia="zh-CN"/>
              </w:rPr>
              <w:t>开标</w:t>
            </w:r>
            <w:r>
              <w:rPr>
                <w:rFonts w:hint="default" w:ascii="Times New Roman" w:hAnsi="Times New Roman" w:eastAsia="仿宋" w:cs="Times New Roman"/>
                <w:color w:val="0000FF"/>
                <w:sz w:val="24"/>
                <w:szCs w:val="24"/>
                <w:highlight w:val="none"/>
              </w:rPr>
              <w:t>时间：</w:t>
            </w:r>
            <w:r>
              <w:rPr>
                <w:rFonts w:hint="eastAsia" w:ascii="Times New Roman" w:hAnsi="Times New Roman" w:eastAsia="仿宋" w:cs="Times New Roman"/>
                <w:color w:val="0000FF"/>
                <w:sz w:val="24"/>
                <w:szCs w:val="24"/>
                <w:highlight w:val="none"/>
                <w:lang w:eastAsia="zh-CN"/>
              </w:rPr>
              <w:t>2023年</w:t>
            </w:r>
            <w:r>
              <w:rPr>
                <w:rFonts w:hint="eastAsia" w:ascii="Times New Roman" w:hAnsi="Times New Roman" w:eastAsia="仿宋" w:cs="Times New Roman"/>
                <w:color w:val="0000FF"/>
                <w:sz w:val="24"/>
                <w:szCs w:val="24"/>
                <w:highlight w:val="none"/>
                <w:lang w:val="en-US" w:eastAsia="zh-CN"/>
              </w:rPr>
              <w:t>8</w:t>
            </w:r>
            <w:r>
              <w:rPr>
                <w:rFonts w:hint="eastAsia" w:ascii="Times New Roman" w:hAnsi="Times New Roman" w:eastAsia="仿宋" w:cs="Times New Roman"/>
                <w:color w:val="0000FF"/>
                <w:sz w:val="24"/>
                <w:szCs w:val="24"/>
                <w:highlight w:val="none"/>
                <w:lang w:eastAsia="zh-CN"/>
              </w:rPr>
              <w:t>月</w:t>
            </w:r>
            <w:r>
              <w:rPr>
                <w:rFonts w:hint="eastAsia" w:ascii="Times New Roman" w:hAnsi="Times New Roman" w:eastAsia="仿宋" w:cs="Times New Roman"/>
                <w:color w:val="0000FF"/>
                <w:sz w:val="24"/>
                <w:szCs w:val="24"/>
                <w:highlight w:val="none"/>
                <w:lang w:val="en-US" w:eastAsia="zh-CN"/>
              </w:rPr>
              <w:t>9</w:t>
            </w:r>
            <w:r>
              <w:rPr>
                <w:rFonts w:hint="eastAsia" w:ascii="Times New Roman" w:hAnsi="Times New Roman" w:eastAsia="仿宋" w:cs="Times New Roman"/>
                <w:color w:val="0000FF"/>
                <w:sz w:val="24"/>
                <w:szCs w:val="24"/>
                <w:highlight w:val="none"/>
                <w:lang w:eastAsia="zh-CN"/>
              </w:rPr>
              <w:t>日1</w:t>
            </w:r>
            <w:r>
              <w:rPr>
                <w:rFonts w:hint="eastAsia" w:ascii="Times New Roman" w:hAnsi="Times New Roman" w:eastAsia="仿宋" w:cs="Times New Roman"/>
                <w:color w:val="0000FF"/>
                <w:sz w:val="24"/>
                <w:szCs w:val="24"/>
                <w:highlight w:val="none"/>
                <w:lang w:val="en-US" w:eastAsia="zh-CN"/>
              </w:rPr>
              <w:t>0</w:t>
            </w:r>
            <w:r>
              <w:rPr>
                <w:rFonts w:hint="eastAsia" w:ascii="Times New Roman" w:hAnsi="Times New Roman" w:eastAsia="仿宋" w:cs="Times New Roman"/>
                <w:color w:val="0000FF"/>
                <w:sz w:val="24"/>
                <w:szCs w:val="24"/>
                <w:highlight w:val="none"/>
                <w:lang w:eastAsia="zh-CN"/>
              </w:rPr>
              <w:t>:</w:t>
            </w:r>
            <w:r>
              <w:rPr>
                <w:rFonts w:hint="eastAsia" w:ascii="Times New Roman" w:hAnsi="Times New Roman" w:eastAsia="仿宋" w:cs="Times New Roman"/>
                <w:color w:val="0000FF"/>
                <w:sz w:val="24"/>
                <w:szCs w:val="24"/>
                <w:highlight w:val="none"/>
                <w:lang w:val="en-US" w:eastAsia="zh-CN"/>
              </w:rPr>
              <w:t>3</w:t>
            </w:r>
            <w:r>
              <w:rPr>
                <w:rFonts w:hint="eastAsia" w:ascii="Times New Roman" w:hAnsi="Times New Roman" w:eastAsia="仿宋" w:cs="Times New Roman"/>
                <w:color w:val="0000FF"/>
                <w:sz w:val="24"/>
                <w:szCs w:val="24"/>
                <w:highlight w:val="none"/>
                <w:lang w:eastAsia="zh-CN"/>
              </w:rPr>
              <w:t>0</w:t>
            </w:r>
            <w:r>
              <w:rPr>
                <w:rFonts w:hint="default" w:ascii="Times New Roman" w:hAnsi="Times New Roman" w:eastAsia="仿宋" w:cs="Times New Roman"/>
                <w:color w:val="0000FF"/>
                <w:sz w:val="24"/>
                <w:szCs w:val="24"/>
                <w:highlight w:val="none"/>
                <w:lang w:eastAsia="zh-CN"/>
              </w:rPr>
              <w:t xml:space="preserve"> </w:t>
            </w:r>
            <w:r>
              <w:rPr>
                <w:rFonts w:hint="default" w:ascii="Times New Roman" w:hAnsi="Times New Roman" w:eastAsia="仿宋" w:cs="Times New Roman"/>
                <w:color w:val="0000FF"/>
                <w:sz w:val="24"/>
                <w:szCs w:val="24"/>
                <w:highlight w:val="none"/>
              </w:rPr>
              <w:t>（北京时间）</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开标</w:t>
            </w:r>
            <w:r>
              <w:rPr>
                <w:rFonts w:hint="default" w:ascii="Times New Roman" w:hAnsi="Times New Roman" w:eastAsia="仿宋" w:cs="Times New Roman"/>
                <w:color w:val="000000" w:themeColor="text1"/>
                <w:sz w:val="24"/>
                <w:szCs w:val="24"/>
                <w:highlight w:val="none"/>
                <w14:textFill>
                  <w14:solidFill>
                    <w14:schemeClr w14:val="tx1"/>
                  </w14:solidFill>
                </w14:textFill>
              </w:rPr>
              <w:t>地点：兵团政采云http://ccgp-bingtuan.gov.cn不见面开标大厅不见面开标默认解密时长：</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0</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分钟</w:t>
            </w:r>
            <w:r>
              <w:rPr>
                <w:rFonts w:hint="default" w:ascii="Times New Roman" w:hAnsi="Times New Roman" w:eastAsia="仿宋" w:cs="Times New Roman"/>
                <w:color w:val="000000" w:themeColor="text1"/>
                <w:sz w:val="24"/>
                <w:szCs w:val="24"/>
                <w:highlight w:val="none"/>
                <w14:textFill>
                  <w14:solidFill>
                    <w14:schemeClr w14:val="tx1"/>
                  </w14:solidFill>
                </w14:textFill>
              </w:rPr>
              <w:t xml:space="preserve"> </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供应商电子响应文件解密失败的处理方式：如因供应商自身原因导致在规定时间内无法正常解密的（如：浏览器故障、未安装相关驱动、网络故障、加密CA与解密CA不一致等），采购代理机构不予异常处理，视为其自动放弃投标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12</w:t>
            </w:r>
          </w:p>
        </w:tc>
        <w:tc>
          <w:tcPr>
            <w:tcW w:w="1988"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评标</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小组的组建及评审专家的确定方式</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FF"/>
                <w:sz w:val="24"/>
                <w:szCs w:val="24"/>
                <w:highlight w:val="none"/>
              </w:rPr>
            </w:pPr>
            <w:r>
              <w:rPr>
                <w:rFonts w:hint="default" w:ascii="Times New Roman" w:hAnsi="Times New Roman" w:eastAsia="仿宋" w:cs="Times New Roman"/>
                <w:color w:val="000000" w:themeColor="text1"/>
                <w:sz w:val="24"/>
                <w:szCs w:val="24"/>
                <w:highlight w:val="none"/>
                <w14:textFill>
                  <w14:solidFill>
                    <w14:schemeClr w14:val="tx1"/>
                  </w14:solidFill>
                </w14:textFill>
              </w:rPr>
              <w:t>采购单位依法组建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评标小组共</w:t>
            </w:r>
            <w:r>
              <w:rPr>
                <w:rFonts w:hint="default" w:ascii="Times New Roman" w:hAnsi="Times New Roman" w:eastAsia="仿宋" w:cs="Times New Roman"/>
                <w:color w:val="0000FF"/>
                <w:sz w:val="24"/>
                <w:szCs w:val="24"/>
                <w:highlight w:val="none"/>
              </w:rPr>
              <w:t>：</w:t>
            </w:r>
            <w:r>
              <w:rPr>
                <w:rFonts w:hint="default" w:ascii="Times New Roman" w:hAnsi="Times New Roman" w:eastAsia="仿宋" w:cs="Times New Roman"/>
                <w:color w:val="0000FF"/>
                <w:sz w:val="24"/>
                <w:szCs w:val="24"/>
                <w:highlight w:val="none"/>
                <w:u w:val="single"/>
                <w:lang w:val="en-US" w:eastAsia="zh-CN"/>
              </w:rPr>
              <w:t>5</w:t>
            </w:r>
            <w:r>
              <w:rPr>
                <w:rFonts w:hint="default" w:ascii="Times New Roman" w:hAnsi="Times New Roman" w:eastAsia="仿宋" w:cs="Times New Roman"/>
                <w:color w:val="0000FF"/>
                <w:sz w:val="24"/>
                <w:szCs w:val="24"/>
                <w:highlight w:val="none"/>
              </w:rPr>
              <w:t>人，其中采购人代表</w:t>
            </w:r>
            <w:r>
              <w:rPr>
                <w:rFonts w:hint="default" w:ascii="Times New Roman" w:hAnsi="Times New Roman" w:eastAsia="仿宋" w:cs="Times New Roman"/>
                <w:color w:val="0000FF"/>
                <w:sz w:val="24"/>
                <w:szCs w:val="24"/>
                <w:highlight w:val="none"/>
                <w:u w:val="single"/>
                <w:lang w:val="en-US" w:eastAsia="zh-CN"/>
              </w:rPr>
              <w:t>1</w:t>
            </w:r>
            <w:r>
              <w:rPr>
                <w:rFonts w:hint="default" w:ascii="Times New Roman" w:hAnsi="Times New Roman" w:eastAsia="仿宋" w:cs="Times New Roman"/>
                <w:color w:val="0000FF"/>
                <w:sz w:val="24"/>
                <w:szCs w:val="24"/>
                <w:highlight w:val="none"/>
              </w:rPr>
              <w:t>人，专家</w:t>
            </w:r>
            <w:r>
              <w:rPr>
                <w:rFonts w:hint="default" w:ascii="Times New Roman" w:hAnsi="Times New Roman" w:eastAsia="仿宋" w:cs="Times New Roman"/>
                <w:color w:val="0000FF"/>
                <w:sz w:val="24"/>
                <w:szCs w:val="24"/>
                <w:highlight w:val="none"/>
                <w:lang w:val="en-US" w:eastAsia="zh-CN"/>
              </w:rPr>
              <w:t>评委</w:t>
            </w:r>
            <w:r>
              <w:rPr>
                <w:rFonts w:hint="default" w:ascii="Times New Roman" w:hAnsi="Times New Roman" w:eastAsia="仿宋" w:cs="Times New Roman"/>
                <w:color w:val="0000FF"/>
                <w:sz w:val="24"/>
                <w:szCs w:val="24"/>
                <w:highlight w:val="none"/>
                <w:u w:val="single"/>
                <w:lang w:val="en-US" w:eastAsia="zh-CN"/>
              </w:rPr>
              <w:t>4</w:t>
            </w:r>
            <w:r>
              <w:rPr>
                <w:rFonts w:hint="default" w:ascii="Times New Roman" w:hAnsi="Times New Roman" w:eastAsia="仿宋" w:cs="Times New Roman"/>
                <w:color w:val="0000FF"/>
                <w:sz w:val="24"/>
                <w:szCs w:val="24"/>
                <w:highlight w:val="none"/>
              </w:rPr>
              <w:t>人。</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评审专家确定方式：在政采云专家库中随机抽取</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13</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投标</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保证金</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bCs/>
                <w:color w:val="000000" w:themeColor="text1"/>
                <w:sz w:val="24"/>
                <w:szCs w:val="24"/>
                <w:highlight w:val="none"/>
                <w:lang w:eastAsia="zh-CN"/>
                <w14:textFill>
                  <w14:solidFill>
                    <w14:schemeClr w14:val="tx1"/>
                  </w14:solidFill>
                </w14:textFill>
              </w:rPr>
              <w:t>缴纳方式:根据财政部、工信部《政府采购促进中小企业发展暂行办法》（财库〔2020〕46号）中明确提出的“鼓励各地区、各部门在采购活动中允许中小企业引入信用担保手段，为中小企业在投标（响应）保证、履约保证等方面提供专业化服务”的</w:t>
            </w:r>
            <w:r>
              <w:rPr>
                <w:rFonts w:hint="default" w:ascii="Times New Roman" w:hAnsi="Times New Roman" w:eastAsia="仿宋_GB2312" w:cs="Times New Roman"/>
                <w:i w:val="0"/>
                <w:iCs w:val="0"/>
                <w:caps w:val="0"/>
                <w:color w:val="000000" w:themeColor="text1"/>
                <w:spacing w:val="0"/>
                <w:sz w:val="25"/>
                <w:szCs w:val="25"/>
                <w:highlight w:val="none"/>
                <w14:textFill>
                  <w14:solidFill>
                    <w14:schemeClr w14:val="tx1"/>
                  </w14:solidFill>
                </w14:textFill>
              </w:rPr>
              <w:t>要求，</w:t>
            </w:r>
            <w:r>
              <w:rPr>
                <w:rFonts w:hint="default" w:ascii="Times New Roman" w:hAnsi="Times New Roman" w:eastAsia="仿宋" w:cs="Times New Roman"/>
                <w:bCs/>
                <w:color w:val="000000" w:themeColor="text1"/>
                <w:sz w:val="24"/>
                <w:szCs w:val="24"/>
                <w:highlight w:val="none"/>
                <w:lang w:eastAsia="zh-CN"/>
                <w14:textFill>
                  <w14:solidFill>
                    <w14:schemeClr w14:val="tx1"/>
                  </w14:solidFill>
                </w14:textFill>
              </w:rPr>
              <w:t>方便企业参与政府采购活动，推荐供应商使用以担保机构出具的保函形式提交保函代替保证金，不排除以支票、汇票、本票、电汇、网银转账等形式</w:t>
            </w:r>
            <w:r>
              <w:rPr>
                <w:rFonts w:hint="default" w:ascii="Times New Roman" w:hAnsi="Times New Roman" w:eastAsia="仿宋" w:cs="Times New Roman"/>
                <w:bCs/>
                <w:color w:val="000000" w:themeColor="text1"/>
                <w:sz w:val="24"/>
                <w:szCs w:val="24"/>
                <w:highlight w:val="none"/>
                <w:lang w:val="en-US" w:eastAsia="zh-CN"/>
                <w14:textFill>
                  <w14:solidFill>
                    <w14:schemeClr w14:val="tx1"/>
                  </w14:solidFill>
                </w14:textFill>
              </w:rPr>
              <w:t>提交</w:t>
            </w:r>
            <w:r>
              <w:rPr>
                <w:rFonts w:hint="default" w:ascii="Times New Roman" w:hAnsi="Times New Roman" w:eastAsia="仿宋" w:cs="Times New Roman"/>
                <w:bCs/>
                <w:color w:val="000000" w:themeColor="text1"/>
                <w:sz w:val="24"/>
                <w:szCs w:val="24"/>
                <w:highlight w:val="none"/>
                <w:lang w:eastAsia="zh-CN"/>
                <w14:textFill>
                  <w14:solidFill>
                    <w14:schemeClr w14:val="tx1"/>
                  </w14:solidFill>
                </w14:textFill>
              </w:rPr>
              <w:t>。</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000000" w:themeColor="text1"/>
                <w:sz w:val="24"/>
                <w:szCs w:val="24"/>
                <w:highlight w:val="none"/>
                <w14:textFill>
                  <w14:solidFill>
                    <w14:schemeClr w14:val="tx1"/>
                  </w14:solidFill>
                </w14:textFill>
              </w:rPr>
              <w:t>金额（小写</w:t>
            </w:r>
            <w:r>
              <w:rPr>
                <w:rFonts w:hint="default" w:ascii="Times New Roman" w:hAnsi="Times New Roman" w:eastAsia="仿宋" w:cs="Times New Roman"/>
                <w:color w:val="auto"/>
                <w:sz w:val="24"/>
                <w:szCs w:val="24"/>
                <w:highlight w:val="none"/>
              </w:rPr>
              <w:t>）：</w:t>
            </w:r>
            <w:r>
              <w:rPr>
                <w:rFonts w:hint="eastAsia" w:ascii="Times New Roman" w:hAnsi="Times New Roman" w:eastAsia="仿宋" w:cs="Times New Roman"/>
                <w:color w:val="auto"/>
                <w:sz w:val="24"/>
                <w:szCs w:val="24"/>
                <w:highlight w:val="none"/>
                <w:lang w:val="en-US" w:eastAsia="zh-CN"/>
              </w:rPr>
              <w:t>83000.00</w:t>
            </w:r>
            <w:r>
              <w:rPr>
                <w:rFonts w:hint="default" w:ascii="Times New Roman" w:hAnsi="Times New Roman" w:eastAsia="仿宋" w:cs="Times New Roman"/>
                <w:color w:val="auto"/>
                <w:sz w:val="24"/>
                <w:szCs w:val="24"/>
                <w:highlight w:val="none"/>
              </w:rPr>
              <w:t>元</w:t>
            </w:r>
          </w:p>
          <w:p>
            <w:pPr>
              <w:pStyle w:val="111"/>
              <w:wordWrap w:val="0"/>
              <w:topLinePunct/>
              <w:adjustRightInd w:val="0"/>
              <w:snapToGrid w:val="0"/>
              <w:spacing w:line="40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金额（大写）：</w:t>
            </w:r>
            <w:r>
              <w:rPr>
                <w:rFonts w:hint="eastAsia" w:ascii="Times New Roman" w:hAnsi="Times New Roman" w:eastAsia="仿宋" w:cs="Times New Roman"/>
                <w:color w:val="auto"/>
                <w:sz w:val="24"/>
                <w:szCs w:val="24"/>
                <w:highlight w:val="none"/>
                <w:lang w:val="en-US" w:eastAsia="zh-CN"/>
              </w:rPr>
              <w:t>捌万叁仟</w:t>
            </w:r>
            <w:r>
              <w:rPr>
                <w:rFonts w:hint="default" w:ascii="Times New Roman" w:hAnsi="Times New Roman" w:eastAsia="仿宋" w:cs="Times New Roman"/>
                <w:color w:val="auto"/>
                <w:sz w:val="24"/>
                <w:szCs w:val="24"/>
                <w:highlight w:val="none"/>
                <w:lang w:val="en-US" w:eastAsia="zh-CN"/>
              </w:rPr>
              <w:t>元整</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收款单位：</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新疆森海旭和工程咨询有限公司</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开户银行：招商银行股份有限公司乌鲁木齐苏州路支行</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银行账号：991906238510501</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行号：308881029091</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到账截止时间：2023年</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月</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日10点30分(北京时间)</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供应商以支票、汇票、本票或者金融机构、担保机构出具的保函、电汇、网银转账等形式提交投标保证金的注意事项如下：</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（1）投标保证金单位名称必须与投标人登记的单位名称一致,不得以分公司、办事处或其或其他机构名义交纳,否则其投标将被拒绝。</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(2)投标人须在投标截止时间前由投标单位账户一次性汇入招标文件指定帐号（以</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新疆森海旭和工程咨询有限公司</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保证金账户到账时间为准）,投标人须自行评估因异地、跨行、公休日等因素造成的投标保证金到账延迟风险,并承担相应责任。</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（3）投标人请自行查询是否到账,投标人以网银转账、电汇汇款方式缴纳投标保证金的须从投标人基本账户转出,请备注项目名称或项目编号并提供银行汇款凭证及投标人基本账户开户许可证或基本存款账户信息。</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 xml:space="preserve">（4）参与政府采购活动的供应商可进入兵团政府采购网-兵团政府采购信用融资服务平台-保险保函模块办理相关业务，操作详情见《兵团政府采购电子保函操作流程》。采用银行保函缴纳的,投标人自主选择电子保函系统中任意一家担保机构开具电子保函，针对具体项目做到“一项目一保函”，投标人应出具担保机构（含银行、保险公司和担保公司)的保函证明材料。投标人在电子保函的申请、使用、查看应用过程中遇见问题可咨询技术支撑方:400-903-9583。 </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（5）有下列情形之一的，保证金不予退还：</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①供应商在提交响应文件截止时间后撤回响应文件的；</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②供应商在响应文件中提供虚假材料的；</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③除因不可抗力或谈判文件、询价通知书认可的情形以外，成交供应商不与采购人签订合同的；</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④供应商与采购人、其他供应商或者采购代理机构恶意串通的；</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⑤采购文件规定的其他情形。</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注:投标人未按照招标文件上述要求提交投标保证金的,投标将被否决。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14</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评审办法</w:t>
            </w:r>
          </w:p>
        </w:tc>
        <w:tc>
          <w:tcPr>
            <w:tcW w:w="6385" w:type="dxa"/>
            <w:noWrap w:val="0"/>
            <w:vAlign w:val="center"/>
          </w:tcPr>
          <w:p>
            <w:pPr>
              <w:widowControl/>
              <w:rPr>
                <w:rFonts w:hint="default" w:ascii="Times New Roman" w:hAnsi="Times New Roman" w:eastAsia="仿宋" w:cs="Times New Roman"/>
                <w:b/>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bCs w:val="0"/>
                <w:color w:val="000000" w:themeColor="text1"/>
                <w:sz w:val="24"/>
                <w:szCs w:val="24"/>
                <w:highlight w:val="none"/>
                <w:lang w:val="en-US" w:eastAsia="zh-CN"/>
                <w14:textFill>
                  <w14:solidFill>
                    <w14:schemeClr w14:val="tx1"/>
                  </w14:solidFill>
                </w14:textFill>
              </w:rPr>
              <w:t>资格后审、综合评分法</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bCs/>
                <w:color w:val="000000" w:themeColor="text1"/>
                <w:sz w:val="24"/>
                <w:szCs w:val="24"/>
                <w:highlight w:val="none"/>
                <w:lang w:val="en-US" w:eastAsia="zh-CN"/>
                <w14:textFill>
                  <w14:solidFill>
                    <w14:schemeClr w14:val="tx1"/>
                  </w14:solidFill>
                </w14:textFill>
              </w:rPr>
              <w:t>综合评分法是指在最大限度地满足招标文件实质性要求前提下，按照招标文件中规定的评分细则评审后，以评标最终得分最高的投标人作为成交单位的评标方法。每一投标人的最终得分为所有评委评分的算术平均值。得分相同的，报价较低的一方为成交单位。得分且投标报价相同的，技术指标较优的一方为成交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15</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投标</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有效期</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90日历日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16</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份数</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本项目采用不见面开标、投标人需要递交电子投标文件，加密的电子投标文件，在投标截止时间前通过政采云平台上传到指定位置。无需递交纸质文件。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17</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是否允许投报进口产品</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 xml:space="preserve">□是               </w:t>
            </w:r>
          </w:p>
          <w:p>
            <w:pPr>
              <w:pStyle w:val="111"/>
              <w:wordWrap w:val="0"/>
              <w:topLinePunct/>
              <w:adjustRightInd w:val="0"/>
              <w:snapToGrid w:val="0"/>
              <w:spacing w:line="400" w:lineRule="exact"/>
              <w:rPr>
                <w:rFonts w:hint="default" w:ascii="Times New Roman" w:hAnsi="Times New Roman" w:eastAsia="仿宋" w:cs="Times New Roman"/>
                <w:color w:val="000000" w:themeColor="text1"/>
                <w:kern w:val="0"/>
                <w:sz w:val="24"/>
                <w:szCs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否</w:t>
            </w:r>
            <w:r>
              <w:rPr>
                <w:rFonts w:hint="default" w:ascii="Times New Roman" w:hAnsi="Times New Roman" w:eastAsia="仿宋" w:cs="Times New Roman"/>
                <w:color w:val="000000" w:themeColor="text1"/>
                <w:kern w:val="0"/>
                <w:sz w:val="24"/>
                <w:szCs w:val="24"/>
                <w:highlight w:val="none"/>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18</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踏勘现场</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自行踏勘。</w:t>
            </w:r>
          </w:p>
          <w:p>
            <w:pPr>
              <w:pStyle w:val="111"/>
              <w:wordWrap w:val="0"/>
              <w:topLinePunct/>
              <w:adjustRightInd w:val="0"/>
              <w:snapToGrid w:val="0"/>
              <w:spacing w:line="400" w:lineRule="exact"/>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□统一组织。</w:t>
            </w:r>
          </w:p>
          <w:p>
            <w:pPr>
              <w:pStyle w:val="111"/>
              <w:wordWrap w:val="0"/>
              <w:topLinePunct/>
              <w:adjustRightInd w:val="0"/>
              <w:snapToGrid w:val="0"/>
              <w:spacing w:line="400" w:lineRule="exact"/>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联系人：</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 xml:space="preserve"> 联系电话：</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 xml:space="preserve">                 </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踏勘时间：</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 xml:space="preserve"> 踏勘地点：</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19</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14:textFill>
                  <w14:solidFill>
                    <w14:schemeClr w14:val="tx1"/>
                  </w14:solidFill>
                </w14:textFill>
              </w:rPr>
              <w:t>节能、环保要求</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按国家有关节能环保政策执行：</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14:textFill>
                  <w14:solidFill>
                    <w14:schemeClr w14:val="tx1"/>
                  </w14:solidFill>
                </w14:textFill>
              </w:rPr>
            </w:pPr>
            <w:bookmarkStart w:id="45" w:name="EBe7be5871c2724b80b5eb2a50b15762d7"/>
            <w:r>
              <w:rPr>
                <w:rFonts w:hint="default" w:ascii="Times New Roman" w:hAnsi="Times New Roman" w:eastAsia="仿宋" w:cs="Times New Roman"/>
                <w:color w:val="000000" w:themeColor="text1"/>
                <w:sz w:val="24"/>
                <w:szCs w:val="24"/>
                <w:highlight w:val="none"/>
                <w14:textFill>
                  <w14:solidFill>
                    <w14:schemeClr w14:val="tx1"/>
                  </w14:solidFill>
                </w14:textFill>
              </w:rPr>
              <w:t>本项目为服务项目，不涉及环保节能相关条款</w:t>
            </w:r>
            <w:bookmarkEnd w:id="4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20</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代理服务费</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1.参照《国家发展改革委关于进一步放开建设项目专业服务价格的通知（发改价格〔2015〕299号）》文件，本项目招标代理服务费由中标（成交）单位支付。</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2.代理服务费金额：参照〔2002〕1980号文，</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以</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中标价为基准，进行累计差额计算。</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2.缴纳时间：领取中标通知书前缴纳。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21</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14:textFill>
                  <w14:solidFill>
                    <w14:schemeClr w14:val="tx1"/>
                  </w14:solidFill>
                </w14:textFill>
              </w:rPr>
              <w:t>中小微型企业</w:t>
            </w:r>
          </w:p>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14:textFill>
                  <w14:solidFill>
                    <w14:schemeClr w14:val="tx1"/>
                  </w14:solidFill>
                </w14:textFill>
              </w:rPr>
              <w:t>有关政策</w:t>
            </w:r>
          </w:p>
        </w:tc>
        <w:tc>
          <w:tcPr>
            <w:tcW w:w="6385" w:type="dxa"/>
            <w:noWrap w:val="0"/>
            <w:vAlign w:val="center"/>
          </w:tcPr>
          <w:p>
            <w:pPr>
              <w:pStyle w:val="111"/>
              <w:spacing w:after="200" w:line="276" w:lineRule="auto"/>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(1)根据关于印发《政府采购促进中小企业发展管理办法》的通知（财库[2020]46号）、关于进一步加大政府采购支持中小企业力度的通知（财库〔2022〕19号）及关于印发《中小企业划型标准规定》的通知（工信部联企业[2011]300号）规定，（监狱企业、残疾人福利性质单位视同为小微企业）；</w:t>
            </w:r>
          </w:p>
          <w:p>
            <w:pPr>
              <w:pStyle w:val="111"/>
              <w:spacing w:after="200" w:line="276" w:lineRule="auto"/>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(2)本次本项目专门面向中小微企业采购，（</w:t>
            </w: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专门面向小微企业预留100%</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）不再执行价格评审优惠政策。请根据要求单独上传《中小企业声明函》，格式以采购文件“第六部分 投标响应文件格式”中要求为准。</w:t>
            </w:r>
          </w:p>
          <w:p>
            <w:pPr>
              <w:pStyle w:val="111"/>
              <w:spacing w:after="200" w:line="276" w:lineRule="auto"/>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(3)本次采购标的所属行业为：</w:t>
            </w:r>
            <w:r>
              <w:rPr>
                <w:rFonts w:hint="eastAsia" w:ascii="Times New Roman" w:hAnsi="Times New Roman" w:eastAsia="仿宋" w:cs="Times New Roman"/>
                <w:b/>
                <w:bCs/>
                <w:color w:val="000000" w:themeColor="text1"/>
                <w:kern w:val="0"/>
                <w:sz w:val="24"/>
                <w:szCs w:val="24"/>
                <w:highlight w:val="none"/>
                <w:u w:val="single"/>
                <w:lang w:val="en-US" w:eastAsia="zh-CN"/>
                <w14:textFill>
                  <w14:solidFill>
                    <w14:schemeClr w14:val="tx1"/>
                  </w14:solidFill>
                </w14:textFill>
              </w:rPr>
              <w:t>公共服务</w:t>
            </w:r>
          </w:p>
          <w:p>
            <w:pPr>
              <w:pStyle w:val="111"/>
              <w:spacing w:after="200" w:line="276" w:lineRule="auto"/>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说明：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11"/>
              <w:spacing w:after="200" w:line="276" w:lineRule="auto"/>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b w:val="0"/>
                <w:bCs w:val="0"/>
                <w:i w:val="0"/>
                <w:iCs w:val="0"/>
                <w:color w:val="000000" w:themeColor="text1"/>
                <w:kern w:val="0"/>
                <w:sz w:val="24"/>
                <w:szCs w:val="24"/>
                <w:highlight w:val="none"/>
                <w:lang w:val="en-US" w:eastAsia="zh-CN" w:bidi="ar-SA"/>
                <w14:textFill>
                  <w14:solidFill>
                    <w14:schemeClr w14:val="tx1"/>
                  </w14:solidFill>
                </w14:textFill>
              </w:rPr>
              <w:t>注：按</w:t>
            </w:r>
            <w:r>
              <w:rPr>
                <w:rFonts w:hint="default" w:ascii="Times New Roman" w:hAnsi="Times New Roman" w:eastAsia="仿宋" w:cs="Times New Roman"/>
                <w:color w:val="000000" w:themeColor="text1"/>
                <w:kern w:val="0"/>
                <w:sz w:val="24"/>
                <w:szCs w:val="24"/>
                <w:highlight w:val="none"/>
                <w:lang w:val="en-US" w:eastAsia="zh-CN" w:bidi="ar-SA"/>
                <w14:textFill>
                  <w14:solidFill>
                    <w14:schemeClr w14:val="tx1"/>
                  </w14:solidFill>
                </w14:textFill>
              </w:rPr>
              <w:t>（工信部联企业[2011]300号）规定</w:t>
            </w:r>
            <w:r>
              <w:rPr>
                <w:rFonts w:hint="eastAsia" w:ascii="Times New Roman" w:hAnsi="Times New Roman" w:eastAsia="仿宋" w:cs="Times New Roman"/>
                <w:b/>
                <w:bCs/>
                <w:color w:val="000000" w:themeColor="text1"/>
                <w:kern w:val="0"/>
                <w:sz w:val="24"/>
                <w:szCs w:val="24"/>
                <w:highlight w:val="none"/>
                <w:u w:val="single"/>
                <w:lang w:val="en-US" w:eastAsia="zh-CN"/>
                <w14:textFill>
                  <w14:solidFill>
                    <w14:schemeClr w14:val="tx1"/>
                  </w14:solidFill>
                </w14:textFill>
              </w:rPr>
              <w:t>公共服务</w:t>
            </w:r>
            <w:r>
              <w:rPr>
                <w:rFonts w:hint="default" w:ascii="Times New Roman" w:hAnsi="Times New Roman" w:eastAsia="仿宋" w:cs="Times New Roman"/>
                <w:color w:val="000000" w:themeColor="text1"/>
                <w:kern w:val="0"/>
                <w:sz w:val="24"/>
                <w:szCs w:val="24"/>
                <w:highlight w:val="none"/>
                <w:lang w:val="en-US" w:eastAsia="zh-CN" w:bidi="ar-SA"/>
                <w14:textFill>
                  <w14:solidFill>
                    <w14:schemeClr w14:val="tx1"/>
                  </w14:solidFill>
                </w14:textFill>
              </w:rPr>
              <w:t>划型标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（4）根据《政府采购促进中小企业发展管理办法》第十三条 采购人、采购代理机构应当随中标、成交结果公开中标、成交供应商的《中小企业声明函》。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22</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14:textFill>
                  <w14:solidFill>
                    <w14:schemeClr w14:val="tx1"/>
                  </w14:solidFill>
                </w14:textFill>
              </w:rPr>
              <w:t>履约保证金</w:t>
            </w:r>
          </w:p>
        </w:tc>
        <w:tc>
          <w:tcPr>
            <w:tcW w:w="6385" w:type="dxa"/>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u w:val="single"/>
                <w14:textFill>
                  <w14:solidFill>
                    <w14:schemeClr w14:val="tx1"/>
                  </w14:solidFill>
                </w14:textFill>
              </w:rPr>
            </w:pPr>
            <w:r>
              <w:rPr>
                <w:rFonts w:hint="default" w:ascii="Times New Roman" w:hAnsi="Times New Roman" w:eastAsia="仿宋" w:cs="Times New Roman"/>
                <w:color w:val="0000FF"/>
                <w:sz w:val="24"/>
                <w:szCs w:val="24"/>
                <w:highlight w:val="none"/>
                <w:u w:val="none"/>
                <w:lang w:val="en-US" w:eastAsia="zh-CN"/>
              </w:rPr>
              <w:t>本项目无需缴纳履约保证金</w:t>
            </w:r>
            <w:r>
              <w:rPr>
                <w:rFonts w:hint="default"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23</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lang w:val="en-US"/>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服务</w:t>
            </w:r>
            <w:r>
              <w:rPr>
                <w:rFonts w:hint="default" w:ascii="Times New Roman" w:hAnsi="Times New Roman" w:eastAsia="仿宋" w:cs="Times New Roman"/>
                <w:b/>
                <w:bCs/>
                <w:color w:val="000000" w:themeColor="text1"/>
                <w:kern w:val="0"/>
                <w:sz w:val="24"/>
                <w:szCs w:val="24"/>
                <w:highlight w:val="none"/>
                <w:lang w:eastAsia="zh-CN"/>
                <w14:textFill>
                  <w14:solidFill>
                    <w14:schemeClr w14:val="tx1"/>
                  </w14:solidFill>
                </w14:textFill>
              </w:rPr>
              <w:t>期限（合同履行期限）</w:t>
            </w: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及质量要求</w:t>
            </w:r>
          </w:p>
        </w:tc>
        <w:tc>
          <w:tcPr>
            <w:tcW w:w="6385" w:type="dxa"/>
            <w:noWrap w:val="0"/>
            <w:vAlign w:val="center"/>
          </w:tcPr>
          <w:p>
            <w:pPr>
              <w:pStyle w:val="111"/>
              <w:tabs>
                <w:tab w:val="left" w:pos="1725"/>
              </w:tabs>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服务期：</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1年</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w:t>
            </w:r>
          </w:p>
          <w:p>
            <w:pPr>
              <w:pStyle w:val="111"/>
              <w:tabs>
                <w:tab w:val="left" w:pos="1725"/>
              </w:tabs>
              <w:wordWrap w:val="0"/>
              <w:topLinePunct/>
              <w:adjustRightInd w:val="0"/>
              <w:snapToGrid w:val="0"/>
              <w:spacing w:line="400" w:lineRule="exact"/>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 xml:space="preserve">服务质量：合格，达到采购人要求。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24</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付款方式</w:t>
            </w:r>
          </w:p>
        </w:tc>
        <w:tc>
          <w:tcPr>
            <w:tcW w:w="6385" w:type="dxa"/>
            <w:noWrap w:val="0"/>
            <w:vAlign w:val="center"/>
          </w:tcPr>
          <w:p>
            <w:pPr>
              <w:pStyle w:val="111"/>
              <w:wordWrap w:val="0"/>
              <w:topLinePunct/>
              <w:adjustRightInd w:val="0"/>
              <w:snapToGrid w:val="0"/>
              <w:spacing w:line="400" w:lineRule="exact"/>
              <w:jc w:val="both"/>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月度考核，季度付款，每月由招标人对服务单位进行考核，根据考核办法及每月考核得分情况（分数高于90（含90分）的不扣费，全额支付当月费用；低于90分的，按5000元/分进行扣费，扣除当月相应费用），进行季度付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2</w:t>
            </w: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5</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采购人认为应该补充的其他内容</w:t>
            </w:r>
          </w:p>
        </w:tc>
        <w:tc>
          <w:tcPr>
            <w:tcW w:w="6385" w:type="dxa"/>
            <w:noWrap w:val="0"/>
            <w:vAlign w:val="center"/>
          </w:tcPr>
          <w:p>
            <w:pPr>
              <w:pStyle w:val="111"/>
              <w:wordWrap w:val="0"/>
              <w:topLinePunct/>
              <w:adjustRightInd w:val="0"/>
              <w:snapToGrid w:val="0"/>
              <w:spacing w:line="400" w:lineRule="exact"/>
              <w:jc w:val="left"/>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1、本项目的招标投标活动以及相关当事人须接受财政监督部门依法实施的监督。</w:t>
            </w:r>
          </w:p>
          <w:p>
            <w:pPr>
              <w:pStyle w:val="111"/>
              <w:wordWrap w:val="0"/>
              <w:topLinePunct/>
              <w:adjustRightInd w:val="0"/>
              <w:snapToGrid w:val="0"/>
              <w:spacing w:line="400" w:lineRule="exact"/>
              <w:jc w:val="left"/>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2、各投标人必须针对本项目制作投标文件并报价,投标文件均必须满足招标文件份数与制作等要求,否则将导致投标被拒绝。</w:t>
            </w:r>
          </w:p>
          <w:p>
            <w:pPr>
              <w:pStyle w:val="111"/>
              <w:wordWrap w:val="0"/>
              <w:topLinePunct/>
              <w:adjustRightInd w:val="0"/>
              <w:snapToGrid w:val="0"/>
              <w:spacing w:line="400" w:lineRule="exact"/>
              <w:jc w:val="left"/>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3、投标文件中有弄虚作假的内容,其投标文件作废，（如假证书、假业绩、假合同、隐瞒不良行为记录、夸大荣誉、使用非本单位在职员工的相关证件及不符合招标文件规定的条款等）；在签订合同之前,复查原件,如发现投标人的投标文件有弄虚作假内容,招标人可拒绝与其签订合同。以上情形将书面上报财政部门，按照《政府采购法》第七十七条规定“列入不良行为记录名单”处理。</w:t>
            </w:r>
          </w:p>
          <w:p>
            <w:pPr>
              <w:pStyle w:val="111"/>
              <w:wordWrap w:val="0"/>
              <w:topLinePunct/>
              <w:adjustRightInd w:val="0"/>
              <w:snapToGrid w:val="0"/>
              <w:spacing w:line="400" w:lineRule="exact"/>
              <w:jc w:val="left"/>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工作进展。</w:t>
            </w:r>
          </w:p>
          <w:p>
            <w:pPr>
              <w:pStyle w:val="111"/>
              <w:wordWrap w:val="0"/>
              <w:topLinePunct/>
              <w:adjustRightInd w:val="0"/>
              <w:snapToGrid w:val="0"/>
              <w:spacing w:line="400" w:lineRule="exact"/>
              <w:jc w:val="left"/>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5、本项目所述时间以政采购云平台服务器时间为准。</w:t>
            </w:r>
          </w:p>
          <w:p>
            <w:pPr>
              <w:pStyle w:val="111"/>
              <w:wordWrap w:val="0"/>
              <w:topLinePunct/>
              <w:adjustRightInd w:val="0"/>
              <w:snapToGrid w:val="0"/>
              <w:spacing w:line="400" w:lineRule="exact"/>
              <w:jc w:val="left"/>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 xml:space="preserve">6、投标保证金的退还：自中标通知书发出之日起5个工作日内原账户退还未中标供应商的投标保证金；中标单位签订合同后2日内将合同原件扫描件交由招标代理公司，由招标代理公司上传至政采云网站，经中标单位审核发布政采云网站后予以退还投标保证金。 </w:t>
            </w:r>
          </w:p>
          <w:p>
            <w:pPr>
              <w:pStyle w:val="111"/>
              <w:wordWrap w:val="0"/>
              <w:topLinePunct/>
              <w:adjustRightInd w:val="0"/>
              <w:snapToGrid w:val="0"/>
              <w:spacing w:line="400" w:lineRule="exact"/>
              <w:jc w:val="left"/>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7、针对同一项目,不同投标人使用同一计算机制作并生成电子投标文件的视为文件制作机器码（mac地址）一致,不同投标人使用同一投标文件的过程稿制作并生成电子投标文件的视为文件创建标识码一致。上述两种情形,一经发现,视为投标人相互串通投标,将导致投标均被拒绝且按串通投标处理。</w:t>
            </w:r>
          </w:p>
          <w:p>
            <w:pPr>
              <w:pStyle w:val="111"/>
              <w:wordWrap w:val="0"/>
              <w:topLinePunct/>
              <w:adjustRightInd w:val="0"/>
              <w:snapToGrid w:val="0"/>
              <w:spacing w:line="400" w:lineRule="exact"/>
              <w:jc w:val="left"/>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8、本次采购中所称“重大违法记录”，是指供应商因违法经营受到刑事处罚或者责令停产停业、吊销许可证或者执照、较大数额罚款等行政处罚。所称“较大数额罚款”认定为200万元以上的罚款。</w:t>
            </w:r>
          </w:p>
          <w:p>
            <w:pPr>
              <w:pStyle w:val="111"/>
              <w:wordWrap w:val="0"/>
              <w:topLinePunct/>
              <w:adjustRightInd w:val="0"/>
              <w:snapToGrid w:val="0"/>
              <w:spacing w:line="400" w:lineRule="exact"/>
              <w:jc w:val="left"/>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9、在本项目开标时，请投标人代表使用制作上传电子投标文件的CA数字认证证书（在开标时解密使用），登录“不见面开标大厅”进入本包的开标页面出席本次开标会。</w:t>
            </w:r>
          </w:p>
          <w:p>
            <w:pPr>
              <w:pStyle w:val="16"/>
              <w:rPr>
                <w:rFonts w:hint="default"/>
                <w:highlight w:val="none"/>
                <w:lang w:val="en-US" w:eastAsia="zh-CN"/>
              </w:rPr>
            </w:pPr>
            <w:r>
              <w:rPr>
                <w:rFonts w:hint="eastAsia"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10、中标或者成交后无正当理由拒不与采购人签订政府采购合同的，依照政府采购法第七十七条第一款的规定追究法律责任。</w:t>
            </w:r>
          </w:p>
          <w:p>
            <w:pPr>
              <w:pStyle w:val="111"/>
              <w:wordWrap w:val="0"/>
              <w:topLinePunct/>
              <w:adjustRightInd w:val="0"/>
              <w:snapToGrid w:val="0"/>
              <w:spacing w:line="400" w:lineRule="exact"/>
              <w:jc w:val="left"/>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11</w:t>
            </w: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、若招标文件其他部分相同内容描述与本表不一致时,以本表内容为准。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26</w:t>
            </w:r>
          </w:p>
        </w:tc>
        <w:tc>
          <w:tcPr>
            <w:tcW w:w="1988"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t>答疑接受说明</w:t>
            </w:r>
          </w:p>
        </w:tc>
        <w:tc>
          <w:tcPr>
            <w:tcW w:w="6385" w:type="dxa"/>
            <w:noWrap w:val="0"/>
            <w:vAlign w:val="center"/>
          </w:tcPr>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1.供应商认为采购文件、采购过程、中标或者成交结果使自己的权益受到损害的，可以在知道或者应知其权益受到损害之日起7个工作日内，以书面形式向采购人、采购代理机构提出质疑。</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2.</w:t>
            </w:r>
            <w:r>
              <w:rPr>
                <w:rFonts w:hint="default" w:ascii="Times New Roman" w:hAnsi="Times New Roman" w:eastAsia="仿宋" w:cs="Times New Roman"/>
                <w:b/>
                <w:bCs/>
                <w:color w:val="000000" w:themeColor="text1"/>
                <w:kern w:val="0"/>
                <w:sz w:val="24"/>
                <w:szCs w:val="24"/>
                <w:highlight w:val="none"/>
                <w14:textFill>
                  <w14:solidFill>
                    <w14:schemeClr w14:val="tx1"/>
                  </w14:solidFill>
                </w14:textFill>
              </w:rPr>
              <w:t>供应商应在法定质疑期内一次性提出针对同一采购程序环节的质疑</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3.质疑投标人应按照财政部制定的《政府采购质疑函范本》格式（可从财政部官方网站下载）和《政府采购质疑和投诉办法》（财政部令第94号）的要求，在法定质疑期内以书面形式提出质疑。</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4.超出法定质疑期提交的质疑将被拒绝。重复或分次提出的、内容或形式不符合《政府采购质疑和投诉办法》规定的，质疑投标人将依法承担不利后果。</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5.依据：《中华人民共和国政府采购法》第五十二条、《中华人民共和国政府采购法实施条例》第五十三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6.采购代理机构质疑函接收、联系电话：</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eastAsia" w:ascii="Times New Roman" w:hAnsi="Times New Roman" w:eastAsia="仿宋"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代理机构名称：</w:t>
            </w:r>
            <w:r>
              <w:rPr>
                <w:rFonts w:hint="eastAsia" w:ascii="Times New Roman" w:hAnsi="Times New Roman" w:eastAsia="仿宋" w:cs="Times New Roman"/>
                <w:color w:val="000000" w:themeColor="text1"/>
                <w:kern w:val="0"/>
                <w:sz w:val="24"/>
                <w:szCs w:val="24"/>
                <w:highlight w:val="none"/>
                <w:lang w:eastAsia="zh-CN"/>
                <w14:textFill>
                  <w14:solidFill>
                    <w14:schemeClr w14:val="tx1"/>
                  </w14:solidFill>
                </w14:textFill>
              </w:rPr>
              <w:t>新疆森海旭和工程咨询有限公司</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eastAsia" w:ascii="Times New Roman" w:hAnsi="Times New Roman" w:eastAsia="仿宋"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地址：</w:t>
            </w:r>
            <w:r>
              <w:rPr>
                <w:rFonts w:hint="eastAsia" w:ascii="Times New Roman" w:hAnsi="Times New Roman" w:eastAsia="仿宋" w:cs="Times New Roman"/>
                <w:color w:val="000000" w:themeColor="text1"/>
                <w:kern w:val="0"/>
                <w:sz w:val="24"/>
                <w:szCs w:val="24"/>
                <w:highlight w:val="none"/>
                <w:lang w:eastAsia="zh-CN"/>
                <w14:textFill>
                  <w14:solidFill>
                    <w14:schemeClr w14:val="tx1"/>
                  </w14:solidFill>
                </w14:textFill>
              </w:rPr>
              <w:t>乌鲁木齐市水磨沟区龙腾路1118号万科中央公园2期9栋9层902室</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联系方式：</w:t>
            </w:r>
            <w:r>
              <w:rPr>
                <w:rFonts w:hint="eastAsia" w:ascii="Times New Roman" w:hAnsi="Times New Roman" w:eastAsia="仿宋" w:cs="Times New Roman"/>
                <w:color w:val="000000" w:themeColor="text1"/>
                <w:kern w:val="0"/>
                <w:sz w:val="24"/>
                <w:szCs w:val="24"/>
                <w:highlight w:val="none"/>
                <w:lang w:eastAsia="zh-CN"/>
                <w14:textFill>
                  <w14:solidFill>
                    <w14:schemeClr w14:val="tx1"/>
                  </w14:solidFill>
                </w14:textFill>
              </w:rPr>
              <w:t>黄涛、侯杰</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 xml:space="preserve"> </w:t>
            </w:r>
            <w:r>
              <w:rPr>
                <w:rFonts w:hint="eastAsia" w:ascii="Times New Roman" w:hAnsi="Times New Roman" w:eastAsia="仿宋" w:cs="Times New Roman"/>
                <w:color w:val="000000" w:themeColor="text1"/>
                <w:kern w:val="0"/>
                <w:sz w:val="24"/>
                <w:szCs w:val="24"/>
                <w:highlight w:val="none"/>
                <w:lang w:eastAsia="zh-CN"/>
                <w14:textFill>
                  <w14:solidFill>
                    <w14:schemeClr w14:val="tx1"/>
                  </w14:solidFill>
                </w14:textFill>
              </w:rPr>
              <w:t>15899206993</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 xml:space="preserve"> </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7.质疑函的递交方式:将供应商质疑文件电子版（须为可编辑的WORD文档）与盖章的纸质版原件扫描件PDF版本发送至</w:t>
            </w:r>
            <w:r>
              <w:rPr>
                <w:rFonts w:hint="eastAsia" w:ascii="Times New Roman" w:hAnsi="Times New Roman" w:eastAsia="仿宋" w:cs="Times New Roman"/>
                <w:color w:val="000000" w:themeColor="text1"/>
                <w:kern w:val="0"/>
                <w:sz w:val="24"/>
                <w:szCs w:val="24"/>
                <w:highlight w:val="none"/>
                <w:lang w:eastAsia="zh-CN"/>
                <w14:textFill>
                  <w14:solidFill>
                    <w14:schemeClr w14:val="tx1"/>
                  </w14:solidFill>
                </w14:textFill>
              </w:rPr>
              <w:t>619951315</w:t>
            </w: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@qq.com；如WORD文档内容与盖章的纸质版原件扫描件PDF内容不一致的，以盖章的纸质版原件扫描件PDF内容为准。</w:t>
            </w:r>
          </w:p>
          <w:p>
            <w:pPr>
              <w:pStyle w:val="158"/>
              <w:keepNext w:val="0"/>
              <w:keepLines w:val="0"/>
              <w:pageBreakBefore w:val="0"/>
              <w:widowControl w:val="0"/>
              <w:kinsoku/>
              <w:wordWrap w:val="0"/>
              <w:overflowPunct/>
              <w:topLinePunct w:val="0"/>
              <w:autoSpaceDE w:val="0"/>
              <w:autoSpaceDN w:val="0"/>
              <w:bidi w:val="0"/>
              <w:adjustRightInd w:val="0"/>
              <w:snapToGrid/>
              <w:spacing w:line="360" w:lineRule="exact"/>
              <w:textAlignment w:val="auto"/>
              <w:rPr>
                <w:rFonts w:hint="default" w:ascii="Times New Roman" w:hAnsi="Times New Roman" w:eastAsia="仿宋" w:cs="Times New Roman"/>
                <w:color w:val="000000" w:themeColor="text1"/>
                <w:kern w:val="0"/>
                <w:sz w:val="24"/>
                <w:szCs w:val="24"/>
                <w:highlight w:val="none"/>
                <w14:textFill>
                  <w14:solidFill>
                    <w14:schemeClr w14:val="tx1"/>
                  </w14:solidFill>
                </w14:textFill>
              </w:rPr>
            </w:pPr>
            <w:r>
              <w:rPr>
                <w:rFonts w:hint="default" w:ascii="Times New Roman" w:hAnsi="Times New Roman" w:eastAsia="仿宋" w:cs="Times New Roman"/>
                <w:color w:val="000000" w:themeColor="text1"/>
                <w:kern w:val="0"/>
                <w:sz w:val="24"/>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供应商为自然人的，应当由本人签字；供应商为法人或者其他组织的，应当由法定代表人、主要负责人，或者其授权代表签字或者盖章，并加盖公章；代理人提出质疑和投诉，应当提交供应商签署的授权委托书。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49"/>
              <w:wordWrap w:val="0"/>
              <w:topLinePunct/>
              <w:adjustRightInd w:val="0"/>
              <w:snapToGrid w:val="0"/>
              <w:spacing w:line="400" w:lineRule="exact"/>
              <w:ind w:firstLine="0" w:firstLineChars="0"/>
              <w:contextualSpacing/>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注意</w:t>
            </w:r>
          </w:p>
          <w:p>
            <w:pPr>
              <w:pStyle w:val="149"/>
              <w:wordWrap w:val="0"/>
              <w:topLinePunct/>
              <w:adjustRightInd w:val="0"/>
              <w:snapToGrid w:val="0"/>
              <w:spacing w:line="400" w:lineRule="exact"/>
              <w:ind w:firstLine="0" w:firstLineChars="0"/>
              <w:contextualSpacing/>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事项</w:t>
            </w:r>
          </w:p>
        </w:tc>
        <w:tc>
          <w:tcPr>
            <w:tcW w:w="8373" w:type="dxa"/>
            <w:gridSpan w:val="2"/>
            <w:noWrap w:val="0"/>
            <w:vAlign w:val="center"/>
          </w:tcPr>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t>1、本招标文件所描述的时间均以政府采购云平台显示的时间为准。</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t>2、参与“不见面”开标的供应商应当按照规定使用CA数字证书及电子签章。各方主体在系统中的所有操作均具有法律效力，并承担法律责任。</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t>3、供应商参加“不见面”开标项目，应通过政采云平台“不见面”系统严格按采购文件模板要求制作，在投标截止时间前完成经过CA数字证书电子签章并加密的交易文件上传至平台指定位置（加密和解密须用同一数字证书）。</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t>4、供应商应在解密指令发出后采购文件规定时间内完成解密，供应商未按规定完成解密，视为解密失败、放弃投标。</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t>5、递交投标保证金后不参加投标的，应提供弃标函（格式自拟并加盖单位公章）至采购代理机构用于保证金退还，可发扫描件至代理机构邮箱，邮箱可于项目负责人联系获取。</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t>6、如对本招标文件有任何疑问或要求澄清，请按本招标文件的规定提出，否则视同接受招标文件的要求。</w:t>
            </w:r>
          </w:p>
          <w:p>
            <w:pPr>
              <w:pStyle w:val="111"/>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2"/>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t>、投标文件的组成部分按照招标文件和政采云平台上的要求进行编制，否则造成的一切后果由供应商自行承担。贴心提示：由于政采云投标文件编制软件的原因，投标人的投标文件会被政采云系统分割成几个部分，供应商在制作投标文件时应积极与政采云平台联系，确保投标文件每部分及整体内容均完善齐全。如资格审查阶段时，评标委员会仅对资格审查模块中的内容进行评审，若供应商未按照招标文件要求和政采云平台上的标签提示制作导入和关联，由此造成的一切后果由供应商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7" w:type="dxa"/>
            <w:noWrap w:val="0"/>
            <w:vAlign w:val="center"/>
          </w:tcPr>
          <w:p>
            <w:pPr>
              <w:pStyle w:val="111"/>
              <w:wordWrap w:val="0"/>
              <w:topLinePunct/>
              <w:adjustRightInd w:val="0"/>
              <w:snapToGrid w:val="0"/>
              <w:spacing w:line="400" w:lineRule="exact"/>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备注</w:t>
            </w:r>
          </w:p>
        </w:tc>
        <w:tc>
          <w:tcPr>
            <w:tcW w:w="8373" w:type="dxa"/>
            <w:gridSpan w:val="2"/>
            <w:noWrap w:val="0"/>
            <w:vAlign w:val="center"/>
          </w:tcPr>
          <w:p>
            <w:pPr>
              <w:pStyle w:val="111"/>
              <w:wordWrap w:val="0"/>
              <w:topLinePunct/>
              <w:adjustRightInd w:val="0"/>
              <w:snapToGrid w:val="0"/>
              <w:spacing w:line="400" w:lineRule="exact"/>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2"/>
                <w:highlight w:val="none"/>
                <w:lang w:val="en-US" w:eastAsia="zh-CN"/>
                <w14:textFill>
                  <w14:solidFill>
                    <w14:schemeClr w14:val="tx1"/>
                  </w14:solidFill>
                </w14:textFill>
              </w:rPr>
              <w:t>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w:t>
            </w:r>
          </w:p>
        </w:tc>
      </w:tr>
    </w:tbl>
    <w:p>
      <w:pPr>
        <w:pStyle w:val="111"/>
        <w:wordWrap w:val="0"/>
        <w:topLinePunct/>
        <w:adjustRightInd w:val="0"/>
        <w:snapToGrid w:val="0"/>
        <w:spacing w:line="400" w:lineRule="exact"/>
        <w:rPr>
          <w:rFonts w:hint="eastAsia" w:ascii="仿宋" w:hAnsi="仿宋" w:eastAsia="仿宋" w:cs="仿宋"/>
          <w:color w:val="000000" w:themeColor="text1"/>
          <w:sz w:val="24"/>
          <w:szCs w:val="2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highlight w:val="none"/>
          <w14:textFill>
            <w14:solidFill>
              <w14:schemeClr w14:val="tx1"/>
            </w14:solidFill>
          </w14:textFill>
        </w:rPr>
        <w:t>注：</w:t>
      </w:r>
      <w:r>
        <w:rPr>
          <w:rFonts w:hint="eastAsia" w:ascii="仿宋" w:hAnsi="仿宋" w:eastAsia="仿宋" w:cs="仿宋"/>
          <w:color w:val="000000" w:themeColor="text1"/>
          <w:sz w:val="24"/>
          <w:szCs w:val="22"/>
          <w:highlight w:val="none"/>
          <w:lang w:val="en-US" w:eastAsia="zh-CN" w:bidi="ar-SA"/>
          <w14:textFill>
            <w14:solidFill>
              <w14:schemeClr w14:val="tx1"/>
            </w14:solidFill>
          </w14:textFill>
        </w:rPr>
        <w:t>1、本表内容与采购文件其它内容不一致的，应当以本表内容为准。</w:t>
      </w:r>
    </w:p>
    <w:p>
      <w:pPr>
        <w:pStyle w:val="111"/>
        <w:wordWrap w:val="0"/>
        <w:topLinePunct/>
        <w:adjustRightInd w:val="0"/>
        <w:snapToGrid w:val="0"/>
        <w:spacing w:line="400" w:lineRule="exact"/>
        <w:rPr>
          <w:rFonts w:hint="eastAsia" w:ascii="仿宋" w:hAnsi="仿宋" w:eastAsia="仿宋" w:cs="仿宋"/>
          <w:color w:val="000000" w:themeColor="text1"/>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2"/>
          <w:highlight w:val="none"/>
          <w:lang w:val="en-US" w:eastAsia="zh-CN" w:bidi="ar-SA"/>
          <w14:textFill>
            <w14:solidFill>
              <w14:schemeClr w14:val="tx1"/>
            </w14:solidFill>
          </w14:textFill>
        </w:rPr>
        <w:t>2、本表中“</w:t>
      </w:r>
      <w:r>
        <w:rPr>
          <w:rFonts w:hint="eastAsia" w:ascii="仿宋" w:hAnsi="仿宋" w:eastAsia="仿宋" w:cs="仿宋"/>
          <w:color w:val="000000" w:themeColor="text1"/>
          <w:sz w:val="24"/>
          <w:szCs w:val="22"/>
          <w:highlight w:val="none"/>
          <w:lang w:val="en-US" w:eastAsia="zh-CN" w:bidi="ar-SA"/>
          <w14:textFill>
            <w14:solidFill>
              <w14:schemeClr w14:val="tx1"/>
            </w14:solidFill>
          </w14:textFill>
        </w:rPr>
        <w:fldChar w:fldCharType="begin"/>
      </w:r>
      <w:r>
        <w:rPr>
          <w:rFonts w:hint="eastAsia" w:ascii="仿宋" w:hAnsi="仿宋" w:eastAsia="仿宋" w:cs="仿宋"/>
          <w:color w:val="000000" w:themeColor="text1"/>
          <w:sz w:val="24"/>
          <w:szCs w:val="22"/>
          <w:highlight w:val="none"/>
          <w:lang w:val="en-US" w:eastAsia="zh-CN" w:bidi="ar-SA"/>
          <w14:textFill>
            <w14:solidFill>
              <w14:schemeClr w14:val="tx1"/>
            </w14:solidFill>
          </w14:textFill>
        </w:rPr>
        <w:instrText xml:space="preserve"> eq \o\ac(□,√)</w:instrText>
      </w:r>
      <w:r>
        <w:rPr>
          <w:rFonts w:hint="eastAsia" w:ascii="仿宋" w:hAnsi="仿宋" w:eastAsia="仿宋" w:cs="仿宋"/>
          <w:color w:val="000000" w:themeColor="text1"/>
          <w:sz w:val="24"/>
          <w:szCs w:val="22"/>
          <w:highlight w:val="none"/>
          <w:lang w:val="en-US" w:eastAsia="zh-CN" w:bidi="ar-SA"/>
          <w14:textFill>
            <w14:solidFill>
              <w14:schemeClr w14:val="tx1"/>
            </w14:solidFill>
          </w14:textFill>
        </w:rPr>
        <w:fldChar w:fldCharType="end"/>
      </w:r>
      <w:r>
        <w:rPr>
          <w:rFonts w:hint="eastAsia" w:ascii="仿宋" w:hAnsi="仿宋" w:eastAsia="仿宋" w:cs="仿宋"/>
          <w:color w:val="000000" w:themeColor="text1"/>
          <w:sz w:val="24"/>
          <w:szCs w:val="22"/>
          <w:highlight w:val="none"/>
          <w:lang w:val="en-US" w:eastAsia="zh-CN" w:bidi="ar-SA"/>
          <w14:textFill>
            <w14:solidFill>
              <w14:schemeClr w14:val="tx1"/>
            </w14:solidFill>
          </w14:textFill>
        </w:rPr>
        <w:t>”标示选择使用该项。</w:t>
      </w:r>
    </w:p>
    <w:p>
      <w:pPr>
        <w:pStyle w:val="173"/>
        <w:numPr>
          <w:ilvl w:val="0"/>
          <w:numId w:val="0"/>
        </w:numPr>
        <w:rPr>
          <w:rFonts w:hint="eastAsia" w:ascii="仿宋" w:hAnsi="仿宋" w:eastAsia="仿宋" w:cs="仿宋"/>
          <w:b w:val="0"/>
          <w:color w:val="000000" w:themeColor="text1"/>
          <w:sz w:val="24"/>
          <w:szCs w:val="24"/>
          <w:highlight w:val="none"/>
          <w14:textFill>
            <w14:solidFill>
              <w14:schemeClr w14:val="tx1"/>
            </w14:solidFill>
          </w14:textFill>
        </w:rPr>
      </w:pPr>
      <w:bookmarkStart w:id="46" w:name="_Toc513029202"/>
      <w:bookmarkEnd w:id="46"/>
      <w:bookmarkStart w:id="47" w:name="_Toc256000012"/>
      <w:bookmarkEnd w:id="47"/>
      <w:bookmarkStart w:id="48" w:name="_Toc16938518"/>
      <w:bookmarkEnd w:id="48"/>
      <w:bookmarkStart w:id="49" w:name="_Toc256000022"/>
      <w:bookmarkEnd w:id="49"/>
      <w:bookmarkStart w:id="50" w:name="_Toc256000002"/>
      <w:bookmarkEnd w:id="50"/>
      <w:bookmarkStart w:id="51" w:name="_Toc20759"/>
      <w:bookmarkEnd w:id="51"/>
      <w:bookmarkStart w:id="52" w:name="_Toc20823274"/>
      <w:bookmarkEnd w:id="52"/>
      <w:bookmarkStart w:id="53" w:name="_Toc120614213"/>
      <w:bookmarkEnd w:id="53"/>
      <w:bookmarkStart w:id="54" w:name="_Toc455227390"/>
      <w:bookmarkEnd w:id="54"/>
      <w:bookmarkStart w:id="55" w:name="_Toc1621"/>
      <w:bookmarkEnd w:id="55"/>
      <w:bookmarkStart w:id="56" w:name="_Toc256000032"/>
      <w:r>
        <w:rPr>
          <w:rFonts w:hint="eastAsia" w:ascii="仿宋" w:hAnsi="仿宋" w:eastAsia="仿宋" w:cs="仿宋"/>
          <w:color w:val="000000" w:themeColor="text1"/>
          <w:highlight w:val="none"/>
          <w14:textFill>
            <w14:solidFill>
              <w14:schemeClr w14:val="tx1"/>
            </w14:solidFill>
          </w14:textFill>
        </w:rPr>
        <w:br w:type="page"/>
      </w:r>
      <w:bookmarkEnd w:id="56"/>
      <w:bookmarkStart w:id="57" w:name="_Toc28139"/>
      <w:bookmarkStart w:id="58" w:name="_Toc15183"/>
      <w:bookmarkStart w:id="59" w:name="_Toc256000017"/>
      <w:bookmarkStart w:id="60" w:name="_Toc25553"/>
      <w:bookmarkStart w:id="61" w:name="_Toc256000004"/>
      <w:bookmarkStart w:id="62" w:name="_Toc24122"/>
      <w:bookmarkStart w:id="63" w:name="_Toc519111260"/>
      <w:r>
        <w:rPr>
          <w:rFonts w:hint="eastAsia" w:ascii="仿宋" w:hAnsi="仿宋" w:eastAsia="仿宋" w:cs="仿宋"/>
          <w:b w:val="0"/>
          <w:color w:val="000000" w:themeColor="text1"/>
          <w:sz w:val="24"/>
          <w:szCs w:val="24"/>
          <w:highlight w:val="none"/>
          <w14:textFill>
            <w14:solidFill>
              <w14:schemeClr w14:val="tx1"/>
            </w14:solidFill>
          </w14:textFill>
        </w:rPr>
        <w:t>一、总则</w:t>
      </w:r>
      <w:bookmarkEnd w:id="57"/>
      <w:bookmarkEnd w:id="58"/>
      <w:bookmarkEnd w:id="59"/>
      <w:bookmarkEnd w:id="60"/>
      <w:bookmarkEnd w:id="61"/>
      <w:bookmarkEnd w:id="62"/>
      <w:bookmarkEnd w:id="63"/>
    </w:p>
    <w:p>
      <w:pPr>
        <w:pStyle w:val="104"/>
        <w:spacing w:line="360" w:lineRule="auto"/>
        <w:rPr>
          <w:rFonts w:hint="eastAsia" w:ascii="仿宋" w:hAnsi="仿宋" w:eastAsia="仿宋" w:cs="仿宋"/>
          <w:bCs/>
          <w:color w:val="000000" w:themeColor="text1"/>
          <w:sz w:val="24"/>
          <w:highlight w:val="none"/>
          <w14:textFill>
            <w14:solidFill>
              <w14:schemeClr w14:val="tx1"/>
            </w14:solidFill>
          </w14:textFill>
        </w:rPr>
      </w:pPr>
      <w:bookmarkStart w:id="64" w:name="_Toc30004"/>
      <w:r>
        <w:rPr>
          <w:rFonts w:hint="eastAsia" w:ascii="仿宋" w:hAnsi="仿宋" w:eastAsia="仿宋" w:cs="仿宋"/>
          <w:bCs/>
          <w:color w:val="000000" w:themeColor="text1"/>
          <w:sz w:val="24"/>
          <w:highlight w:val="none"/>
          <w14:textFill>
            <w14:solidFill>
              <w14:schemeClr w14:val="tx1"/>
            </w14:solidFill>
          </w14:textFill>
        </w:rPr>
        <w:t>1.说明</w:t>
      </w:r>
      <w:bookmarkEnd w:id="64"/>
    </w:p>
    <w:p>
      <w:pPr>
        <w:pStyle w:val="104"/>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bookmarkStart w:id="65" w:name="_Toc20203"/>
      <w:r>
        <w:rPr>
          <w:rFonts w:hint="eastAsia" w:ascii="仿宋" w:hAnsi="仿宋" w:eastAsia="仿宋" w:cs="仿宋"/>
          <w:bCs/>
          <w:color w:val="000000" w:themeColor="text1"/>
          <w:sz w:val="24"/>
          <w:highlight w:val="none"/>
          <w14:textFill>
            <w14:solidFill>
              <w14:schemeClr w14:val="tx1"/>
            </w14:solidFill>
          </w14:textFill>
        </w:rPr>
        <w:t>1.1本招标文件适用于本次招标采购项目的招标投标。</w:t>
      </w:r>
      <w:bookmarkEnd w:id="65"/>
    </w:p>
    <w:p>
      <w:pPr>
        <w:pStyle w:val="104"/>
        <w:spacing w:line="360" w:lineRule="auto"/>
        <w:rPr>
          <w:rFonts w:hint="eastAsia" w:ascii="仿宋" w:hAnsi="仿宋" w:eastAsia="仿宋" w:cs="仿宋"/>
          <w:bCs/>
          <w:color w:val="000000" w:themeColor="text1"/>
          <w:sz w:val="24"/>
          <w:highlight w:val="none"/>
          <w14:textFill>
            <w14:solidFill>
              <w14:schemeClr w14:val="tx1"/>
            </w14:solidFill>
          </w14:textFill>
        </w:rPr>
      </w:pPr>
      <w:bookmarkStart w:id="66" w:name="_Toc580"/>
      <w:r>
        <w:rPr>
          <w:rFonts w:hint="eastAsia" w:ascii="仿宋" w:hAnsi="仿宋" w:eastAsia="仿宋" w:cs="仿宋"/>
          <w:bCs/>
          <w:color w:val="000000" w:themeColor="text1"/>
          <w:sz w:val="24"/>
          <w:highlight w:val="none"/>
          <w14:textFill>
            <w14:solidFill>
              <w14:schemeClr w14:val="tx1"/>
            </w14:solidFill>
          </w14:textFill>
        </w:rPr>
        <w:t>2.定义</w:t>
      </w:r>
      <w:bookmarkEnd w:id="66"/>
    </w:p>
    <w:p>
      <w:pPr>
        <w:pStyle w:val="104"/>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2.1“采购人”名称见本招标文件第二部分“投标人须知前附表”中第2项。</w:t>
      </w:r>
    </w:p>
    <w:p>
      <w:pPr>
        <w:pStyle w:val="104"/>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2.2“采购代理机构”名称见本招标文件第二部分“投标人须知前附表”中第3项。</w:t>
      </w:r>
    </w:p>
    <w:p>
      <w:pPr>
        <w:pStyle w:val="104"/>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2.3“招标货物”指招标文件第三部分所述所有货物；“服务”指招标文件第三部分所述投标人应该履行的承诺和义务。</w:t>
      </w:r>
    </w:p>
    <w:p>
      <w:pPr>
        <w:pStyle w:val="104"/>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2.4“潜在投标人”指符合招标文件各项规定的供应商。</w:t>
      </w:r>
    </w:p>
    <w:p>
      <w:pPr>
        <w:pStyle w:val="104"/>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2.5“投标人”指符合招标文件规定并参加投标的供应商。</w:t>
      </w:r>
    </w:p>
    <w:p>
      <w:pPr>
        <w:pStyle w:val="104"/>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2.6“投标人公章”在投标文件中指与投标人标准公章一致的投标人电子签章。</w:t>
      </w:r>
    </w:p>
    <w:p>
      <w:pPr>
        <w:pStyle w:val="104"/>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2.7“电子投标文件”指利用政采云交易平台提供的“电子投标文件制作工具”编制加密的投标文件。</w:t>
      </w:r>
    </w:p>
    <w:p>
      <w:pPr>
        <w:pStyle w:val="104"/>
        <w:spacing w:line="360" w:lineRule="auto"/>
        <w:rPr>
          <w:rFonts w:hint="eastAsia" w:ascii="仿宋" w:hAnsi="仿宋" w:eastAsia="仿宋" w:cs="仿宋"/>
          <w:bCs/>
          <w:color w:val="000000" w:themeColor="text1"/>
          <w:sz w:val="24"/>
          <w:highlight w:val="none"/>
          <w14:textFill>
            <w14:solidFill>
              <w14:schemeClr w14:val="tx1"/>
            </w14:solidFill>
          </w14:textFill>
        </w:rPr>
      </w:pPr>
      <w:bookmarkStart w:id="67" w:name="_Toc25263"/>
      <w:r>
        <w:rPr>
          <w:rFonts w:hint="eastAsia" w:ascii="仿宋" w:hAnsi="仿宋" w:eastAsia="仿宋" w:cs="仿宋"/>
          <w:bCs/>
          <w:color w:val="000000" w:themeColor="text1"/>
          <w:sz w:val="24"/>
          <w:highlight w:val="none"/>
          <w14:textFill>
            <w14:solidFill>
              <w14:schemeClr w14:val="tx1"/>
            </w14:solidFill>
          </w14:textFill>
        </w:rPr>
        <w:t>3.合格投标人的条件</w:t>
      </w:r>
      <w:bookmarkEnd w:id="67"/>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3.1具有本项目生产、制造、供应或实施能力，符合、承认并承诺履行本文件各项规定的国内法人、其他组织或自然人均可参加投标。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3.2遵守有关的国家法律、法规和条例，具备《中华人民共和国政府采购法》和本文件中规定的条件：</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2)具有良好的商业信誉和健全的财务会计制度；</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4)具有依法缴纳税收和社会保障资金的良好记录；</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6)法律、行政法规规定的其他条件；</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7)具有本招标文件第二部分“投标人须知前附表”中第5项规定的资格条件。</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3.3投标人之间如果存在下列情形之一的，不得同时参加同一包（标段）或者不分包（标段）的同一项目投标：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3.3.1法定代表人为同一个人的两个及两个以上法人；</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3.3.2母公司、全资子公司及其控股公司；</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3.3.3参加投标的其他组织之间存在特殊的利害关系的；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3.3.4法律和行政法规规定的其他情形。</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3.4投标人须持有《法定代表人授权委托书》。</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3.5投标人在政采云交易平台内针对本项目下载了</w:t>
      </w:r>
      <w:r>
        <w:rPr>
          <w:rFonts w:hint="eastAsia" w:ascii="仿宋" w:hAnsi="仿宋" w:eastAsia="仿宋" w:cs="仿宋"/>
          <w:color w:val="000000" w:themeColor="text1"/>
          <w:kern w:val="0"/>
          <w:sz w:val="24"/>
          <w:highlight w:val="none"/>
          <w14:textFill>
            <w14:solidFill>
              <w14:schemeClr w14:val="tx1"/>
            </w14:solidFill>
          </w14:textFill>
        </w:rPr>
        <w:t>电子采购文件</w:t>
      </w:r>
      <w:r>
        <w:rPr>
          <w:rFonts w:hint="eastAsia" w:ascii="仿宋" w:hAnsi="仿宋" w:eastAsia="仿宋" w:cs="仿宋"/>
          <w:color w:val="000000" w:themeColor="text1"/>
          <w:sz w:val="24"/>
          <w:highlight w:val="none"/>
          <w14:textFill>
            <w14:solidFill>
              <w14:schemeClr w14:val="tx1"/>
            </w14:solidFill>
          </w14:textFill>
        </w:rPr>
        <w:t>。</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3.6投标人按时足额交纳投标保证金。</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3.7本次招标是否允许由两个以上投标人组成一个联合体以一个投标人身份共同投标，按照招标文件第二部分“投标人须知前附表”中第7项的规定。如果允许，除均应符合上述规定外，还应符合下列要求：</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2）联合体各方中至少应当有一方对应满足本项目规定的相应资质条件，并且联合体投标人整体应当符合本项目的资质要求，否则，其提交的联合投标将被拒绝。</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3）由不同专业的投标人组成的联合体,首先以投标的全权代表方的应答材料作为认定资质以及商务评审的依据；涉及行业专属的资质,按照所属行业所对应的投标人的应答材料确定。</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6）联合体各方均不得同时再以自己独立的名义单独投标，也不得再同时参加其他的联合体投标。若该等情形被发现，其单独的投标和与此有关的联合体的投标均将被一并拒绝。</w:t>
      </w:r>
    </w:p>
    <w:p>
      <w:pPr>
        <w:pStyle w:val="174"/>
        <w:tabs>
          <w:tab w:val="left" w:pos="1146"/>
        </w:tabs>
        <w:spacing w:line="360" w:lineRule="auto"/>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68" w:name="_Toc24125"/>
      <w:r>
        <w:rPr>
          <w:rFonts w:hint="eastAsia" w:ascii="仿宋" w:hAnsi="仿宋" w:eastAsia="仿宋" w:cs="仿宋"/>
          <w:color w:val="000000" w:themeColor="text1"/>
          <w:sz w:val="24"/>
          <w:highlight w:val="none"/>
          <w14:textFill>
            <w14:solidFill>
              <w14:schemeClr w14:val="tx1"/>
            </w14:solidFill>
          </w14:textFill>
        </w:rPr>
        <w:t>3.7投标人不得与采购人、采购代理机构等有利害关系。</w:t>
      </w:r>
      <w:bookmarkEnd w:id="68"/>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69" w:name="_Toc12435"/>
      <w:r>
        <w:rPr>
          <w:rFonts w:hint="eastAsia" w:ascii="仿宋" w:hAnsi="仿宋" w:eastAsia="仿宋" w:cs="仿宋"/>
          <w:b/>
          <w:color w:val="000000" w:themeColor="text1"/>
          <w:sz w:val="24"/>
          <w:highlight w:val="none"/>
          <w14:textFill>
            <w14:solidFill>
              <w14:schemeClr w14:val="tx1"/>
            </w14:solidFill>
          </w14:textFill>
        </w:rPr>
        <w:t>4.投标费用</w:t>
      </w:r>
      <w:bookmarkEnd w:id="69"/>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70" w:name="_Toc22595"/>
      <w:r>
        <w:rPr>
          <w:rFonts w:hint="eastAsia" w:ascii="仿宋" w:hAnsi="仿宋" w:eastAsia="仿宋" w:cs="仿宋"/>
          <w:color w:val="000000" w:themeColor="text1"/>
          <w:sz w:val="24"/>
          <w:highlight w:val="none"/>
          <w14:textFill>
            <w14:solidFill>
              <w14:schemeClr w14:val="tx1"/>
            </w14:solidFill>
          </w14:textFill>
        </w:rPr>
        <w:t>4.1投标人应承担所有与准备和参加投标有关的费用。</w:t>
      </w:r>
      <w:bookmarkEnd w:id="70"/>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71" w:name="_Toc31759"/>
      <w:r>
        <w:rPr>
          <w:rFonts w:hint="eastAsia" w:ascii="仿宋" w:hAnsi="仿宋" w:eastAsia="仿宋" w:cs="仿宋"/>
          <w:b/>
          <w:color w:val="000000" w:themeColor="text1"/>
          <w:sz w:val="24"/>
          <w:highlight w:val="none"/>
          <w14:textFill>
            <w14:solidFill>
              <w14:schemeClr w14:val="tx1"/>
            </w14:solidFill>
          </w14:textFill>
        </w:rPr>
        <w:t>5.纪律</w:t>
      </w:r>
      <w:bookmarkEnd w:id="71"/>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72" w:name="_Toc6978"/>
      <w:r>
        <w:rPr>
          <w:rFonts w:hint="eastAsia" w:ascii="仿宋" w:hAnsi="仿宋" w:eastAsia="仿宋" w:cs="仿宋"/>
          <w:color w:val="000000" w:themeColor="text1"/>
          <w:sz w:val="24"/>
          <w:highlight w:val="none"/>
          <w14:textFill>
            <w14:solidFill>
              <w14:schemeClr w14:val="tx1"/>
            </w14:solidFill>
          </w14:textFill>
        </w:rPr>
        <w:t>5.1投标人的投标行为应遵守中国的有关法律、法规和规章。</w:t>
      </w:r>
      <w:bookmarkEnd w:id="72"/>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5.2投标人不得相互串通投标报价，不得妨碍其他投标人的公平竞争，不得损害采购人或其他投标人的合法权益，投标人不得以向采购人、评标委员会成员行贿或者采取其他不正当手段谋取中标。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5.2.1有下列情形之一的，属于投标人相互串通投标：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5.2.1.1投标人之间协商投标报价等投标文件的实质性内容；</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5.2.1.2投标人之间约定中标人；</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5.2.1.3投标人之间约定部分投标人放弃投标或者中标；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5.2.1.4属于同一集团、协会、商会等组织成员的投标人按照该组织要求协同投标；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5.2.1.5投标人之间为谋取中标或者排斥特定投标人而采取的其他联合行动。</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5.2.2有下列情形之一的，视为投标人相互串通投标：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5.2.2.1不同投标人的投标文件由同一单位或者个人编制；</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5.2.2.2不同投标人委托同一单位或者个人办理投标事宜，或制作电子投标文件的文件制作机器码（mac地址）一致，或制作电子投标文件的文件创建标识码一致；</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5.2.2.3不同投标人的投标文件载明的项目管理成员为同一人；</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5.2.2.4不同投标人的投标文件异常一致或者投标报价呈规律性差异；</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5.2.2.5不同投标人的投标文件相互混装；</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5.2.2.6不同投标人的投标保证金从同一单位或者个人的账户转出。</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73" w:name="_Toc19535"/>
      <w:r>
        <w:rPr>
          <w:rFonts w:hint="eastAsia" w:ascii="仿宋" w:hAnsi="仿宋" w:eastAsia="仿宋" w:cs="仿宋"/>
          <w:b/>
          <w:color w:val="000000" w:themeColor="text1"/>
          <w:sz w:val="24"/>
          <w:highlight w:val="none"/>
          <w14:textFill>
            <w14:solidFill>
              <w14:schemeClr w14:val="tx1"/>
            </w14:solidFill>
          </w14:textFill>
        </w:rPr>
        <w:t>6.通知</w:t>
      </w:r>
      <w:bookmarkEnd w:id="73"/>
    </w:p>
    <w:p>
      <w:pPr>
        <w:pStyle w:val="104"/>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bookmarkStart w:id="74" w:name="_Toc519111261"/>
      <w:bookmarkStart w:id="75" w:name="_Toc256000018"/>
      <w:bookmarkStart w:id="76" w:name="_Toc256000005"/>
      <w:r>
        <w:rPr>
          <w:rFonts w:hint="eastAsia" w:ascii="仿宋" w:hAnsi="仿宋" w:eastAsia="仿宋" w:cs="仿宋"/>
          <w:color w:val="000000" w:themeColor="text1"/>
          <w:sz w:val="24"/>
          <w:highlight w:val="none"/>
          <w14:textFill>
            <w14:solidFill>
              <w14:schemeClr w14:val="tx1"/>
            </w14:solidFill>
          </w14:textFill>
        </w:rPr>
        <w:t>6.1对与本项目有关的通知，采购代理机构将以书面（包括书面材料、信函、传真等，下同）或在本次招标公告刊登的媒体上发布公告并在政采云交易平台内发送变更通知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77" w:name="_Toc27757"/>
      <w:bookmarkStart w:id="78" w:name="_Toc12797"/>
      <w:bookmarkStart w:id="79" w:name="_Toc25241"/>
      <w:bookmarkStart w:id="80" w:name="_Toc16871"/>
      <w:r>
        <w:rPr>
          <w:rFonts w:hint="eastAsia" w:ascii="仿宋" w:hAnsi="仿宋" w:eastAsia="仿宋" w:cs="仿宋"/>
          <w:color w:val="000000" w:themeColor="text1"/>
          <w:sz w:val="24"/>
          <w:szCs w:val="24"/>
          <w:highlight w:val="none"/>
          <w14:textFill>
            <w14:solidFill>
              <w14:schemeClr w14:val="tx1"/>
            </w14:solidFill>
          </w14:textFill>
        </w:rPr>
        <w:t>二、招标文件</w:t>
      </w:r>
      <w:bookmarkEnd w:id="74"/>
      <w:bookmarkEnd w:id="75"/>
      <w:bookmarkEnd w:id="76"/>
      <w:bookmarkEnd w:id="77"/>
      <w:bookmarkEnd w:id="78"/>
      <w:bookmarkEnd w:id="79"/>
      <w:bookmarkEnd w:id="80"/>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81" w:name="_Toc26833"/>
      <w:r>
        <w:rPr>
          <w:rFonts w:hint="eastAsia" w:ascii="仿宋" w:hAnsi="仿宋" w:eastAsia="仿宋" w:cs="仿宋"/>
          <w:b/>
          <w:color w:val="000000" w:themeColor="text1"/>
          <w:sz w:val="24"/>
          <w:highlight w:val="none"/>
          <w14:textFill>
            <w14:solidFill>
              <w14:schemeClr w14:val="tx1"/>
            </w14:solidFill>
          </w14:textFill>
        </w:rPr>
        <w:t>7.招标文件组成</w:t>
      </w:r>
      <w:bookmarkEnd w:id="81"/>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82" w:name="_Toc14130"/>
      <w:r>
        <w:rPr>
          <w:rFonts w:hint="eastAsia" w:ascii="仿宋" w:hAnsi="仿宋" w:eastAsia="仿宋" w:cs="仿宋"/>
          <w:color w:val="000000" w:themeColor="text1"/>
          <w:sz w:val="24"/>
          <w:highlight w:val="none"/>
          <w14:textFill>
            <w14:solidFill>
              <w14:schemeClr w14:val="tx1"/>
            </w14:solidFill>
          </w14:textFill>
        </w:rPr>
        <w:t>7.1招标文件由招标文件目录所列内容组成。</w:t>
      </w:r>
      <w:bookmarkEnd w:id="82"/>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83" w:name="_Toc13350"/>
      <w:r>
        <w:rPr>
          <w:rFonts w:hint="eastAsia" w:ascii="仿宋" w:hAnsi="仿宋" w:eastAsia="仿宋" w:cs="仿宋"/>
          <w:b/>
          <w:color w:val="000000" w:themeColor="text1"/>
          <w:sz w:val="24"/>
          <w:highlight w:val="none"/>
          <w14:textFill>
            <w14:solidFill>
              <w14:schemeClr w14:val="tx1"/>
            </w14:solidFill>
          </w14:textFill>
        </w:rPr>
        <w:t>8.踏勘现场</w:t>
      </w:r>
      <w:bookmarkEnd w:id="83"/>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8.1本项目是否统一组织投标人踏勘现场见招标文件第二部分“投标人须知前附表”中第</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项的规定。无论是否统一组织，投标人应对供货现场和周围环境进行勘察，以获取编制投标文件所需的资料。</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8.3除非有特殊要求，招标文件不单独提供供货使用地的自然环境、气候条件、公用设施等情况，投标人被视为熟悉上述与履行合同有关的一切情况。</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8.4除采购人原因外，投标人自行负责在踏勘现场中所发生的人员伤亡和财产损失。</w:t>
      </w:r>
    </w:p>
    <w:p>
      <w:pPr>
        <w:pStyle w:val="104"/>
        <w:spacing w:line="360" w:lineRule="auto"/>
        <w:rPr>
          <w:rFonts w:hint="eastAsia" w:ascii="仿宋" w:hAnsi="仿宋" w:eastAsia="仿宋" w:cs="仿宋"/>
          <w:bCs/>
          <w:color w:val="000000" w:themeColor="text1"/>
          <w:sz w:val="24"/>
          <w:highlight w:val="none"/>
          <w14:textFill>
            <w14:solidFill>
              <w14:schemeClr w14:val="tx1"/>
            </w14:solidFill>
          </w14:textFill>
        </w:rPr>
      </w:pPr>
      <w:bookmarkStart w:id="84" w:name="_Toc12467"/>
      <w:r>
        <w:rPr>
          <w:rFonts w:hint="eastAsia" w:ascii="仿宋" w:hAnsi="仿宋" w:eastAsia="仿宋" w:cs="仿宋"/>
          <w:b/>
          <w:color w:val="000000" w:themeColor="text1"/>
          <w:sz w:val="24"/>
          <w:highlight w:val="none"/>
          <w14:textFill>
            <w14:solidFill>
              <w14:schemeClr w14:val="tx1"/>
            </w14:solidFill>
          </w14:textFill>
        </w:rPr>
        <w:t>9.知识产权</w:t>
      </w:r>
      <w:bookmarkEnd w:id="84"/>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9.2投标人如欲在项目实施过程中采用自有知识成果，须在投标文件中声明，并提供相关知识产权证明文件。使用该知识成果后，投标人须提供开发接口和开发手册等技术文档。</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85" w:name="_Toc7613"/>
      <w:r>
        <w:rPr>
          <w:rFonts w:hint="eastAsia" w:ascii="仿宋" w:hAnsi="仿宋" w:eastAsia="仿宋" w:cs="仿宋"/>
          <w:b/>
          <w:color w:val="000000" w:themeColor="text1"/>
          <w:sz w:val="24"/>
          <w:highlight w:val="none"/>
          <w14:textFill>
            <w14:solidFill>
              <w14:schemeClr w14:val="tx1"/>
            </w14:solidFill>
          </w14:textFill>
        </w:rPr>
        <w:t>10.答疑及招标文件的澄清和修改</w:t>
      </w:r>
      <w:bookmarkEnd w:id="85"/>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10.1投标人如果对招标文件有疑问或要求进行澄清的，应按照招标文件第二部分“投标人须知前附表”第</w:t>
      </w:r>
      <w:r>
        <w:rPr>
          <w:rFonts w:hint="eastAsia" w:ascii="仿宋" w:hAnsi="仿宋" w:eastAsia="仿宋" w:cs="仿宋"/>
          <w:color w:val="000000" w:themeColor="text1"/>
          <w:sz w:val="24"/>
          <w:highlight w:val="none"/>
          <w:lang w:val="en-US" w:eastAsia="zh-CN"/>
          <w14:textFill>
            <w14:solidFill>
              <w14:schemeClr w14:val="tx1"/>
            </w14:solidFill>
          </w14:textFill>
        </w:rPr>
        <w:t>26</w:t>
      </w:r>
      <w:r>
        <w:rPr>
          <w:rFonts w:hint="eastAsia" w:ascii="仿宋" w:hAnsi="仿宋" w:eastAsia="仿宋" w:cs="仿宋"/>
          <w:color w:val="000000" w:themeColor="text1"/>
          <w:sz w:val="24"/>
          <w:highlight w:val="none"/>
          <w14:textFill>
            <w14:solidFill>
              <w14:schemeClr w14:val="tx1"/>
            </w14:solidFill>
          </w14:textFill>
        </w:rPr>
        <w:t>项规定向采购代理机构提出。提出后，请投标人及时通过交易平台查看答疑文件或澄清文件。必要时，采购代理机构将组织相关专家召开答疑会，如召开，答疑会安排另行通知。</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投标人在规定的时间内未对招标文件提出疑问或要求澄清的，采购代理机构将视其为同意，对在“答疑接受时间”后就招标文件内容提出的疑问及澄清要求将不予受理。</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10.2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特殊情况下，采购代理机构发布澄清、修改文件后，征得投标人同意，可不改变投标截止时间和开标时间。</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10.3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104"/>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10.4采购代理机构对招标文件作出的澄清、修改在政采云交易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104"/>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10.5澄清、修改文件发出后，投标人必须使用最新的答疑、澄清文件制作电子投标文件，否则将无法完成上传。</w:t>
      </w:r>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86" w:name="_Toc24467"/>
      <w:bookmarkStart w:id="87" w:name="_Toc256000019"/>
      <w:bookmarkStart w:id="88" w:name="_Toc278"/>
      <w:bookmarkStart w:id="89" w:name="_Toc256000006"/>
      <w:bookmarkStart w:id="90" w:name="_Toc519111262"/>
      <w:bookmarkStart w:id="91" w:name="_Toc19867"/>
      <w:bookmarkStart w:id="92" w:name="_Toc14270"/>
      <w:r>
        <w:rPr>
          <w:rFonts w:hint="eastAsia" w:ascii="仿宋" w:hAnsi="仿宋" w:eastAsia="仿宋" w:cs="仿宋"/>
          <w:color w:val="000000" w:themeColor="text1"/>
          <w:sz w:val="24"/>
          <w:szCs w:val="24"/>
          <w:highlight w:val="none"/>
          <w14:textFill>
            <w14:solidFill>
              <w14:schemeClr w14:val="tx1"/>
            </w14:solidFill>
          </w14:textFill>
        </w:rPr>
        <w:t>三、投标文件</w:t>
      </w:r>
      <w:bookmarkEnd w:id="86"/>
      <w:bookmarkEnd w:id="87"/>
      <w:bookmarkEnd w:id="88"/>
      <w:bookmarkEnd w:id="89"/>
      <w:bookmarkEnd w:id="90"/>
      <w:bookmarkEnd w:id="91"/>
      <w:bookmarkEnd w:id="92"/>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93" w:name="_Toc27343"/>
      <w:r>
        <w:rPr>
          <w:rFonts w:hint="eastAsia" w:ascii="仿宋" w:hAnsi="仿宋" w:eastAsia="仿宋" w:cs="仿宋"/>
          <w:b/>
          <w:color w:val="000000" w:themeColor="text1"/>
          <w:sz w:val="24"/>
          <w:highlight w:val="none"/>
          <w14:textFill>
            <w14:solidFill>
              <w14:schemeClr w14:val="tx1"/>
            </w14:solidFill>
          </w14:textFill>
        </w:rPr>
        <w:t>11.投标文件的语言及计量单位</w:t>
      </w:r>
      <w:bookmarkEnd w:id="93"/>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11.1投标人提交的投标文件（包括技术文件和资料、图纸中的说明）以及投标人与采购代理机构就有关投标的所有来往函电均应使用中文简体字。</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11.3除非招标文件另有规定，投标文件所使用的计量单位，应使用国家法定计量单位。</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11.4对违反上述规定情形的，评标委员会有权要求投标人限期提供相应文件或决定对其投标予以拒绝。</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11.5电报、电话、传真形式的投标概不接受。投标人的投标文件一律不予退还。</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94" w:name="_Toc8463"/>
      <w:r>
        <w:rPr>
          <w:rFonts w:hint="eastAsia" w:ascii="仿宋" w:hAnsi="仿宋" w:eastAsia="仿宋" w:cs="仿宋"/>
          <w:b/>
          <w:color w:val="000000" w:themeColor="text1"/>
          <w:sz w:val="24"/>
          <w:highlight w:val="none"/>
          <w14:textFill>
            <w14:solidFill>
              <w14:schemeClr w14:val="tx1"/>
            </w14:solidFill>
          </w14:textFill>
        </w:rPr>
        <w:t>12.投标文件组成及编制</w:t>
      </w:r>
      <w:bookmarkEnd w:id="94"/>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12.1投标文件分为资格审查响应文件、商务技术响应文件和报价响应文件。</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资格审查响应文件指投标人提交的证明其有资格参加投标和中标后有能力履行合同的文件。商务技术响应文件指投标人提交的能够证明其提供的货物及服务符合招标文件规定的文件。本次招标，投标人须按招标文件第二部分“投标人须知前附表”中第</w:t>
      </w:r>
      <w:r>
        <w:rPr>
          <w:rFonts w:hint="eastAsia" w:ascii="仿宋" w:hAnsi="仿宋" w:eastAsia="仿宋" w:cs="仿宋"/>
          <w:color w:val="000000" w:themeColor="text1"/>
          <w:sz w:val="24"/>
          <w:highlight w:val="none"/>
          <w:lang w:val="en-US" w:eastAsia="zh-CN"/>
          <w14:textFill>
            <w14:solidFill>
              <w14:schemeClr w14:val="tx1"/>
            </w14:solidFill>
          </w14:textFill>
        </w:rPr>
        <w:t>16</w:t>
      </w:r>
      <w:r>
        <w:rPr>
          <w:rFonts w:hint="eastAsia" w:ascii="仿宋" w:hAnsi="仿宋" w:eastAsia="仿宋" w:cs="仿宋"/>
          <w:color w:val="000000" w:themeColor="text1"/>
          <w:sz w:val="24"/>
          <w:highlight w:val="none"/>
          <w14:textFill>
            <w14:solidFill>
              <w14:schemeClr w14:val="tx1"/>
            </w14:solidFill>
          </w14:textFill>
        </w:rPr>
        <w:t>项规定提交投标文件，其中加☆项目若有缺失或无效，将导致投标被拒绝且不允许在开标后补正。</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12.2投标人递交的投标文件及相关要求按照招标文件第二部分“投标人须知前附表”中第13、14项的规定。</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95" w:name="_Toc22506"/>
      <w:r>
        <w:rPr>
          <w:rFonts w:hint="eastAsia" w:ascii="仿宋" w:hAnsi="仿宋" w:eastAsia="仿宋" w:cs="仿宋"/>
          <w:color w:val="000000" w:themeColor="text1"/>
          <w:sz w:val="24"/>
          <w:highlight w:val="none"/>
          <w14:textFill>
            <w14:solidFill>
              <w14:schemeClr w14:val="tx1"/>
            </w14:solidFill>
          </w14:textFill>
        </w:rPr>
        <w:t>12.2.1电子投标文件的编制</w:t>
      </w:r>
      <w:bookmarkEnd w:id="95"/>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12.2.1.2电子投标文件须使用投标人公章的电子签章以及法定代表人的电子签章。若无电子签章，则视为无效投标。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12.2.1.3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12.2.1.4电子投标文件制作工具在生成加密投标文件时，同时生成非加密投标文件一份。未加密的电子投标文件由投标人使用光盘制作（投标人须保证启用光盘时能正常读取）。</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96" w:name="_Toc3763"/>
      <w:r>
        <w:rPr>
          <w:rFonts w:hint="eastAsia" w:ascii="仿宋" w:hAnsi="仿宋" w:eastAsia="仿宋" w:cs="仿宋"/>
          <w:b/>
          <w:color w:val="000000" w:themeColor="text1"/>
          <w:sz w:val="24"/>
          <w:highlight w:val="none"/>
          <w14:textFill>
            <w14:solidFill>
              <w14:schemeClr w14:val="tx1"/>
            </w14:solidFill>
          </w14:textFill>
        </w:rPr>
        <w:t>13.投标报价</w:t>
      </w:r>
      <w:bookmarkEnd w:id="96"/>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97" w:name="_Toc24504"/>
      <w:r>
        <w:rPr>
          <w:rFonts w:hint="eastAsia" w:ascii="仿宋" w:hAnsi="仿宋" w:eastAsia="仿宋" w:cs="仿宋"/>
          <w:color w:val="000000" w:themeColor="text1"/>
          <w:sz w:val="24"/>
          <w:highlight w:val="none"/>
          <w14:textFill>
            <w14:solidFill>
              <w14:schemeClr w14:val="tx1"/>
            </w14:solidFill>
          </w14:textFill>
        </w:rPr>
        <w:t>13.2投标人投报多包的，须对每包分别制作投标文件并报价</w:t>
      </w:r>
      <w:r>
        <w:rPr>
          <w:rFonts w:hint="eastAsia" w:ascii="仿宋" w:hAnsi="仿宋" w:eastAsia="仿宋" w:cs="仿宋"/>
          <w:b/>
          <w:color w:val="000000" w:themeColor="text1"/>
          <w:sz w:val="24"/>
          <w:highlight w:val="none"/>
          <w14:textFill>
            <w14:solidFill>
              <w14:schemeClr w14:val="tx1"/>
            </w14:solidFill>
          </w14:textFill>
        </w:rPr>
        <w:t>。</w:t>
      </w:r>
      <w:bookmarkEnd w:id="97"/>
    </w:p>
    <w:p>
      <w:pPr>
        <w:pStyle w:val="104"/>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13.3除非招标文件另有规定，不接受可选择或可调整的投标方案和报价，任何有选择的或可调整的投标方案和报价将被视为非响应性投标而被拒绝。</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13.4本项目是否允许投标人将项目的非主体、非关键性工作交由他人完成按照招标文件第二部分“投标人须知前附表”中第8项的规定。如允许，投标人根据采购项目的实际情况，拟在中标后将中标项目的非主体、非关键性工作交由他人完成，须在技术文件中载明。</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13.5投标人须严格按照报价明细表规定的内容填写单价以及其他事项。</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98" w:name="_Toc13885"/>
      <w:r>
        <w:rPr>
          <w:rFonts w:hint="eastAsia" w:ascii="仿宋" w:hAnsi="仿宋" w:eastAsia="仿宋" w:cs="仿宋"/>
          <w:color w:val="000000" w:themeColor="text1"/>
          <w:sz w:val="24"/>
          <w:highlight w:val="none"/>
          <w14:textFill>
            <w14:solidFill>
              <w14:schemeClr w14:val="tx1"/>
            </w14:solidFill>
          </w14:textFill>
        </w:rPr>
        <w:t>13.6投标人对投标报价若有说明应在投标文件中显著处注明。</w:t>
      </w:r>
      <w:bookmarkEnd w:id="98"/>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除政策性文件规定以外，投标人所报价格在合同实施期间不因市场变化因素而变动。</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13.7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99" w:name="_Toc6370"/>
      <w:r>
        <w:rPr>
          <w:rFonts w:hint="eastAsia" w:ascii="仿宋" w:hAnsi="仿宋" w:eastAsia="仿宋" w:cs="仿宋"/>
          <w:color w:val="000000" w:themeColor="text1"/>
          <w:sz w:val="24"/>
          <w:highlight w:val="none"/>
          <w14:textFill>
            <w14:solidFill>
              <w14:schemeClr w14:val="tx1"/>
            </w14:solidFill>
          </w14:textFill>
        </w:rPr>
        <w:t>13.8最低报价不能作为中标的保证。</w:t>
      </w:r>
      <w:bookmarkEnd w:id="99"/>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00" w:name="_Toc13703"/>
      <w:r>
        <w:rPr>
          <w:rFonts w:hint="eastAsia" w:ascii="仿宋" w:hAnsi="仿宋" w:eastAsia="仿宋" w:cs="仿宋"/>
          <w:b/>
          <w:color w:val="000000" w:themeColor="text1"/>
          <w:sz w:val="24"/>
          <w:highlight w:val="none"/>
          <w14:textFill>
            <w14:solidFill>
              <w14:schemeClr w14:val="tx1"/>
            </w14:solidFill>
          </w14:textFill>
        </w:rPr>
        <w:t>14.投标有效期</w:t>
      </w:r>
      <w:bookmarkEnd w:id="100"/>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14.1本项目的投标有效期按照招标文件第二部分“投标人须知前附表中”中第12项的规定。投标有效期自开标之日起计算，短于规定期限的投标将按无效投标处理。</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01" w:name="_Toc27725"/>
      <w:r>
        <w:rPr>
          <w:rFonts w:hint="eastAsia" w:ascii="仿宋" w:hAnsi="仿宋" w:eastAsia="仿宋" w:cs="仿宋"/>
          <w:b/>
          <w:color w:val="000000" w:themeColor="text1"/>
          <w:sz w:val="24"/>
          <w:highlight w:val="none"/>
          <w14:textFill>
            <w14:solidFill>
              <w14:schemeClr w14:val="tx1"/>
            </w14:solidFill>
          </w14:textFill>
        </w:rPr>
        <w:t>15.投标内容填写说明</w:t>
      </w:r>
      <w:bookmarkEnd w:id="101"/>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104"/>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投标文件须严格按照招标文件第六部分及政府采购云平台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color w:val="000000" w:themeColor="text1"/>
          <w:sz w:val="24"/>
          <w:highlight w:val="none"/>
          <w14:textFill>
            <w14:solidFill>
              <w14:schemeClr w14:val="tx1"/>
            </w14:solidFill>
          </w14:textFill>
        </w:rPr>
        <w:t>。</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15.3开标一览表为在开标仪式上唱标的内容，要求按格式统一填写，不得自行增减内容。</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15.5投标人必须保证投标文件所提供的全部资料真实可靠，并接受采购代理机构或评标委员会对其中任何资料进一步审查的要求。</w:t>
      </w:r>
    </w:p>
    <w:p>
      <w:pPr>
        <w:pStyle w:val="104"/>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104"/>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15.7本项目</w:t>
      </w:r>
      <w:r>
        <w:rPr>
          <w:rFonts w:hint="eastAsia" w:ascii="仿宋" w:hAnsi="仿宋" w:eastAsia="仿宋" w:cs="仿宋"/>
          <w:color w:val="000000" w:themeColor="text1"/>
          <w:kern w:val="0"/>
          <w:sz w:val="24"/>
          <w:highlight w:val="none"/>
          <w14:textFill>
            <w14:solidFill>
              <w14:schemeClr w14:val="tx1"/>
            </w14:solidFill>
          </w14:textFill>
        </w:rPr>
        <w:t>技术部分是否采用“暗标”评审方式</w:t>
      </w:r>
      <w:r>
        <w:rPr>
          <w:rFonts w:hint="eastAsia" w:ascii="仿宋" w:hAnsi="仿宋" w:eastAsia="仿宋" w:cs="仿宋"/>
          <w:color w:val="000000" w:themeColor="text1"/>
          <w:sz w:val="24"/>
          <w:highlight w:val="none"/>
          <w14:textFill>
            <w14:solidFill>
              <w14:schemeClr w14:val="tx1"/>
            </w14:solidFill>
          </w14:textFill>
        </w:rPr>
        <w:t>按照招标文件第二部分“投标人须知前附表中”中第19项的规定。如果采用暗标评审方式的，投标人在制作投标文件时应当以能够隐去投标人的身份为原则并需严格遵守以下各项规定：</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15.7.1技术部分中纳入“暗标”部分的内容：样品。</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15.7.2暗标的编制要求</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15.7.2.1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15.7.2.2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104"/>
        <w:spacing w:line="360" w:lineRule="auto"/>
        <w:ind w:left="1"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15.7.2.3任何情况下，技术部分（“暗标”部分）中不得出现任何投标人的审阅或者批注痕迹，否则将导致投标被拒绝。</w:t>
      </w:r>
    </w:p>
    <w:p>
      <w:pPr>
        <w:pStyle w:val="104"/>
        <w:rPr>
          <w:rFonts w:hint="eastAsia" w:ascii="仿宋" w:hAnsi="仿宋" w:eastAsia="仿宋" w:cs="仿宋"/>
          <w:color w:val="000000" w:themeColor="text1"/>
          <w:highlight w:val="none"/>
          <w14:textFill>
            <w14:solidFill>
              <w14:schemeClr w14:val="tx1"/>
            </w14:solidFill>
          </w14:textFill>
        </w:rPr>
      </w:pPr>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102" w:name="_Toc519111263"/>
      <w:bookmarkStart w:id="103" w:name="_Toc256000007"/>
      <w:bookmarkStart w:id="104" w:name="_Toc21134"/>
      <w:bookmarkStart w:id="105" w:name="_Toc21816"/>
      <w:bookmarkStart w:id="106" w:name="_Toc256000020"/>
      <w:bookmarkStart w:id="107" w:name="_Toc21599"/>
      <w:bookmarkStart w:id="108" w:name="_Toc16048"/>
      <w:bookmarkStart w:id="109" w:name="_Toc256000021"/>
      <w:bookmarkStart w:id="110" w:name="_Toc23697"/>
      <w:bookmarkStart w:id="111" w:name="_Toc256000008"/>
      <w:bookmarkStart w:id="112" w:name="_Toc519111264"/>
      <w:bookmarkStart w:id="113" w:name="_Toc13942"/>
      <w:r>
        <w:rPr>
          <w:rFonts w:hint="eastAsia" w:ascii="仿宋" w:hAnsi="仿宋" w:eastAsia="仿宋" w:cs="仿宋"/>
          <w:color w:val="000000" w:themeColor="text1"/>
          <w:sz w:val="24"/>
          <w:szCs w:val="24"/>
          <w:highlight w:val="none"/>
          <w14:textFill>
            <w14:solidFill>
              <w14:schemeClr w14:val="tx1"/>
            </w14:solidFill>
          </w14:textFill>
        </w:rPr>
        <w:t>四、投标保证金</w:t>
      </w:r>
      <w:bookmarkEnd w:id="102"/>
      <w:bookmarkEnd w:id="103"/>
      <w:bookmarkEnd w:id="104"/>
      <w:bookmarkEnd w:id="105"/>
      <w:bookmarkEnd w:id="106"/>
      <w:bookmarkEnd w:id="107"/>
      <w:bookmarkEnd w:id="108"/>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14" w:name="_Toc11777"/>
      <w:r>
        <w:rPr>
          <w:rFonts w:hint="eastAsia" w:ascii="仿宋" w:hAnsi="仿宋" w:eastAsia="仿宋" w:cs="仿宋"/>
          <w:b/>
          <w:color w:val="000000" w:themeColor="text1"/>
          <w:sz w:val="24"/>
          <w:highlight w:val="none"/>
          <w14:textFill>
            <w14:solidFill>
              <w14:schemeClr w14:val="tx1"/>
            </w14:solidFill>
          </w14:textFill>
        </w:rPr>
        <w:t>16.投标保证金</w:t>
      </w:r>
      <w:bookmarkEnd w:id="114"/>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16.1投标人应按照招标文件第二部分“投标人须知前附表”中第</w:t>
      </w:r>
      <w:r>
        <w:rPr>
          <w:rFonts w:hint="eastAsia" w:ascii="仿宋" w:hAnsi="仿宋" w:eastAsia="仿宋" w:cs="仿宋"/>
          <w:color w:val="000000" w:themeColor="text1"/>
          <w:sz w:val="24"/>
          <w:highlight w:val="none"/>
          <w:lang w:val="en-US" w:eastAsia="zh-CN"/>
          <w14:textFill>
            <w14:solidFill>
              <w14:schemeClr w14:val="tx1"/>
            </w14:solidFill>
          </w14:textFill>
        </w:rPr>
        <w:t>13</w:t>
      </w:r>
      <w:r>
        <w:rPr>
          <w:rFonts w:hint="eastAsia" w:ascii="仿宋" w:hAnsi="仿宋" w:eastAsia="仿宋" w:cs="仿宋"/>
          <w:color w:val="000000" w:themeColor="text1"/>
          <w:sz w:val="24"/>
          <w:highlight w:val="none"/>
          <w14:textFill>
            <w14:solidFill>
              <w14:schemeClr w14:val="tx1"/>
            </w14:solidFill>
          </w14:textFill>
        </w:rPr>
        <w:t>项的规定交纳。投标保证金须于到账截止时间前到帐，并经采购代理机构确认。</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15" w:name="_Toc10033"/>
      <w:r>
        <w:rPr>
          <w:rFonts w:hint="eastAsia" w:ascii="仿宋" w:hAnsi="仿宋" w:eastAsia="仿宋" w:cs="仿宋"/>
          <w:color w:val="000000" w:themeColor="text1"/>
          <w:sz w:val="24"/>
          <w:highlight w:val="none"/>
          <w14:textFill>
            <w14:solidFill>
              <w14:schemeClr w14:val="tx1"/>
            </w14:solidFill>
          </w14:textFill>
        </w:rPr>
        <w:t>16.2未按要求提交投标保证金的，将被视为无效投标。</w:t>
      </w:r>
      <w:bookmarkEnd w:id="115"/>
    </w:p>
    <w:p>
      <w:pPr>
        <w:pStyle w:val="104"/>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16.3未中标的投标人的投标保证金在中标通知书发出之日起5个工作日内退还；中标人的投标保证金将在交纳履约保证金并于合同生效后5个工作日内退还。</w:t>
      </w:r>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116" w:name="_Toc21695"/>
      <w:bookmarkStart w:id="117" w:name="_Toc6763"/>
      <w:r>
        <w:rPr>
          <w:rFonts w:hint="eastAsia" w:ascii="仿宋" w:hAnsi="仿宋" w:eastAsia="仿宋" w:cs="仿宋"/>
          <w:color w:val="000000" w:themeColor="text1"/>
          <w:sz w:val="24"/>
          <w:szCs w:val="24"/>
          <w:highlight w:val="none"/>
          <w14:textFill>
            <w14:solidFill>
              <w14:schemeClr w14:val="tx1"/>
            </w14:solidFill>
          </w14:textFill>
        </w:rPr>
        <w:t>五、投标文件的递交</w:t>
      </w:r>
      <w:bookmarkEnd w:id="109"/>
      <w:bookmarkEnd w:id="110"/>
      <w:bookmarkEnd w:id="111"/>
      <w:bookmarkEnd w:id="112"/>
      <w:bookmarkEnd w:id="113"/>
      <w:bookmarkEnd w:id="116"/>
      <w:bookmarkEnd w:id="117"/>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18" w:name="_Toc32726"/>
      <w:r>
        <w:rPr>
          <w:rFonts w:hint="eastAsia" w:ascii="仿宋" w:hAnsi="仿宋" w:eastAsia="仿宋" w:cs="仿宋"/>
          <w:b/>
          <w:color w:val="000000" w:themeColor="text1"/>
          <w:sz w:val="24"/>
          <w:highlight w:val="none"/>
          <w14:textFill>
            <w14:solidFill>
              <w14:schemeClr w14:val="tx1"/>
            </w14:solidFill>
          </w14:textFill>
        </w:rPr>
        <w:t>17.投标文件的密封和标记</w:t>
      </w:r>
      <w:bookmarkEnd w:id="118"/>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投标人应通过电子投标文件制作工具严格按招标文件要求及政府采购云平台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投标截止时间以政采云交易平台显示的时间为准，逾期系统将自动关闭，未完成上传的投标文件视为逾期送达，将被拒绝。</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19" w:name="_Toc18206"/>
      <w:r>
        <w:rPr>
          <w:rFonts w:hint="eastAsia" w:ascii="仿宋" w:hAnsi="仿宋" w:eastAsia="仿宋" w:cs="仿宋"/>
          <w:b/>
          <w:color w:val="000000" w:themeColor="text1"/>
          <w:sz w:val="24"/>
          <w:highlight w:val="none"/>
          <w14:textFill>
            <w14:solidFill>
              <w14:schemeClr w14:val="tx1"/>
            </w14:solidFill>
          </w14:textFill>
        </w:rPr>
        <w:t>18.投标文件的递交</w:t>
      </w:r>
      <w:bookmarkEnd w:id="119"/>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18.1投标人应当在招标文件要求提交投标文件的截止时间前网上投标，并将未加密的电子投标文件光盘密封送达指定开标地点。</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18.2在招标文件要求提交投标文件的截止时间之后送达的投标文件，为无效投标文件，采购代理机构将拒绝接收。</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20" w:name="_Toc11326"/>
      <w:r>
        <w:rPr>
          <w:rFonts w:hint="eastAsia" w:ascii="仿宋" w:hAnsi="仿宋" w:eastAsia="仿宋" w:cs="仿宋"/>
          <w:b/>
          <w:color w:val="000000" w:themeColor="text1"/>
          <w:sz w:val="24"/>
          <w:highlight w:val="none"/>
          <w14:textFill>
            <w14:solidFill>
              <w14:schemeClr w14:val="tx1"/>
            </w14:solidFill>
          </w14:textFill>
        </w:rPr>
        <w:t>19.投标文件的修改和撤回</w:t>
      </w:r>
      <w:bookmarkEnd w:id="120"/>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19.1投标人在递交投标文件后，可以修改或撤回其投标，但这种修改和撤回，必须在规定的投标截止时间前。在投标截止时间后，投标人不得要求修改或撤回其投标文件。</w:t>
      </w:r>
    </w:p>
    <w:p>
      <w:pPr>
        <w:pStyle w:val="104"/>
        <w:rPr>
          <w:rFonts w:hint="eastAsia" w:ascii="仿宋" w:hAnsi="仿宋" w:eastAsia="仿宋" w:cs="仿宋"/>
          <w:color w:val="000000" w:themeColor="text1"/>
          <w:highlight w:val="none"/>
          <w14:textFill>
            <w14:solidFill>
              <w14:schemeClr w14:val="tx1"/>
            </w14:solidFill>
          </w14:textFill>
        </w:rPr>
      </w:pPr>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121" w:name="_Toc22850"/>
      <w:bookmarkStart w:id="122" w:name="_Toc24123"/>
      <w:bookmarkStart w:id="123" w:name="_Toc519111265"/>
      <w:bookmarkStart w:id="124" w:name="_Toc28935"/>
      <w:bookmarkStart w:id="125" w:name="_Toc7265"/>
      <w:bookmarkStart w:id="126" w:name="_Toc256000009"/>
      <w:r>
        <w:rPr>
          <w:rFonts w:hint="eastAsia" w:ascii="仿宋" w:hAnsi="仿宋" w:eastAsia="仿宋" w:cs="仿宋"/>
          <w:color w:val="000000" w:themeColor="text1"/>
          <w:sz w:val="24"/>
          <w:szCs w:val="24"/>
          <w:highlight w:val="none"/>
          <w14:textFill>
            <w14:solidFill>
              <w14:schemeClr w14:val="tx1"/>
            </w14:solidFill>
          </w14:textFill>
        </w:rPr>
        <w:t>六、开标</w:t>
      </w:r>
      <w:bookmarkEnd w:id="121"/>
      <w:bookmarkEnd w:id="122"/>
      <w:bookmarkEnd w:id="123"/>
      <w:bookmarkEnd w:id="124"/>
      <w:bookmarkEnd w:id="125"/>
      <w:bookmarkEnd w:id="126"/>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27" w:name="_Toc15389"/>
      <w:r>
        <w:rPr>
          <w:rFonts w:hint="eastAsia" w:ascii="仿宋" w:hAnsi="仿宋" w:eastAsia="仿宋" w:cs="仿宋"/>
          <w:b/>
          <w:color w:val="000000" w:themeColor="text1"/>
          <w:sz w:val="24"/>
          <w:highlight w:val="none"/>
          <w14:textFill>
            <w14:solidFill>
              <w14:schemeClr w14:val="tx1"/>
            </w14:solidFill>
          </w14:textFill>
        </w:rPr>
        <w:t>20.开标（远程不见面）</w:t>
      </w:r>
      <w:bookmarkEnd w:id="127"/>
    </w:p>
    <w:p>
      <w:pPr>
        <w:pStyle w:val="14"/>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20.1招标人在规定的投标截止时间（开标时间）和投标人须知前附表规定的地点开标。投标人的法定代表人或其委托代理人无需到达开标现场，仅需在任意地点通过政府采购云平台不见面开标系统，使用CA密钥完成远程解密、提疑澄清、开标唱标、结果公布等交互环节。</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20.2开标前，采购代理机构将会同监督人员或公证人员进行验标（检查网上招标系统正常与否，检查投标人保证金交纳情况），确认无误后开标。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20.3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28" w:name="_Toc24686"/>
      <w:r>
        <w:rPr>
          <w:rFonts w:hint="eastAsia" w:ascii="仿宋" w:hAnsi="仿宋" w:eastAsia="仿宋" w:cs="仿宋"/>
          <w:color w:val="000000" w:themeColor="text1"/>
          <w:sz w:val="24"/>
          <w:highlight w:val="none"/>
          <w14:textFill>
            <w14:solidFill>
              <w14:schemeClr w14:val="tx1"/>
            </w14:solidFill>
          </w14:textFill>
        </w:rPr>
        <w:t>20.4公证员对开标过程进行全程公证。</w:t>
      </w:r>
      <w:bookmarkEnd w:id="128"/>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129" w:name="_Toc8996"/>
      <w:bookmarkStart w:id="130" w:name="_Toc22246"/>
      <w:bookmarkStart w:id="131" w:name="_Toc256000023"/>
      <w:bookmarkStart w:id="132" w:name="_Toc256000010"/>
      <w:bookmarkStart w:id="133" w:name="_Toc519111266"/>
      <w:bookmarkStart w:id="134" w:name="_Toc4100"/>
      <w:bookmarkStart w:id="135" w:name="_Toc11554"/>
      <w:r>
        <w:rPr>
          <w:rFonts w:hint="eastAsia" w:ascii="仿宋" w:hAnsi="仿宋" w:eastAsia="仿宋" w:cs="仿宋"/>
          <w:color w:val="000000" w:themeColor="text1"/>
          <w:sz w:val="24"/>
          <w:szCs w:val="24"/>
          <w:highlight w:val="none"/>
          <w14:textFill>
            <w14:solidFill>
              <w14:schemeClr w14:val="tx1"/>
            </w14:solidFill>
          </w14:textFill>
        </w:rPr>
        <w:t>七、评标步骤和要求</w:t>
      </w:r>
      <w:bookmarkEnd w:id="129"/>
      <w:bookmarkEnd w:id="130"/>
      <w:bookmarkEnd w:id="131"/>
      <w:bookmarkEnd w:id="132"/>
      <w:bookmarkEnd w:id="133"/>
      <w:bookmarkEnd w:id="134"/>
      <w:bookmarkEnd w:id="135"/>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6" w:name="_Toc3459"/>
      <w:r>
        <w:rPr>
          <w:rFonts w:hint="eastAsia" w:ascii="仿宋" w:hAnsi="仿宋" w:eastAsia="仿宋" w:cs="仿宋"/>
          <w:b/>
          <w:color w:val="000000" w:themeColor="text1"/>
          <w:sz w:val="24"/>
          <w:highlight w:val="none"/>
          <w14:textFill>
            <w14:solidFill>
              <w14:schemeClr w14:val="tx1"/>
            </w14:solidFill>
          </w14:textFill>
        </w:rPr>
        <w:t>21.组建评标委员会</w:t>
      </w:r>
      <w:bookmarkEnd w:id="136"/>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21.2参与过本项目的论证专家不得作为评标专家参加评标，采购人不得以专家身份参与评标。</w:t>
      </w:r>
    </w:p>
    <w:p>
      <w:pPr>
        <w:pStyle w:val="104"/>
        <w:spacing w:line="360" w:lineRule="auto"/>
        <w:rPr>
          <w:rFonts w:hint="eastAsia" w:ascii="仿宋" w:hAnsi="仿宋" w:eastAsia="仿宋" w:cs="仿宋"/>
          <w:b/>
          <w:bCs/>
          <w:color w:val="000000" w:themeColor="text1"/>
          <w:sz w:val="22"/>
          <w:szCs w:val="22"/>
          <w:highlight w:val="none"/>
          <w14:textFill>
            <w14:solidFill>
              <w14:schemeClr w14:val="tx1"/>
            </w14:solidFill>
          </w14:textFill>
        </w:rPr>
      </w:pPr>
      <w:bookmarkStart w:id="137" w:name="_Toc32407"/>
      <w:r>
        <w:rPr>
          <w:rFonts w:hint="eastAsia" w:ascii="仿宋" w:hAnsi="仿宋" w:eastAsia="仿宋" w:cs="仿宋"/>
          <w:b/>
          <w:bCs/>
          <w:color w:val="000000" w:themeColor="text1"/>
          <w:sz w:val="22"/>
          <w:szCs w:val="22"/>
          <w:highlight w:val="none"/>
          <w14:textFill>
            <w14:solidFill>
              <w14:schemeClr w14:val="tx1"/>
            </w14:solidFill>
          </w14:textFill>
        </w:rPr>
        <w:t>22、资格审查</w:t>
      </w:r>
      <w:bookmarkEnd w:id="137"/>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22.1公开招标采购项目开标结束后，采购人或者采购代理机构应当依法对投标人的资格进行审查。合格投标人不足3家的，不得评标。</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38" w:name="_Toc932"/>
      <w:r>
        <w:rPr>
          <w:rFonts w:hint="eastAsia" w:ascii="仿宋" w:hAnsi="仿宋" w:eastAsia="仿宋" w:cs="仿宋"/>
          <w:b/>
          <w:color w:val="000000" w:themeColor="text1"/>
          <w:sz w:val="24"/>
          <w:highlight w:val="none"/>
          <w14:textFill>
            <w14:solidFill>
              <w14:schemeClr w14:val="tx1"/>
            </w14:solidFill>
          </w14:textFill>
        </w:rPr>
        <w:t>23.初步评审</w:t>
      </w:r>
      <w:bookmarkEnd w:id="138"/>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23.1评标委员会审查投标文件是否符合招标文件的基本要求：内容是否完整、资格证明文件是否合格、文件签署是否齐全、有无计算错误等。</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39" w:name="_Toc32460"/>
      <w:r>
        <w:rPr>
          <w:rFonts w:hint="eastAsia" w:ascii="仿宋" w:hAnsi="仿宋" w:eastAsia="仿宋" w:cs="仿宋"/>
          <w:color w:val="000000" w:themeColor="text1"/>
          <w:sz w:val="24"/>
          <w:highlight w:val="none"/>
          <w14:textFill>
            <w14:solidFill>
              <w14:schemeClr w14:val="tx1"/>
            </w14:solidFill>
          </w14:textFill>
        </w:rPr>
        <w:t>23.2评标委员会审查投标文件是否实质上响应招标文件的要求。</w:t>
      </w:r>
      <w:bookmarkEnd w:id="139"/>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1）实质上响应的投标是指与招标文件上的条款、条件和规格相符，没有重大偏离或保留，否则将视为无效投标。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A、招标文件要求的资格审查资料的证明文件不全或无效的；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B、投标文件未按招标文件的规定签章的；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C、未按投标文件份数要求提交投标文件的；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D、招标文件带“</w:t>
      </w:r>
      <w:r>
        <w:rPr>
          <w:rFonts w:hint="eastAsia"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”号部分任意一款不满足要求的；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E、报价超过项目预算或经评标委员会认定低于成本的；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F、投标有效期不足的；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G、联合体投标文件未附联合体投标协议书的；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H、不符合招标文件中有关分包规定的；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I、有串通投标或弄虚作假或有其他违法行为的；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J、投标人递交的电子投标文件（加密电子投标文件）无法满足正常开标、评标使用功能的；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K、投标人名称或组织结构与领取采购文件时不一致且无有效变更证明的；</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L、不符合招标文件中规定的其他实质性要求。</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23.4初步评审中，对明显的文字和计算错误按下述原则处理，若出现相互矛盾之处，应以排列在先的原则为准优先处理：</w:t>
      </w:r>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1）投标文件中的开标一览表与明细表内容不一致的，以开标一览表为准。</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2）如果以文字表示的数据与数字表示的有差别，以文字为准修正数字。如果大写金额和小写金额不一致的，以大写金额为准；</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3）如果单价乘以数量不等于总价，以单价为准修正总价，但单价金额小数点有明显错位的，应以总价为准，并修改单价。如果明细价格相加不等于汇总价格，以明细价格为准。</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4）调整后的数据对投标人具有约束力，投标人不同意以上修正，其投标将被拒绝。</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23.5评标委员会对投标文件的判定，只依据投标文件内容本身，不依据其他外来证明。</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40" w:name="_Toc29913"/>
      <w:r>
        <w:rPr>
          <w:rFonts w:hint="eastAsia" w:ascii="仿宋" w:hAnsi="仿宋" w:eastAsia="仿宋" w:cs="仿宋"/>
          <w:b/>
          <w:color w:val="000000" w:themeColor="text1"/>
          <w:sz w:val="24"/>
          <w:highlight w:val="none"/>
          <w14:textFill>
            <w14:solidFill>
              <w14:schemeClr w14:val="tx1"/>
            </w14:solidFill>
          </w14:textFill>
        </w:rPr>
        <w:t>24.投标的澄清</w:t>
      </w:r>
      <w:bookmarkEnd w:id="140"/>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24.4公开招标采购项目开标结束后，采购人或者</w:t>
      </w:r>
      <w:r>
        <w:rPr>
          <w:rFonts w:hint="eastAsia" w:ascii="仿宋" w:hAnsi="仿宋" w:eastAsia="仿宋" w:cs="仿宋"/>
          <w:color w:val="000000" w:themeColor="text1"/>
          <w:sz w:val="24"/>
          <w:highlight w:val="none"/>
          <w:lang w:val="en-US" w:eastAsia="zh-CN"/>
          <w14:textFill>
            <w14:solidFill>
              <w14:schemeClr w14:val="tx1"/>
            </w14:solidFill>
          </w14:textFill>
        </w:rPr>
        <w:t>评审小组</w:t>
      </w:r>
      <w:r>
        <w:rPr>
          <w:rFonts w:hint="eastAsia" w:ascii="仿宋" w:hAnsi="仿宋" w:eastAsia="仿宋" w:cs="仿宋"/>
          <w:color w:val="000000" w:themeColor="text1"/>
          <w:sz w:val="24"/>
          <w:highlight w:val="none"/>
          <w14:textFill>
            <w14:solidFill>
              <w14:schemeClr w14:val="tx1"/>
            </w14:solidFill>
          </w14:textFill>
        </w:rPr>
        <w:t>应当依法对投标人的资格进行审查。合格投标人不足3家的，不得评标。</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41" w:name="_Toc2263"/>
      <w:r>
        <w:rPr>
          <w:rFonts w:hint="eastAsia" w:ascii="仿宋" w:hAnsi="仿宋" w:eastAsia="仿宋" w:cs="仿宋"/>
          <w:b/>
          <w:color w:val="000000" w:themeColor="text1"/>
          <w:sz w:val="24"/>
          <w:highlight w:val="none"/>
          <w14:textFill>
            <w14:solidFill>
              <w14:schemeClr w14:val="tx1"/>
            </w14:solidFill>
          </w14:textFill>
        </w:rPr>
        <w:t>25.详细评审</w:t>
      </w:r>
      <w:bookmarkEnd w:id="141"/>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25.1评标委员会只对实质上响应招标文件的投标进行评价和比较；评审应严格按照招标文件的要求进行。具体要求等详见招标文件第五部分“评审方法”。</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42" w:name="_Toc9309"/>
      <w:r>
        <w:rPr>
          <w:rFonts w:hint="eastAsia" w:ascii="仿宋" w:hAnsi="仿宋" w:eastAsia="仿宋" w:cs="仿宋"/>
          <w:b/>
          <w:color w:val="000000" w:themeColor="text1"/>
          <w:sz w:val="24"/>
          <w:highlight w:val="none"/>
          <w14:textFill>
            <w14:solidFill>
              <w14:schemeClr w14:val="tx1"/>
            </w14:solidFill>
          </w14:textFill>
        </w:rPr>
        <w:t>26.确定中标人</w:t>
      </w:r>
      <w:bookmarkEnd w:id="142"/>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26.1使用综合评分法的采购项目，</w:t>
      </w:r>
      <w:r>
        <w:rPr>
          <w:rFonts w:hint="eastAsia" w:ascii="仿宋" w:hAnsi="仿宋" w:eastAsia="仿宋" w:cs="仿宋"/>
          <w:color w:val="000000" w:themeColor="text1"/>
          <w:kern w:val="0"/>
          <w:sz w:val="24"/>
          <w:highlight w:val="none"/>
          <w14:textFill>
            <w14:solidFill>
              <w14:schemeClr w14:val="tx1"/>
            </w14:solidFill>
          </w14:textFill>
        </w:rPr>
        <w:t>评标结果按评审后得分由高到低顺序排列，评标委员会推荐得分最高者为第一中标候选人。得分相同的，按投标报价由低到高顺序排列，评标委员会推荐报价得分最高者为第一中标候选人。得分且投标报价相同的，则由评标委员会按照少数服从多数原则投票表决，推荐出第一中标候选人；评标委员会推荐的中标候选人不少于3人。</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43" w:name="_Toc23933"/>
      <w:r>
        <w:rPr>
          <w:rFonts w:hint="eastAsia" w:ascii="仿宋" w:hAnsi="仿宋" w:eastAsia="仿宋" w:cs="仿宋"/>
          <w:color w:val="000000" w:themeColor="text1"/>
          <w:sz w:val="24"/>
          <w:highlight w:val="none"/>
          <w14:textFill>
            <w14:solidFill>
              <w14:schemeClr w14:val="tx1"/>
            </w14:solidFill>
          </w14:textFill>
        </w:rPr>
        <w:t>26.2招标人根据评审结果及招标文件的规定确定中标人。</w:t>
      </w:r>
      <w:bookmarkEnd w:id="143"/>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44" w:name="_Toc6260"/>
      <w:r>
        <w:rPr>
          <w:rFonts w:hint="eastAsia" w:ascii="仿宋" w:hAnsi="仿宋" w:eastAsia="仿宋" w:cs="仿宋"/>
          <w:b/>
          <w:color w:val="000000" w:themeColor="text1"/>
          <w:sz w:val="24"/>
          <w:highlight w:val="none"/>
          <w14:textFill>
            <w14:solidFill>
              <w14:schemeClr w14:val="tx1"/>
            </w14:solidFill>
          </w14:textFill>
        </w:rPr>
        <w:t>27.评标过程要求</w:t>
      </w:r>
      <w:bookmarkEnd w:id="144"/>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27.1开标之后，直到签订合同止，凡是属于审查、澄清、评价和比较投标的有关资料以及定标意向等，均不向投标人或者其他与评标无关的人员透露。</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27.2在确定中标人之前，投标人试图在投标文件审查、澄清、比较和评标时对评标委员会、采购人和采购代理机构施加任何影响都可能导致其投标无效。</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45" w:name="_Toc22591"/>
      <w:r>
        <w:rPr>
          <w:rFonts w:hint="eastAsia" w:ascii="仿宋" w:hAnsi="仿宋" w:eastAsia="仿宋" w:cs="仿宋"/>
          <w:color w:val="000000" w:themeColor="text1"/>
          <w:sz w:val="24"/>
          <w:highlight w:val="none"/>
          <w14:textFill>
            <w14:solidFill>
              <w14:schemeClr w14:val="tx1"/>
            </w14:solidFill>
          </w14:textFill>
        </w:rPr>
        <w:t>27.3电子招投标的应急措施</w:t>
      </w:r>
      <w:bookmarkEnd w:id="145"/>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27.3.1电子开标、评标如出现下列原因，导致系统无法正常运行或无法正常评标时，应采取应急措施。</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（1）系统服务器发生故障，无法访问或无法使用系统；</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（2）系统的软件或数据库出现错误，不能进行正常操作；</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（3）系统发现有安全漏洞，有潜在的泄密危险；</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（4）病毒发作或受到外来病毒的攻击；</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（5）出现其他不可抗拒的客观原因造成开评标系统无法正常使用。</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出现上述情况时，应对未开标的暂停开标。已在系统内开标、评标的立即停止。采取应急措施时，必须对原有资料及信息作出妥善保密处理。</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27.3.2因系统原因导致投标人均无法解密电子投标文件时，招标人可以要求在开标现场直接导入投标人的未加密的电子投标文件进行开标、评标。</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46" w:name="_Toc7100"/>
      <w:r>
        <w:rPr>
          <w:rFonts w:hint="eastAsia" w:ascii="仿宋" w:hAnsi="仿宋" w:eastAsia="仿宋" w:cs="仿宋"/>
          <w:b/>
          <w:color w:val="000000" w:themeColor="text1"/>
          <w:sz w:val="24"/>
          <w:highlight w:val="none"/>
          <w14:textFill>
            <w14:solidFill>
              <w14:schemeClr w14:val="tx1"/>
            </w14:solidFill>
          </w14:textFill>
        </w:rPr>
        <w:t>28.投标人瑕疵滞后发现的处理规则</w:t>
      </w:r>
      <w:bookmarkEnd w:id="146"/>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47" w:name="_Toc2521"/>
      <w:r>
        <w:rPr>
          <w:rFonts w:hint="eastAsia" w:ascii="仿宋" w:hAnsi="仿宋" w:eastAsia="仿宋" w:cs="仿宋"/>
          <w:b/>
          <w:color w:val="000000" w:themeColor="text1"/>
          <w:sz w:val="24"/>
          <w:highlight w:val="none"/>
          <w14:textFill>
            <w14:solidFill>
              <w14:schemeClr w14:val="tx1"/>
            </w14:solidFill>
          </w14:textFill>
        </w:rPr>
        <w:t>29.采购项目废标</w:t>
      </w:r>
      <w:bookmarkEnd w:id="147"/>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29.1在评标过程中，评标委员会发现有下列情形之一的，应对采购项目予以废标：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1）符合专业条件的供应商或者对招标文件作实质响应的供应商数量不足，导致进入详细评审、打分阶段的供应商不足3家的；</w:t>
      </w:r>
    </w:p>
    <w:p>
      <w:pPr>
        <w:pStyle w:val="104"/>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2）投标人的报价均超过了采购预算；</w:t>
      </w:r>
    </w:p>
    <w:p>
      <w:pPr>
        <w:pStyle w:val="104"/>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3）出现影响采购公正的违法、违规行为的；</w:t>
      </w:r>
    </w:p>
    <w:p>
      <w:pPr>
        <w:pStyle w:val="104"/>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4）因重大变故，采购任务取消的。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48" w:name="_Toc4660"/>
      <w:r>
        <w:rPr>
          <w:rFonts w:hint="eastAsia" w:ascii="仿宋" w:hAnsi="仿宋" w:eastAsia="仿宋" w:cs="仿宋"/>
          <w:color w:val="000000" w:themeColor="text1"/>
          <w:sz w:val="24"/>
          <w:highlight w:val="none"/>
          <w14:textFill>
            <w14:solidFill>
              <w14:schemeClr w14:val="tx1"/>
            </w14:solidFill>
          </w14:textFill>
        </w:rPr>
        <w:t>29.2投标人存在下列情况之一的,投标无效；</w:t>
      </w:r>
      <w:bookmarkEnd w:id="148"/>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(一)未按照招标文件的规定提交投标保证金的；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(二)投标文件未按招标文件要求签署、盖章的；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(三)不具备招标文件中规定的资格要求的；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(四)报价超过招标文件中规定的预算金额或者最高限价的；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(五)投标文件含有采购人不能接受的附加条件的；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(六)法律、法规和招标文件规定的其他无效情形；</w:t>
      </w:r>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149" w:name="_Toc256000011"/>
      <w:bookmarkStart w:id="150" w:name="_Toc31825"/>
      <w:bookmarkStart w:id="151" w:name="_Toc31952"/>
      <w:bookmarkStart w:id="152" w:name="_Toc256000024"/>
      <w:bookmarkStart w:id="153" w:name="_Toc519111267"/>
      <w:bookmarkStart w:id="154" w:name="_Toc7339"/>
      <w:bookmarkStart w:id="155" w:name="_Toc19387"/>
      <w:r>
        <w:rPr>
          <w:rFonts w:hint="eastAsia" w:ascii="仿宋" w:hAnsi="仿宋" w:eastAsia="仿宋" w:cs="仿宋"/>
          <w:color w:val="000000" w:themeColor="text1"/>
          <w:sz w:val="24"/>
          <w:szCs w:val="24"/>
          <w:highlight w:val="none"/>
          <w14:textFill>
            <w14:solidFill>
              <w14:schemeClr w14:val="tx1"/>
            </w14:solidFill>
          </w14:textFill>
        </w:rPr>
        <w:t>八、履约保证金</w:t>
      </w:r>
      <w:bookmarkEnd w:id="149"/>
      <w:bookmarkEnd w:id="150"/>
      <w:bookmarkEnd w:id="151"/>
      <w:bookmarkEnd w:id="152"/>
      <w:bookmarkEnd w:id="153"/>
      <w:bookmarkEnd w:id="154"/>
      <w:bookmarkEnd w:id="155"/>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56" w:name="_Toc1873"/>
      <w:r>
        <w:rPr>
          <w:rFonts w:hint="eastAsia" w:ascii="仿宋" w:hAnsi="仿宋" w:eastAsia="仿宋" w:cs="仿宋"/>
          <w:b/>
          <w:color w:val="000000" w:themeColor="text1"/>
          <w:sz w:val="24"/>
          <w:highlight w:val="none"/>
          <w14:textFill>
            <w14:solidFill>
              <w14:schemeClr w14:val="tx1"/>
            </w14:solidFill>
          </w14:textFill>
        </w:rPr>
        <w:t>30.履约保证金</w:t>
      </w:r>
      <w:bookmarkEnd w:id="156"/>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30.1履约保证金按照招标文件第二部分“投标人须知前附表”中第</w:t>
      </w:r>
      <w:r>
        <w:rPr>
          <w:rFonts w:hint="eastAsia" w:ascii="仿宋" w:hAnsi="仿宋" w:eastAsia="仿宋" w:cs="仿宋"/>
          <w:color w:val="000000" w:themeColor="text1"/>
          <w:sz w:val="24"/>
          <w:highlight w:val="none"/>
          <w:lang w:val="en-US" w:eastAsia="zh-CN"/>
          <w14:textFill>
            <w14:solidFill>
              <w14:schemeClr w14:val="tx1"/>
            </w14:solidFill>
          </w14:textFill>
        </w:rPr>
        <w:t>22</w:t>
      </w:r>
      <w:r>
        <w:rPr>
          <w:rFonts w:hint="eastAsia" w:ascii="仿宋" w:hAnsi="仿宋" w:eastAsia="仿宋" w:cs="仿宋"/>
          <w:color w:val="000000" w:themeColor="text1"/>
          <w:sz w:val="24"/>
          <w:highlight w:val="none"/>
          <w14:textFill>
            <w14:solidFill>
              <w14:schemeClr w14:val="tx1"/>
            </w14:solidFill>
          </w14:textFill>
        </w:rPr>
        <w:t>项规定，在签订合同前交纳。</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57" w:name="_Toc15423"/>
      <w:r>
        <w:rPr>
          <w:rFonts w:hint="eastAsia" w:ascii="仿宋" w:hAnsi="仿宋" w:eastAsia="仿宋" w:cs="仿宋"/>
          <w:color w:val="000000" w:themeColor="text1"/>
          <w:sz w:val="24"/>
          <w:highlight w:val="none"/>
          <w14:textFill>
            <w14:solidFill>
              <w14:schemeClr w14:val="tx1"/>
            </w14:solidFill>
          </w14:textFill>
        </w:rPr>
        <w:t>30.2中标人在中标公告发布后及时足额交纳履约保证金。</w:t>
      </w:r>
      <w:bookmarkEnd w:id="157"/>
    </w:p>
    <w:p>
      <w:pPr>
        <w:pStyle w:val="104"/>
        <w:rPr>
          <w:rFonts w:hint="eastAsia" w:ascii="仿宋" w:hAnsi="仿宋" w:eastAsia="仿宋" w:cs="仿宋"/>
          <w:color w:val="000000" w:themeColor="text1"/>
          <w:highlight w:val="none"/>
          <w14:textFill>
            <w14:solidFill>
              <w14:schemeClr w14:val="tx1"/>
            </w14:solidFill>
          </w14:textFill>
        </w:rPr>
      </w:pPr>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158" w:name="_Toc519111268"/>
      <w:bookmarkStart w:id="159" w:name="_Toc256000025"/>
      <w:bookmarkStart w:id="160" w:name="_Toc9281"/>
      <w:bookmarkStart w:id="161" w:name="_Toc12649"/>
      <w:bookmarkStart w:id="162" w:name="_Toc933"/>
      <w:bookmarkStart w:id="163" w:name="_Toc17876"/>
      <w:r>
        <w:rPr>
          <w:rFonts w:hint="eastAsia" w:ascii="仿宋" w:hAnsi="仿宋" w:eastAsia="仿宋" w:cs="仿宋"/>
          <w:color w:val="000000" w:themeColor="text1"/>
          <w:sz w:val="24"/>
          <w:szCs w:val="24"/>
          <w:highlight w:val="none"/>
          <w14:textFill>
            <w14:solidFill>
              <w14:schemeClr w14:val="tx1"/>
            </w14:solidFill>
          </w14:textFill>
        </w:rPr>
        <w:t>九、代理服务费</w:t>
      </w:r>
      <w:bookmarkEnd w:id="158"/>
      <w:bookmarkEnd w:id="159"/>
      <w:bookmarkEnd w:id="160"/>
      <w:bookmarkEnd w:id="161"/>
      <w:bookmarkEnd w:id="162"/>
      <w:bookmarkEnd w:id="163"/>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64" w:name="_Toc20911"/>
      <w:r>
        <w:rPr>
          <w:rFonts w:hint="eastAsia" w:ascii="仿宋" w:hAnsi="仿宋" w:eastAsia="仿宋" w:cs="仿宋"/>
          <w:b/>
          <w:color w:val="000000" w:themeColor="text1"/>
          <w:sz w:val="24"/>
          <w:highlight w:val="none"/>
          <w14:textFill>
            <w14:solidFill>
              <w14:schemeClr w14:val="tx1"/>
            </w14:solidFill>
          </w14:textFill>
        </w:rPr>
        <w:t>31.代理服务费</w:t>
      </w:r>
      <w:bookmarkEnd w:id="164"/>
    </w:p>
    <w:p>
      <w:pPr>
        <w:pStyle w:val="104"/>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31.1代理服务费按照招标文件第二部分“投标人须知前附表”中第</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项规定由中标人交纳，请投标人在测算投标报价时充分考虑这一因素。</w:t>
      </w:r>
    </w:p>
    <w:p>
      <w:pPr>
        <w:pStyle w:val="104"/>
        <w:rPr>
          <w:rFonts w:hint="eastAsia" w:ascii="仿宋" w:hAnsi="仿宋" w:eastAsia="仿宋" w:cs="仿宋"/>
          <w:color w:val="000000" w:themeColor="text1"/>
          <w:highlight w:val="none"/>
          <w14:textFill>
            <w14:solidFill>
              <w14:schemeClr w14:val="tx1"/>
            </w14:solidFill>
          </w14:textFill>
        </w:rPr>
      </w:pPr>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165" w:name="_Toc16705"/>
      <w:bookmarkStart w:id="166" w:name="_Toc256000026"/>
      <w:bookmarkStart w:id="167" w:name="_Toc519111269"/>
      <w:bookmarkStart w:id="168" w:name="_Toc3864"/>
      <w:bookmarkStart w:id="169" w:name="_Toc256000013"/>
      <w:bookmarkStart w:id="170" w:name="_Toc25287"/>
      <w:bookmarkStart w:id="171" w:name="_Toc3904"/>
      <w:r>
        <w:rPr>
          <w:rFonts w:hint="eastAsia" w:ascii="仿宋" w:hAnsi="仿宋" w:eastAsia="仿宋" w:cs="仿宋"/>
          <w:color w:val="000000" w:themeColor="text1"/>
          <w:sz w:val="24"/>
          <w:szCs w:val="24"/>
          <w:highlight w:val="none"/>
          <w14:textFill>
            <w14:solidFill>
              <w14:schemeClr w14:val="tx1"/>
            </w14:solidFill>
          </w14:textFill>
        </w:rPr>
        <w:t>十、签订、审核合同</w:t>
      </w:r>
      <w:bookmarkEnd w:id="165"/>
      <w:bookmarkEnd w:id="166"/>
      <w:bookmarkEnd w:id="167"/>
      <w:bookmarkEnd w:id="168"/>
      <w:bookmarkEnd w:id="169"/>
      <w:bookmarkEnd w:id="170"/>
      <w:bookmarkEnd w:id="171"/>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72" w:name="_Toc25174"/>
      <w:r>
        <w:rPr>
          <w:rFonts w:hint="eastAsia" w:ascii="仿宋" w:hAnsi="仿宋" w:eastAsia="仿宋" w:cs="仿宋"/>
          <w:b/>
          <w:color w:val="000000" w:themeColor="text1"/>
          <w:sz w:val="24"/>
          <w:highlight w:val="none"/>
          <w14:textFill>
            <w14:solidFill>
              <w14:schemeClr w14:val="tx1"/>
            </w14:solidFill>
          </w14:textFill>
        </w:rPr>
        <w:t>32.中标通知</w:t>
      </w:r>
      <w:bookmarkEnd w:id="172"/>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中标人确定后,采购代理机构将在相关政府采购信息发布媒体上发布中标公告，并以书面形式向中标人发出中标通知书，但该中标结果的有效性不依赖于未中标的投标人是否已经收到该通知。中标人应按照上述第</w:t>
      </w:r>
      <w:r>
        <w:rPr>
          <w:rFonts w:hint="eastAsia" w:ascii="仿宋" w:hAnsi="仿宋" w:eastAsia="仿宋" w:cs="仿宋"/>
          <w:color w:val="000000" w:themeColor="text1"/>
          <w:sz w:val="24"/>
          <w:highlight w:val="none"/>
          <w:lang w:val="en-US" w:eastAsia="zh-CN"/>
          <w14:textFill>
            <w14:solidFill>
              <w14:schemeClr w14:val="tx1"/>
            </w14:solidFill>
          </w14:textFill>
        </w:rPr>
        <w:t>20、22</w:t>
      </w:r>
      <w:r>
        <w:rPr>
          <w:rFonts w:hint="eastAsia" w:ascii="仿宋" w:hAnsi="仿宋" w:eastAsia="仿宋" w:cs="仿宋"/>
          <w:color w:val="000000" w:themeColor="text1"/>
          <w:sz w:val="24"/>
          <w:highlight w:val="none"/>
          <w14:textFill>
            <w14:solidFill>
              <w14:schemeClr w14:val="tx1"/>
            </w14:solidFill>
          </w14:textFill>
        </w:rPr>
        <w:t>条的规定交纳履约保证金、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32.2采购代理机构对未中标的投标人不作未中标原因的解释，但中标结果的有效性不以未中标的投标人是否收到相应的通知为前提。</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73" w:name="_Toc30758"/>
      <w:r>
        <w:rPr>
          <w:rFonts w:hint="eastAsia" w:ascii="仿宋" w:hAnsi="仿宋" w:eastAsia="仿宋" w:cs="仿宋"/>
          <w:color w:val="000000" w:themeColor="text1"/>
          <w:sz w:val="24"/>
          <w:highlight w:val="none"/>
          <w14:textFill>
            <w14:solidFill>
              <w14:schemeClr w14:val="tx1"/>
            </w14:solidFill>
          </w14:textFill>
        </w:rPr>
        <w:t>32.3中标通知书是合同的组成部分。</w:t>
      </w:r>
      <w:bookmarkEnd w:id="173"/>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74" w:name="_Toc12845"/>
      <w:r>
        <w:rPr>
          <w:rFonts w:hint="eastAsia" w:ascii="仿宋" w:hAnsi="仿宋" w:eastAsia="仿宋" w:cs="仿宋"/>
          <w:b/>
          <w:color w:val="000000" w:themeColor="text1"/>
          <w:sz w:val="24"/>
          <w:highlight w:val="none"/>
          <w14:textFill>
            <w14:solidFill>
              <w14:schemeClr w14:val="tx1"/>
            </w14:solidFill>
          </w14:textFill>
        </w:rPr>
        <w:t>33.签订合同</w:t>
      </w:r>
      <w:bookmarkEnd w:id="174"/>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33.1合同经采购方法务审核并经党委会审议后与中标人签订采购合同。</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33.2中标人须按照招标文件、投标文件及评标过程中的有关澄清、说明或者补正文件的内容与采购人签订合同。中标人不得再与采购人签订背离合同实质性内容的其他协议或声明。</w:t>
      </w:r>
    </w:p>
    <w:p>
      <w:pPr>
        <w:pStyle w:val="104"/>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33.4中标人一旦中标及签订合同后，不得转包，亦不得将合同全部及任何权利、义务向第三方转让。</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33.5中标人不履行合同的，采购人可在报经同级人民政府财政部门核准后，与排位在中标人之后的第一位中标候选供应商签订合同，以此类推；或在报经同级人民政府财政部门核准后重新组织采购。</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33.6违反32.1条、32.2条的规定，给对方造成损失的，应承担赔偿责任。</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75" w:name="_Toc22431"/>
      <w:r>
        <w:rPr>
          <w:rFonts w:hint="eastAsia" w:ascii="仿宋" w:hAnsi="仿宋" w:eastAsia="仿宋" w:cs="仿宋"/>
          <w:b/>
          <w:color w:val="000000" w:themeColor="text1"/>
          <w:sz w:val="24"/>
          <w:highlight w:val="none"/>
          <w14:textFill>
            <w14:solidFill>
              <w14:schemeClr w14:val="tx1"/>
            </w14:solidFill>
          </w14:textFill>
        </w:rPr>
        <w:t>34.审核合同</w:t>
      </w:r>
      <w:bookmarkEnd w:id="175"/>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34.1中标人持政府采购合同于签订合同之日起3个工作日内到财政部门进行备案留存。</w:t>
      </w:r>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176" w:name="_Toc23272"/>
      <w:bookmarkStart w:id="177" w:name="_Toc519111270"/>
      <w:bookmarkStart w:id="178" w:name="_Toc23208"/>
      <w:bookmarkStart w:id="179" w:name="_Toc13838"/>
      <w:bookmarkStart w:id="180" w:name="_Toc256000014"/>
      <w:bookmarkStart w:id="181" w:name="_Toc256000027"/>
      <w:bookmarkStart w:id="182" w:name="_Toc24120"/>
      <w:r>
        <w:rPr>
          <w:rFonts w:hint="eastAsia" w:ascii="仿宋" w:hAnsi="仿宋" w:eastAsia="仿宋" w:cs="仿宋"/>
          <w:color w:val="000000" w:themeColor="text1"/>
          <w:sz w:val="24"/>
          <w:szCs w:val="24"/>
          <w:highlight w:val="none"/>
          <w14:textFill>
            <w14:solidFill>
              <w14:schemeClr w14:val="tx1"/>
            </w14:solidFill>
          </w14:textFill>
        </w:rPr>
        <w:t>十一、处罚、询问和质疑</w:t>
      </w:r>
      <w:bookmarkEnd w:id="176"/>
      <w:bookmarkEnd w:id="177"/>
      <w:bookmarkEnd w:id="178"/>
      <w:bookmarkEnd w:id="179"/>
      <w:bookmarkEnd w:id="180"/>
      <w:bookmarkEnd w:id="181"/>
      <w:bookmarkEnd w:id="182"/>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83" w:name="_Toc27552"/>
      <w:r>
        <w:rPr>
          <w:rFonts w:hint="eastAsia" w:ascii="仿宋" w:hAnsi="仿宋" w:eastAsia="仿宋" w:cs="仿宋"/>
          <w:b/>
          <w:color w:val="000000" w:themeColor="text1"/>
          <w:sz w:val="24"/>
          <w:highlight w:val="none"/>
          <w14:textFill>
            <w14:solidFill>
              <w14:schemeClr w14:val="tx1"/>
            </w14:solidFill>
          </w14:textFill>
        </w:rPr>
        <w:t>35.处罚</w:t>
      </w:r>
      <w:bookmarkEnd w:id="183"/>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35.1发生下列情况之一，投标人的保证金不予退还；情节严重的将其列入不良记录名单。</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1）开标后在投标有效期内，投标人撤回其投标；</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2）中标后无正当理由不与采购人签订合同的；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3）中标人与采购人订立背离合同实质性内容的其他协议；</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4）将中标项目转让给他人，或者在投标文件中未说明，且未经采购代理机构同意，将中标项目分包给他人的；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5）存在串通投标行为的；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6）存在弄虚作假或提供虚假材料谋取中标的；</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7）投标人其他未按招标文件规定和合同约定履行义务的行为。</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84" w:name="_Toc18796"/>
      <w:r>
        <w:rPr>
          <w:rFonts w:hint="eastAsia" w:ascii="仿宋" w:hAnsi="仿宋" w:eastAsia="仿宋" w:cs="仿宋"/>
          <w:b/>
          <w:color w:val="000000" w:themeColor="text1"/>
          <w:sz w:val="24"/>
          <w:highlight w:val="none"/>
          <w14:textFill>
            <w14:solidFill>
              <w14:schemeClr w14:val="tx1"/>
            </w14:solidFill>
          </w14:textFill>
        </w:rPr>
        <w:t>36．询问</w:t>
      </w:r>
      <w:bookmarkEnd w:id="184"/>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36.1投标人对采购事项有疑问的，可以向采购人或采购代理机构提出询问。</w:t>
      </w:r>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85" w:name="_Toc8479"/>
      <w:r>
        <w:rPr>
          <w:rFonts w:hint="eastAsia" w:ascii="仿宋" w:hAnsi="仿宋" w:eastAsia="仿宋" w:cs="仿宋"/>
          <w:b/>
          <w:color w:val="000000" w:themeColor="text1"/>
          <w:sz w:val="24"/>
          <w:highlight w:val="none"/>
          <w14:textFill>
            <w14:solidFill>
              <w14:schemeClr w14:val="tx1"/>
            </w14:solidFill>
          </w14:textFill>
        </w:rPr>
        <w:t>37.投标人有权就招标事宜提出质疑</w:t>
      </w:r>
      <w:bookmarkEnd w:id="185"/>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37.1投标人认为招标文件、采购过程和中标结果使自已的权益受到损害的，可以在知道或者应知其权益受到损害之日起7个工作日内，以书面形式提出质疑。</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37.2质疑应当按照《中华人民共和国政府采购法》、《中华人民共和国政府采购法实施条例》、《政府采购质疑和投诉办法》等法律法规的相关规定，以书面形式向采购代理机构提出。</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37.4质疑人可以采取直接送达或者邮寄方式提交质疑书。采购代理机构收到质疑书后，对质疑书进行审查，对符合质疑条件的将办理签收手续，自签收质疑书之日起即为受理。</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37.5采购代理机构将在受理书面质疑后7个工作日内审查质疑事项，作出答复或相关处理决定，并以书面形式通知质疑人和其他相关供应商，但答复的内容不涉及商业秘密。</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37.6投标人进行虚假和恶意质疑的，采购代理机构将提请有关部门将其列入不良记录名单，在一至三年内禁止参加政府采购活动，并将处理决定在相关政府采购媒体上公布。</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37.7质疑人对答复不满意以及采购代理机构未在规定的时间内作出答复的，可以在答复期满后15个工作日内向财政部门投拆。</w:t>
      </w:r>
    </w:p>
    <w:p>
      <w:pPr>
        <w:pStyle w:val="104"/>
        <w:rPr>
          <w:rFonts w:hint="eastAsia" w:ascii="仿宋" w:hAnsi="仿宋" w:eastAsia="仿宋" w:cs="仿宋"/>
          <w:color w:val="000000" w:themeColor="text1"/>
          <w:highlight w:val="none"/>
          <w14:textFill>
            <w14:solidFill>
              <w14:schemeClr w14:val="tx1"/>
            </w14:solidFill>
          </w14:textFill>
        </w:rPr>
      </w:pPr>
    </w:p>
    <w:p>
      <w:pPr>
        <w:pStyle w:val="173"/>
        <w:numPr>
          <w:ilvl w:val="0"/>
          <w:numId w:val="0"/>
        </w:numPr>
        <w:rPr>
          <w:rFonts w:hint="eastAsia" w:ascii="仿宋" w:hAnsi="仿宋" w:eastAsia="仿宋" w:cs="仿宋"/>
          <w:color w:val="000000" w:themeColor="text1"/>
          <w:sz w:val="24"/>
          <w:szCs w:val="24"/>
          <w:highlight w:val="none"/>
          <w14:textFill>
            <w14:solidFill>
              <w14:schemeClr w14:val="tx1"/>
            </w14:solidFill>
          </w14:textFill>
        </w:rPr>
      </w:pPr>
      <w:bookmarkStart w:id="186" w:name="_Toc1514"/>
      <w:bookmarkStart w:id="187" w:name="_Toc24987"/>
      <w:bookmarkStart w:id="188" w:name="_Toc519111271"/>
      <w:bookmarkStart w:id="189" w:name="_Toc256000028"/>
      <w:bookmarkStart w:id="190" w:name="_Toc9204"/>
      <w:bookmarkStart w:id="191" w:name="_Toc5442"/>
      <w:bookmarkStart w:id="192" w:name="_Toc256000015"/>
      <w:r>
        <w:rPr>
          <w:rFonts w:hint="eastAsia" w:ascii="仿宋" w:hAnsi="仿宋" w:eastAsia="仿宋" w:cs="仿宋"/>
          <w:color w:val="000000" w:themeColor="text1"/>
          <w:sz w:val="24"/>
          <w:szCs w:val="24"/>
          <w:highlight w:val="none"/>
          <w14:textFill>
            <w14:solidFill>
              <w14:schemeClr w14:val="tx1"/>
            </w14:solidFill>
          </w14:textFill>
        </w:rPr>
        <w:t>十二、保密和披露</w:t>
      </w:r>
      <w:bookmarkEnd w:id="186"/>
      <w:bookmarkEnd w:id="187"/>
      <w:bookmarkEnd w:id="188"/>
      <w:bookmarkEnd w:id="189"/>
      <w:bookmarkEnd w:id="190"/>
      <w:bookmarkEnd w:id="191"/>
      <w:bookmarkEnd w:id="192"/>
    </w:p>
    <w:p>
      <w:pPr>
        <w:pStyle w:val="104"/>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193" w:name="_Toc9752"/>
      <w:r>
        <w:rPr>
          <w:rFonts w:hint="eastAsia" w:ascii="仿宋" w:hAnsi="仿宋" w:eastAsia="仿宋" w:cs="仿宋"/>
          <w:b/>
          <w:color w:val="000000" w:themeColor="text1"/>
          <w:sz w:val="24"/>
          <w:highlight w:val="none"/>
          <w14:textFill>
            <w14:solidFill>
              <w14:schemeClr w14:val="tx1"/>
            </w14:solidFill>
          </w14:textFill>
        </w:rPr>
        <w:t>38.保密和披露</w:t>
      </w:r>
      <w:bookmarkEnd w:id="193"/>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38.1投标人自领取招标文件之日起，须承担本招标项目保密义务，不得将因本次招标获得的信息向第</w:t>
      </w:r>
      <w:r>
        <w:rPr>
          <w:rFonts w:hint="eastAsia" w:ascii="仿宋" w:hAnsi="仿宋" w:eastAsia="仿宋" w:cs="仿宋"/>
          <w:color w:val="000000" w:themeColor="text1"/>
          <w:szCs w:val="22"/>
          <w:highlight w:val="none"/>
          <w14:textFill>
            <w14:solidFill>
              <w14:schemeClr w14:val="tx1"/>
            </w14:solidFill>
          </w14:textFill>
        </w:rPr>
        <w:t>三人外传。由采购人向投标</w:t>
      </w:r>
      <w:r>
        <w:rPr>
          <w:rFonts w:hint="eastAsia" w:ascii="仿宋" w:hAnsi="仿宋" w:eastAsia="仿宋" w:cs="仿宋"/>
          <w:color w:val="000000" w:themeColor="text1"/>
          <w:sz w:val="24"/>
          <w:highlight w:val="none"/>
          <w14:textFill>
            <w14:solidFill>
              <w14:schemeClr w14:val="tx1"/>
            </w14:solidFill>
          </w14:textFill>
        </w:rPr>
        <w:t>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38.2采购代理机构有权将投标人提供的所有资料向有关政府部门或评审标书的有关人员披露。</w:t>
      </w:r>
    </w:p>
    <w:p>
      <w:pPr>
        <w:pStyle w:val="10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165"/>
        <w:widowControl w:val="0"/>
        <w:topLinePunct/>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bookmarkEnd w:id="3"/>
    <w:bookmarkEnd w:id="43"/>
    <w:bookmarkEnd w:id="44"/>
    <w:p>
      <w:pPr>
        <w:pStyle w:val="2"/>
        <w:keepNext w:val="0"/>
        <w:keepLines w:val="0"/>
        <w:topLinePunct/>
        <w:spacing w:before="0" w:after="0" w:line="240" w:lineRule="auto"/>
        <w:rPr>
          <w:rFonts w:hint="eastAsia" w:ascii="仿宋" w:hAnsi="仿宋" w:eastAsia="仿宋" w:cs="仿宋"/>
          <w:color w:val="000000" w:themeColor="text1"/>
          <w:sz w:val="24"/>
          <w:szCs w:val="24"/>
          <w:highlight w:val="none"/>
          <w14:textFill>
            <w14:solidFill>
              <w14:schemeClr w14:val="tx1"/>
            </w14:solidFill>
          </w14:textFill>
        </w:rPr>
      </w:pPr>
      <w:bookmarkStart w:id="194" w:name="_Toc293736062"/>
      <w:bookmarkStart w:id="195" w:name="_Toc293736019"/>
      <w:bookmarkStart w:id="196" w:name="_Toc293739000"/>
      <w:bookmarkStart w:id="197" w:name="_Toc531075009"/>
      <w:bookmarkStart w:id="198" w:name="_Toc532543565"/>
      <w:bookmarkStart w:id="199" w:name="_Toc446599321"/>
      <w:bookmarkStart w:id="200" w:name="_Toc28752"/>
      <w:bookmarkStart w:id="201" w:name="_Toc446599322"/>
      <w:bookmarkStart w:id="202" w:name="_Toc293739001"/>
      <w:bookmarkStart w:id="203" w:name="_Toc293736020"/>
      <w:bookmarkStart w:id="204" w:name="_Toc293736063"/>
      <w:r>
        <w:rPr>
          <w:rFonts w:hint="eastAsia" w:ascii="仿宋" w:hAnsi="仿宋" w:eastAsia="仿宋" w:cs="仿宋"/>
          <w:color w:val="000000" w:themeColor="text1"/>
          <w:szCs w:val="20"/>
          <w:highlight w:val="none"/>
          <w14:textFill>
            <w14:solidFill>
              <w14:schemeClr w14:val="tx1"/>
            </w14:solidFill>
          </w14:textFill>
        </w:rPr>
        <w:br w:type="page"/>
      </w:r>
      <w:bookmarkStart w:id="205" w:name="_Toc9738"/>
      <w:bookmarkStart w:id="206" w:name="_Toc14866"/>
      <w:r>
        <w:rPr>
          <w:rFonts w:hint="eastAsia" w:ascii="仿宋" w:hAnsi="仿宋" w:eastAsia="仿宋" w:cs="仿宋"/>
          <w:color w:val="000000" w:themeColor="text1"/>
          <w:szCs w:val="20"/>
          <w:highlight w:val="none"/>
          <w14:textFill>
            <w14:solidFill>
              <w14:schemeClr w14:val="tx1"/>
            </w14:solidFill>
          </w14:textFill>
        </w:rPr>
        <w:t xml:space="preserve">第三章 </w:t>
      </w:r>
      <w:r>
        <w:rPr>
          <w:rFonts w:hint="eastAsia" w:ascii="仿宋" w:hAnsi="仿宋" w:eastAsia="仿宋" w:cs="仿宋"/>
          <w:color w:val="000000" w:themeColor="text1"/>
          <w:highlight w:val="none"/>
          <w14:textFill>
            <w14:solidFill>
              <w14:schemeClr w14:val="tx1"/>
            </w14:solidFill>
          </w14:textFill>
        </w:rPr>
        <w:t>采购</w:t>
      </w:r>
      <w:bookmarkEnd w:id="194"/>
      <w:bookmarkEnd w:id="195"/>
      <w:bookmarkEnd w:id="196"/>
      <w:bookmarkStart w:id="207" w:name="_Toc294515580"/>
      <w:r>
        <w:rPr>
          <w:rFonts w:hint="eastAsia" w:ascii="仿宋" w:hAnsi="仿宋" w:eastAsia="仿宋" w:cs="仿宋"/>
          <w:color w:val="000000" w:themeColor="text1"/>
          <w:highlight w:val="none"/>
          <w14:textFill>
            <w14:solidFill>
              <w14:schemeClr w14:val="tx1"/>
            </w14:solidFill>
          </w14:textFill>
        </w:rPr>
        <w:t>需求</w:t>
      </w:r>
      <w:bookmarkEnd w:id="197"/>
      <w:bookmarkEnd w:id="198"/>
      <w:bookmarkEnd w:id="199"/>
      <w:bookmarkEnd w:id="200"/>
      <w:bookmarkEnd w:id="205"/>
      <w:bookmarkEnd w:id="206"/>
      <w:bookmarkEnd w:id="207"/>
      <w:bookmarkStart w:id="208" w:name="_Toc532543566"/>
      <w:bookmarkStart w:id="209" w:name="_Toc531075010"/>
      <w:bookmarkStart w:id="210" w:name="_Toc10724"/>
    </w:p>
    <w:p>
      <w:pPr>
        <w:spacing w:line="360" w:lineRule="auto"/>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360" w:lineRule="auto"/>
        <w:ind w:firstLine="3000" w:firstLineChars="1000"/>
        <w:jc w:val="both"/>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政府采购项目</w:t>
      </w:r>
    </w:p>
    <w:p>
      <w:pPr>
        <w:spacing w:line="360" w:lineRule="auto"/>
        <w:ind w:firstLine="3000" w:firstLineChars="10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采 购 需 求</w:t>
      </w:r>
    </w:p>
    <w:p>
      <w:pPr>
        <w:jc w:val="center"/>
        <w:rPr>
          <w:rFonts w:hint="eastAsia" w:ascii="宋体" w:hAnsi="宋体" w:eastAsia="宋体" w:cs="宋体"/>
          <w:color w:val="000000" w:themeColor="text1"/>
          <w:sz w:val="40"/>
          <w:szCs w:val="40"/>
          <w:highlight w:val="none"/>
          <w:u w:val="none"/>
          <w14:textFill>
            <w14:solidFill>
              <w14:schemeClr w14:val="tx1"/>
            </w14:solidFill>
          </w14:textFill>
        </w:rPr>
      </w:pPr>
    </w:p>
    <w:p>
      <w:pPr>
        <w:spacing w:line="360" w:lineRule="auto"/>
        <w:ind w:left="2238" w:leftChars="399" w:hanging="1400" w:hangingChars="5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项目名称：</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头屯河农场市政服务项目</w:t>
      </w:r>
    </w:p>
    <w:p>
      <w:pPr>
        <w:spacing w:line="360" w:lineRule="auto"/>
        <w:ind w:firstLine="840" w:firstLineChars="3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项目分类：</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服务</w:t>
      </w:r>
    </w:p>
    <w:p>
      <w:pPr>
        <w:spacing w:line="360" w:lineRule="auto"/>
        <w:ind w:left="2238" w:leftChars="399" w:hanging="1400" w:hangingChars="5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采购单位：</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新疆生产建设兵团第十二师头屯河农场城镇管理服务中心 </w:t>
      </w:r>
    </w:p>
    <w:p>
      <w:pPr>
        <w:spacing w:line="360" w:lineRule="auto"/>
        <w:ind w:firstLine="840" w:firstLineChars="3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编制单位：</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新疆森海旭和工程咨询有限公司</w:t>
      </w:r>
    </w:p>
    <w:p>
      <w:pPr>
        <w:spacing w:line="360" w:lineRule="auto"/>
        <w:ind w:firstLine="840" w:firstLineChars="3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编制时间：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2023年7月</w:t>
      </w:r>
    </w:p>
    <w:p>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br w:type="page"/>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（一）项目概况</w:t>
      </w:r>
    </w:p>
    <w:p>
      <w:pPr>
        <w:spacing w:line="360" w:lineRule="auto"/>
        <w:ind w:firstLine="720" w:firstLineChars="30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为进一步提升头屯河农场服务水平，更好地为居民服务，展示头屯河农场良好形象，根据《中华人民共和国民法典》等国家、地方有关公共服务法律、法规和政策，在平等、自愿的基础上，购买公共服务服务，对头屯河农场提供卫生保洁、维保、下水道清掏、垃圾清运、基础设施和水电设备维修等公共服务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p>
    <w:p>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（二）采购项目预（概）算</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预算金额（元）：</w:t>
      </w:r>
      <w:r>
        <w:rPr>
          <w:rFonts w:hint="eastAsia" w:ascii="仿宋" w:hAnsi="仿宋" w:eastAsia="仿宋" w:cs="仿宋"/>
          <w:color w:val="0000FF"/>
          <w:sz w:val="24"/>
          <w:szCs w:val="24"/>
          <w:highlight w:val="none"/>
          <w:lang w:val="en-US" w:eastAsia="zh-CN"/>
        </w:rPr>
        <w:t>8300000.00</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最高限价（元）：</w:t>
      </w:r>
      <w:r>
        <w:rPr>
          <w:rFonts w:hint="eastAsia" w:ascii="仿宋" w:hAnsi="仿宋" w:eastAsia="仿宋" w:cs="仿宋"/>
          <w:color w:val="0000FF"/>
          <w:sz w:val="24"/>
          <w:szCs w:val="24"/>
          <w:highlight w:val="none"/>
          <w:lang w:val="en-US" w:eastAsia="zh-CN"/>
        </w:rPr>
        <w:t>8300000.00</w:t>
      </w:r>
      <w:r>
        <w:rPr>
          <w:color w:val="000000" w:themeColor="text1"/>
          <w:highlight w:val="none"/>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（三）采购标的汇总表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701"/>
        <w:gridCol w:w="1417"/>
        <w:gridCol w:w="1701"/>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101" w:type="dxa"/>
            <w:shd w:val="clear" w:color="auto" w:fill="auto"/>
            <w:noWrap w:val="0"/>
            <w:vAlign w:val="center"/>
          </w:tcPr>
          <w:p>
            <w:pPr>
              <w:jc w:val="center"/>
              <w:rPr>
                <w:rFonts w:hint="eastAsia" w:ascii="宋体" w:hAnsi="宋体"/>
                <w:b/>
                <w:bCs/>
                <w:sz w:val="24"/>
                <w:szCs w:val="28"/>
              </w:rPr>
            </w:pPr>
            <w:r>
              <w:rPr>
                <w:rFonts w:hint="eastAsia" w:ascii="宋体" w:hAnsi="宋体"/>
                <w:b/>
                <w:bCs/>
                <w:sz w:val="24"/>
                <w:szCs w:val="28"/>
              </w:rPr>
              <w:t>序号</w:t>
            </w:r>
          </w:p>
        </w:tc>
        <w:tc>
          <w:tcPr>
            <w:tcW w:w="1701" w:type="dxa"/>
            <w:shd w:val="clear" w:color="auto" w:fill="auto"/>
            <w:noWrap w:val="0"/>
            <w:vAlign w:val="center"/>
          </w:tcPr>
          <w:p>
            <w:pPr>
              <w:jc w:val="center"/>
              <w:rPr>
                <w:rFonts w:hint="eastAsia" w:ascii="宋体" w:hAnsi="宋体"/>
                <w:b/>
                <w:bCs/>
                <w:sz w:val="24"/>
                <w:szCs w:val="28"/>
              </w:rPr>
            </w:pPr>
            <w:r>
              <w:rPr>
                <w:rFonts w:hint="eastAsia" w:ascii="宋体" w:hAnsi="宋体"/>
                <w:b/>
                <w:bCs/>
                <w:sz w:val="24"/>
                <w:szCs w:val="28"/>
              </w:rPr>
              <w:t>项目</w:t>
            </w:r>
          </w:p>
        </w:tc>
        <w:tc>
          <w:tcPr>
            <w:tcW w:w="1417" w:type="dxa"/>
            <w:shd w:val="clear" w:color="auto" w:fill="auto"/>
            <w:noWrap w:val="0"/>
            <w:vAlign w:val="center"/>
          </w:tcPr>
          <w:p>
            <w:pPr>
              <w:jc w:val="center"/>
              <w:rPr>
                <w:rFonts w:hint="eastAsia" w:ascii="宋体" w:hAnsi="宋体"/>
                <w:b/>
                <w:bCs/>
                <w:sz w:val="24"/>
                <w:szCs w:val="28"/>
              </w:rPr>
            </w:pPr>
            <w:r>
              <w:rPr>
                <w:rFonts w:hint="eastAsia" w:ascii="宋体" w:hAnsi="宋体"/>
                <w:b/>
                <w:bCs/>
                <w:sz w:val="24"/>
                <w:szCs w:val="28"/>
              </w:rPr>
              <w:t>单位</w:t>
            </w:r>
          </w:p>
        </w:tc>
        <w:tc>
          <w:tcPr>
            <w:tcW w:w="1701" w:type="dxa"/>
            <w:shd w:val="clear" w:color="auto" w:fill="auto"/>
            <w:noWrap w:val="0"/>
            <w:vAlign w:val="center"/>
          </w:tcPr>
          <w:p>
            <w:pPr>
              <w:jc w:val="center"/>
              <w:rPr>
                <w:rFonts w:hint="eastAsia" w:ascii="宋体" w:hAnsi="宋体"/>
                <w:b/>
                <w:bCs/>
                <w:sz w:val="24"/>
                <w:szCs w:val="28"/>
              </w:rPr>
            </w:pPr>
            <w:r>
              <w:rPr>
                <w:rFonts w:hint="eastAsia" w:ascii="宋体" w:hAnsi="宋体"/>
                <w:b/>
                <w:bCs/>
                <w:sz w:val="24"/>
                <w:szCs w:val="28"/>
              </w:rPr>
              <w:t>数量</w:t>
            </w:r>
          </w:p>
        </w:tc>
        <w:tc>
          <w:tcPr>
            <w:tcW w:w="2608" w:type="dxa"/>
            <w:shd w:val="clear" w:color="auto" w:fill="auto"/>
            <w:noWrap w:val="0"/>
            <w:vAlign w:val="center"/>
          </w:tcPr>
          <w:p>
            <w:pPr>
              <w:jc w:val="center"/>
              <w:rPr>
                <w:rFonts w:hint="eastAsia" w:ascii="宋体" w:hAnsi="宋体"/>
                <w:b/>
                <w:bCs/>
                <w:sz w:val="24"/>
                <w:szCs w:val="28"/>
              </w:rPr>
            </w:pPr>
            <w:r>
              <w:rPr>
                <w:rFonts w:hint="eastAsia" w:ascii="宋体" w:hAnsi="宋体"/>
                <w:b/>
                <w:bCs/>
                <w:sz w:val="24"/>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1</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机械清扫</w:t>
            </w:r>
          </w:p>
        </w:tc>
        <w:tc>
          <w:tcPr>
            <w:tcW w:w="1417" w:type="dxa"/>
            <w:shd w:val="clear" w:color="auto" w:fill="auto"/>
            <w:noWrap w:val="0"/>
            <w:vAlign w:val="center"/>
          </w:tcPr>
          <w:p>
            <w:pPr>
              <w:jc w:val="center"/>
              <w:rPr>
                <w:rFonts w:hint="eastAsia" w:ascii="宋体" w:hAnsi="宋体"/>
                <w:sz w:val="22"/>
                <w:szCs w:val="24"/>
                <w:vertAlign w:val="superscript"/>
              </w:rPr>
            </w:pPr>
            <w:r>
              <w:rPr>
                <w:rFonts w:ascii="宋体" w:hAnsi="宋体"/>
                <w:sz w:val="22"/>
                <w:szCs w:val="24"/>
              </w:rPr>
              <w:t>M</w:t>
            </w:r>
            <w:r>
              <w:rPr>
                <w:rFonts w:ascii="宋体" w:hAnsi="宋体"/>
                <w:sz w:val="22"/>
                <w:szCs w:val="24"/>
                <w:vertAlign w:val="superscript"/>
              </w:rPr>
              <w:t>2</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8</w:t>
            </w:r>
            <w:r>
              <w:rPr>
                <w:rFonts w:ascii="宋体" w:hAnsi="宋体"/>
                <w:sz w:val="22"/>
                <w:szCs w:val="24"/>
              </w:rPr>
              <w:t>27474</w:t>
            </w:r>
          </w:p>
        </w:tc>
        <w:tc>
          <w:tcPr>
            <w:tcW w:w="2608"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每日作业2次，每年的服务周期为2</w:t>
            </w:r>
            <w:r>
              <w:rPr>
                <w:rFonts w:ascii="宋体" w:hAnsi="宋体"/>
                <w:sz w:val="22"/>
                <w:szCs w:val="24"/>
              </w:rPr>
              <w:t>75</w:t>
            </w:r>
            <w:r>
              <w:rPr>
                <w:rFonts w:hint="eastAsia" w:ascii="宋体" w:hAnsi="宋体"/>
                <w:sz w:val="22"/>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2</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人工清扫</w:t>
            </w:r>
          </w:p>
        </w:tc>
        <w:tc>
          <w:tcPr>
            <w:tcW w:w="1417" w:type="dxa"/>
            <w:shd w:val="clear" w:color="auto" w:fill="auto"/>
            <w:noWrap w:val="0"/>
            <w:vAlign w:val="center"/>
          </w:tcPr>
          <w:p>
            <w:pPr>
              <w:jc w:val="center"/>
              <w:rPr>
                <w:rFonts w:hint="eastAsia" w:ascii="宋体" w:hAnsi="宋体"/>
                <w:sz w:val="22"/>
                <w:szCs w:val="24"/>
              </w:rPr>
            </w:pPr>
            <w:r>
              <w:rPr>
                <w:rFonts w:ascii="宋体" w:hAnsi="宋体"/>
                <w:sz w:val="22"/>
                <w:szCs w:val="24"/>
              </w:rPr>
              <w:t>M</w:t>
            </w:r>
            <w:r>
              <w:rPr>
                <w:rFonts w:ascii="宋体" w:hAnsi="宋体"/>
                <w:sz w:val="22"/>
                <w:szCs w:val="24"/>
                <w:vertAlign w:val="superscript"/>
              </w:rPr>
              <w:t>2</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1</w:t>
            </w:r>
            <w:r>
              <w:rPr>
                <w:rFonts w:ascii="宋体" w:hAnsi="宋体"/>
                <w:sz w:val="22"/>
                <w:szCs w:val="24"/>
              </w:rPr>
              <w:t>64117</w:t>
            </w:r>
          </w:p>
        </w:tc>
        <w:tc>
          <w:tcPr>
            <w:tcW w:w="2608" w:type="dxa"/>
            <w:shd w:val="clear" w:color="auto" w:fill="auto"/>
            <w:noWrap w:val="0"/>
            <w:vAlign w:val="center"/>
          </w:tcPr>
          <w:p>
            <w:pPr>
              <w:jc w:val="center"/>
              <w:rPr>
                <w:rFonts w:hint="eastAsia"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3</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机械清雪</w:t>
            </w:r>
          </w:p>
        </w:tc>
        <w:tc>
          <w:tcPr>
            <w:tcW w:w="1417" w:type="dxa"/>
            <w:shd w:val="clear" w:color="auto" w:fill="auto"/>
            <w:noWrap w:val="0"/>
            <w:vAlign w:val="center"/>
          </w:tcPr>
          <w:p>
            <w:pPr>
              <w:jc w:val="center"/>
              <w:rPr>
                <w:rFonts w:hint="eastAsia" w:ascii="宋体" w:hAnsi="宋体"/>
                <w:sz w:val="22"/>
                <w:szCs w:val="24"/>
              </w:rPr>
            </w:pPr>
            <w:r>
              <w:rPr>
                <w:rFonts w:ascii="宋体" w:hAnsi="宋体"/>
                <w:sz w:val="22"/>
                <w:szCs w:val="24"/>
              </w:rPr>
              <w:t>M</w:t>
            </w:r>
            <w:r>
              <w:rPr>
                <w:rFonts w:ascii="宋体" w:hAnsi="宋体"/>
                <w:sz w:val="22"/>
                <w:szCs w:val="24"/>
                <w:vertAlign w:val="superscript"/>
              </w:rPr>
              <w:t>2</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9</w:t>
            </w:r>
            <w:r>
              <w:rPr>
                <w:rFonts w:ascii="宋体" w:hAnsi="宋体"/>
                <w:sz w:val="22"/>
                <w:szCs w:val="24"/>
              </w:rPr>
              <w:t>91591</w:t>
            </w:r>
          </w:p>
        </w:tc>
        <w:tc>
          <w:tcPr>
            <w:tcW w:w="2608" w:type="dxa"/>
            <w:shd w:val="clear" w:color="auto" w:fill="auto"/>
            <w:noWrap w:val="0"/>
            <w:vAlign w:val="center"/>
          </w:tcPr>
          <w:p>
            <w:pPr>
              <w:jc w:val="center"/>
              <w:rPr>
                <w:rFonts w:hint="eastAsia"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4</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人工清雪</w:t>
            </w:r>
          </w:p>
        </w:tc>
        <w:tc>
          <w:tcPr>
            <w:tcW w:w="1417" w:type="dxa"/>
            <w:shd w:val="clear" w:color="auto" w:fill="auto"/>
            <w:noWrap w:val="0"/>
            <w:vAlign w:val="center"/>
          </w:tcPr>
          <w:p>
            <w:pPr>
              <w:jc w:val="center"/>
              <w:rPr>
                <w:rFonts w:hint="eastAsia" w:ascii="宋体" w:hAnsi="宋体"/>
                <w:sz w:val="22"/>
                <w:szCs w:val="24"/>
              </w:rPr>
            </w:pPr>
            <w:r>
              <w:rPr>
                <w:rFonts w:ascii="宋体" w:hAnsi="宋体"/>
                <w:sz w:val="22"/>
                <w:szCs w:val="24"/>
              </w:rPr>
              <w:t>M</w:t>
            </w:r>
            <w:r>
              <w:rPr>
                <w:rFonts w:ascii="宋体" w:hAnsi="宋体"/>
                <w:sz w:val="22"/>
                <w:szCs w:val="24"/>
                <w:vertAlign w:val="superscript"/>
              </w:rPr>
              <w:t>2</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1</w:t>
            </w:r>
            <w:r>
              <w:rPr>
                <w:rFonts w:ascii="宋体" w:hAnsi="宋体"/>
                <w:sz w:val="22"/>
                <w:szCs w:val="24"/>
              </w:rPr>
              <w:t>64117</w:t>
            </w:r>
          </w:p>
        </w:tc>
        <w:tc>
          <w:tcPr>
            <w:tcW w:w="2608" w:type="dxa"/>
            <w:shd w:val="clear" w:color="auto" w:fill="auto"/>
            <w:noWrap w:val="0"/>
            <w:vAlign w:val="center"/>
          </w:tcPr>
          <w:p>
            <w:pPr>
              <w:jc w:val="center"/>
              <w:rPr>
                <w:rFonts w:hint="eastAsia"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5</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洒水</w:t>
            </w:r>
          </w:p>
        </w:tc>
        <w:tc>
          <w:tcPr>
            <w:tcW w:w="1417"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千米</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5</w:t>
            </w:r>
            <w:r>
              <w:rPr>
                <w:rFonts w:ascii="宋体" w:hAnsi="宋体"/>
                <w:sz w:val="22"/>
                <w:szCs w:val="24"/>
              </w:rPr>
              <w:t>0.6</w:t>
            </w:r>
            <w:r>
              <w:rPr>
                <w:rFonts w:hint="eastAsia" w:ascii="宋体" w:hAnsi="宋体"/>
                <w:sz w:val="22"/>
                <w:szCs w:val="24"/>
              </w:rPr>
              <w:t xml:space="preserve"> </w:t>
            </w:r>
          </w:p>
        </w:tc>
        <w:tc>
          <w:tcPr>
            <w:tcW w:w="2608"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每日2次洒水，作业天数每年按照1</w:t>
            </w:r>
            <w:r>
              <w:rPr>
                <w:rFonts w:ascii="宋体" w:hAnsi="宋体"/>
                <w:sz w:val="22"/>
                <w:szCs w:val="24"/>
              </w:rPr>
              <w:t>83</w:t>
            </w:r>
            <w:r>
              <w:rPr>
                <w:rFonts w:hint="eastAsia" w:ascii="宋体" w:hAnsi="宋体"/>
                <w:sz w:val="22"/>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6</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绿化养护</w:t>
            </w:r>
          </w:p>
        </w:tc>
        <w:tc>
          <w:tcPr>
            <w:tcW w:w="1417" w:type="dxa"/>
            <w:shd w:val="clear" w:color="auto" w:fill="auto"/>
            <w:noWrap w:val="0"/>
            <w:vAlign w:val="center"/>
          </w:tcPr>
          <w:p>
            <w:pPr>
              <w:jc w:val="center"/>
              <w:rPr>
                <w:rFonts w:hint="eastAsia" w:ascii="宋体" w:hAnsi="宋体"/>
                <w:sz w:val="22"/>
                <w:szCs w:val="24"/>
              </w:rPr>
            </w:pPr>
            <w:r>
              <w:rPr>
                <w:rFonts w:ascii="宋体" w:hAnsi="宋体"/>
                <w:sz w:val="22"/>
                <w:szCs w:val="24"/>
              </w:rPr>
              <w:t>M</w:t>
            </w:r>
            <w:r>
              <w:rPr>
                <w:rFonts w:ascii="宋体" w:hAnsi="宋体"/>
                <w:sz w:val="22"/>
                <w:szCs w:val="24"/>
                <w:vertAlign w:val="superscript"/>
              </w:rPr>
              <w:t>2</w:t>
            </w:r>
          </w:p>
        </w:tc>
        <w:tc>
          <w:tcPr>
            <w:tcW w:w="1701"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1</w:t>
            </w:r>
            <w:r>
              <w:rPr>
                <w:rFonts w:ascii="宋体" w:hAnsi="宋体"/>
                <w:sz w:val="22"/>
                <w:szCs w:val="24"/>
              </w:rPr>
              <w:t>57300</w:t>
            </w:r>
          </w:p>
        </w:tc>
        <w:tc>
          <w:tcPr>
            <w:tcW w:w="2608" w:type="dxa"/>
            <w:shd w:val="clear" w:color="auto" w:fill="auto"/>
            <w:noWrap w:val="0"/>
            <w:vAlign w:val="center"/>
          </w:tcPr>
          <w:p>
            <w:pPr>
              <w:jc w:val="center"/>
              <w:rPr>
                <w:rFonts w:hint="eastAsia" w:ascii="宋体" w:hAnsi="宋体"/>
                <w:sz w:val="22"/>
                <w:szCs w:val="24"/>
              </w:rPr>
            </w:pPr>
            <w:r>
              <w:rPr>
                <w:rFonts w:hint="eastAsia" w:ascii="宋体" w:hAnsi="宋体"/>
                <w:sz w:val="22"/>
                <w:szCs w:val="24"/>
              </w:rPr>
              <w:t>包含广场小游园</w:t>
            </w:r>
          </w:p>
        </w:tc>
      </w:tr>
    </w:tbl>
    <w:p>
      <w:pPr>
        <w:spacing w:line="360" w:lineRule="auto"/>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（四）需落实的政府采购政策功能</w:t>
      </w:r>
    </w:p>
    <w:p>
      <w:pPr>
        <w:spacing w:line="360" w:lineRule="auto"/>
        <w:ind w:firstLine="720" w:firstLineChars="3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1.支持绿色发展</w:t>
      </w:r>
    </w:p>
    <w:p>
      <w:pPr>
        <w:spacing w:line="360" w:lineRule="auto"/>
        <w:ind w:firstLine="720" w:firstLineChars="3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本项目不涉及</w:t>
      </w:r>
    </w:p>
    <w:p>
      <w:pPr>
        <w:spacing w:line="360" w:lineRule="auto"/>
        <w:ind w:firstLine="720" w:firstLineChars="3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2.支持中小企业发展</w:t>
      </w:r>
    </w:p>
    <w:p>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本项目专门面向中小企业（包括符合中小企业划分标准的个体工商户）采购</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仿宋" w:cs="Times New Roman"/>
          <w:b/>
          <w:bCs/>
          <w:color w:val="000000" w:themeColor="text1"/>
          <w:kern w:val="0"/>
          <w:sz w:val="24"/>
          <w:szCs w:val="24"/>
          <w:highlight w:val="none"/>
          <w:lang w:val="en-US" w:eastAsia="zh-CN"/>
          <w14:textFill>
            <w14:solidFill>
              <w14:schemeClr w14:val="tx1"/>
            </w14:solidFill>
          </w14:textFill>
        </w:rPr>
        <w:t>专门面向小微企业预留100%</w:t>
      </w:r>
      <w:r>
        <w:rPr>
          <w:rFonts w:hint="default" w:ascii="Times New Roman" w:hAnsi="Times New Roman" w:eastAsia="仿宋" w:cs="Times New Roman"/>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不在执行价格评审优惠政策，</w:t>
      </w:r>
      <w:r>
        <w:rPr>
          <w:rFonts w:hint="eastAsia" w:ascii="仿宋" w:hAnsi="仿宋" w:eastAsia="仿宋" w:cs="仿宋"/>
          <w:color w:val="000000" w:themeColor="text1"/>
          <w:sz w:val="24"/>
          <w:szCs w:val="24"/>
          <w:highlight w:val="none"/>
          <w:lang w:val="en-US" w:eastAsia="zh-CN"/>
          <w14:textFill>
            <w14:solidFill>
              <w14:schemeClr w14:val="tx1"/>
            </w14:solidFill>
          </w14:textFill>
        </w:rPr>
        <w:t>具体要求详见《政府采购促进中小企业发展管理办法》（财库〔2020〕46 号）及其相关规定，此外，监狱企业、残疾人福利性单位在本项目采购活动中视同小型、微型企业。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（1）财政部、工业和信息化部文件关于印发《政府采购促进中小企业发展管理办法》（财库[2020]46号文）；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（2）财政部、司法部《关于政府采购支持监狱企业发展有关问题的通知》（财库〔2014〕68号）；</w:t>
      </w:r>
    </w:p>
    <w:p>
      <w:pPr>
        <w:spacing w:line="360" w:lineRule="auto"/>
        <w:ind w:firstLine="720" w:firstLineChars="3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财政部、民政部、中国残疾人联合会文件《关于促进残疾人就业政府采购政策的通知》（财库[2017]141号）；监狱企业、残疾人福利性单位视同小型、微型企业,享受小型、微型企业评审中价格扣除的政府采购政策。</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三、服务范围及服务要求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1.服务范围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1.道路清扫保洁：道路清扫和保洁、机械化清扫、果皮箱（清掏）、垃圾桶清洗和消毒、小广告清除。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2.垃圾清运：垃圾收集和清运。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3.公厕管理：公厕内设施、设备及开关门时间、消杀灭蚊及化粪池、文明服务质量。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4.冬季冰雪清除：及时清除、拉运道路上的积雪。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5.洒水降尘：4月1日-10月1日，正常温度下每天部分主次干道每日洒水不低于1次；（高温达零上30摄氏度以上）期间部分主次干道每日洒水不低于2次；（高温达到35摄氏度以上）每日洒水不低于3次。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环境卫生综合整治区域：东至头屯河公路西侧，南至八钢卡点，西至柯坪路沿线，北至南坪街沿线两侧及老机关片区；农场区域内合同外环境卫生应急处置；大型接待路线或迎检等特殊情况下，城镇管理服务中心交办的其他整治区域或相关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2.服务要求</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（一）道路清扫和保洁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对主次干道实行定岗、定人、定责，道路机械化清扫，（每年5月1日-9月1日，当日最高气温高于30℃时）实施带水湿法作业，城镇主区域主次干道（东至屯坪南路，南至八钢卡点，西至柯坪路，北至东坪大道）全天两扫两保。工业园区主干道全天两扫一保，次干道、巷道、支路全天一扫一保。清扫作业期间车辆时速不得超过10公里／小时。城镇主区域道路保洁时间不低于12小时，工业园区道路保洁时间不低于8小时，不定时进行巡回保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扫时包括街道、人行道边沿部位，人行道花砖缝隙无明显污物，不能丢街甩段、漏扫、花扫。路边绿地、街心、街道洞穴应干净、整洁，无垃圾污物。清扫保洁作业应达到：“五不”：不见积水、不见积土、不见纸屑果皮烟头、不漏收堆、不乱倒垃圾；“五净”：路面净、路沿净、人行道净、树坑墙边净、果皮箱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3.清扫的垃圾应及时清理，不得久堆不清（30分钟内），绿化带内生活垃圾、建筑垃圾等杂物必须清理彻底。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4.垃圾倾倒在垃圾收集容器内，不得倾倒和扫入雨水箅子、绿化带内；不得焚烧垃圾、树叶。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5.被严重污染的路面，应及时进行清扫、清洗，恢复原貌。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6.作业时保洁人员统一着贴有反光条的工作服，衣着干净，规范着装。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7.使用环卫专用车辆，应保持车容车貌整洁，无乱堆乱挂。作业工具及车辆摆放规范、隐蔽，不得影响交通和有碍观瞻。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8.工作期间，无扎堆、串岗、离岗、久坐、闲聊等现象，不做与工作无关的事。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文明作业，对恶意破坏环境卫生的行为，清扫人员应耐心劝阻。提高安全生产意识，制定详细的安全生产制度，由专职安全员负责监督安全生产工作，定期开展安全生产教育，确保作业人员人身安全，车辆作业遵守交通法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（二）果皮箱（清掏、擦洗）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1.果皮箱内的垃圾应及时清除，清掏要彻底，无垃圾残留、满溢和散落，箱体周围地面应无抛撒、存留垃圾。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2.及时擦洗果皮箱，做到无痰（涕）迹、无灰尘、无污垢，对损坏的果皮箱及时上报。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（三）小广告清除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1.将辖区道路两侧建构（筑）物外墙面上、地面上的各类乱涂写、乱刻画、乱张贴等城市“牛皮癣”全部清除干净，及时做到发现一处清除一处，并保持辖区道路上的建构（筑）物墙面及地面干净整洁。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2.根据建构（筑）物墙面和地面的材质实施不同的方法清除，直到美观，保持原建筑物的色彩。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（四）垃圾收集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垃圾收集站、垃圾集装箱等收集容器应设施完好，无残缺、破损现象。垃圾收集站、点、箱内外应干净整洁，积存垃圾应密闭堆放。垃圾收集站内无杂物堆放，按时开放，站外无垃圾污物堆放。垃圾收集站、点、箱应定期清洗、消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2.垃圾箱应定位设置，摆放整齐，不得影响市容和居民出行、生活。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（五）垃圾清运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1.垃圾日产日清，垃圾容器不满溢。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2.垃圾收集容器定位设置，便于使用和清运，不妨碍交通，不影响市容，无残缺、破损，封闭性好，外体干净，摆放整齐。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3.垃圾桶（船）收集作业完成后，应及时清理场地，并将垃圾桶（船）复位，不得有散落、存留垃圾。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4.清运时应加盖密闭运输，遮盖严实，不得沿街洒落，不得抛、冒、滴、漏，垃圾必须倾倒在指定的垃圾场（站），不得乱倾乱倒。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5.清运车辆标志清楚，车体无明显污物、灰垢，无乱堆乱挂，乱停乱放，有指定的停放点，车况良好，礼貌文明行车，遵守交通法规。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（六）道路洒水标准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1.车况良好，车容整洁，礼貌文明行车；洒水时应鸣报信号，作业期间作业车辆时速不得超过15公里／小时。洒水均匀、压尘彻底，遵守交通法规。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洒水降尘：4月1日-10月1日，正常温度下每天部分主次干道每日洒水不低于1次；时间是上午11:30；（高温达零上30摄氏度以上）期间部分主次干道每日洒水不低于2次；时间是上午11:30；下午18:30。（高温达到35摄氏度以上）每日洒水不低于3次。时间是早上09:30；中午13:30；晚上20: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制定完善的工作制度，洒水作业人员按时到岗，不得擅自脱离工作岗位，不得从事与工作无关的活动。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（七）公厕日常管理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公厕开放时间为夏季（4月1日-9月30日）早8:00-晚24:00、主街道早8:00-凌晨1:00，冬季（10月1日-3月31日）早9:00-晚23:00、主街道早9:00-晚24:00，节假日正常开放。严格按照时间开放、关闭公共厕所，不得提前关闭公共厕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2.杜绝出现公厕管理人员脱岗、漏岗、不在岗现象；保洁人员服装整洁、礼貌待人、主动照顾老弱病残。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3.公共厕所外要坚决杜绝私搭乱建、店外经营现象。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4.服从日常业务的指导和检查，执行上级相关规定，配合各类验收。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5.公厕有专人保洁、保洁人员礼貌待人，主动照顾老弱病残孕等人员。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（八）公厕日常清扫保洁作业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1.无蝇，无蛆虫，地面无积水、痰迹或者烟头、纸屑等杂物，便器及时冲刷，无污垢、杂物、积粪、粪疤、尿碱、蛆虫，墙壁、顶棚、挡板无积灰、污迹、蛛网和其它污物等；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2.门窗、隔断板等整洁，无乱涂乱画，无积灰、污迹、蛛网或者其它污物等；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3.清洗冲刷地面时应当设置防滑标志；空气流通，基本无异味。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4.室内设施和工具摆放有序、干净整洁；屋顶及卫生责任区内环境整洁，无乱搭建、乱堆放。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5.按照规定开展消杀工作，按照500mg/l含氯消毒剂配比84消毒液，每天消杀6次，每周进行1次周末消杀，并做好消杀台帐记录（其中包括消杀区域、消毒液配比、消杀频次、消杀方式和消杀人员）。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6.按照规定的时间、地点和方式倾倒废弃物，定时喷洒灭蚊蝇药物和使用蚊香，确保无蝇、无臭。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7.公厕外墙洁净，无乱涂乱画、勿乱张贴，无私自搭建建筑物、构筑物，四周无乱堆乱放杂物，四周地面洁净、无污物。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8.厕内无明显异味，采光或照明正常，蹲位应正常使用，洁净无污物，废纸篓倾倒及时。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9.及时消毒灭蝇：有合格消毒用品，消毒设施齐全，窗户安装纱窗；消杀记录完整，消毒液配比合格。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（九）公厕维修养护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1.公厕设施齐全，功能完善，运行正常，外观整洁；采光、通风良好，按需提供照明和通风，灯具损坏的应及时跟换。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2.洗手（盆）池、面镜、挂衣钩、隔断板、便器、无障碍设施、开关、手柄、门锁、纱窗、采暖设备等设施损坏的，应及时修复或者更换。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3.供水、供电、排水、通风、管道漏水、便器堵塞等小修项目，应及时修复或者更换。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4.下水通畅，粪便不满溢，贮粪池密闭，水池无杂物；粪便及时清运，化粪池定期清渣，发生堵塞立即疏通。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5.若存在公厕当月因维修、维护等原因未正常开放，由作业单位报请城镇管理服务中心。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（十）园林作业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1.绿地浇灌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须根据植物需水情况、天气情况和植物种类适当浇水，防止植物因缺水而造成成长不良或枯死。在无法采用渠水或喷灌浇水时，必须采用水车及时浇水，以保证植物正常生长。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乔木：乔木须根据植物需水情况、天气情况和植物种类适当浇水，防止植物因缺水而造成成长不良或枯死。每月至少浇水一次，对所管辖的乔木及时浇水，浇透水，浇水不遗漏。每年要对树木进行冬灌。保持植株生长旺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植树木要及时进行修整围堰并灌溉。围水堰应规整，密实不透水。围堰直径视栽植树木的胸径冠幅大小而定。灌溉时要注意保护树木根部的土壤不被冲刷。浇灌后对歪斜树木做好扶正和支撑。新植树木必须浇满3次定根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绿篱、模纹造型、灌木：绿篱、模纹、花灌木应根据立地条件、生长势及开花特性进行合理浇灌。花灌木秋季要适当控水以促进花芽分化。浇水及时，不遗漏，保持苗木旺盛的生长状态。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宿根花卉：宿根花卉要根据植物的生长和开花特性进行合理浇灌。浇水及时，不遗漏，保持苗木旺盛的生长状态。必须浇返青水和冻水。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草坪：根据草坪和地被植物的生长需要进行合理浇水。夏季高温时适当增加浇水频次。浇水及时，保持草坪的正常生长，没有导致草坪萎蔫枯黄或死亡为合格标准。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2.树木刷白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为了防治病虫害，增强抵抗力，所有乔木类的树木树干1.2米以下要用树木涂白剂涂白。每年应在秋末冬初进行一次，早春再涂白一次。完成后必须通知城镇管理服务中心现场检查验收。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涂白工作严格按照城镇管理服务中心技术要求实施。涂白剂应随配随用，不宜存放时间过长。涂液应按标准配制，对树皮缝隙、洞孔、树杈等处需先清理虫害和污物，并重复涂刷，避免涂刷流失、刷花刷漏、干后脱落，保持施工现场清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3.绿地卫生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环境卫生的标准是绿地平整干净，无石砾砖块，无枯枝败叶，无垃圾杂物，无坑洞，无鼠洞和蚊蝇滋生地。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（1）按作业时间完成绿地内卫生清洁工作，全天候保洁，保持绿地无垃圾杂物。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（2）垃圾必须做到日产日清，由项目公司自行运送至指定地点，不得在绿地内过夜，严禁焚烧垃圾、杂物和枯枝落叶。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（3）项目公司须按政府指定的地点堆放垃圾，不得乱倒乱卸。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4.园林设施的使用、检查和维护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（1）定期检查喷灌设施；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（2）喷水时应调整好喷头，避免造成水柱冲天或水雾上路，严禁管线跑、冒、滴、漏。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（3）绿地管线安装必须按要求掩埋于地面以下。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（4）入冬前做好排水防冻措施。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（5）发现损坏部位应及时维修，以免影响浇水。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（6）接到相关部门的错峰浇水的通知后，要严格执行错峰浇水时间段。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（7）道路绿地内的其他设施（绿地护栏、公益广告设施、各类警示牌等）及时进行擦洗，定期进行检查维护。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5.绿地维护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绿地维护的标准是所有公共绿地范围内不被侵占，绿地版图完整，花草树木不受破坏，无乱摆乱卖、乱停乱放的现象。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（1）保护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保护绿地内的花草树木，对任何侵占和破坏行为要加以制止，经有关部门批准批准在绿地内施工的单位，，监督责任单位限期内恢复原状，并立即上报城镇管理服务中心。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（2）监管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加强监管，绿地内严禁以下行为：堆放东西和停放自行车、电动车、机动车，或人力车和机动车等驶进草地。；攀折、刮蹭和刻划树皮，踩踏花卉、草坪，在树上钉钉子、绕铁丝、挂杂物、挂标语横幅、晾晒衣物或其它物品或作为施工的支撑点；损坏或盗取灌溉管线、渠系闸门等损害绿化设施的行为；绿地内严禁种植绿化要求以外的所有植物(蔬菜及其它花卉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（十一）冬季冰雪清除标准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严格按照城镇管理服务中心要求，冬季清雪必须及时彻底，清雪范围为主次干道、人行道、路肩、彩砖地面。主次干道及人行道以机械清雪为主，人工负责翻边并清扫路肩、彩砖地面。冬季清雪严禁使用融雪剂。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1.在每场雪前应将各类清冰雪机械设备、车辆零部件、易损件备齐，并调试、维修保养，使其达到最佳的工作状态，做到随时上路作业。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2.清雪按照“先主干道、后次干道、先主要区域、后次要区域”的要求开展道路清雪工作，十字路口、公交站点、小区出入口、医院、学校及机关企事业单位门前需第一时间完成清雪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3.清雪标准：要做到路面见本色，人行道见两边，绿化带内暂存积雪堆放整齐不得超过50厘米，并适时清运。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4.辖区内所有区域必须在规定时间内完成清雪作业。人行道即下即清，雪停路净。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5.清雪作业完成时限：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雪（厚度3cm以上）雪停后，主干道机械清扫4小时完成，人工作业6小时完成；中雪（厚度5cm以上）雪停后，主干道机械清扫6小时完成，人工作业12小时完成；大雪（厚度10cm以上）雪停后，主干道机械清扫12小时完成，人工作业24小时完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6.机械作业时要注意避让周围各类市政、环卫、园林等各类设施，设施周围1米半径必须采用人工作业，不得造成各类设施损坏，保障作业安全。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7.拉运积雪期间，必须有专人负责，摆放隔离桩，指挥车辆作业，严禁乱倒乱卸。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8.道路外公共区域（如：广场、停车场、步行街等）严格按照城镇管理服务中心要求，冬季清雪必须及时彻底，机械清雪与人工清雪相配合，做到“雪下即清，雪停即净”。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9.严禁在交通设施、广告设施、消防设施、环卫设施，电力设施、亮化设施、公共厕所等公共设施周围堆放积雪。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10.冬季清雪作业必要时由城镇管理服务中心统筹协调部署，作业单位必须无条件配合完成。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 路面见本色，人行道见两边，绿化带内暂存积雪堆放整齐不得超过50厘米，并适时清运，达到市级督查部门的考核要求。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月度考核，季度付款，每月由招标人对服务单位进行考核，根据考核办法及每月考核得分情况（分数高于90（含90分）的不扣费，全额支付当月费用；低于90分的，按5000元/分进行扣费，扣除当月相应费用），进行季度付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四、服务期限：合同签订后1年。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注：1、以上加“☆”的条款内容为本项目的实质性服务要求，如不满足，按无效投标处理。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工，投标人自行承担一切后果；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3、如对本招标文件有任何疑问或要求澄清，请按本招标文件的规定提出，否则视同理解和接受。</w:t>
      </w:r>
    </w:p>
    <w:p>
      <w:pPr>
        <w:pStyle w:val="45"/>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四、服务综合考评标准</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（一）道路清扫和保洁</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对主次干道实行定岗、定人、定责，道路机械化清扫，（每年5月1日-9月1日，当日最高气温高于30℃时）实施带水湿法作业，城镇主区域主次干道（东至屯坪南路，南至八钢卡点，西至柯坪路，北至东坪大道）全天两扫两保。工业园区主干道全天两扫一保，次干道、巷道、支路全天一扫一保。清扫作业期间车辆时速不得超过10公里／小时。城镇主区域道路保洁时间不低于12小时，工业园区道路保洁时间不低于8小时，不定时进行巡回保洁。</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清扫时包括街道、人行道边沿部位，人行道花砖缝隙无明显污物，不能丢街甩段、漏扫、花扫。路边绿地、街心、街道洞穴应干净、整洁，无垃圾污物。清扫保洁作业应达到：“五不”：不见积水、不见积土、不见纸屑果皮烟头、不漏收堆、不乱倒垃圾；“五净”：路面净、路沿净、人行道净、树坑墙边净、果皮箱净。</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3.清扫的垃圾应及时清理，不得久堆不清（30分钟内），绿化带内生活垃圾、建筑垃圾等杂物必须清理彻底。</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4.垃圾倾倒在垃圾收集容器内，不得倾倒和扫入雨水箅子、绿化带内；不得焚烧垃圾、树叶。</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5.被严重污染的路面，应及时进行清扫、清洗，恢复原貌。</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6.作业时保洁人员统一着贴有反光条的工作服，衣着干净，规范着装。</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7.使用环卫专用车辆，应保持车容车貌整洁，无乱堆乱挂。作业工具及车辆摆放规范、隐蔽，不得影响交通和有碍观瞻。</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8.工作期间，无扎堆、串岗、离岗、久坐、闲聊等现象，不做与工作无关的事。</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文明作业，对恶意破坏环境卫生的行为，清扫人员应耐心劝阻。提高安全生产意识，制定详细的安全生产制度，由专职安全员负责监督安全生产工作，定期开展安全生产教育，确保作业人员人身安全，车辆作业遵守交通法规。</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（二）果皮箱（清掏、擦洗）</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1.果皮箱内的垃圾应及时清除，清掏要彻底，无垃圾残留、满溢和散落，箱体周围地面应无抛撒、存留垃圾。</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2.及时擦洗果皮箱，做到无痰（涕）迹、无灰尘、无污垢，对损坏的果皮箱及时上报。</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（三）小广告清除</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1.将辖区道路两侧建构（筑）物外墙面上、地面上的各类乱涂写、乱刻画、乱张贴等城市“牛皮癣”全部清除干净，及时做到发现一处清除一处，并保持辖区道路上的建构（筑）物墙面及地面干净整洁。</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2.根据建构（筑）物墙面和地面的材质实施不同的方法清除，直到美观，保持原建筑物的色彩。</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（四）垃圾收集</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垃圾收集站、垃圾集装箱等收集容器应设施完好，无残缺、破损现象。垃圾收集站、点、箱内外应干净整洁，积存垃圾应密闭堆放。垃圾收集站内无杂物堆放，按时开放，站外无垃圾污物堆放。垃圾收集站、点、箱应定期清洗、消毒。</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2.垃圾箱应定位设置，摆放整齐，不得影响市容和居民出行、生活。</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（五）垃圾清运</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1.垃圾日产日清，垃圾容器不满溢。</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2.垃圾收集容器定位设置，便于使用和清运，不妨碍交通，不影响市容，无残缺、破损，封闭性好，外体干净，摆放整齐。 </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3.垃圾桶（船）收集作业完成后，应及时清理场地，并将垃圾桶（船）复位，不得有散落、存留垃圾。</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4.清运时应加盖密闭运输，遮盖严实，不得沿街洒落，不得抛、冒、滴、漏，垃圾必须倾倒在指定的垃圾场（站），不得乱倾乱倒。</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5.清运车辆标志清楚，车体无明显污物、灰垢，无乱堆乱挂，乱停乱放，有指定的停放点，车况良好，礼貌文明行车，遵守交通法规。</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（六）道路洒水标准</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1.车况良好，车容整洁，礼貌文明行车；洒水时应鸣报信号，作业期间作业车辆时速不得超过15公里／小时。洒水均匀、压尘彻底，遵守交通法规。</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洒水降尘：4月1日-10月1日，正常温度下每天部分主次干道每日洒水不低于1次；时间是上午11:30；（高温达零上30摄氏度以上）期间部分主次干道每日洒水不低于2次；时间是上午11:30；下午18:30。（高温达到35摄氏度以上）每日洒水不低于3次。时间是早上09:30；中午13:30；晚上20:30。</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制定完善的工作制度，洒水作业人员按时到岗，不得擅自脱离工作岗位，不得从事与工作无关的活动。</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（七）公厕日常管理</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公厕开放时间为夏季（4月1日-9月30日）早8:00-晚24:00、主街道早8:00-凌晨1:00，冬季（10月1日-3月31日）早9:00-晚23:00、主街道早9:00-晚24:00，节假日正常开放。严格按照时间开放、关闭公共厕所，不得提前关闭公共厕所。</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2.杜绝出现公厕管理人员脱岗、漏岗、不在岗现象；保洁人员服装整洁、礼貌待人、主动照顾老弱病残。</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3.公共厕所外要坚决杜绝私搭乱建、店外经营现象。</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4.服从日常业务的指导和检查，执行上级相关规定，配合各类验收。</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5.公厕有专人保洁、保洁人员礼貌待人，主动照顾老弱病残孕等人员。</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（八）公厕日常清扫保洁作业</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1.无蝇，无蛆虫，地面无积水、痰迹或者烟头、纸屑等杂物，便器及时冲刷，无污垢、杂物、积粪、粪疤、尿碱、蛆虫，墙壁、顶棚、挡板无积灰、污迹、蛛网和其它污物等；</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2.门窗、隔断板等整洁，无乱涂乱画，无积灰、污迹、蛛网或者其它污物等；</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3.清洗冲刷地面时应当设置防滑标志；空气流通，基本无异味。</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4.室内设施和工具摆放有序、干净整洁；屋顶及卫生责任区内环境整洁，无乱搭建、乱堆放。</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5.按照规定开展消杀工作，按照500mg/l含氯消毒剂配比84消毒液，每天消杀6次，每周进行1次周末消杀，并做好消杀台帐记录（其中包括消杀区域、消毒液配比、消杀频次、消杀方式和消杀人员）。</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6.按照规定的时间、地点和方式倾倒废弃物，定时喷洒灭蚊蝇药物和使用蚊香，确保无蝇、无臭。</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7.公厕外墙洁净，无乱涂乱画、勿乱张贴，无私自搭建建筑物、构筑物，四周无乱堆乱放杂物，四周地面洁净、无污物。</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8.厕内无明显异味，采光或照明正常，蹲位应正常使用，洁净无污物，废纸篓倾倒及时。</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9.及时消毒灭蝇：有合格消毒用品，消毒设施齐全，窗户安装纱窗；消杀记录完整，消毒液配比合格。</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（九）公厕维修养护</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1.公厕设施齐全，功能完善，运行正常，外观整洁；采光、通风良好，按需提供照明和通风，灯具损坏的应及时跟换。</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2.洗手（盆）池、面镜、挂衣钩、隔断板、便器、无障碍设施、开关、手柄、门锁、纱窗、采暖设备等设施损坏的，应及时修复或者更换。</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3.供水、供电、排水、通风、管道漏水、便器堵塞等小修项目，应及时修复或者更换。</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4.下水通畅，粪便不满溢，贮粪池密闭，水池无杂物；粪便及时清运，化粪池定期清渣，发生堵塞立即疏通。</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5.若存在公厕当月因维修、维护等原因未正常开放，由作业单位报请城镇管理服务中心。</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（十）园林作业</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1.绿地浇灌</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须根据植物需水情况、天气情况和植物种类适当浇水，防止植物因缺水而造成成长不良或枯死。在无法采用渠水或喷灌浇水时，必须采用水车及时浇水，以保证植物正常生长。</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乔木：乔木须根据植物需水情况、天气情况和植物种类适当浇水，防止植物因缺水而造成成长不良或枯死。每月至少浇水一次，对所管辖的乔木及时浇水，浇透水，浇水不遗漏。每年要对树木进行冬灌。保持植株生长旺盛。</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新植树木要及时进行修整围堰并灌溉。围水堰应规整，密实不透水。围堰直径视栽植树木的胸径冠幅大小而定。灌溉时要注意保护树木根部的土壤不被冲刷。浇灌后对歪斜树木做好扶正和支撑。新植树木必须浇满3次定根水。</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绿篱、模纹造型、灌木：绿篱、模纹、花灌木应根据立地条件、生长势及开花特性进行合理浇灌。花灌木秋季要适当控水以促进花芽分化。浇水及时，不遗漏，保持苗木旺盛的生长状态。</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宿根花卉：宿根花卉要根据植物的生长和开花特性进行合理浇灌。浇水及时，不遗漏，保持苗木旺盛的生长状态。必须浇返青水和冻水。</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草坪：根据草坪和地被植物的生长需要进行合理浇水。夏季高温时适当增加浇水频次。浇水及时，保持草坪的正常生长，没有导致草坪萎蔫枯黄或死亡为合格标准。</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2.树木刷白</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为了防治病虫害，增强抵抗力，所有乔木类的树木树干1.2米以下要用树木涂白剂涂白。每年应在秋末冬初进行一次，早春再涂白一次。完成后必须通知城镇管理服务中心现场检查验收。</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涂白工作严格按照城镇管理服务中心技术要求实施。涂白剂应随配随用，不宜存放时间过长。涂液应按标准配制，对树皮缝隙、洞孔、树杈等处需先清理虫害和污物，并重复涂刷，避免涂刷流失、刷花刷漏、干后脱落，保持施工现场清洁。</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3.绿地卫生</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环境卫生的标准是绿地平整干净，无石砾砖块，无枯枝败叶，无垃圾杂物，无坑洞，无鼠洞和蚊蝇滋生地。</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（1）按作业时间完成绿地内卫生清洁工作，全天候保洁，保持绿地无垃圾杂物。</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（2）垃圾必须做到日产日清，由项目公司自行运送至指定地点，不得在绿地内过夜，严禁焚烧垃圾、杂物和枯枝落叶。</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（3）项目公司须按政府指定的地点堆放垃圾，不得乱倒乱卸。</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4.园林设施的使用、检查和维护</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（1）定期检查喷灌设施；</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（2）喷水时应调整好喷头，避免造成水柱冲天或水雾上路，严禁管线跑、冒、滴、漏。</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（3）绿地管线安装必须按要求掩埋于地面以下。</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（4）入冬前做好排水防冻措施。</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（5）发现损坏部位应及时维修，以免影响浇水。</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（6）接到相关部门的错峰浇水的通知后，要严格执行错峰浇水时间段。</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（7）道路绿地内的其他设施（绿地护栏、公益广告设施、各类警示牌等）及时进行擦洗，定期进行检查维护。</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5.绿地维护</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绿地维护的标准是所有公共绿地范围内不被侵占，绿地版图完整，花草树木不受破坏，无乱摆乱卖、乱停乱放的现象。</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（1）保护</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保护绿地内的花草树木，对任何侵占和破坏行为要加以制止，经有关部门批准批准在绿地内施工的单位，，监督责任单位限期内恢复原状，并立即上报城镇管理服务中心。</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（2）监管</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加强监管，绿地内严禁以下行为：堆放东西和停放自行车、电动车、机动车，或人力车和机动车等驶进草地。；攀折、刮蹭和刻划树皮，踩踏花卉、草坪，在树上钉钉子、绕铁丝、挂杂物、挂标语横幅、晾晒衣物或其它物品或作为施工的支撑点；损坏或盗取灌溉管线、渠系闸门等损害绿化设施的行为；绿地内严禁种植绿化要求以外的所有植物(蔬菜及其它花卉等)。</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（十一）冬季冰雪清除标准</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严格按照城镇管理服务中心要求，冬季清雪必须及时彻底，清雪范围为主次干道、人行道、路肩、彩砖地面。主次干道及人行道以机械清雪为主，人工负责翻边并清扫路肩、彩砖地面。冬季清雪严禁使用融雪剂。</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1.在每场雪前应将各类清冰雪机械设备、车辆零部件、易损件备齐，并调试、维修保养，使其达到最佳的工作状态，做到随时上路作业。</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2.清雪按照“先主干道、后次干道、先主要区域、后次要区域”的要求开展道路清雪工作，十字路口、公交站点、小区出入口、医院、学校及机关企事业单位门前需第一时间完成清雪</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3.清雪标准：要做到路面见本色，人行道见两边，绿化带内暂存积雪堆放整齐不得超过50厘米，并适时清运。</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4.辖区内所有区域必须在规定时间内完成清雪作业。人行道即下即清，雪停路净。</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5.清雪作业完成时限：</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小雪（厚度3cm以上）雪停后，主干道机械清扫4小时完成，人工作业6小时完成；中雪（厚度5cm以上）雪停后，主干道机械清扫6小时完成，人工作业12小时完成；大雪（厚度10cm以上）雪停后，主干道机械清扫12小时完成，人工作业24小时完成。</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6.机械作业时要注意避让周围各类市政、环卫、园林等各类设施，设施周围1米半径必须采用人工作业，不得造成各类设施损坏，保障作业安全。</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7.拉运积雪期间，必须有专人负责，摆放隔离桩，指挥车辆作业，严禁乱倒乱卸。</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8.道路外公共区域（如：广场、停车场、步行街等）严格按照城镇管理服务中心要求，冬季清雪必须及时彻底，机械清雪与人工清雪相配合，做到“雪下即清，雪停即净”。</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9.严禁在交通设施、广告设施、消防设施、环卫设施，电力设施、亮化设施、公共厕所等公共设施周围堆放积雪。</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10.冬季清雪作业必要时由城镇管理服务中心统筹协调部署，作业单位必须无条件配合完成。</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 路面见本色，人行道见两边，绿化带内暂存积雪堆放整齐不得超过50厘米，并适时清运，达到市级督查部门的考核要求。</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三、考核细则及奖惩</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1.按照头屯河农场《市政服务作业规范、作业标准及考核实施办法》，按照存在的问题，扣除作业单位当月合同费用1000元/条。</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按照存在问题的处理情况，相同区域、相同问题在整改时间内重复2次发生，扣除作业单位合同费用2000元/条；重复2次以上的扣除作业单位合同费用5000元/条；整改处理时限超三日以上的，扣除作业单位合同费用5000元/条；</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检查小组由城镇管理服务中心会同农场各科室、中心（除城镇外至少一个科室和一个中心，轮流制）及所在社区组成，采取月检查、考核、季结算方式。根据该《考核细则》，对本辖区内市容环卫作业服务外包中标单位合同范围内的清扫保洁、冰雪清除、洒水降尘、牛皮癣清除、生活垃圾清运、直管公厕日常管理工作进行检查考核，分数高于90（含90分）的，且无本办法第三条“考核细则及奖惩”第一款、第二款、第四款中明确的扣费内容的，正常支付当月费用；低于90分的，除按照本办法第三条“检查细则及奖惩”第一款、第二款、第四款中明确的扣费内容进行扣费，还依照本细则第三条“检查细则及奖惩”第四款规定的扣费标准扣除当月相应费用。</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城镇管理服务中心每月定期、不定期进行检查、考核。日常随机抽查发现问题未及时整改扣除作业单位合同费用2000元/条；业务工作中未按要求配合的扣除作业单位合同费用2000元/次；垃圾清运不及时，发现一处扣除作业单位合同费用5000元/处；作业区域内相同质量问题在整改时间内重复2次发生，群众举报或领导检查（含办公室电话投诉）指出作业区域内出现质量问题，月达2次（含2次）扣5000元；确实存在环卫作业问题且不服从城镇管理服务中心管理安排的情形，扣10000/次，新闻媒体曝光或上级领导指出作业区域内存在质量问题扣10000元/次；遇重大活动或接通知后落实不力，未按时完成，造成较大影响的，经核查属实扣10000元/次；作业单位发生安全事故或安全生产工作被上级通报的，处罚2000元/次。（安全事故法定追责除外）</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5.我中心将对农场市政服务作业的考核工作进行监督，并对环卫作业单位当月考核情况进行通报。</w:t>
      </w:r>
    </w:p>
    <w:p>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此办法于头屯河农场党委常务会通过后次月起执行，最终解释权归头屯河农场城镇管理服务中心。                                                             </w:t>
      </w:r>
    </w:p>
    <w:p>
      <w:pPr>
        <w:pStyle w:val="185"/>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注：1、以上加“★”的条款内容为本项目的实质性要求，如不满足，按无效投标处理。</w:t>
      </w:r>
    </w:p>
    <w:p>
      <w:pPr>
        <w:pStyle w:val="140"/>
        <w:widowControl/>
        <w:spacing w:line="360" w:lineRule="auto"/>
        <w:ind w:firstLine="480" w:firstLineChars="200"/>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 xml:space="preserve">2、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工，投标人自行承担一切后果； </w:t>
      </w:r>
    </w:p>
    <w:p>
      <w:pPr>
        <w:pStyle w:val="14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3、如对本</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b w:val="0"/>
          <w:bCs/>
          <w:color w:val="000000" w:themeColor="text1"/>
          <w:sz w:val="24"/>
          <w:szCs w:val="24"/>
          <w:highlight w:val="none"/>
          <w14:textFill>
            <w14:solidFill>
              <w14:schemeClr w14:val="tx1"/>
            </w14:solidFill>
          </w14:textFill>
        </w:rPr>
        <w:t>有任何疑问或要求澄清，请按本</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b w:val="0"/>
          <w:bCs/>
          <w:color w:val="000000" w:themeColor="text1"/>
          <w:sz w:val="24"/>
          <w:szCs w:val="24"/>
          <w:highlight w:val="none"/>
          <w14:textFill>
            <w14:solidFill>
              <w14:schemeClr w14:val="tx1"/>
            </w14:solidFill>
          </w14:textFill>
        </w:rPr>
        <w:t>的规定提出，否则视同理解和接受。</w:t>
      </w:r>
    </w:p>
    <w:p>
      <w:pPr>
        <w:pStyle w:val="26"/>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投标人应承诺在与招标人签订合同后，在头屯河农场辖区内设有固定办公场所和固定车辆停放场所。</w:t>
      </w:r>
    </w:p>
    <w:p>
      <w:pPr>
        <w:pStyle w:val="26"/>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投标人应承诺向招标人提供不少于20人的头屯河农场辖区困难群众就业岗位。</w:t>
      </w:r>
    </w:p>
    <w:p>
      <w:pPr>
        <w:pStyle w:val="26"/>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p>
    <w:p>
      <w:pPr>
        <w:pStyle w:val="26"/>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sectPr>
          <w:pgSz w:w="11906" w:h="16838"/>
          <w:pgMar w:top="1440" w:right="1797" w:bottom="1440" w:left="1797" w:header="851" w:footer="992" w:gutter="0"/>
          <w:pgNumType w:fmt="decimal" w:start="1"/>
          <w:cols w:space="720" w:num="1"/>
          <w:titlePg/>
          <w:docGrid w:type="lines" w:linePitch="312" w:charSpace="0"/>
        </w:sect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投标人必须保证所提供的一切文件、证书、合同等资料的真实性。招标人可以在任何时候进行核查。如有弄虚作假，招标人将上报主管部门，取消其投标资格或中标资格，不予退还投标保证金，并追究其法律责任。如已签订项目合同，招标人有权无条件解除合同，上报主管部门，不予退还履约并追究其法律责任。</w:t>
      </w:r>
    </w:p>
    <w:p>
      <w:pPr>
        <w:pStyle w:val="141"/>
        <w:rPr>
          <w:rFonts w:hint="eastAsia"/>
        </w:rPr>
      </w:pP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附：1.《月考核情况表（夏季）》</w:t>
      </w:r>
    </w:p>
    <w:p>
      <w:pPr>
        <w:numPr>
          <w:ilvl w:val="0"/>
          <w:numId w:val="2"/>
        </w:numPr>
        <w:spacing w:line="360" w:lineRule="auto"/>
        <w:ind w:left="960" w:leftChars="0" w:firstLine="0" w:firstLineChars="0"/>
        <w:rPr>
          <w:rFonts w:hint="eastAsia"/>
        </w:rPr>
      </w:pPr>
      <w:r>
        <w:rPr>
          <w:rFonts w:hint="eastAsia" w:ascii="仿宋" w:hAnsi="仿宋" w:eastAsia="仿宋" w:cs="仿宋"/>
          <w:color w:val="000000" w:themeColor="text1"/>
          <w:sz w:val="24"/>
          <w:highlight w:val="none"/>
          <w:lang w:eastAsia="zh-CN"/>
          <w14:textFill>
            <w14:solidFill>
              <w14:schemeClr w14:val="tx1"/>
            </w14:solidFill>
          </w14:textFill>
        </w:rPr>
        <w:t>《月考核情况表（冬季）》</w:t>
      </w:r>
    </w:p>
    <w:p>
      <w:pPr>
        <w:pStyle w:val="26"/>
        <w:rPr>
          <w:rFonts w:hint="eastAsia"/>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topLinePunct/>
        <w:spacing w:line="400" w:lineRule="exact"/>
        <w:ind w:firstLine="562" w:firstLineChars="200"/>
        <w:jc w:val="center"/>
        <w:rPr>
          <w:rFonts w:hint="eastAsia" w:ascii="仿宋" w:hAnsi="仿宋" w:eastAsia="仿宋" w:cs="仿宋"/>
          <w:b/>
          <w:bCs/>
          <w:color w:val="000000" w:themeColor="text1"/>
          <w:kern w:val="44"/>
          <w:sz w:val="28"/>
          <w:szCs w:val="28"/>
          <w:highlight w:val="none"/>
          <w14:textFill>
            <w14:solidFill>
              <w14:schemeClr w14:val="tx1"/>
            </w14:solidFill>
          </w14:textFill>
        </w:rPr>
        <w:sectPr>
          <w:footerReference r:id="rId4" w:type="first"/>
          <w:footerReference r:id="rId3" w:type="default"/>
          <w:pgSz w:w="11906" w:h="16838"/>
          <w:pgMar w:top="1440" w:right="1797" w:bottom="1440" w:left="1797" w:header="851" w:footer="992" w:gutter="0"/>
          <w:pgNumType w:fmt="decimal" w:start="1"/>
          <w:cols w:space="720" w:num="1"/>
          <w:titlePg/>
          <w:docGrid w:type="lines" w:linePitch="312" w:charSpace="0"/>
        </w:sectPr>
      </w:pPr>
    </w:p>
    <w:tbl>
      <w:tblPr>
        <w:tblStyle w:val="38"/>
        <w:tblW w:w="15972" w:type="dxa"/>
        <w:jc w:val="center"/>
        <w:tblLayout w:type="fixed"/>
        <w:tblCellMar>
          <w:top w:w="0" w:type="dxa"/>
          <w:left w:w="0" w:type="dxa"/>
          <w:bottom w:w="0" w:type="dxa"/>
          <w:right w:w="0" w:type="dxa"/>
        </w:tblCellMar>
      </w:tblPr>
      <w:tblGrid>
        <w:gridCol w:w="1214"/>
        <w:gridCol w:w="6219"/>
        <w:gridCol w:w="6276"/>
        <w:gridCol w:w="1542"/>
        <w:gridCol w:w="721"/>
      </w:tblGrid>
      <w:tr>
        <w:tblPrEx>
          <w:tblCellMar>
            <w:top w:w="0" w:type="dxa"/>
            <w:left w:w="0" w:type="dxa"/>
            <w:bottom w:w="0" w:type="dxa"/>
            <w:right w:w="0" w:type="dxa"/>
          </w:tblCellMar>
        </w:tblPrEx>
        <w:trPr>
          <w:trHeight w:val="259" w:hRule="atLeast"/>
          <w:jc w:val="center"/>
        </w:trPr>
        <w:tc>
          <w:tcPr>
            <w:tcW w:w="15972" w:type="dxa"/>
            <w:gridSpan w:val="5"/>
            <w:tcBorders>
              <w:top w:val="nil"/>
              <w:left w:val="nil"/>
              <w:bottom w:val="nil"/>
              <w:right w:val="nil"/>
            </w:tcBorders>
            <w:noWrap w:val="0"/>
            <w:tcMar>
              <w:top w:w="15" w:type="dxa"/>
              <w:left w:w="15" w:type="dxa"/>
              <w:right w:w="15" w:type="dxa"/>
            </w:tcMar>
            <w:vAlign w:val="top"/>
          </w:tcPr>
          <w:p>
            <w:pPr>
              <w:widowControl/>
              <w:spacing w:line="400" w:lineRule="exact"/>
              <w:textAlignment w:val="center"/>
              <w:rPr>
                <w:rFonts w:eastAsia="方正小标宋_GBK"/>
                <w:color w:val="000000"/>
                <w:sz w:val="36"/>
                <w:szCs w:val="36"/>
                <w:u w:val="single"/>
              </w:rPr>
            </w:pPr>
            <w:r>
              <w:rPr>
                <w:rStyle w:val="172"/>
                <w:rFonts w:hint="default" w:ascii="方正仿宋_GBK" w:hAnsi="方正仿宋_GBK" w:eastAsia="方正仿宋_GBK" w:cs="方正仿宋_GBK"/>
                <w:sz w:val="32"/>
                <w:szCs w:val="32"/>
                <w:lang w:bidi="ar"/>
              </w:rPr>
              <w:t xml:space="preserve">附件1： </w:t>
            </w:r>
            <w:r>
              <w:rPr>
                <w:rStyle w:val="172"/>
                <w:rFonts w:hint="default" w:ascii="Times New Roman" w:hAnsi="Times New Roman" w:cs="Times New Roman"/>
                <w:sz w:val="36"/>
                <w:szCs w:val="36"/>
                <w:lang w:bidi="ar"/>
              </w:rPr>
              <w:t xml:space="preserve">          </w:t>
            </w:r>
            <w:r>
              <w:rPr>
                <w:rStyle w:val="172"/>
                <w:rFonts w:hint="default" w:cs="Times New Roman"/>
                <w:sz w:val="36"/>
                <w:szCs w:val="36"/>
                <w:lang w:bidi="ar"/>
              </w:rPr>
              <w:t xml:space="preserve">      </w:t>
            </w:r>
            <w:r>
              <w:rPr>
                <w:rStyle w:val="172"/>
                <w:rFonts w:hint="default" w:ascii="Times New Roman" w:hAnsi="Times New Roman" w:cs="Times New Roman"/>
                <w:sz w:val="36"/>
                <w:szCs w:val="36"/>
                <w:u w:val="single"/>
                <w:lang w:bidi="ar"/>
              </w:rPr>
              <w:t xml:space="preserve">         </w:t>
            </w:r>
            <w:r>
              <w:rPr>
                <w:rStyle w:val="172"/>
                <w:rFonts w:hint="default" w:cs="Times New Roman"/>
                <w:sz w:val="36"/>
                <w:szCs w:val="36"/>
                <w:u w:val="single"/>
                <w:lang w:bidi="ar"/>
              </w:rPr>
              <w:t xml:space="preserve"> </w:t>
            </w:r>
            <w:r>
              <w:rPr>
                <w:rStyle w:val="172"/>
                <w:rFonts w:hint="default" w:ascii="Times New Roman" w:hAnsi="Times New Roman" w:cs="Times New Roman"/>
                <w:sz w:val="36"/>
                <w:szCs w:val="36"/>
                <w:lang w:bidi="ar"/>
              </w:rPr>
              <w:t>年</w:t>
            </w:r>
            <w:r>
              <w:rPr>
                <w:rStyle w:val="197"/>
                <w:rFonts w:hint="eastAsia"/>
                <w:u w:val="single"/>
                <w:lang w:bidi="ar"/>
              </w:rPr>
              <w:t xml:space="preserve"> </w:t>
            </w:r>
            <w:r>
              <w:rPr>
                <w:rStyle w:val="197"/>
                <w:u w:val="single"/>
                <w:lang w:bidi="ar"/>
              </w:rPr>
              <w:t xml:space="preserve"> </w:t>
            </w:r>
            <w:r>
              <w:rPr>
                <w:rStyle w:val="197"/>
                <w:rFonts w:hint="eastAsia"/>
                <w:u w:val="single"/>
                <w:lang w:bidi="ar"/>
              </w:rPr>
              <w:t xml:space="preserve"> </w:t>
            </w:r>
            <w:r>
              <w:rPr>
                <w:rStyle w:val="172"/>
                <w:rFonts w:hint="default" w:ascii="Times New Roman" w:hAnsi="Times New Roman" w:cs="Times New Roman"/>
                <w:sz w:val="36"/>
                <w:szCs w:val="36"/>
                <w:lang w:bidi="ar"/>
              </w:rPr>
              <w:t>月考核情况表(夏季</w:t>
            </w:r>
            <w:r>
              <w:rPr>
                <w:rStyle w:val="172"/>
                <w:rFonts w:hint="default" w:ascii="Times New Roman" w:hAnsi="Times New Roman" w:cs="Times New Roman"/>
                <w:sz w:val="28"/>
                <w:szCs w:val="28"/>
                <w:lang w:bidi="ar"/>
              </w:rPr>
              <w:t>4月1日至9月30日</w:t>
            </w:r>
            <w:r>
              <w:rPr>
                <w:rStyle w:val="172"/>
                <w:rFonts w:hint="default" w:ascii="Times New Roman" w:hAnsi="Times New Roman" w:cs="Times New Roman"/>
                <w:sz w:val="36"/>
                <w:szCs w:val="36"/>
                <w:lang w:bidi="ar"/>
              </w:rPr>
              <w:t>)</w:t>
            </w:r>
          </w:p>
        </w:tc>
      </w:tr>
      <w:tr>
        <w:tblPrEx>
          <w:tblCellMar>
            <w:top w:w="0" w:type="dxa"/>
            <w:left w:w="0" w:type="dxa"/>
            <w:bottom w:w="0" w:type="dxa"/>
            <w:right w:w="0" w:type="dxa"/>
          </w:tblCellMar>
        </w:tblPrEx>
        <w:trPr>
          <w:trHeight w:val="259" w:hRule="atLeast"/>
          <w:jc w:val="center"/>
        </w:trPr>
        <w:tc>
          <w:tcPr>
            <w:tcW w:w="15972" w:type="dxa"/>
            <w:gridSpan w:val="5"/>
            <w:tcBorders>
              <w:top w:val="nil"/>
              <w:left w:val="nil"/>
              <w:bottom w:val="nil"/>
              <w:right w:val="nil"/>
            </w:tcBorders>
            <w:noWrap w:val="0"/>
            <w:tcMar>
              <w:top w:w="15" w:type="dxa"/>
              <w:left w:w="15" w:type="dxa"/>
              <w:right w:w="15" w:type="dxa"/>
            </w:tcMar>
            <w:vAlign w:val="center"/>
          </w:tcPr>
          <w:p>
            <w:pPr>
              <w:widowControl/>
              <w:spacing w:line="400" w:lineRule="exact"/>
              <w:jc w:val="left"/>
              <w:textAlignment w:val="center"/>
              <w:rPr>
                <w:rFonts w:eastAsia="方正仿宋_GBK"/>
                <w:color w:val="000000"/>
                <w:sz w:val="30"/>
                <w:szCs w:val="30"/>
              </w:rPr>
            </w:pPr>
            <w:r>
              <w:rPr>
                <w:rFonts w:eastAsia="方正仿宋_GBK"/>
                <w:color w:val="000000"/>
                <w:kern w:val="0"/>
                <w:sz w:val="30"/>
                <w:szCs w:val="30"/>
                <w:lang w:bidi="ar"/>
              </w:rPr>
              <w:t xml:space="preserve">被考核单位： </w:t>
            </w:r>
            <w:r>
              <w:rPr>
                <w:rFonts w:hint="eastAsia" w:eastAsia="方正仿宋_GBK"/>
                <w:color w:val="000000"/>
                <w:kern w:val="0"/>
                <w:sz w:val="30"/>
                <w:szCs w:val="30"/>
                <w:lang w:bidi="ar"/>
              </w:rPr>
              <w:t xml:space="preserve">       </w:t>
            </w:r>
            <w:r>
              <w:rPr>
                <w:rFonts w:eastAsia="方正仿宋_GBK"/>
                <w:color w:val="000000"/>
                <w:kern w:val="0"/>
                <w:sz w:val="30"/>
                <w:szCs w:val="30"/>
                <w:lang w:bidi="ar"/>
              </w:rPr>
              <w:t xml:space="preserve">                                                                     得分：</w:t>
            </w:r>
          </w:p>
        </w:tc>
      </w:tr>
      <w:tr>
        <w:tblPrEx>
          <w:tblCellMar>
            <w:top w:w="0" w:type="dxa"/>
            <w:left w:w="0" w:type="dxa"/>
            <w:bottom w:w="0" w:type="dxa"/>
            <w:right w:w="0" w:type="dxa"/>
          </w:tblCellMar>
        </w:tblPrEx>
        <w:trPr>
          <w:trHeight w:val="340" w:hRule="atLeast"/>
          <w:jc w:val="center"/>
        </w:trPr>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sz w:val="24"/>
              </w:rPr>
            </w:pPr>
            <w:r>
              <w:rPr>
                <w:rFonts w:ascii="宋体" w:hAnsi="宋体"/>
                <w:b/>
                <w:bCs/>
                <w:sz w:val="24"/>
              </w:rPr>
              <w:t>考核项目</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sz w:val="24"/>
              </w:rPr>
            </w:pPr>
            <w:r>
              <w:rPr>
                <w:rFonts w:hint="eastAsia" w:ascii="宋体" w:hAnsi="宋体"/>
                <w:b/>
                <w:bCs/>
                <w:sz w:val="24"/>
              </w:rPr>
              <w:t>考核内容及标准</w:t>
            </w:r>
          </w:p>
        </w:tc>
        <w:tc>
          <w:tcPr>
            <w:tcW w:w="6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sz w:val="24"/>
              </w:rPr>
            </w:pPr>
            <w:r>
              <w:rPr>
                <w:rFonts w:hint="eastAsia" w:ascii="宋体" w:hAnsi="宋体"/>
                <w:b/>
                <w:bCs/>
                <w:sz w:val="24"/>
              </w:rPr>
              <w:t>考核办法</w:t>
            </w:r>
          </w:p>
        </w:tc>
        <w:tc>
          <w:tcPr>
            <w:tcW w:w="1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sz w:val="24"/>
              </w:rPr>
            </w:pPr>
            <w:r>
              <w:rPr>
                <w:rFonts w:ascii="宋体" w:hAnsi="宋体"/>
                <w:b/>
                <w:bCs/>
                <w:sz w:val="24"/>
              </w:rPr>
              <w:t>存在的问题</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sz w:val="24"/>
              </w:rPr>
            </w:pPr>
            <w:r>
              <w:rPr>
                <w:rFonts w:ascii="宋体" w:hAnsi="宋体"/>
                <w:b/>
                <w:bCs/>
                <w:sz w:val="24"/>
              </w:rPr>
              <w:t>扣分</w:t>
            </w:r>
          </w:p>
        </w:tc>
      </w:tr>
      <w:tr>
        <w:tblPrEx>
          <w:tblCellMar>
            <w:top w:w="0" w:type="dxa"/>
            <w:left w:w="0" w:type="dxa"/>
            <w:bottom w:w="0" w:type="dxa"/>
            <w:right w:w="0" w:type="dxa"/>
          </w:tblCellMar>
        </w:tblPrEx>
        <w:trPr>
          <w:trHeight w:val="1661" w:hRule="atLeast"/>
          <w:jc w:val="center"/>
        </w:trPr>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kern w:val="0"/>
                <w:szCs w:val="21"/>
                <w:lang w:bidi="ar"/>
              </w:rPr>
            </w:pPr>
            <w:r>
              <w:rPr>
                <w:rFonts w:eastAsia="方正仿宋_GBK"/>
                <w:color w:val="000000"/>
                <w:kern w:val="0"/>
                <w:szCs w:val="21"/>
                <w:lang w:bidi="ar"/>
              </w:rPr>
              <w:t>道路清扫保洁、洒水</w:t>
            </w:r>
          </w:p>
          <w:p>
            <w:pPr>
              <w:widowControl/>
              <w:spacing w:line="240" w:lineRule="exact"/>
              <w:jc w:val="center"/>
              <w:textAlignment w:val="center"/>
              <w:rPr>
                <w:rFonts w:eastAsia="方正仿宋_GBK"/>
                <w:color w:val="000000"/>
                <w:szCs w:val="21"/>
              </w:rPr>
            </w:pPr>
            <w:r>
              <w:rPr>
                <w:rFonts w:eastAsia="方正仿宋_GBK"/>
                <w:color w:val="000000"/>
                <w:kern w:val="0"/>
                <w:szCs w:val="21"/>
                <w:lang w:bidi="ar"/>
              </w:rPr>
              <w:t>(20分)</w:t>
            </w:r>
          </w:p>
        </w:tc>
        <w:tc>
          <w:tcPr>
            <w:tcW w:w="621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1、城镇区域全天两扫两保，工业园区全天两扫一保，次干道、支路、巷道全天一扫一保，2</w:t>
            </w:r>
            <w:r>
              <w:rPr>
                <w:rFonts w:ascii="方正仿宋_GBK" w:hAnsi="宋体" w:eastAsia="方正仿宋_GBK"/>
                <w:w w:val="66"/>
                <w:sz w:val="18"/>
                <w:szCs w:val="18"/>
                <w:lang w:val="zh-CN"/>
              </w:rPr>
              <w:t>0</w:t>
            </w:r>
            <w:r>
              <w:rPr>
                <w:rFonts w:hint="eastAsia" w:ascii="方正仿宋_GBK" w:hAnsi="宋体" w:eastAsia="方正仿宋_GBK"/>
                <w:w w:val="66"/>
                <w:sz w:val="18"/>
                <w:szCs w:val="18"/>
                <w:lang w:val="zh-CN"/>
              </w:rPr>
              <w:t xml:space="preserve">点前完毕。 </w:t>
            </w:r>
          </w:p>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2、清扫保洁作业应达到：“五不”，“五净”，既：不见积水、不见积土，不见纸屑果皮烟头、不露收堆，不乱倒垃圾；路面净，路沿净、人行道净、树坑墙边净、果皮箱净。</w:t>
            </w:r>
          </w:p>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3、人行道花砖缝隙无明显污物。</w:t>
            </w:r>
          </w:p>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4、路边绿地、街心、花园、街道树穴内应干净、整洁，无垃圾污物。</w:t>
            </w:r>
          </w:p>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5、洒水降尘，正常温度下每天洒水不少于1次，气温高达</w:t>
            </w:r>
            <w:r>
              <w:rPr>
                <w:rFonts w:ascii="方正仿宋_GBK" w:hAnsi="宋体" w:eastAsia="方正仿宋_GBK"/>
                <w:w w:val="66"/>
                <w:sz w:val="18"/>
                <w:szCs w:val="18"/>
                <w:lang w:val="zh-CN"/>
              </w:rPr>
              <w:t>30</w:t>
            </w:r>
            <w:r>
              <w:rPr>
                <w:rFonts w:hint="eastAsia" w:ascii="方正仿宋_GBK" w:hAnsi="宋体" w:eastAsia="方正仿宋_GBK"/>
                <w:w w:val="66"/>
                <w:sz w:val="18"/>
                <w:szCs w:val="18"/>
                <w:lang w:val="zh-CN"/>
              </w:rPr>
              <w:t>℃每天洒水不少于2次，3</w:t>
            </w:r>
            <w:r>
              <w:rPr>
                <w:rFonts w:ascii="方正仿宋_GBK" w:hAnsi="宋体" w:eastAsia="方正仿宋_GBK"/>
                <w:w w:val="66"/>
                <w:sz w:val="18"/>
                <w:szCs w:val="18"/>
                <w:lang w:val="zh-CN"/>
              </w:rPr>
              <w:t>5</w:t>
            </w:r>
            <w:r>
              <w:rPr>
                <w:rFonts w:hint="eastAsia" w:ascii="方正仿宋_GBK" w:hAnsi="宋体" w:eastAsia="方正仿宋_GBK"/>
                <w:w w:val="66"/>
                <w:sz w:val="18"/>
                <w:szCs w:val="18"/>
                <w:lang w:val="zh-CN"/>
              </w:rPr>
              <w:t>℃以上每天洒水不少于</w:t>
            </w:r>
            <w:r>
              <w:rPr>
                <w:rFonts w:ascii="方正仿宋_GBK" w:hAnsi="宋体" w:eastAsia="方正仿宋_GBK"/>
                <w:w w:val="66"/>
                <w:sz w:val="18"/>
                <w:szCs w:val="18"/>
                <w:lang w:val="zh-CN"/>
              </w:rPr>
              <w:t>3</w:t>
            </w:r>
            <w:r>
              <w:rPr>
                <w:rFonts w:hint="eastAsia" w:ascii="方正仿宋_GBK" w:hAnsi="宋体" w:eastAsia="方正仿宋_GBK"/>
                <w:w w:val="66"/>
                <w:sz w:val="18"/>
                <w:szCs w:val="18"/>
                <w:lang w:val="zh-CN"/>
              </w:rPr>
              <w:t>次。</w:t>
            </w:r>
          </w:p>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6、保洁人员工作期间必须着装统一工作服。</w:t>
            </w:r>
          </w:p>
        </w:tc>
        <w:tc>
          <w:tcPr>
            <w:tcW w:w="627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1、未在规定的时间完成清扫作业，每处扣1分，机动车道有垃圾污物和明显尘土，每处扣0.5分。</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lang w:val="zh-CN"/>
              </w:rPr>
              <w:t>2</w:t>
            </w:r>
            <w:r>
              <w:rPr>
                <w:rFonts w:hint="eastAsia" w:ascii="方正仿宋_GBK" w:hAnsi="宋体" w:eastAsia="方正仿宋_GBK"/>
                <w:w w:val="66"/>
                <w:sz w:val="18"/>
                <w:szCs w:val="18"/>
                <w:lang w:val="zh-CN"/>
              </w:rPr>
              <w:t>、机动车道有纸屑、果皮、烟头等污物，每处扣1分，未按规定时间、次数洒水降尘，扣1分。</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lang w:val="zh-CN"/>
              </w:rPr>
              <w:t>3</w:t>
            </w:r>
            <w:r>
              <w:rPr>
                <w:rFonts w:hint="eastAsia" w:ascii="方正仿宋_GBK" w:hAnsi="宋体" w:eastAsia="方正仿宋_GBK"/>
                <w:w w:val="66"/>
                <w:sz w:val="18"/>
                <w:szCs w:val="18"/>
                <w:lang w:val="zh-CN"/>
              </w:rPr>
              <w:t>、设施完善的道路，路面有积水的，每处扣0.5分，清扫后未及时清理，有漏收堆的现象，每处扣1分。</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lang w:val="zh-CN"/>
              </w:rPr>
              <w:t>4</w:t>
            </w:r>
            <w:r>
              <w:rPr>
                <w:rFonts w:hint="eastAsia" w:ascii="方正仿宋_GBK" w:hAnsi="宋体" w:eastAsia="方正仿宋_GBK"/>
                <w:w w:val="66"/>
                <w:sz w:val="18"/>
                <w:szCs w:val="18"/>
                <w:lang w:val="zh-CN"/>
              </w:rPr>
              <w:t>、人行道每500平方米内果皮纸屑超过一处，扣1分，人行道花砖缝隙有明显污物的，每处扣0.5分。</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lang w:val="zh-CN"/>
              </w:rPr>
              <w:t>5</w:t>
            </w:r>
            <w:r>
              <w:rPr>
                <w:rFonts w:hint="eastAsia" w:ascii="方正仿宋_GBK" w:hAnsi="宋体" w:eastAsia="方正仿宋_GBK"/>
                <w:w w:val="66"/>
                <w:sz w:val="18"/>
                <w:szCs w:val="18"/>
                <w:lang w:val="zh-CN"/>
              </w:rPr>
              <w:t>、清扫保洁后，垃圾污物未倾倒至指定地点，有乱倒垃圾现象，每处扣</w:t>
            </w:r>
            <w:r>
              <w:rPr>
                <w:rFonts w:ascii="方正仿宋_GBK" w:hAnsi="宋体" w:eastAsia="方正仿宋_GBK"/>
                <w:w w:val="66"/>
                <w:sz w:val="18"/>
                <w:szCs w:val="18"/>
                <w:lang w:val="zh-CN"/>
              </w:rPr>
              <w:t>2</w:t>
            </w:r>
            <w:r>
              <w:rPr>
                <w:rFonts w:hint="eastAsia" w:ascii="方正仿宋_GBK" w:hAnsi="宋体" w:eastAsia="方正仿宋_GBK"/>
                <w:w w:val="66"/>
                <w:sz w:val="18"/>
                <w:szCs w:val="18"/>
                <w:lang w:val="zh-CN"/>
              </w:rPr>
              <w:t>分。</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lang w:val="zh-CN"/>
              </w:rPr>
              <w:t>6</w:t>
            </w:r>
            <w:r>
              <w:rPr>
                <w:rFonts w:hint="eastAsia" w:ascii="方正仿宋_GBK" w:hAnsi="宋体" w:eastAsia="方正仿宋_GBK"/>
                <w:w w:val="66"/>
                <w:sz w:val="18"/>
                <w:szCs w:val="18"/>
                <w:lang w:val="zh-CN"/>
              </w:rPr>
              <w:t>、路边绿地、街心花园、行道树穴有垃圾污物，每处扣0.5分。</w:t>
            </w:r>
          </w:p>
          <w:p>
            <w:pPr>
              <w:spacing w:line="240" w:lineRule="exact"/>
              <w:rPr>
                <w:rFonts w:ascii="方正仿宋_GBK" w:hAnsi="宋体" w:eastAsia="方正仿宋_GBK"/>
                <w:w w:val="66"/>
                <w:sz w:val="18"/>
                <w:szCs w:val="18"/>
                <w:lang w:val="zh-CN"/>
              </w:rPr>
            </w:pPr>
            <w:r>
              <w:rPr>
                <w:rFonts w:ascii="方正仿宋_GBK" w:hAnsi="宋体" w:eastAsia="方正仿宋_GBK"/>
                <w:w w:val="66"/>
                <w:sz w:val="18"/>
                <w:szCs w:val="18"/>
                <w:lang w:val="zh-CN"/>
              </w:rPr>
              <w:t>7</w:t>
            </w:r>
            <w:r>
              <w:rPr>
                <w:rFonts w:hint="eastAsia" w:ascii="方正仿宋_GBK" w:hAnsi="宋体" w:eastAsia="方正仿宋_GBK"/>
                <w:w w:val="66"/>
                <w:sz w:val="18"/>
                <w:szCs w:val="18"/>
                <w:lang w:val="zh-CN"/>
              </w:rPr>
              <w:t>、保洁人员工作期间必须着装统一工作服，扣1分。</w:t>
            </w:r>
          </w:p>
        </w:tc>
        <w:tc>
          <w:tcPr>
            <w:tcW w:w="154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000000"/>
                <w:sz w:val="18"/>
                <w:szCs w:val="18"/>
              </w:rPr>
            </w:pPr>
          </w:p>
        </w:tc>
      </w:tr>
      <w:tr>
        <w:tblPrEx>
          <w:tblCellMar>
            <w:top w:w="0" w:type="dxa"/>
            <w:left w:w="0" w:type="dxa"/>
            <w:bottom w:w="0" w:type="dxa"/>
            <w:right w:w="0" w:type="dxa"/>
          </w:tblCellMar>
        </w:tblPrEx>
        <w:trPr>
          <w:trHeight w:val="1113" w:hRule="atLeast"/>
          <w:jc w:val="center"/>
        </w:trPr>
        <w:tc>
          <w:tcPr>
            <w:tcW w:w="121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kern w:val="0"/>
                <w:szCs w:val="21"/>
                <w:lang w:bidi="ar"/>
              </w:rPr>
            </w:pPr>
            <w:r>
              <w:rPr>
                <w:rFonts w:eastAsia="方正仿宋_GBK"/>
                <w:color w:val="000000"/>
                <w:kern w:val="0"/>
                <w:szCs w:val="21"/>
                <w:lang w:bidi="ar"/>
              </w:rPr>
              <w:t>牛皮癣清除、设施清洁</w:t>
            </w:r>
          </w:p>
          <w:p>
            <w:pPr>
              <w:widowControl/>
              <w:spacing w:line="240" w:lineRule="exact"/>
              <w:jc w:val="center"/>
              <w:textAlignment w:val="center"/>
              <w:rPr>
                <w:rFonts w:eastAsia="方正仿宋_GBK"/>
                <w:color w:val="000000"/>
                <w:szCs w:val="21"/>
              </w:rPr>
            </w:pPr>
            <w:r>
              <w:rPr>
                <w:rFonts w:eastAsia="方正仿宋_GBK"/>
                <w:color w:val="000000"/>
                <w:kern w:val="0"/>
                <w:szCs w:val="21"/>
                <w:lang w:bidi="ar"/>
              </w:rPr>
              <w:t>(15分)</w:t>
            </w:r>
          </w:p>
        </w:tc>
        <w:tc>
          <w:tcPr>
            <w:tcW w:w="62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1、</w:t>
            </w:r>
            <w:r>
              <w:rPr>
                <w:rFonts w:hint="eastAsia" w:ascii="方正仿宋_GBK" w:hAnsi="宋体" w:eastAsia="方正仿宋_GBK"/>
                <w:w w:val="66"/>
                <w:sz w:val="18"/>
                <w:szCs w:val="18"/>
              </w:rPr>
              <w:t>公共地段“牛皮癣”清理工作</w:t>
            </w:r>
            <w:r>
              <w:rPr>
                <w:rFonts w:hint="eastAsia" w:ascii="方正仿宋_GBK" w:hAnsi="宋体" w:eastAsia="方正仿宋_GBK"/>
                <w:w w:val="66"/>
                <w:sz w:val="18"/>
                <w:szCs w:val="18"/>
                <w:lang w:val="zh-CN"/>
              </w:rPr>
              <w:t>。</w:t>
            </w:r>
          </w:p>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2、</w:t>
            </w:r>
            <w:r>
              <w:rPr>
                <w:rFonts w:hint="eastAsia" w:ascii="方正仿宋_GBK" w:hAnsi="宋体" w:eastAsia="方正仿宋_GBK"/>
                <w:w w:val="66"/>
                <w:sz w:val="18"/>
                <w:szCs w:val="18"/>
              </w:rPr>
              <w:t>果皮箱内的垃圾应及时清除，清掏要彻底，无垃圾残留、满溢和散落，箱体周围地面应无抛洒、存留垃圾。及时擦洗果皮箱，做到无痰（涕）迹、无灰尘、无污垢</w:t>
            </w:r>
            <w:r>
              <w:rPr>
                <w:rFonts w:hint="eastAsia" w:ascii="方正仿宋_GBK" w:hAnsi="宋体" w:eastAsia="方正仿宋_GBK"/>
                <w:w w:val="66"/>
                <w:sz w:val="18"/>
                <w:szCs w:val="18"/>
                <w:lang w:val="zh-CN"/>
              </w:rPr>
              <w:t>。</w:t>
            </w:r>
          </w:p>
          <w:p>
            <w:pPr>
              <w:spacing w:line="240" w:lineRule="exact"/>
              <w:rPr>
                <w:rFonts w:hint="eastAsia" w:ascii="方正仿宋_GBK" w:hAnsi="宋体" w:eastAsia="方正仿宋_GBK"/>
                <w:w w:val="66"/>
                <w:sz w:val="18"/>
                <w:szCs w:val="18"/>
              </w:rPr>
            </w:pPr>
            <w:r>
              <w:rPr>
                <w:rFonts w:hint="eastAsia" w:ascii="方正仿宋_GBK" w:hAnsi="宋体" w:eastAsia="方正仿宋_GBK"/>
                <w:w w:val="66"/>
                <w:sz w:val="18"/>
                <w:szCs w:val="18"/>
                <w:lang w:val="zh-CN"/>
              </w:rPr>
              <w:t>3、“城市家具”（路灯杆及附着物、果皮箱、监控杆、交通指示灯、路牌标识、隔离墩等道路设施）</w:t>
            </w:r>
            <w:r>
              <w:rPr>
                <w:rFonts w:hint="eastAsia" w:ascii="方正仿宋_GBK" w:hAnsi="宋体" w:eastAsia="方正仿宋_GBK"/>
                <w:w w:val="66"/>
                <w:sz w:val="18"/>
                <w:szCs w:val="18"/>
              </w:rPr>
              <w:t>干净、整洁。</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rPr>
              <w:t>4</w:t>
            </w:r>
            <w:r>
              <w:rPr>
                <w:rFonts w:hint="eastAsia" w:ascii="方正仿宋_GBK" w:hAnsi="宋体" w:eastAsia="方正仿宋_GBK"/>
                <w:w w:val="66"/>
                <w:sz w:val="18"/>
                <w:szCs w:val="18"/>
                <w:lang w:val="zh-CN"/>
              </w:rPr>
              <w:t>、垃圾收集</w:t>
            </w:r>
            <w:r>
              <w:rPr>
                <w:rFonts w:hint="eastAsia" w:ascii="方正仿宋_GBK" w:hAnsi="宋体" w:eastAsia="方正仿宋_GBK"/>
                <w:w w:val="66"/>
                <w:sz w:val="18"/>
                <w:szCs w:val="18"/>
              </w:rPr>
              <w:t>设施</w:t>
            </w:r>
            <w:r>
              <w:rPr>
                <w:rFonts w:hint="eastAsia" w:ascii="方正仿宋_GBK" w:hAnsi="宋体" w:eastAsia="方正仿宋_GBK"/>
                <w:w w:val="66"/>
                <w:sz w:val="18"/>
                <w:szCs w:val="18"/>
                <w:lang w:val="zh-CN"/>
              </w:rPr>
              <w:t>应定期清洗、消毒。</w:t>
            </w:r>
          </w:p>
          <w:p>
            <w:pPr>
              <w:spacing w:line="240" w:lineRule="exact"/>
              <w:rPr>
                <w:rFonts w:eastAsia="方正仿宋_GBK"/>
                <w:color w:val="000000"/>
                <w:w w:val="66"/>
                <w:kern w:val="0"/>
                <w:sz w:val="18"/>
                <w:szCs w:val="18"/>
                <w:lang w:bidi="ar"/>
              </w:rPr>
            </w:pPr>
            <w:r>
              <w:rPr>
                <w:rFonts w:ascii="方正仿宋_GBK" w:hAnsi="宋体" w:eastAsia="方正仿宋_GBK"/>
                <w:w w:val="66"/>
                <w:sz w:val="18"/>
                <w:szCs w:val="18"/>
              </w:rPr>
              <w:t>5</w:t>
            </w:r>
            <w:r>
              <w:rPr>
                <w:rFonts w:hint="eastAsia" w:ascii="方正仿宋_GBK" w:hAnsi="宋体" w:eastAsia="方正仿宋_GBK"/>
                <w:w w:val="66"/>
                <w:sz w:val="18"/>
                <w:szCs w:val="18"/>
              </w:rPr>
              <w:t>、公共地段摆放垃圾设施干净、整洁，摆放规范</w:t>
            </w:r>
            <w:r>
              <w:rPr>
                <w:rFonts w:hint="eastAsia" w:ascii="方正仿宋_GBK" w:hAnsi="宋体" w:eastAsia="方正仿宋_GBK"/>
                <w:w w:val="66"/>
                <w:sz w:val="18"/>
                <w:szCs w:val="18"/>
                <w:lang w:val="zh-CN"/>
              </w:rPr>
              <w:t>。</w:t>
            </w:r>
          </w:p>
        </w:tc>
        <w:tc>
          <w:tcPr>
            <w:tcW w:w="62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1、</w:t>
            </w:r>
            <w:r>
              <w:rPr>
                <w:rFonts w:hint="eastAsia" w:ascii="方正仿宋_GBK" w:hAnsi="宋体" w:eastAsia="方正仿宋_GBK"/>
                <w:w w:val="66"/>
                <w:sz w:val="18"/>
                <w:szCs w:val="18"/>
              </w:rPr>
              <w:t>公共地段“牛皮癣”未清除，每处扣1分；清除不彻底</w:t>
            </w:r>
            <w:r>
              <w:rPr>
                <w:rFonts w:hint="eastAsia" w:ascii="方正仿宋_GBK" w:hAnsi="宋体" w:eastAsia="方正仿宋_GBK"/>
                <w:w w:val="66"/>
                <w:sz w:val="18"/>
                <w:szCs w:val="18"/>
                <w:lang w:val="zh-CN"/>
              </w:rPr>
              <w:t>每处扣0.5分。</w:t>
            </w:r>
          </w:p>
          <w:p>
            <w:pPr>
              <w:spacing w:line="240" w:lineRule="exact"/>
              <w:rPr>
                <w:rFonts w:ascii="方正仿宋_GBK" w:hAnsi="宋体" w:eastAsia="方正仿宋_GBK"/>
                <w:w w:val="66"/>
                <w:sz w:val="18"/>
                <w:szCs w:val="18"/>
              </w:rPr>
            </w:pPr>
            <w:r>
              <w:rPr>
                <w:rFonts w:hint="eastAsia" w:ascii="方正仿宋_GBK" w:hAnsi="宋体" w:eastAsia="方正仿宋_GBK"/>
                <w:w w:val="66"/>
                <w:sz w:val="18"/>
                <w:szCs w:val="18"/>
                <w:lang w:val="zh-CN"/>
              </w:rPr>
              <w:t>2、</w:t>
            </w:r>
            <w:r>
              <w:rPr>
                <w:rFonts w:hint="eastAsia" w:ascii="方正仿宋_GBK" w:hAnsi="宋体" w:eastAsia="方正仿宋_GBK"/>
                <w:w w:val="66"/>
                <w:sz w:val="18"/>
                <w:szCs w:val="18"/>
              </w:rPr>
              <w:t>果皮箱有灰尘、脏污，</w:t>
            </w:r>
            <w:r>
              <w:rPr>
                <w:rFonts w:hint="eastAsia" w:ascii="方正仿宋_GBK" w:hAnsi="宋体" w:eastAsia="方正仿宋_GBK"/>
                <w:w w:val="66"/>
                <w:sz w:val="18"/>
                <w:szCs w:val="18"/>
                <w:lang w:val="zh-CN"/>
              </w:rPr>
              <w:t>每处扣1分；</w:t>
            </w:r>
            <w:r>
              <w:rPr>
                <w:rFonts w:hint="eastAsia" w:ascii="方正仿宋_GBK" w:hAnsi="宋体" w:eastAsia="方正仿宋_GBK"/>
                <w:w w:val="66"/>
                <w:sz w:val="18"/>
                <w:szCs w:val="18"/>
              </w:rPr>
              <w:t>清掏不及时、满溢扣1分</w:t>
            </w:r>
            <w:r>
              <w:rPr>
                <w:rFonts w:hint="eastAsia" w:ascii="方正仿宋_GBK" w:hAnsi="宋体" w:eastAsia="方正仿宋_GBK"/>
                <w:w w:val="66"/>
                <w:sz w:val="18"/>
                <w:szCs w:val="18"/>
                <w:lang w:val="zh-CN"/>
              </w:rPr>
              <w:t>；</w:t>
            </w:r>
            <w:r>
              <w:rPr>
                <w:rFonts w:hint="eastAsia" w:ascii="方正仿宋_GBK" w:hAnsi="宋体" w:eastAsia="方正仿宋_GBK"/>
                <w:w w:val="66"/>
                <w:sz w:val="18"/>
                <w:szCs w:val="18"/>
              </w:rPr>
              <w:t>果皮箱周边有散落垃圾，每处扣1分。</w:t>
            </w:r>
          </w:p>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3、路灯杆及附着物、果皮箱、监控杆、交通指示灯、路牌标识、隔离墩等道路设施</w:t>
            </w:r>
            <w:r>
              <w:rPr>
                <w:rFonts w:hint="eastAsia" w:ascii="方正仿宋_GBK" w:hAnsi="宋体" w:eastAsia="方正仿宋_GBK"/>
                <w:w w:val="66"/>
                <w:sz w:val="18"/>
                <w:szCs w:val="18"/>
              </w:rPr>
              <w:t>脏污</w:t>
            </w:r>
            <w:r>
              <w:rPr>
                <w:rFonts w:hint="eastAsia" w:ascii="方正仿宋_GBK" w:hAnsi="宋体" w:eastAsia="方正仿宋_GBK"/>
                <w:w w:val="66"/>
                <w:sz w:val="18"/>
                <w:szCs w:val="18"/>
                <w:lang w:val="zh-CN"/>
              </w:rPr>
              <w:t>，每处扣</w:t>
            </w:r>
            <w:r>
              <w:rPr>
                <w:rFonts w:hint="eastAsia" w:ascii="方正仿宋_GBK" w:hAnsi="宋体" w:eastAsia="方正仿宋_GBK"/>
                <w:w w:val="66"/>
                <w:sz w:val="18"/>
                <w:szCs w:val="18"/>
              </w:rPr>
              <w:t>0.5</w:t>
            </w:r>
            <w:r>
              <w:rPr>
                <w:rFonts w:hint="eastAsia" w:ascii="方正仿宋_GBK" w:hAnsi="宋体" w:eastAsia="方正仿宋_GBK"/>
                <w:w w:val="66"/>
                <w:sz w:val="18"/>
                <w:szCs w:val="18"/>
                <w:lang w:val="zh-CN"/>
              </w:rPr>
              <w:t>分。</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lang w:val="zh-CN"/>
              </w:rPr>
              <w:t>4</w:t>
            </w:r>
            <w:r>
              <w:rPr>
                <w:rFonts w:hint="eastAsia" w:ascii="方正仿宋_GBK" w:hAnsi="宋体" w:eastAsia="方正仿宋_GBK"/>
                <w:w w:val="66"/>
                <w:sz w:val="18"/>
                <w:szCs w:val="18"/>
                <w:lang w:val="zh-CN"/>
              </w:rPr>
              <w:t>、垃圾</w:t>
            </w:r>
            <w:r>
              <w:rPr>
                <w:rFonts w:hint="eastAsia" w:ascii="方正仿宋_GBK" w:hAnsi="宋体" w:eastAsia="方正仿宋_GBK"/>
                <w:w w:val="66"/>
                <w:sz w:val="18"/>
                <w:szCs w:val="18"/>
              </w:rPr>
              <w:t>收集设施</w:t>
            </w:r>
            <w:r>
              <w:rPr>
                <w:rFonts w:hint="eastAsia" w:ascii="方正仿宋_GBK" w:hAnsi="宋体" w:eastAsia="方正仿宋_GBK"/>
                <w:w w:val="66"/>
                <w:sz w:val="18"/>
                <w:szCs w:val="18"/>
                <w:lang w:val="zh-CN"/>
              </w:rPr>
              <w:t>未定期消毒，内及周围有蝇蛆，每处扣1分。</w:t>
            </w:r>
          </w:p>
          <w:p>
            <w:pPr>
              <w:spacing w:line="240" w:lineRule="exact"/>
              <w:rPr>
                <w:rFonts w:eastAsia="方正仿宋_GBK"/>
                <w:color w:val="000000"/>
                <w:w w:val="66"/>
                <w:kern w:val="0"/>
                <w:sz w:val="18"/>
                <w:szCs w:val="18"/>
                <w:lang w:bidi="ar"/>
              </w:rPr>
            </w:pPr>
            <w:r>
              <w:rPr>
                <w:rFonts w:ascii="方正仿宋_GBK" w:hAnsi="宋体" w:eastAsia="方正仿宋_GBK"/>
                <w:w w:val="66"/>
                <w:sz w:val="18"/>
                <w:szCs w:val="18"/>
              </w:rPr>
              <w:t>5</w:t>
            </w:r>
            <w:r>
              <w:rPr>
                <w:rFonts w:hint="eastAsia" w:ascii="方正仿宋_GBK" w:hAnsi="宋体" w:eastAsia="方正仿宋_GBK"/>
                <w:w w:val="66"/>
                <w:sz w:val="18"/>
                <w:szCs w:val="18"/>
              </w:rPr>
              <w:t>、公共地段摆放垃圾设施脏污</w:t>
            </w:r>
            <w:r>
              <w:rPr>
                <w:rFonts w:hint="eastAsia" w:ascii="方正仿宋_GBK" w:hAnsi="宋体" w:eastAsia="方正仿宋_GBK"/>
                <w:w w:val="66"/>
                <w:sz w:val="18"/>
                <w:szCs w:val="18"/>
                <w:lang w:val="zh-CN"/>
              </w:rPr>
              <w:t>，每处扣</w:t>
            </w:r>
            <w:r>
              <w:rPr>
                <w:rFonts w:hint="eastAsia" w:ascii="方正仿宋_GBK" w:hAnsi="宋体" w:eastAsia="方正仿宋_GBK"/>
                <w:w w:val="66"/>
                <w:sz w:val="18"/>
                <w:szCs w:val="18"/>
              </w:rPr>
              <w:t>1</w:t>
            </w:r>
            <w:r>
              <w:rPr>
                <w:rFonts w:hint="eastAsia" w:ascii="方正仿宋_GBK" w:hAnsi="宋体" w:eastAsia="方正仿宋_GBK"/>
                <w:w w:val="66"/>
                <w:sz w:val="18"/>
                <w:szCs w:val="18"/>
                <w:lang w:val="zh-CN"/>
              </w:rPr>
              <w:t>分。</w:t>
            </w:r>
          </w:p>
        </w:tc>
        <w:tc>
          <w:tcPr>
            <w:tcW w:w="15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eastAsia" w:eastAsia="方正仿宋_GBK"/>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kern w:val="0"/>
                <w:sz w:val="18"/>
                <w:szCs w:val="18"/>
                <w:lang w:bidi="ar"/>
              </w:rPr>
            </w:pPr>
          </w:p>
        </w:tc>
      </w:tr>
      <w:tr>
        <w:tblPrEx>
          <w:tblCellMar>
            <w:top w:w="0" w:type="dxa"/>
            <w:left w:w="0" w:type="dxa"/>
            <w:bottom w:w="0" w:type="dxa"/>
            <w:right w:w="0" w:type="dxa"/>
          </w:tblCellMar>
        </w:tblPrEx>
        <w:trPr>
          <w:trHeight w:val="976" w:hRule="atLeast"/>
          <w:jc w:val="center"/>
        </w:trPr>
        <w:tc>
          <w:tcPr>
            <w:tcW w:w="12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kern w:val="0"/>
                <w:szCs w:val="21"/>
                <w:lang w:bidi="ar"/>
              </w:rPr>
            </w:pPr>
            <w:r>
              <w:rPr>
                <w:rFonts w:eastAsia="方正仿宋_GBK"/>
                <w:color w:val="000000"/>
                <w:kern w:val="0"/>
                <w:szCs w:val="21"/>
                <w:lang w:bidi="ar"/>
              </w:rPr>
              <w:t>垃圾清运</w:t>
            </w:r>
            <w:r>
              <w:rPr>
                <w:rFonts w:hint="eastAsia" w:eastAsia="方正仿宋_GBK"/>
                <w:color w:val="000000"/>
                <w:kern w:val="0"/>
                <w:szCs w:val="21"/>
                <w:lang w:bidi="ar"/>
              </w:rPr>
              <w:t>及分类</w:t>
            </w:r>
          </w:p>
          <w:p>
            <w:pPr>
              <w:widowControl/>
              <w:spacing w:line="240" w:lineRule="exact"/>
              <w:jc w:val="center"/>
              <w:textAlignment w:val="center"/>
              <w:rPr>
                <w:rFonts w:eastAsia="方正仿宋_GBK"/>
                <w:color w:val="000000"/>
                <w:szCs w:val="21"/>
              </w:rPr>
            </w:pPr>
            <w:r>
              <w:rPr>
                <w:rFonts w:eastAsia="方正仿宋_GBK"/>
                <w:color w:val="000000"/>
                <w:kern w:val="0"/>
                <w:szCs w:val="21"/>
                <w:lang w:bidi="ar"/>
              </w:rPr>
              <w:t>(20分)</w:t>
            </w:r>
          </w:p>
        </w:tc>
        <w:tc>
          <w:tcPr>
            <w:tcW w:w="6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1、垃圾日产日清，垃圾容器不满溢。</w:t>
            </w:r>
          </w:p>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2、清运车辆标志清楚、车辆密封、无抛撒（渗滤液和垃圾）、按指定地点倾倒垃圾，清运车辆运输过程中不得抛洒。</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rPr>
              <w:t>3</w:t>
            </w:r>
            <w:r>
              <w:rPr>
                <w:rFonts w:hint="eastAsia" w:ascii="方正仿宋_GBK" w:hAnsi="宋体" w:eastAsia="方正仿宋_GBK"/>
                <w:w w:val="66"/>
                <w:sz w:val="18"/>
                <w:szCs w:val="18"/>
                <w:lang w:val="zh-CN"/>
              </w:rPr>
              <w:t>、文明装车，车走站净，清运车辆车容整洁，车体无明显污迹。</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rPr>
              <w:t>4</w:t>
            </w:r>
            <w:r>
              <w:rPr>
                <w:rFonts w:hint="eastAsia" w:ascii="方正仿宋_GBK" w:hAnsi="宋体" w:eastAsia="方正仿宋_GBK"/>
                <w:w w:val="66"/>
                <w:sz w:val="18"/>
                <w:szCs w:val="18"/>
                <w:lang w:val="zh-CN"/>
              </w:rPr>
              <w:t>、清运及时，垃圾转</w:t>
            </w:r>
            <w:r>
              <w:rPr>
                <w:rFonts w:hint="eastAsia" w:ascii="方正仿宋_GBK" w:hAnsi="宋体" w:eastAsia="方正仿宋_GBK"/>
                <w:w w:val="66"/>
                <w:sz w:val="18"/>
                <w:szCs w:val="18"/>
              </w:rPr>
              <w:t>运</w:t>
            </w:r>
            <w:r>
              <w:rPr>
                <w:rFonts w:hint="eastAsia" w:ascii="方正仿宋_GBK" w:hAnsi="宋体" w:eastAsia="方正仿宋_GBK"/>
                <w:w w:val="66"/>
                <w:sz w:val="18"/>
                <w:szCs w:val="18"/>
                <w:lang w:val="zh-CN"/>
              </w:rPr>
              <w:t>站</w:t>
            </w:r>
            <w:r>
              <w:rPr>
                <w:rFonts w:hint="eastAsia" w:ascii="方正仿宋_GBK" w:hAnsi="宋体" w:eastAsia="方正仿宋_GBK"/>
                <w:w w:val="66"/>
                <w:sz w:val="18"/>
                <w:szCs w:val="18"/>
              </w:rPr>
              <w:t>按要求进行消杀</w:t>
            </w:r>
            <w:r>
              <w:rPr>
                <w:rFonts w:hint="eastAsia" w:ascii="方正仿宋_GBK" w:hAnsi="宋体" w:eastAsia="方正仿宋_GBK"/>
                <w:w w:val="66"/>
                <w:sz w:val="18"/>
                <w:szCs w:val="18"/>
                <w:lang w:val="zh-CN"/>
              </w:rPr>
              <w:t>。</w:t>
            </w:r>
          </w:p>
          <w:p>
            <w:pPr>
              <w:spacing w:line="240" w:lineRule="exact"/>
              <w:rPr>
                <w:rFonts w:hint="eastAsia" w:ascii="方正仿宋_GBK" w:hAnsi="宋体" w:eastAsia="方正仿宋_GBK"/>
                <w:w w:val="66"/>
                <w:sz w:val="18"/>
                <w:szCs w:val="18"/>
              </w:rPr>
            </w:pPr>
            <w:r>
              <w:rPr>
                <w:rFonts w:ascii="方正仿宋_GBK" w:hAnsi="宋体" w:eastAsia="方正仿宋_GBK"/>
                <w:w w:val="66"/>
                <w:sz w:val="18"/>
                <w:szCs w:val="18"/>
              </w:rPr>
              <w:t>5</w:t>
            </w:r>
            <w:r>
              <w:rPr>
                <w:rFonts w:hint="eastAsia" w:ascii="方正仿宋_GBK" w:hAnsi="宋体" w:eastAsia="方正仿宋_GBK"/>
                <w:w w:val="66"/>
                <w:sz w:val="18"/>
                <w:szCs w:val="18"/>
              </w:rPr>
              <w:t>、城镇中心对各环卫作业单位生活垃圾分类工作的评价。</w:t>
            </w:r>
          </w:p>
        </w:tc>
        <w:tc>
          <w:tcPr>
            <w:tcW w:w="62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lang w:val="zh-CN"/>
              </w:rPr>
            </w:pPr>
            <w:r>
              <w:rPr>
                <w:rFonts w:hint="eastAsia" w:ascii="方正仿宋_GBK" w:hAnsi="宋体" w:eastAsia="方正仿宋_GBK"/>
                <w:w w:val="66"/>
                <w:sz w:val="18"/>
                <w:szCs w:val="18"/>
                <w:lang w:val="zh-CN"/>
              </w:rPr>
              <w:t>1、垃圾未及时清运，造成垃圾容器满溢，每处扣1分，运输车辆不密闭或密闭不严，每车次扣1分。</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lang w:val="zh-CN"/>
              </w:rPr>
              <w:t>2</w:t>
            </w:r>
            <w:r>
              <w:rPr>
                <w:rFonts w:hint="eastAsia" w:ascii="方正仿宋_GBK" w:hAnsi="宋体" w:eastAsia="方正仿宋_GBK"/>
                <w:w w:val="66"/>
                <w:sz w:val="18"/>
                <w:szCs w:val="18"/>
                <w:lang w:val="zh-CN"/>
              </w:rPr>
              <w:t>、垃圾运输车辆沿途抛撒（渗滤液和垃圾），每车次扣2分，垃圾运输车辆车体脏污、标志不清，每车次扣0.5分。</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lang w:val="zh-CN"/>
              </w:rPr>
              <w:t>3</w:t>
            </w:r>
            <w:r>
              <w:rPr>
                <w:rFonts w:hint="eastAsia" w:ascii="方正仿宋_GBK" w:hAnsi="宋体" w:eastAsia="方正仿宋_GBK"/>
                <w:w w:val="66"/>
                <w:sz w:val="18"/>
                <w:szCs w:val="18"/>
                <w:lang w:val="zh-CN"/>
              </w:rPr>
              <w:t>、未按指定地点倾倒垃圾，每车次扣1分。</w:t>
            </w:r>
          </w:p>
          <w:p>
            <w:pPr>
              <w:spacing w:line="240" w:lineRule="exact"/>
              <w:rPr>
                <w:rFonts w:hint="eastAsia" w:ascii="方正仿宋_GBK" w:hAnsi="宋体" w:eastAsia="方正仿宋_GBK"/>
                <w:w w:val="66"/>
                <w:sz w:val="18"/>
                <w:szCs w:val="18"/>
                <w:lang w:val="zh-CN"/>
              </w:rPr>
            </w:pPr>
            <w:r>
              <w:rPr>
                <w:rFonts w:ascii="方正仿宋_GBK" w:hAnsi="宋体" w:eastAsia="方正仿宋_GBK"/>
                <w:w w:val="66"/>
                <w:sz w:val="18"/>
                <w:szCs w:val="18"/>
                <w:lang w:val="zh-CN"/>
              </w:rPr>
              <w:t>4</w:t>
            </w:r>
            <w:r>
              <w:rPr>
                <w:rFonts w:hint="eastAsia" w:ascii="方正仿宋_GBK" w:hAnsi="宋体" w:eastAsia="方正仿宋_GBK"/>
                <w:w w:val="66"/>
                <w:sz w:val="18"/>
                <w:szCs w:val="18"/>
                <w:lang w:val="zh-CN"/>
              </w:rPr>
              <w:t>、垃圾转运站</w:t>
            </w:r>
            <w:r>
              <w:rPr>
                <w:rFonts w:hint="eastAsia" w:ascii="方正仿宋_GBK" w:hAnsi="宋体" w:eastAsia="方正仿宋_GBK"/>
                <w:w w:val="66"/>
                <w:sz w:val="18"/>
                <w:szCs w:val="18"/>
              </w:rPr>
              <w:t>不按要求消杀，</w:t>
            </w:r>
            <w:r>
              <w:rPr>
                <w:rFonts w:hint="eastAsia" w:ascii="方正仿宋_GBK" w:hAnsi="宋体" w:eastAsia="方正仿宋_GBK"/>
                <w:w w:val="66"/>
                <w:sz w:val="18"/>
                <w:szCs w:val="18"/>
                <w:lang w:val="zh-CN"/>
              </w:rPr>
              <w:t>发现每处扣0.5分</w:t>
            </w:r>
          </w:p>
          <w:p>
            <w:pPr>
              <w:spacing w:line="240" w:lineRule="exact"/>
              <w:rPr>
                <w:rFonts w:ascii="方正仿宋_GBK" w:hAnsi="宋体" w:eastAsia="方正仿宋_GBK"/>
                <w:w w:val="66"/>
                <w:sz w:val="18"/>
                <w:szCs w:val="18"/>
              </w:rPr>
            </w:pPr>
            <w:r>
              <w:rPr>
                <w:rFonts w:ascii="方正仿宋_GBK" w:hAnsi="宋体" w:eastAsia="方正仿宋_GBK"/>
                <w:w w:val="66"/>
                <w:sz w:val="18"/>
                <w:szCs w:val="18"/>
              </w:rPr>
              <w:t>5</w:t>
            </w:r>
            <w:r>
              <w:rPr>
                <w:rFonts w:hint="eastAsia" w:ascii="方正仿宋_GBK" w:hAnsi="宋体" w:eastAsia="方正仿宋_GBK"/>
                <w:w w:val="66"/>
                <w:sz w:val="18"/>
                <w:szCs w:val="18"/>
              </w:rPr>
              <w:t>、城镇中心对各环卫作业单位生活垃圾分类的评价（合格/不合格），不合格每次扣2分。</w:t>
            </w:r>
          </w:p>
        </w:tc>
        <w:tc>
          <w:tcPr>
            <w:tcW w:w="15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textAlignment w:val="center"/>
              <w:rPr>
                <w:rFonts w:eastAsia="方正仿宋_GBK"/>
                <w:color w:val="000000"/>
                <w:sz w:val="18"/>
                <w:szCs w:val="18"/>
              </w:rPr>
            </w:pPr>
          </w:p>
        </w:tc>
        <w:tc>
          <w:tcPr>
            <w:tcW w:w="72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000000"/>
                <w:sz w:val="18"/>
                <w:szCs w:val="18"/>
              </w:rPr>
            </w:pPr>
          </w:p>
        </w:tc>
      </w:tr>
      <w:tr>
        <w:tblPrEx>
          <w:tblCellMar>
            <w:top w:w="0" w:type="dxa"/>
            <w:left w:w="0" w:type="dxa"/>
            <w:bottom w:w="0" w:type="dxa"/>
            <w:right w:w="0" w:type="dxa"/>
          </w:tblCellMar>
        </w:tblPrEx>
        <w:trPr>
          <w:trHeight w:val="1512" w:hRule="atLeast"/>
          <w:jc w:val="center"/>
        </w:trPr>
        <w:tc>
          <w:tcPr>
            <w:tcW w:w="121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kern w:val="0"/>
                <w:szCs w:val="21"/>
                <w:lang w:bidi="ar"/>
              </w:rPr>
            </w:pPr>
            <w:r>
              <w:rPr>
                <w:rFonts w:eastAsia="方正仿宋_GBK"/>
                <w:color w:val="000000"/>
                <w:kern w:val="0"/>
                <w:szCs w:val="21"/>
                <w:lang w:bidi="ar"/>
              </w:rPr>
              <w:t>公厕管理</w:t>
            </w:r>
          </w:p>
          <w:p>
            <w:pPr>
              <w:widowControl/>
              <w:spacing w:line="240" w:lineRule="exact"/>
              <w:jc w:val="center"/>
              <w:textAlignment w:val="center"/>
              <w:rPr>
                <w:rFonts w:eastAsia="方正仿宋_GBK"/>
                <w:color w:val="000000"/>
                <w:kern w:val="0"/>
                <w:szCs w:val="21"/>
                <w:lang w:bidi="ar"/>
              </w:rPr>
            </w:pPr>
            <w:r>
              <w:rPr>
                <w:rFonts w:eastAsia="方正仿宋_GBK"/>
                <w:color w:val="000000"/>
                <w:kern w:val="0"/>
                <w:szCs w:val="21"/>
                <w:lang w:bidi="ar"/>
              </w:rPr>
              <w:t>(15分)</w:t>
            </w:r>
          </w:p>
        </w:tc>
        <w:tc>
          <w:tcPr>
            <w:tcW w:w="6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rPr>
            </w:pPr>
            <w:r>
              <w:rPr>
                <w:rFonts w:hint="eastAsia" w:ascii="方正仿宋_GBK" w:hAnsi="宋体" w:eastAsia="方正仿宋_GBK"/>
                <w:w w:val="66"/>
                <w:sz w:val="18"/>
                <w:szCs w:val="18"/>
              </w:rPr>
              <w:t>1、</w:t>
            </w:r>
            <w:r>
              <w:rPr>
                <w:rFonts w:hint="eastAsia" w:ascii="方正仿宋_GBK" w:hAnsi="宋体" w:eastAsia="方正仿宋_GBK"/>
                <w:w w:val="66"/>
                <w:sz w:val="18"/>
                <w:szCs w:val="18"/>
                <w:lang w:val="zh-CN"/>
              </w:rPr>
              <w:t>公厕外观及周边卫</w:t>
            </w:r>
            <w:r>
              <w:rPr>
                <w:rFonts w:hint="eastAsia" w:ascii="方正仿宋_GBK" w:hAnsi="宋体" w:eastAsia="方正仿宋_GBK"/>
                <w:w w:val="66"/>
                <w:sz w:val="18"/>
                <w:szCs w:val="18"/>
              </w:rPr>
              <w:t>生：</w:t>
            </w:r>
            <w:r>
              <w:rPr>
                <w:rFonts w:hint="eastAsia" w:ascii="方正仿宋_GBK" w:hAnsi="宋体" w:eastAsia="方正仿宋_GBK"/>
                <w:w w:val="66"/>
                <w:sz w:val="18"/>
                <w:szCs w:val="18"/>
                <w:lang w:val="zh-CN"/>
              </w:rPr>
              <w:t>公厕外观及周边卫</w:t>
            </w:r>
            <w:r>
              <w:rPr>
                <w:rFonts w:hint="eastAsia" w:ascii="方正仿宋_GBK" w:hAnsi="宋体" w:eastAsia="方正仿宋_GBK"/>
                <w:w w:val="66"/>
                <w:sz w:val="18"/>
                <w:szCs w:val="18"/>
              </w:rPr>
              <w:t>生整洁，</w:t>
            </w:r>
            <w:r>
              <w:rPr>
                <w:rFonts w:hint="eastAsia" w:ascii="方正仿宋_GBK" w:hAnsi="宋体" w:eastAsia="方正仿宋_GBK"/>
                <w:w w:val="66"/>
                <w:sz w:val="18"/>
                <w:szCs w:val="18"/>
                <w:lang w:val="zh-CN"/>
              </w:rPr>
              <w:t>公厕外墙洁净，无乱涂乱画、勿乱张贴，无私自搭建建筑物、构筑物，四周无乱堆乱放杂物，地面洁净、无污物。</w:t>
            </w:r>
          </w:p>
          <w:p>
            <w:pPr>
              <w:spacing w:line="240" w:lineRule="exact"/>
              <w:rPr>
                <w:rFonts w:hint="eastAsia" w:ascii="方正仿宋_GBK" w:hAnsi="宋体" w:eastAsia="方正仿宋_GBK"/>
                <w:w w:val="66"/>
                <w:sz w:val="18"/>
                <w:szCs w:val="18"/>
              </w:rPr>
            </w:pPr>
            <w:r>
              <w:rPr>
                <w:rFonts w:hint="eastAsia" w:ascii="方正仿宋_GBK" w:hAnsi="宋体" w:eastAsia="方正仿宋_GBK"/>
                <w:w w:val="66"/>
                <w:sz w:val="18"/>
                <w:szCs w:val="18"/>
              </w:rPr>
              <w:t>2、</w:t>
            </w:r>
            <w:r>
              <w:rPr>
                <w:rFonts w:hint="eastAsia" w:ascii="方正仿宋_GBK" w:hAnsi="宋体" w:eastAsia="方正仿宋_GBK"/>
                <w:w w:val="66"/>
                <w:sz w:val="18"/>
                <w:szCs w:val="18"/>
                <w:lang w:val="zh-CN"/>
              </w:rPr>
              <w:t>公厕服务：公厕有专人保洁，</w:t>
            </w:r>
            <w:r>
              <w:rPr>
                <w:rFonts w:hint="eastAsia" w:ascii="方正仿宋_GBK" w:hAnsi="宋体" w:eastAsia="方正仿宋_GBK"/>
                <w:w w:val="66"/>
                <w:sz w:val="18"/>
                <w:szCs w:val="18"/>
              </w:rPr>
              <w:t>公厕按时开放，</w:t>
            </w:r>
            <w:r>
              <w:rPr>
                <w:rFonts w:ascii="方正仿宋_GBK" w:hAnsi="宋体" w:eastAsia="方正仿宋_GBK"/>
                <w:w w:val="66"/>
                <w:sz w:val="18"/>
                <w:szCs w:val="18"/>
              </w:rPr>
              <w:t>公厕开放时间为夏季（4月1日-9月30日）早8:00-晚24:00、节假日正常开放。</w:t>
            </w:r>
          </w:p>
          <w:p>
            <w:pPr>
              <w:spacing w:line="240" w:lineRule="exact"/>
              <w:rPr>
                <w:rFonts w:hint="eastAsia" w:ascii="方正仿宋_GBK" w:hAnsi="宋体" w:eastAsia="方正仿宋_GBK"/>
                <w:w w:val="66"/>
                <w:sz w:val="18"/>
                <w:szCs w:val="18"/>
              </w:rPr>
            </w:pPr>
            <w:r>
              <w:rPr>
                <w:rFonts w:hint="eastAsia" w:ascii="方正仿宋_GBK" w:hAnsi="宋体" w:eastAsia="方正仿宋_GBK"/>
                <w:w w:val="66"/>
                <w:sz w:val="18"/>
                <w:szCs w:val="18"/>
              </w:rPr>
              <w:t>3、</w:t>
            </w:r>
            <w:r>
              <w:rPr>
                <w:rFonts w:hint="eastAsia" w:ascii="方正仿宋_GBK" w:hAnsi="宋体" w:eastAsia="方正仿宋_GBK"/>
                <w:w w:val="66"/>
                <w:sz w:val="18"/>
                <w:szCs w:val="18"/>
                <w:lang w:val="zh-CN"/>
              </w:rPr>
              <w:t>卫生保洁：管理间干净整洁无异味，地面洁净，蹲位应正常使用，洗手器具、冲水设备无损坏、洁净。</w:t>
            </w:r>
          </w:p>
          <w:p>
            <w:pPr>
              <w:spacing w:line="240" w:lineRule="exact"/>
              <w:rPr>
                <w:rFonts w:hint="eastAsia" w:ascii="方正仿宋_GBK" w:hAnsi="宋体" w:eastAsia="方正仿宋_GBK"/>
                <w:w w:val="66"/>
                <w:sz w:val="18"/>
                <w:szCs w:val="18"/>
              </w:rPr>
            </w:pPr>
            <w:r>
              <w:rPr>
                <w:rFonts w:hint="eastAsia" w:ascii="方正仿宋_GBK" w:hAnsi="宋体" w:eastAsia="方正仿宋_GBK"/>
                <w:w w:val="66"/>
                <w:sz w:val="18"/>
                <w:szCs w:val="18"/>
              </w:rPr>
              <w:t>4、</w:t>
            </w:r>
            <w:r>
              <w:rPr>
                <w:rFonts w:hint="eastAsia" w:ascii="方正仿宋_GBK" w:hAnsi="宋体" w:eastAsia="方正仿宋_GBK"/>
                <w:w w:val="66"/>
                <w:sz w:val="18"/>
                <w:szCs w:val="18"/>
                <w:lang w:val="zh-CN"/>
              </w:rPr>
              <w:t>消毒灭蝇</w:t>
            </w:r>
            <w:r>
              <w:rPr>
                <w:rFonts w:hint="eastAsia" w:ascii="方正仿宋_GBK" w:hAnsi="宋体" w:eastAsia="方正仿宋_GBK"/>
                <w:w w:val="66"/>
                <w:sz w:val="18"/>
                <w:szCs w:val="18"/>
              </w:rPr>
              <w:t>：</w:t>
            </w:r>
            <w:r>
              <w:rPr>
                <w:rFonts w:hint="eastAsia" w:ascii="方正仿宋_GBK" w:hAnsi="宋体" w:eastAsia="方正仿宋_GBK"/>
                <w:w w:val="66"/>
                <w:sz w:val="18"/>
                <w:szCs w:val="18"/>
                <w:lang w:val="zh-CN"/>
              </w:rPr>
              <w:t>有合格消毒用品，消毒设施齐全，</w:t>
            </w:r>
            <w:r>
              <w:rPr>
                <w:rFonts w:hint="eastAsia" w:ascii="方正仿宋_GBK" w:hAnsi="宋体" w:eastAsia="方正仿宋_GBK"/>
                <w:w w:val="66"/>
                <w:sz w:val="18"/>
                <w:szCs w:val="18"/>
              </w:rPr>
              <w:t>窗户安装窗纱，消毒记录完整，消毒液配比合格。</w:t>
            </w:r>
          </w:p>
        </w:tc>
        <w:tc>
          <w:tcPr>
            <w:tcW w:w="627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w w:val="66"/>
                <w:sz w:val="18"/>
                <w:szCs w:val="18"/>
              </w:rPr>
            </w:pPr>
            <w:r>
              <w:rPr>
                <w:rFonts w:hint="eastAsia" w:ascii="方正仿宋_GBK" w:hAnsi="宋体" w:eastAsia="方正仿宋_GBK"/>
                <w:w w:val="66"/>
                <w:sz w:val="18"/>
                <w:szCs w:val="18"/>
              </w:rPr>
              <w:t>1、</w:t>
            </w:r>
            <w:r>
              <w:rPr>
                <w:rFonts w:hint="eastAsia" w:ascii="方正仿宋_GBK" w:hAnsi="宋体" w:eastAsia="方正仿宋_GBK"/>
                <w:w w:val="66"/>
                <w:sz w:val="18"/>
                <w:szCs w:val="18"/>
                <w:lang w:val="zh-CN"/>
              </w:rPr>
              <w:t>公厕外观及周边卫</w:t>
            </w:r>
            <w:r>
              <w:rPr>
                <w:rFonts w:hint="eastAsia" w:ascii="方正仿宋_GBK" w:hAnsi="宋体" w:eastAsia="方正仿宋_GBK"/>
                <w:w w:val="66"/>
                <w:sz w:val="18"/>
                <w:szCs w:val="18"/>
              </w:rPr>
              <w:t>生：</w:t>
            </w:r>
            <w:r>
              <w:rPr>
                <w:rFonts w:hint="eastAsia" w:ascii="方正仿宋_GBK" w:hAnsi="宋体" w:eastAsia="方正仿宋_GBK"/>
                <w:w w:val="66"/>
                <w:sz w:val="18"/>
                <w:szCs w:val="18"/>
                <w:lang w:val="zh-CN"/>
              </w:rPr>
              <w:t>公厕外观及周边卫</w:t>
            </w:r>
            <w:r>
              <w:rPr>
                <w:rFonts w:hint="eastAsia" w:ascii="方正仿宋_GBK" w:hAnsi="宋体" w:eastAsia="方正仿宋_GBK"/>
                <w:w w:val="66"/>
                <w:sz w:val="18"/>
                <w:szCs w:val="18"/>
              </w:rPr>
              <w:t>生不整洁，</w:t>
            </w:r>
            <w:r>
              <w:rPr>
                <w:rFonts w:hint="eastAsia" w:ascii="方正仿宋_GBK" w:hAnsi="宋体" w:eastAsia="方正仿宋_GBK"/>
                <w:w w:val="66"/>
                <w:sz w:val="18"/>
                <w:szCs w:val="18"/>
                <w:lang w:val="zh-CN"/>
              </w:rPr>
              <w:t>公厕外墙</w:t>
            </w:r>
            <w:r>
              <w:rPr>
                <w:rFonts w:hint="eastAsia" w:ascii="方正仿宋_GBK" w:hAnsi="宋体" w:eastAsia="方正仿宋_GBK"/>
                <w:w w:val="66"/>
                <w:sz w:val="18"/>
                <w:szCs w:val="18"/>
              </w:rPr>
              <w:t>不</w:t>
            </w:r>
            <w:r>
              <w:rPr>
                <w:rFonts w:hint="eastAsia" w:ascii="方正仿宋_GBK" w:hAnsi="宋体" w:eastAsia="方正仿宋_GBK"/>
                <w:w w:val="66"/>
                <w:sz w:val="18"/>
                <w:szCs w:val="18"/>
                <w:lang w:val="zh-CN"/>
              </w:rPr>
              <w:t>洁净，</w:t>
            </w:r>
            <w:r>
              <w:rPr>
                <w:rFonts w:hint="eastAsia" w:ascii="方正仿宋_GBK" w:hAnsi="宋体" w:eastAsia="方正仿宋_GBK"/>
                <w:w w:val="66"/>
                <w:sz w:val="18"/>
                <w:szCs w:val="18"/>
              </w:rPr>
              <w:t>有</w:t>
            </w:r>
            <w:r>
              <w:rPr>
                <w:rFonts w:hint="eastAsia" w:ascii="方正仿宋_GBK" w:hAnsi="宋体" w:eastAsia="方正仿宋_GBK"/>
                <w:w w:val="66"/>
                <w:sz w:val="18"/>
                <w:szCs w:val="18"/>
                <w:lang w:val="zh-CN"/>
              </w:rPr>
              <w:t>乱涂乱画、乱张贴，私自搭建建筑物、构筑物，四周乱堆乱放杂物，地面</w:t>
            </w:r>
            <w:r>
              <w:rPr>
                <w:rFonts w:hint="eastAsia" w:ascii="方正仿宋_GBK" w:hAnsi="宋体" w:eastAsia="方正仿宋_GBK"/>
                <w:w w:val="66"/>
                <w:sz w:val="18"/>
                <w:szCs w:val="18"/>
              </w:rPr>
              <w:t>脏乱</w:t>
            </w:r>
            <w:r>
              <w:rPr>
                <w:rFonts w:hint="eastAsia" w:ascii="方正仿宋_GBK" w:hAnsi="宋体" w:eastAsia="方正仿宋_GBK"/>
                <w:w w:val="66"/>
                <w:sz w:val="18"/>
                <w:szCs w:val="18"/>
                <w:lang w:val="zh-CN"/>
              </w:rPr>
              <w:t>、</w:t>
            </w:r>
            <w:r>
              <w:rPr>
                <w:rFonts w:hint="eastAsia" w:ascii="方正仿宋_GBK" w:hAnsi="宋体" w:eastAsia="方正仿宋_GBK"/>
                <w:w w:val="66"/>
                <w:sz w:val="18"/>
                <w:szCs w:val="18"/>
              </w:rPr>
              <w:t>有</w:t>
            </w:r>
            <w:r>
              <w:rPr>
                <w:rFonts w:hint="eastAsia" w:ascii="方正仿宋_GBK" w:hAnsi="宋体" w:eastAsia="方正仿宋_GBK"/>
                <w:w w:val="66"/>
                <w:sz w:val="18"/>
                <w:szCs w:val="18"/>
                <w:lang w:val="zh-CN"/>
              </w:rPr>
              <w:t>污物。</w:t>
            </w:r>
            <w:r>
              <w:rPr>
                <w:rFonts w:hint="eastAsia" w:ascii="方正仿宋_GBK" w:hAnsi="宋体" w:eastAsia="方正仿宋_GBK"/>
                <w:w w:val="66"/>
                <w:sz w:val="18"/>
                <w:szCs w:val="18"/>
              </w:rPr>
              <w:t>有一处不合格扣0.5分。</w:t>
            </w:r>
          </w:p>
          <w:p>
            <w:pPr>
              <w:spacing w:line="240" w:lineRule="exact"/>
              <w:rPr>
                <w:rFonts w:hint="eastAsia" w:ascii="方正仿宋_GBK" w:hAnsi="宋体" w:eastAsia="方正仿宋_GBK"/>
                <w:w w:val="66"/>
                <w:sz w:val="18"/>
                <w:szCs w:val="18"/>
              </w:rPr>
            </w:pPr>
            <w:r>
              <w:rPr>
                <w:rFonts w:hint="eastAsia" w:ascii="方正仿宋_GBK" w:hAnsi="宋体" w:eastAsia="方正仿宋_GBK"/>
                <w:w w:val="66"/>
                <w:sz w:val="18"/>
                <w:szCs w:val="18"/>
              </w:rPr>
              <w:t>2、</w:t>
            </w:r>
            <w:r>
              <w:rPr>
                <w:rFonts w:hint="eastAsia" w:ascii="方正仿宋_GBK" w:hAnsi="宋体" w:eastAsia="方正仿宋_GBK"/>
                <w:w w:val="66"/>
                <w:sz w:val="18"/>
                <w:szCs w:val="18"/>
                <w:lang w:val="zh-CN"/>
              </w:rPr>
              <w:t>公厕服务：公厕专人保洁，</w:t>
            </w:r>
            <w:r>
              <w:rPr>
                <w:rFonts w:hint="eastAsia" w:ascii="方正仿宋_GBK" w:hAnsi="宋体" w:eastAsia="方正仿宋_GBK"/>
                <w:w w:val="66"/>
                <w:sz w:val="18"/>
                <w:szCs w:val="18"/>
              </w:rPr>
              <w:t>公厕未按时开放扣1分，未开放扣5分</w:t>
            </w:r>
            <w:r>
              <w:rPr>
                <w:rFonts w:ascii="方正仿宋_GBK" w:hAnsi="宋体" w:eastAsia="方正仿宋_GBK"/>
                <w:w w:val="66"/>
                <w:sz w:val="18"/>
                <w:szCs w:val="18"/>
              </w:rPr>
              <w:t>。</w:t>
            </w:r>
          </w:p>
          <w:p>
            <w:pPr>
              <w:spacing w:line="240" w:lineRule="exact"/>
              <w:rPr>
                <w:rFonts w:hint="eastAsia" w:ascii="方正仿宋_GBK" w:hAnsi="宋体" w:eastAsia="方正仿宋_GBK"/>
                <w:w w:val="66"/>
                <w:sz w:val="18"/>
                <w:szCs w:val="18"/>
              </w:rPr>
            </w:pPr>
            <w:r>
              <w:rPr>
                <w:rFonts w:hint="eastAsia" w:ascii="方正仿宋_GBK" w:hAnsi="宋体" w:eastAsia="方正仿宋_GBK"/>
                <w:w w:val="66"/>
                <w:sz w:val="18"/>
                <w:szCs w:val="18"/>
              </w:rPr>
              <w:t>3、</w:t>
            </w:r>
            <w:r>
              <w:rPr>
                <w:rFonts w:hint="eastAsia" w:ascii="方正仿宋_GBK" w:hAnsi="宋体" w:eastAsia="方正仿宋_GBK"/>
                <w:w w:val="66"/>
                <w:sz w:val="18"/>
                <w:szCs w:val="18"/>
                <w:lang w:val="zh-CN"/>
              </w:rPr>
              <w:t>卫生保洁：</w:t>
            </w:r>
            <w:r>
              <w:rPr>
                <w:rFonts w:hint="eastAsia" w:ascii="方正仿宋_GBK" w:hAnsi="宋体" w:eastAsia="方正仿宋_GBK"/>
                <w:w w:val="66"/>
                <w:sz w:val="18"/>
                <w:szCs w:val="18"/>
              </w:rPr>
              <w:t>卫生差、有异味、乱堆乱放杂物各扣1分；厕内有轻微异味扣2分，有明显异味扣</w:t>
            </w:r>
            <w:r>
              <w:rPr>
                <w:rFonts w:ascii="方正仿宋_GBK" w:hAnsi="宋体" w:eastAsia="方正仿宋_GBK"/>
                <w:w w:val="66"/>
                <w:sz w:val="18"/>
                <w:szCs w:val="18"/>
              </w:rPr>
              <w:t>2</w:t>
            </w:r>
            <w:r>
              <w:rPr>
                <w:rFonts w:hint="eastAsia" w:ascii="方正仿宋_GBK" w:hAnsi="宋体" w:eastAsia="方正仿宋_GBK"/>
                <w:w w:val="66"/>
                <w:sz w:val="18"/>
                <w:szCs w:val="18"/>
              </w:rPr>
              <w:t>分，有恶臭扣</w:t>
            </w:r>
            <w:r>
              <w:rPr>
                <w:rFonts w:ascii="方正仿宋_GBK" w:hAnsi="宋体" w:eastAsia="方正仿宋_GBK"/>
                <w:w w:val="66"/>
                <w:sz w:val="18"/>
                <w:szCs w:val="18"/>
              </w:rPr>
              <w:t>3</w:t>
            </w:r>
            <w:r>
              <w:rPr>
                <w:rFonts w:hint="eastAsia" w:ascii="方正仿宋_GBK" w:hAnsi="宋体" w:eastAsia="方正仿宋_GBK"/>
                <w:w w:val="66"/>
                <w:sz w:val="18"/>
                <w:szCs w:val="18"/>
              </w:rPr>
              <w:t>分</w:t>
            </w:r>
            <w:r>
              <w:rPr>
                <w:rFonts w:hint="eastAsia" w:ascii="方正仿宋_GBK" w:hAnsi="宋体" w:eastAsia="方正仿宋_GBK"/>
                <w:w w:val="66"/>
                <w:sz w:val="18"/>
                <w:szCs w:val="18"/>
                <w:lang w:val="zh-CN"/>
              </w:rPr>
              <w:t>；</w:t>
            </w:r>
            <w:r>
              <w:rPr>
                <w:rFonts w:hint="eastAsia" w:ascii="方正仿宋_GBK" w:hAnsi="宋体" w:eastAsia="方正仿宋_GBK"/>
                <w:w w:val="66"/>
                <w:sz w:val="18"/>
                <w:szCs w:val="18"/>
              </w:rPr>
              <w:t>环境卫生不整洁乱堆放杂物有一处扣1分；设施损坏1处扣1分；光线昏暗扣3分，无照明扣7分。</w:t>
            </w:r>
          </w:p>
          <w:p>
            <w:pPr>
              <w:spacing w:line="240" w:lineRule="exact"/>
              <w:rPr>
                <w:rFonts w:hint="eastAsia" w:ascii="方正仿宋_GBK" w:hAnsi="宋体" w:eastAsia="方正仿宋_GBK"/>
                <w:w w:val="66"/>
                <w:sz w:val="18"/>
                <w:szCs w:val="18"/>
              </w:rPr>
            </w:pPr>
            <w:r>
              <w:rPr>
                <w:rFonts w:hint="eastAsia" w:ascii="方正仿宋_GBK" w:hAnsi="宋体" w:eastAsia="方正仿宋_GBK"/>
                <w:w w:val="66"/>
                <w:sz w:val="18"/>
                <w:szCs w:val="18"/>
              </w:rPr>
              <w:t>4、</w:t>
            </w:r>
            <w:r>
              <w:rPr>
                <w:rFonts w:hint="eastAsia" w:ascii="方正仿宋_GBK" w:hAnsi="宋体" w:eastAsia="方正仿宋_GBK"/>
                <w:w w:val="66"/>
                <w:sz w:val="18"/>
                <w:szCs w:val="18"/>
                <w:lang w:val="zh-CN"/>
              </w:rPr>
              <w:t>消毒灭蝇</w:t>
            </w:r>
            <w:r>
              <w:rPr>
                <w:rFonts w:hint="eastAsia" w:ascii="方正仿宋_GBK" w:hAnsi="宋体" w:eastAsia="方正仿宋_GBK"/>
                <w:w w:val="66"/>
                <w:sz w:val="18"/>
                <w:szCs w:val="18"/>
              </w:rPr>
              <w:t>：无</w:t>
            </w:r>
            <w:r>
              <w:rPr>
                <w:rFonts w:hint="eastAsia" w:ascii="方正仿宋_GBK" w:hAnsi="宋体" w:eastAsia="方正仿宋_GBK"/>
                <w:w w:val="66"/>
                <w:sz w:val="18"/>
                <w:szCs w:val="18"/>
                <w:lang w:val="zh-CN"/>
              </w:rPr>
              <w:t>合格消毒用品</w:t>
            </w:r>
            <w:r>
              <w:rPr>
                <w:rFonts w:hint="eastAsia" w:ascii="方正仿宋_GBK" w:hAnsi="宋体" w:eastAsia="方正仿宋_GBK"/>
                <w:w w:val="66"/>
                <w:sz w:val="18"/>
                <w:szCs w:val="18"/>
              </w:rPr>
              <w:t>扣2分</w:t>
            </w:r>
            <w:r>
              <w:rPr>
                <w:rFonts w:hint="eastAsia" w:ascii="方正仿宋_GBK" w:hAnsi="宋体" w:eastAsia="方正仿宋_GBK"/>
                <w:w w:val="66"/>
                <w:sz w:val="18"/>
                <w:szCs w:val="18"/>
                <w:lang w:val="zh-CN"/>
              </w:rPr>
              <w:t>；消毒设施</w:t>
            </w:r>
            <w:r>
              <w:rPr>
                <w:rFonts w:hint="eastAsia" w:ascii="方正仿宋_GBK" w:hAnsi="宋体" w:eastAsia="方正仿宋_GBK"/>
                <w:w w:val="66"/>
                <w:sz w:val="18"/>
                <w:szCs w:val="18"/>
              </w:rPr>
              <w:t>不</w:t>
            </w:r>
            <w:r>
              <w:rPr>
                <w:rFonts w:hint="eastAsia" w:ascii="方正仿宋_GBK" w:hAnsi="宋体" w:eastAsia="方正仿宋_GBK"/>
                <w:w w:val="66"/>
                <w:sz w:val="18"/>
                <w:szCs w:val="18"/>
                <w:lang w:val="zh-CN"/>
              </w:rPr>
              <w:t>齐全</w:t>
            </w:r>
            <w:r>
              <w:rPr>
                <w:rFonts w:hint="eastAsia" w:ascii="方正仿宋_GBK" w:hAnsi="宋体" w:eastAsia="方正仿宋_GBK"/>
                <w:w w:val="66"/>
                <w:sz w:val="18"/>
                <w:szCs w:val="18"/>
              </w:rPr>
              <w:t>扣1分</w:t>
            </w:r>
            <w:r>
              <w:rPr>
                <w:rFonts w:hint="eastAsia" w:ascii="方正仿宋_GBK" w:hAnsi="宋体" w:eastAsia="方正仿宋_GBK"/>
                <w:w w:val="66"/>
                <w:sz w:val="18"/>
                <w:szCs w:val="18"/>
                <w:lang w:val="zh-CN"/>
              </w:rPr>
              <w:t>；</w:t>
            </w:r>
            <w:r>
              <w:rPr>
                <w:rFonts w:hint="eastAsia" w:ascii="方正仿宋_GBK" w:hAnsi="宋体" w:eastAsia="方正仿宋_GBK"/>
                <w:w w:val="66"/>
                <w:sz w:val="18"/>
                <w:szCs w:val="18"/>
              </w:rPr>
              <w:t>消毒记录不完整，消毒液配比不合格，1处扣1分。</w:t>
            </w:r>
          </w:p>
        </w:tc>
        <w:tc>
          <w:tcPr>
            <w:tcW w:w="1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pacing w:line="240" w:lineRule="exact"/>
              <w:jc w:val="both"/>
              <w:rPr>
                <w:rFonts w:hint="eastAsia"/>
              </w:rPr>
            </w:pPr>
          </w:p>
        </w:tc>
        <w:tc>
          <w:tcPr>
            <w:tcW w:w="7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000000"/>
                <w:sz w:val="18"/>
                <w:szCs w:val="18"/>
              </w:rPr>
            </w:pPr>
          </w:p>
        </w:tc>
      </w:tr>
      <w:tr>
        <w:tblPrEx>
          <w:tblCellMar>
            <w:top w:w="0" w:type="dxa"/>
            <w:left w:w="0" w:type="dxa"/>
            <w:bottom w:w="0" w:type="dxa"/>
            <w:right w:w="0" w:type="dxa"/>
          </w:tblCellMar>
        </w:tblPrEx>
        <w:trPr>
          <w:trHeight w:val="1487" w:hRule="atLeast"/>
          <w:jc w:val="center"/>
        </w:trPr>
        <w:tc>
          <w:tcPr>
            <w:tcW w:w="121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方正仿宋_GBK"/>
                <w:color w:val="000000"/>
                <w:kern w:val="0"/>
                <w:szCs w:val="21"/>
                <w:lang w:bidi="ar"/>
              </w:rPr>
            </w:pPr>
            <w:r>
              <w:rPr>
                <w:rFonts w:hint="eastAsia" w:eastAsia="方正仿宋_GBK"/>
                <w:color w:val="000000"/>
                <w:kern w:val="0"/>
                <w:szCs w:val="21"/>
                <w:lang w:bidi="ar"/>
              </w:rPr>
              <w:t>园林绿化</w:t>
            </w:r>
          </w:p>
          <w:p>
            <w:pPr>
              <w:pStyle w:val="26"/>
              <w:jc w:val="center"/>
              <w:rPr>
                <w:rFonts w:hint="eastAsia"/>
                <w:sz w:val="21"/>
                <w:szCs w:val="21"/>
                <w:lang w:bidi="ar"/>
              </w:rPr>
            </w:pPr>
            <w:r>
              <w:rPr>
                <w:rFonts w:eastAsia="方正仿宋_GBK"/>
                <w:color w:val="000000"/>
                <w:kern w:val="0"/>
                <w:sz w:val="21"/>
                <w:szCs w:val="21"/>
                <w:lang w:bidi="ar"/>
              </w:rPr>
              <w:t>(10分)</w:t>
            </w:r>
          </w:p>
        </w:tc>
        <w:tc>
          <w:tcPr>
            <w:tcW w:w="6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w w:val="66"/>
                <w:sz w:val="18"/>
                <w:szCs w:val="18"/>
              </w:rPr>
            </w:pPr>
            <w:r>
              <w:rPr>
                <w:rFonts w:hint="eastAsia" w:ascii="方正仿宋_GBK" w:hAnsi="宋体" w:eastAsia="方正仿宋_GBK"/>
                <w:w w:val="66"/>
                <w:sz w:val="18"/>
                <w:szCs w:val="18"/>
              </w:rPr>
              <w:t>1、绿地浇灌（草坪、灌木、花灌等）不少于一周（7天）1次。</w:t>
            </w:r>
          </w:p>
          <w:p>
            <w:pPr>
              <w:pStyle w:val="26"/>
              <w:spacing w:line="240" w:lineRule="exact"/>
              <w:jc w:val="both"/>
              <w:rPr>
                <w:rFonts w:hint="eastAsia" w:ascii="方正仿宋_GBK" w:hAnsi="宋体" w:eastAsia="方正仿宋_GBK"/>
                <w:w w:val="66"/>
              </w:rPr>
            </w:pPr>
            <w:r>
              <w:rPr>
                <w:rFonts w:ascii="方正仿宋_GBK" w:hAnsi="宋体" w:eastAsia="方正仿宋_GBK"/>
                <w:w w:val="66"/>
              </w:rPr>
              <w:t>2</w:t>
            </w:r>
            <w:r>
              <w:rPr>
                <w:rFonts w:hint="eastAsia" w:ascii="方正仿宋_GBK" w:hAnsi="宋体" w:eastAsia="方正仿宋_GBK"/>
                <w:w w:val="66"/>
              </w:rPr>
              <w:t>、松土除草两个月不少于1次。</w:t>
            </w:r>
          </w:p>
          <w:p>
            <w:pPr>
              <w:pStyle w:val="26"/>
              <w:spacing w:line="240" w:lineRule="exact"/>
              <w:jc w:val="both"/>
              <w:rPr>
                <w:rFonts w:hint="eastAsia" w:ascii="方正仿宋_GBK" w:hAnsi="宋体" w:eastAsia="方正仿宋_GBK"/>
                <w:w w:val="66"/>
              </w:rPr>
            </w:pPr>
            <w:r>
              <w:rPr>
                <w:rFonts w:ascii="方正仿宋_GBK" w:hAnsi="宋体" w:eastAsia="方正仿宋_GBK"/>
                <w:w w:val="66"/>
              </w:rPr>
              <w:t>3</w:t>
            </w:r>
            <w:r>
              <w:rPr>
                <w:rFonts w:hint="eastAsia" w:ascii="方正仿宋_GBK" w:hAnsi="宋体" w:eastAsia="方正仿宋_GBK"/>
                <w:w w:val="66"/>
              </w:rPr>
              <w:t>、绿篱、灌木、草本、宿根花木、草坪，修剪</w:t>
            </w:r>
            <w:r>
              <w:rPr>
                <w:rFonts w:ascii="方正仿宋_GBK" w:hAnsi="宋体" w:eastAsia="方正仿宋_GBK"/>
                <w:w w:val="66"/>
              </w:rPr>
              <w:t>3</w:t>
            </w:r>
            <w:r>
              <w:rPr>
                <w:rFonts w:hint="eastAsia" w:ascii="方正仿宋_GBK" w:hAnsi="宋体" w:eastAsia="方正仿宋_GBK"/>
                <w:w w:val="66"/>
              </w:rPr>
              <w:t>个月</w:t>
            </w:r>
            <w:r>
              <w:rPr>
                <w:rFonts w:ascii="方正仿宋_GBK" w:hAnsi="宋体" w:eastAsia="方正仿宋_GBK"/>
                <w:w w:val="66"/>
              </w:rPr>
              <w:t>2</w:t>
            </w:r>
            <w:r>
              <w:rPr>
                <w:rFonts w:hint="eastAsia" w:ascii="方正仿宋_GBK" w:hAnsi="宋体" w:eastAsia="方正仿宋_GBK"/>
                <w:w w:val="66"/>
              </w:rPr>
              <w:t>次，乔木修剪每年1次（做到不遮挡标识牌）。</w:t>
            </w:r>
          </w:p>
          <w:p>
            <w:pPr>
              <w:pStyle w:val="26"/>
              <w:spacing w:line="240" w:lineRule="exact"/>
              <w:jc w:val="both"/>
              <w:rPr>
                <w:rFonts w:ascii="方正仿宋_GBK" w:hAnsi="宋体" w:eastAsia="方正仿宋_GBK"/>
                <w:w w:val="66"/>
              </w:rPr>
            </w:pPr>
            <w:r>
              <w:rPr>
                <w:rFonts w:ascii="方正仿宋_GBK" w:hAnsi="宋体" w:eastAsia="方正仿宋_GBK"/>
                <w:w w:val="66"/>
              </w:rPr>
              <w:t>4</w:t>
            </w:r>
            <w:r>
              <w:rPr>
                <w:rFonts w:hint="eastAsia" w:ascii="方正仿宋_GBK" w:hAnsi="宋体" w:eastAsia="方正仿宋_GBK"/>
                <w:w w:val="66"/>
              </w:rPr>
              <w:t>、整地施肥一年至少保证1次，施肥全覆盖。</w:t>
            </w:r>
          </w:p>
          <w:p>
            <w:pPr>
              <w:pStyle w:val="26"/>
              <w:spacing w:line="240" w:lineRule="exact"/>
              <w:jc w:val="both"/>
              <w:rPr>
                <w:rFonts w:ascii="方正仿宋_GBK" w:hAnsi="宋体" w:eastAsia="方正仿宋_GBK"/>
                <w:w w:val="66"/>
              </w:rPr>
            </w:pPr>
            <w:r>
              <w:rPr>
                <w:rFonts w:ascii="方正仿宋_GBK" w:hAnsi="宋体" w:eastAsia="方正仿宋_GBK"/>
                <w:w w:val="66"/>
              </w:rPr>
              <w:t>5</w:t>
            </w:r>
            <w:r>
              <w:rPr>
                <w:rFonts w:hint="eastAsia" w:ascii="方正仿宋_GBK" w:hAnsi="宋体" w:eastAsia="方正仿宋_GBK"/>
                <w:w w:val="66"/>
              </w:rPr>
              <w:t>、防虫病害每年2次，五月份1次，七月份1次。</w:t>
            </w:r>
          </w:p>
          <w:p>
            <w:pPr>
              <w:pStyle w:val="26"/>
              <w:spacing w:line="240" w:lineRule="exact"/>
              <w:jc w:val="both"/>
              <w:rPr>
                <w:rFonts w:hint="eastAsia" w:ascii="方正仿宋_GBK" w:hAnsi="宋体" w:eastAsia="方正仿宋_GBK"/>
                <w:w w:val="66"/>
              </w:rPr>
            </w:pPr>
            <w:r>
              <w:rPr>
                <w:rFonts w:ascii="方正仿宋_GBK" w:hAnsi="宋体" w:eastAsia="方正仿宋_GBK"/>
                <w:w w:val="66"/>
              </w:rPr>
              <w:t>6</w:t>
            </w:r>
            <w:r>
              <w:rPr>
                <w:rFonts w:hint="eastAsia" w:ascii="方正仿宋_GBK" w:hAnsi="宋体" w:eastAsia="方正仿宋_GBK"/>
                <w:w w:val="66"/>
              </w:rPr>
              <w:t>、补植（因自身工作原因需要补植的）一年2次春季1次，秋季1次。</w:t>
            </w:r>
          </w:p>
        </w:tc>
        <w:tc>
          <w:tcPr>
            <w:tcW w:w="627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w w:val="66"/>
                <w:sz w:val="18"/>
                <w:szCs w:val="18"/>
              </w:rPr>
            </w:pPr>
            <w:r>
              <w:rPr>
                <w:rFonts w:hint="eastAsia" w:ascii="方正仿宋_GBK" w:hAnsi="宋体" w:eastAsia="方正仿宋_GBK"/>
                <w:w w:val="66"/>
                <w:sz w:val="18"/>
                <w:szCs w:val="18"/>
              </w:rPr>
              <w:t>1、绿地未按规定浇灌的一次扣</w:t>
            </w:r>
            <w:r>
              <w:rPr>
                <w:rFonts w:ascii="方正仿宋_GBK" w:hAnsi="宋体" w:eastAsia="方正仿宋_GBK"/>
                <w:w w:val="66"/>
                <w:sz w:val="18"/>
                <w:szCs w:val="18"/>
              </w:rPr>
              <w:t>2</w:t>
            </w:r>
            <w:r>
              <w:rPr>
                <w:rFonts w:hint="eastAsia" w:ascii="方正仿宋_GBK" w:hAnsi="宋体" w:eastAsia="方正仿宋_GBK"/>
                <w:w w:val="66"/>
                <w:sz w:val="18"/>
                <w:szCs w:val="18"/>
              </w:rPr>
              <w:t>分，无水浇灌，又未及时采用水车、拉管线等其他方式浇水的，每片次扣</w:t>
            </w:r>
            <w:r>
              <w:rPr>
                <w:rFonts w:ascii="方正仿宋_GBK" w:hAnsi="宋体" w:eastAsia="方正仿宋_GBK"/>
                <w:w w:val="66"/>
                <w:sz w:val="18"/>
                <w:szCs w:val="18"/>
              </w:rPr>
              <w:t>2</w:t>
            </w:r>
            <w:r>
              <w:rPr>
                <w:rFonts w:hint="eastAsia" w:ascii="方正仿宋_GBK" w:hAnsi="宋体" w:eastAsia="方正仿宋_GBK"/>
                <w:w w:val="66"/>
                <w:sz w:val="18"/>
                <w:szCs w:val="18"/>
              </w:rPr>
              <w:t>分。</w:t>
            </w:r>
          </w:p>
          <w:p>
            <w:pPr>
              <w:pStyle w:val="26"/>
              <w:spacing w:line="240" w:lineRule="exact"/>
              <w:jc w:val="both"/>
              <w:rPr>
                <w:rFonts w:hint="eastAsia"/>
              </w:rPr>
            </w:pPr>
            <w:r>
              <w:rPr>
                <w:rFonts w:ascii="方正仿宋_GBK" w:hAnsi="宋体" w:eastAsia="方正仿宋_GBK"/>
                <w:w w:val="66"/>
              </w:rPr>
              <w:t>2</w:t>
            </w:r>
            <w:r>
              <w:rPr>
                <w:rFonts w:hint="eastAsia" w:ascii="方正仿宋_GBK" w:hAnsi="宋体" w:eastAsia="方正仿宋_GBK"/>
                <w:w w:val="66"/>
              </w:rPr>
              <w:t>、不按时间要求松土除草及不除草不干净的1次扣2分，松土、除草时不注意保护植物根系扣</w:t>
            </w:r>
            <w:r>
              <w:rPr>
                <w:rFonts w:ascii="方正仿宋_GBK" w:hAnsi="宋体" w:eastAsia="方正仿宋_GBK"/>
                <w:w w:val="66"/>
              </w:rPr>
              <w:t>2</w:t>
            </w:r>
            <w:r>
              <w:rPr>
                <w:rFonts w:hint="eastAsia" w:ascii="方正仿宋_GBK" w:hAnsi="宋体" w:eastAsia="方正仿宋_GBK"/>
                <w:w w:val="66"/>
              </w:rPr>
              <w:t>分。</w:t>
            </w:r>
          </w:p>
          <w:p>
            <w:pPr>
              <w:pStyle w:val="26"/>
              <w:spacing w:line="240" w:lineRule="exact"/>
              <w:jc w:val="both"/>
            </w:pPr>
            <w:r>
              <w:rPr>
                <w:rFonts w:ascii="方正仿宋_GBK" w:hAnsi="宋体" w:eastAsia="方正仿宋_GBK"/>
                <w:w w:val="66"/>
              </w:rPr>
              <w:t>3</w:t>
            </w:r>
            <w:r>
              <w:rPr>
                <w:rFonts w:hint="eastAsia" w:ascii="方正仿宋_GBK" w:hAnsi="宋体" w:eastAsia="方正仿宋_GBK"/>
                <w:w w:val="66"/>
              </w:rPr>
              <w:t>、修剪不规范不按要求修剪的一次扣</w:t>
            </w:r>
            <w:r>
              <w:rPr>
                <w:rFonts w:ascii="方正仿宋_GBK" w:hAnsi="宋体" w:eastAsia="方正仿宋_GBK"/>
                <w:w w:val="66"/>
              </w:rPr>
              <w:t>3</w:t>
            </w:r>
            <w:r>
              <w:rPr>
                <w:rFonts w:hint="eastAsia" w:ascii="方正仿宋_GBK" w:hAnsi="宋体" w:eastAsia="方正仿宋_GBK"/>
                <w:w w:val="66"/>
              </w:rPr>
              <w:t>分。乔木宜在叶芽、花芽分化前进行修剪,或秋末修剪未全覆盖一次扣5分</w:t>
            </w:r>
          </w:p>
          <w:p>
            <w:pPr>
              <w:pStyle w:val="26"/>
              <w:spacing w:line="240" w:lineRule="exact"/>
              <w:jc w:val="both"/>
            </w:pPr>
            <w:r>
              <w:rPr>
                <w:rFonts w:ascii="方正仿宋_GBK" w:hAnsi="宋体" w:eastAsia="方正仿宋_GBK"/>
                <w:w w:val="66"/>
              </w:rPr>
              <w:t>4</w:t>
            </w:r>
            <w:r>
              <w:rPr>
                <w:rFonts w:hint="eastAsia" w:ascii="方正仿宋_GBK" w:hAnsi="宋体" w:eastAsia="方正仿宋_GBK"/>
                <w:w w:val="66"/>
              </w:rPr>
              <w:t>、整地施肥不按要求施肥的一次扣2封，施肥后出现肥伤的一次扣2分。</w:t>
            </w:r>
          </w:p>
          <w:p>
            <w:pPr>
              <w:pStyle w:val="26"/>
              <w:spacing w:line="240" w:lineRule="exact"/>
              <w:jc w:val="both"/>
            </w:pPr>
            <w:r>
              <w:rPr>
                <w:rFonts w:ascii="方正仿宋_GBK" w:hAnsi="宋体" w:eastAsia="方正仿宋_GBK"/>
                <w:w w:val="66"/>
              </w:rPr>
              <w:t>5</w:t>
            </w:r>
            <w:r>
              <w:rPr>
                <w:rFonts w:hint="eastAsia" w:ascii="方正仿宋_GBK" w:hAnsi="宋体" w:eastAsia="方正仿宋_GBK"/>
                <w:w w:val="66"/>
              </w:rPr>
              <w:t>、防虫病害未及时发现病虫害并处理的，每片次扣</w:t>
            </w:r>
            <w:r>
              <w:rPr>
                <w:rFonts w:ascii="方正仿宋_GBK" w:hAnsi="宋体" w:eastAsia="方正仿宋_GBK"/>
                <w:w w:val="66"/>
              </w:rPr>
              <w:t>3</w:t>
            </w:r>
            <w:r>
              <w:rPr>
                <w:rFonts w:hint="eastAsia" w:ascii="方正仿宋_GBK" w:hAnsi="宋体" w:eastAsia="方正仿宋_GBK"/>
                <w:w w:val="66"/>
              </w:rPr>
              <w:t>分；造成大面积蔓延的，每片次扣</w:t>
            </w:r>
            <w:r>
              <w:rPr>
                <w:rFonts w:ascii="方正仿宋_GBK" w:hAnsi="宋体" w:eastAsia="方正仿宋_GBK"/>
                <w:w w:val="66"/>
              </w:rPr>
              <w:t>5</w:t>
            </w:r>
            <w:r>
              <w:rPr>
                <w:rFonts w:hint="eastAsia" w:ascii="方正仿宋_GBK" w:hAnsi="宋体" w:eastAsia="方正仿宋_GBK"/>
                <w:w w:val="66"/>
              </w:rPr>
              <w:t>分。</w:t>
            </w:r>
          </w:p>
          <w:p>
            <w:pPr>
              <w:pStyle w:val="26"/>
              <w:spacing w:line="240" w:lineRule="exact"/>
              <w:jc w:val="both"/>
              <w:rPr>
                <w:rFonts w:hint="eastAsia"/>
              </w:rPr>
            </w:pPr>
            <w:r>
              <w:rPr>
                <w:rFonts w:ascii="方正仿宋_GBK" w:hAnsi="宋体" w:eastAsia="方正仿宋_GBK"/>
                <w:w w:val="66"/>
                <w:lang w:val="zh-CN"/>
              </w:rPr>
              <w:t>6</w:t>
            </w:r>
            <w:r>
              <w:rPr>
                <w:rFonts w:hint="eastAsia" w:ascii="方正仿宋_GBK" w:hAnsi="宋体" w:eastAsia="方正仿宋_GBK"/>
                <w:w w:val="66"/>
                <w:lang w:val="zh-CN"/>
              </w:rPr>
              <w:t>、</w:t>
            </w:r>
            <w:r>
              <w:rPr>
                <w:rFonts w:hint="eastAsia" w:ascii="方正仿宋_GBK" w:hAnsi="宋体" w:eastAsia="方正仿宋_GBK"/>
                <w:w w:val="66"/>
              </w:rPr>
              <w:t>不按规定的时间补种或没按死亡植物规格补种，每棵次扣</w:t>
            </w:r>
            <w:r>
              <w:rPr>
                <w:rFonts w:ascii="方正仿宋_GBK" w:hAnsi="宋体" w:eastAsia="方正仿宋_GBK"/>
                <w:w w:val="66"/>
              </w:rPr>
              <w:t>3</w:t>
            </w:r>
            <w:r>
              <w:rPr>
                <w:rFonts w:hint="eastAsia" w:ascii="方正仿宋_GBK" w:hAnsi="宋体" w:eastAsia="方正仿宋_GBK"/>
                <w:w w:val="66"/>
              </w:rPr>
              <w:t>分。</w:t>
            </w:r>
          </w:p>
        </w:tc>
        <w:tc>
          <w:tcPr>
            <w:tcW w:w="1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pacing w:line="240" w:lineRule="exact"/>
              <w:jc w:val="both"/>
              <w:rPr>
                <w:rFonts w:eastAsia="方正仿宋_GBK"/>
                <w:color w:val="000000"/>
              </w:rPr>
            </w:pPr>
          </w:p>
        </w:tc>
        <w:tc>
          <w:tcPr>
            <w:tcW w:w="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000000"/>
                <w:sz w:val="18"/>
                <w:szCs w:val="18"/>
              </w:rPr>
            </w:pPr>
          </w:p>
        </w:tc>
      </w:tr>
      <w:tr>
        <w:tblPrEx>
          <w:tblCellMar>
            <w:top w:w="0" w:type="dxa"/>
            <w:left w:w="0" w:type="dxa"/>
            <w:bottom w:w="0" w:type="dxa"/>
            <w:right w:w="0" w:type="dxa"/>
          </w:tblCellMar>
        </w:tblPrEx>
        <w:trPr>
          <w:trHeight w:val="535" w:hRule="atLeast"/>
          <w:jc w:val="center"/>
        </w:trPr>
        <w:tc>
          <w:tcPr>
            <w:tcW w:w="121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pStyle w:val="26"/>
              <w:jc w:val="center"/>
              <w:rPr>
                <w:rFonts w:eastAsia="方正仿宋_GBK"/>
                <w:color w:val="000000"/>
                <w:kern w:val="0"/>
                <w:sz w:val="21"/>
                <w:szCs w:val="21"/>
                <w:lang w:bidi="ar"/>
              </w:rPr>
            </w:pPr>
            <w:r>
              <w:rPr>
                <w:rFonts w:hint="eastAsia" w:eastAsia="方正仿宋_GBK"/>
                <w:color w:val="000000"/>
                <w:kern w:val="0"/>
                <w:sz w:val="21"/>
                <w:szCs w:val="21"/>
                <w:lang w:bidi="ar"/>
              </w:rPr>
              <w:t>公共设施</w:t>
            </w:r>
          </w:p>
          <w:p>
            <w:pPr>
              <w:pStyle w:val="26"/>
              <w:jc w:val="center"/>
              <w:rPr>
                <w:rFonts w:hint="eastAsia" w:eastAsia="方正仿宋_GBK"/>
                <w:color w:val="000000"/>
                <w:kern w:val="0"/>
                <w:sz w:val="21"/>
                <w:szCs w:val="21"/>
                <w:lang w:bidi="ar"/>
              </w:rPr>
            </w:pPr>
            <w:r>
              <w:rPr>
                <w:rFonts w:eastAsia="方正仿宋_GBK"/>
                <w:color w:val="000000"/>
                <w:kern w:val="0"/>
                <w:sz w:val="21"/>
                <w:szCs w:val="21"/>
                <w:lang w:bidi="ar"/>
              </w:rPr>
              <w:t>(10分)</w:t>
            </w:r>
          </w:p>
        </w:tc>
        <w:tc>
          <w:tcPr>
            <w:tcW w:w="6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w w:val="66"/>
                <w:sz w:val="18"/>
                <w:szCs w:val="18"/>
              </w:rPr>
            </w:pPr>
            <w:r>
              <w:rPr>
                <w:rFonts w:hint="eastAsia" w:ascii="方正仿宋_GBK" w:hAnsi="宋体" w:eastAsia="方正仿宋_GBK"/>
                <w:w w:val="66"/>
                <w:sz w:val="18"/>
                <w:szCs w:val="18"/>
              </w:rPr>
              <w:t>1、作业车辆：文明使用所有作业车辆，定期保养维护，每年维护保养不少于2次。</w:t>
            </w:r>
          </w:p>
          <w:p>
            <w:pPr>
              <w:spacing w:line="240" w:lineRule="exact"/>
              <w:rPr>
                <w:rFonts w:ascii="方正仿宋_GBK" w:hAnsi="宋体" w:eastAsia="方正仿宋_GBK"/>
                <w:w w:val="66"/>
                <w:sz w:val="18"/>
                <w:szCs w:val="18"/>
              </w:rPr>
            </w:pPr>
            <w:r>
              <w:rPr>
                <w:rFonts w:ascii="方正仿宋_GBK" w:hAnsi="宋体" w:eastAsia="方正仿宋_GBK"/>
                <w:w w:val="66"/>
                <w:sz w:val="18"/>
                <w:szCs w:val="18"/>
              </w:rPr>
              <w:t>2</w:t>
            </w:r>
            <w:r>
              <w:rPr>
                <w:rFonts w:hint="eastAsia" w:ascii="方正仿宋_GBK" w:hAnsi="宋体" w:eastAsia="方正仿宋_GBK"/>
                <w:w w:val="66"/>
                <w:sz w:val="18"/>
                <w:szCs w:val="18"/>
              </w:rPr>
              <w:t>、井盖维护与更换（外围自来水井盖）：损坏及时更新，无井盖造成的安全隐患。</w:t>
            </w:r>
          </w:p>
          <w:p>
            <w:pPr>
              <w:spacing w:line="240" w:lineRule="exact"/>
              <w:rPr>
                <w:rFonts w:hint="eastAsia"/>
                <w:sz w:val="18"/>
                <w:szCs w:val="18"/>
              </w:rPr>
            </w:pPr>
            <w:r>
              <w:rPr>
                <w:rFonts w:ascii="方正仿宋_GBK" w:hAnsi="宋体" w:eastAsia="方正仿宋_GBK"/>
                <w:w w:val="66"/>
                <w:sz w:val="18"/>
                <w:szCs w:val="18"/>
              </w:rPr>
              <w:t>3</w:t>
            </w:r>
            <w:r>
              <w:rPr>
                <w:rFonts w:hint="eastAsia" w:ascii="方正仿宋_GBK" w:hAnsi="宋体" w:eastAsia="方正仿宋_GBK"/>
                <w:w w:val="66"/>
                <w:sz w:val="18"/>
                <w:szCs w:val="18"/>
              </w:rPr>
              <w:t>、配电箱（公共区域）：维护和修理好小区内的配电设施。</w:t>
            </w:r>
          </w:p>
        </w:tc>
        <w:tc>
          <w:tcPr>
            <w:tcW w:w="627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rPr>
            </w:pPr>
            <w:r>
              <w:rPr>
                <w:rFonts w:ascii="方正仿宋_GBK" w:hAnsi="宋体" w:eastAsia="方正仿宋_GBK"/>
                <w:w w:val="66"/>
                <w:sz w:val="18"/>
                <w:szCs w:val="18"/>
              </w:rPr>
              <w:t>1</w:t>
            </w:r>
            <w:r>
              <w:rPr>
                <w:rFonts w:hint="eastAsia" w:ascii="方正仿宋_GBK" w:hAnsi="宋体" w:eastAsia="方正仿宋_GBK"/>
                <w:w w:val="66"/>
                <w:sz w:val="18"/>
                <w:szCs w:val="18"/>
              </w:rPr>
              <w:t>、野蛮操作作业车辆发现一次扣2分，未按求保养的一次扣2分。</w:t>
            </w:r>
          </w:p>
          <w:p>
            <w:pPr>
              <w:spacing w:line="240" w:lineRule="exact"/>
              <w:rPr>
                <w:rFonts w:hint="eastAsia" w:ascii="方正仿宋_GBK" w:hAnsi="宋体" w:eastAsia="方正仿宋_GBK"/>
                <w:w w:val="66"/>
                <w:sz w:val="18"/>
                <w:szCs w:val="18"/>
              </w:rPr>
            </w:pPr>
            <w:r>
              <w:rPr>
                <w:rFonts w:hint="eastAsia" w:ascii="方正仿宋_GBK" w:hAnsi="宋体" w:eastAsia="方正仿宋_GBK"/>
                <w:w w:val="66"/>
                <w:sz w:val="18"/>
                <w:szCs w:val="18"/>
              </w:rPr>
              <w:t>2、保证自来水井盖完好，及时更损坏井盖，一次不及时处理的扣2分。</w:t>
            </w:r>
          </w:p>
          <w:p>
            <w:pPr>
              <w:pStyle w:val="26"/>
              <w:spacing w:line="240" w:lineRule="exact"/>
              <w:jc w:val="both"/>
              <w:rPr>
                <w:rFonts w:hint="eastAsia"/>
              </w:rPr>
            </w:pPr>
            <w:r>
              <w:rPr>
                <w:rFonts w:ascii="方正仿宋_GBK" w:hAnsi="宋体" w:eastAsia="方正仿宋_GBK"/>
                <w:w w:val="66"/>
              </w:rPr>
              <w:t>3</w:t>
            </w:r>
            <w:r>
              <w:rPr>
                <w:rFonts w:hint="eastAsia" w:ascii="方正仿宋_GBK" w:hAnsi="宋体" w:eastAsia="方正仿宋_GBK"/>
                <w:w w:val="66"/>
              </w:rPr>
              <w:t>、及时维护好公共区域配电箱，一次扣2分。</w:t>
            </w:r>
          </w:p>
        </w:tc>
        <w:tc>
          <w:tcPr>
            <w:tcW w:w="1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pacing w:line="240" w:lineRule="exact"/>
              <w:jc w:val="both"/>
              <w:rPr>
                <w:rFonts w:eastAsia="方正仿宋_GBK"/>
                <w:color w:val="000000"/>
              </w:rPr>
            </w:pPr>
          </w:p>
        </w:tc>
        <w:tc>
          <w:tcPr>
            <w:tcW w:w="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000000"/>
                <w:sz w:val="18"/>
                <w:szCs w:val="18"/>
              </w:rPr>
            </w:pPr>
          </w:p>
        </w:tc>
      </w:tr>
      <w:tr>
        <w:tblPrEx>
          <w:tblCellMar>
            <w:top w:w="0" w:type="dxa"/>
            <w:left w:w="0" w:type="dxa"/>
            <w:bottom w:w="0" w:type="dxa"/>
            <w:right w:w="0" w:type="dxa"/>
          </w:tblCellMar>
        </w:tblPrEx>
        <w:trPr>
          <w:trHeight w:val="371" w:hRule="atLeast"/>
          <w:jc w:val="center"/>
        </w:trPr>
        <w:tc>
          <w:tcPr>
            <w:tcW w:w="121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240" w:lineRule="exact"/>
              <w:textAlignment w:val="center"/>
              <w:rPr>
                <w:rFonts w:hint="eastAsia" w:eastAsia="方正仿宋_GBK"/>
                <w:color w:val="000000"/>
                <w:kern w:val="0"/>
                <w:szCs w:val="21"/>
                <w:lang w:bidi="ar"/>
              </w:rPr>
            </w:pPr>
            <w:r>
              <w:rPr>
                <w:rFonts w:hint="eastAsia" w:eastAsia="方正仿宋_GBK"/>
                <w:color w:val="000000"/>
                <w:kern w:val="0"/>
                <w:szCs w:val="21"/>
                <w:lang w:bidi="ar"/>
              </w:rPr>
              <w:t>其他</w:t>
            </w:r>
            <w:r>
              <w:rPr>
                <w:rFonts w:hint="eastAsia"/>
                <w:szCs w:val="21"/>
              </w:rPr>
              <w:t>(10分)</w:t>
            </w:r>
          </w:p>
        </w:tc>
        <w:tc>
          <w:tcPr>
            <w:tcW w:w="6219"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rPr>
            </w:pPr>
            <w:r>
              <w:rPr>
                <w:rFonts w:hint="eastAsia" w:ascii="方正仿宋_GBK" w:hAnsi="宋体" w:eastAsia="方正仿宋_GBK"/>
                <w:w w:val="60"/>
                <w:sz w:val="18"/>
                <w:szCs w:val="18"/>
              </w:rPr>
              <w:t>1、积极配合农场和城镇管理服务中心安排的各项工作任务。</w:t>
            </w:r>
          </w:p>
        </w:tc>
        <w:tc>
          <w:tcPr>
            <w:tcW w:w="6276"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rPr>
            </w:pPr>
            <w:r>
              <w:rPr>
                <w:rFonts w:hint="eastAsia" w:ascii="方正仿宋_GBK" w:hAnsi="宋体" w:eastAsia="方正仿宋_GBK"/>
                <w:w w:val="60"/>
                <w:sz w:val="18"/>
                <w:szCs w:val="18"/>
              </w:rPr>
              <w:t>1、一次不配合，推托扣5分。</w:t>
            </w:r>
          </w:p>
        </w:tc>
        <w:tc>
          <w:tcPr>
            <w:tcW w:w="1542"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26"/>
              <w:spacing w:line="240" w:lineRule="exact"/>
              <w:jc w:val="both"/>
              <w:rPr>
                <w:rFonts w:eastAsia="方正仿宋_GBK"/>
                <w:color w:val="000000"/>
              </w:rPr>
            </w:pPr>
          </w:p>
        </w:tc>
        <w:tc>
          <w:tcPr>
            <w:tcW w:w="7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eastAsia="方正仿宋_GBK"/>
                <w:color w:val="000000"/>
                <w:sz w:val="18"/>
                <w:szCs w:val="18"/>
              </w:rPr>
            </w:pPr>
          </w:p>
        </w:tc>
      </w:tr>
      <w:tr>
        <w:tblPrEx>
          <w:tblCellMar>
            <w:top w:w="0" w:type="dxa"/>
            <w:left w:w="0" w:type="dxa"/>
            <w:bottom w:w="0" w:type="dxa"/>
            <w:right w:w="0" w:type="dxa"/>
          </w:tblCellMar>
        </w:tblPrEx>
        <w:trPr>
          <w:trHeight w:val="203" w:hRule="atLeast"/>
          <w:jc w:val="center"/>
        </w:trPr>
        <w:tc>
          <w:tcPr>
            <w:tcW w:w="152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210" w:firstLineChars="100"/>
              <w:jc w:val="left"/>
              <w:textAlignment w:val="center"/>
              <w:rPr>
                <w:rFonts w:eastAsia="方正仿宋_GBK"/>
                <w:color w:val="000000"/>
                <w:szCs w:val="21"/>
              </w:rPr>
            </w:pPr>
            <w:r>
              <w:rPr>
                <w:rFonts w:eastAsia="方正仿宋_GBK"/>
                <w:color w:val="000000"/>
                <w:kern w:val="0"/>
                <w:szCs w:val="21"/>
                <w:lang w:bidi="ar"/>
              </w:rPr>
              <w:t>总</w:t>
            </w:r>
            <w:r>
              <w:rPr>
                <w:rFonts w:hint="eastAsia" w:eastAsia="方正仿宋_GBK"/>
                <w:color w:val="000000"/>
                <w:kern w:val="0"/>
                <w:szCs w:val="21"/>
                <w:lang w:bidi="ar"/>
              </w:rPr>
              <w:t xml:space="preserve"> </w:t>
            </w:r>
            <w:r>
              <w:rPr>
                <w:rFonts w:eastAsia="方正仿宋_GBK"/>
                <w:color w:val="000000"/>
                <w:kern w:val="0"/>
                <w:szCs w:val="21"/>
                <w:lang w:bidi="ar"/>
              </w:rPr>
              <w:t>计</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eastAsia="方正仿宋_GBK"/>
                <w:color w:val="000000"/>
                <w:sz w:val="18"/>
                <w:szCs w:val="18"/>
              </w:rPr>
            </w:pPr>
          </w:p>
        </w:tc>
      </w:tr>
      <w:tr>
        <w:tblPrEx>
          <w:tblCellMar>
            <w:top w:w="0" w:type="dxa"/>
            <w:left w:w="0" w:type="dxa"/>
            <w:bottom w:w="0" w:type="dxa"/>
            <w:right w:w="0" w:type="dxa"/>
          </w:tblCellMar>
        </w:tblPrEx>
        <w:trPr>
          <w:trHeight w:val="276" w:hRule="atLeast"/>
          <w:jc w:val="center"/>
        </w:trPr>
        <w:tc>
          <w:tcPr>
            <w:tcW w:w="15972" w:type="dxa"/>
            <w:gridSpan w:val="5"/>
            <w:tcBorders>
              <w:top w:val="nil"/>
              <w:left w:val="nil"/>
              <w:bottom w:val="nil"/>
              <w:right w:val="nil"/>
            </w:tcBorders>
            <w:noWrap w:val="0"/>
            <w:tcMar>
              <w:top w:w="15" w:type="dxa"/>
              <w:left w:w="15" w:type="dxa"/>
              <w:right w:w="15" w:type="dxa"/>
            </w:tcMar>
            <w:vAlign w:val="center"/>
          </w:tcPr>
          <w:p>
            <w:pPr>
              <w:widowControl/>
              <w:spacing w:line="300" w:lineRule="exact"/>
              <w:textAlignment w:val="center"/>
              <w:rPr>
                <w:rFonts w:eastAsia="方正仿宋_GBK"/>
                <w:color w:val="000000"/>
                <w:sz w:val="28"/>
                <w:szCs w:val="28"/>
              </w:rPr>
            </w:pPr>
            <w:r>
              <w:rPr>
                <w:rFonts w:hint="eastAsia" w:eastAsia="方正仿宋_GBK"/>
                <w:color w:val="000000"/>
                <w:kern w:val="0"/>
                <w:sz w:val="28"/>
                <w:szCs w:val="28"/>
                <w:lang w:bidi="ar"/>
              </w:rPr>
              <w:t>检查人签字</w:t>
            </w:r>
            <w:r>
              <w:rPr>
                <w:rFonts w:hint="eastAsia"/>
              </w:rPr>
              <w:t xml:space="preserve">：                                    </w:t>
            </w:r>
            <w:r>
              <w:t xml:space="preserve">       </w:t>
            </w:r>
            <w:r>
              <w:rPr>
                <w:rFonts w:hint="eastAsia" w:eastAsia="方正仿宋_GBK"/>
                <w:color w:val="000000"/>
                <w:kern w:val="0"/>
                <w:sz w:val="28"/>
                <w:szCs w:val="28"/>
                <w:lang w:bidi="ar"/>
              </w:rPr>
              <w:t>责任人签字</w:t>
            </w:r>
            <w:r>
              <w:rPr>
                <w:rFonts w:hint="eastAsia"/>
              </w:rPr>
              <w:t>：</w:t>
            </w:r>
            <w:r>
              <w:t xml:space="preserve">  </w:t>
            </w:r>
            <w:r>
              <w:rPr>
                <w:rFonts w:hint="eastAsia"/>
              </w:rPr>
              <w:t xml:space="preserve">                                  </w:t>
            </w:r>
            <w:r>
              <w:t xml:space="preserve">          </w:t>
            </w:r>
            <w:r>
              <w:rPr>
                <w:rFonts w:hint="eastAsia" w:eastAsia="方正仿宋_GBK"/>
                <w:color w:val="000000"/>
                <w:kern w:val="0"/>
                <w:sz w:val="28"/>
                <w:szCs w:val="28"/>
                <w:lang w:bidi="ar"/>
              </w:rPr>
              <w:t>检查</w:t>
            </w:r>
            <w:r>
              <w:rPr>
                <w:rFonts w:eastAsia="方正仿宋_GBK"/>
                <w:color w:val="000000"/>
                <w:kern w:val="0"/>
                <w:sz w:val="28"/>
                <w:szCs w:val="28"/>
                <w:lang w:bidi="ar"/>
              </w:rPr>
              <w:t>日期：</w:t>
            </w:r>
            <w:r>
              <w:rPr>
                <w:rFonts w:hint="eastAsia" w:eastAsia="方正仿宋_GBK"/>
                <w:color w:val="000000"/>
                <w:kern w:val="0"/>
                <w:sz w:val="28"/>
                <w:szCs w:val="28"/>
                <w:lang w:bidi="ar"/>
              </w:rPr>
              <w:t xml:space="preserve">    年  月  日</w:t>
            </w:r>
          </w:p>
        </w:tc>
      </w:tr>
      <w:tr>
        <w:tblPrEx>
          <w:tblCellMar>
            <w:top w:w="0" w:type="dxa"/>
            <w:left w:w="0" w:type="dxa"/>
            <w:bottom w:w="0" w:type="dxa"/>
            <w:right w:w="0" w:type="dxa"/>
          </w:tblCellMar>
        </w:tblPrEx>
        <w:trPr>
          <w:trHeight w:val="90" w:hRule="atLeast"/>
          <w:jc w:val="center"/>
        </w:trPr>
        <w:tc>
          <w:tcPr>
            <w:tcW w:w="15972" w:type="dxa"/>
            <w:gridSpan w:val="5"/>
            <w:tcBorders>
              <w:top w:val="nil"/>
              <w:left w:val="nil"/>
              <w:bottom w:val="nil"/>
              <w:right w:val="nil"/>
            </w:tcBorders>
            <w:noWrap w:val="0"/>
            <w:tcMar>
              <w:top w:w="15" w:type="dxa"/>
              <w:left w:w="15" w:type="dxa"/>
              <w:right w:w="15" w:type="dxa"/>
            </w:tcMar>
            <w:vAlign w:val="top"/>
          </w:tcPr>
          <w:p>
            <w:pPr>
              <w:widowControl/>
              <w:spacing w:line="400" w:lineRule="exact"/>
              <w:textAlignment w:val="center"/>
              <w:rPr>
                <w:rFonts w:eastAsia="方正小标宋_GBK"/>
                <w:color w:val="000000"/>
                <w:sz w:val="36"/>
                <w:szCs w:val="36"/>
                <w:u w:val="single"/>
              </w:rPr>
            </w:pPr>
            <w:r>
              <w:rPr>
                <w:rStyle w:val="172"/>
                <w:rFonts w:hint="default" w:ascii="方正仿宋_GBK" w:hAnsi="方正仿宋_GBK" w:eastAsia="方正仿宋_GBK" w:cs="方正仿宋_GBK"/>
                <w:sz w:val="32"/>
                <w:szCs w:val="32"/>
                <w:lang w:bidi="ar"/>
              </w:rPr>
              <w:t xml:space="preserve">附件2： </w:t>
            </w:r>
            <w:r>
              <w:rPr>
                <w:rStyle w:val="172"/>
                <w:rFonts w:hint="default" w:ascii="Times New Roman" w:hAnsi="Times New Roman" w:cs="Times New Roman"/>
                <w:sz w:val="36"/>
                <w:szCs w:val="36"/>
                <w:lang w:bidi="ar"/>
              </w:rPr>
              <w:t xml:space="preserve">         </w:t>
            </w:r>
            <w:r>
              <w:rPr>
                <w:rStyle w:val="172"/>
                <w:rFonts w:hint="default" w:cs="Times New Roman"/>
                <w:sz w:val="36"/>
                <w:szCs w:val="36"/>
                <w:lang w:bidi="ar"/>
              </w:rPr>
              <w:t xml:space="preserve">     </w:t>
            </w:r>
            <w:r>
              <w:rPr>
                <w:rStyle w:val="172"/>
                <w:rFonts w:hint="default" w:ascii="Times New Roman" w:hAnsi="Times New Roman" w:cs="Times New Roman"/>
                <w:sz w:val="36"/>
                <w:szCs w:val="36"/>
                <w:lang w:bidi="ar"/>
              </w:rPr>
              <w:t xml:space="preserve"> </w:t>
            </w:r>
            <w:r>
              <w:rPr>
                <w:rStyle w:val="172"/>
                <w:rFonts w:hint="default" w:ascii="Times New Roman" w:hAnsi="Times New Roman" w:cs="Times New Roman"/>
                <w:sz w:val="36"/>
                <w:szCs w:val="36"/>
                <w:u w:val="single"/>
                <w:lang w:bidi="ar"/>
              </w:rPr>
              <w:t xml:space="preserve">        </w:t>
            </w:r>
            <w:r>
              <w:rPr>
                <w:rStyle w:val="172"/>
                <w:rFonts w:hint="default" w:cs="Times New Roman"/>
                <w:sz w:val="36"/>
                <w:szCs w:val="36"/>
                <w:u w:val="single"/>
                <w:lang w:bidi="ar"/>
              </w:rPr>
              <w:t xml:space="preserve"> </w:t>
            </w:r>
            <w:r>
              <w:rPr>
                <w:rStyle w:val="172"/>
                <w:rFonts w:hint="default" w:ascii="Times New Roman" w:hAnsi="Times New Roman" w:cs="Times New Roman"/>
                <w:sz w:val="36"/>
                <w:szCs w:val="36"/>
                <w:u w:val="single"/>
                <w:lang w:bidi="ar"/>
              </w:rPr>
              <w:t xml:space="preserve">  </w:t>
            </w:r>
            <w:r>
              <w:rPr>
                <w:rStyle w:val="172"/>
                <w:rFonts w:hint="default" w:ascii="Times New Roman" w:hAnsi="Times New Roman" w:cs="Times New Roman"/>
                <w:sz w:val="36"/>
                <w:szCs w:val="36"/>
                <w:lang w:bidi="ar"/>
              </w:rPr>
              <w:t>年</w:t>
            </w:r>
            <w:r>
              <w:rPr>
                <w:rStyle w:val="197"/>
                <w:rFonts w:hint="eastAsia"/>
                <w:u w:val="single"/>
                <w:lang w:bidi="ar"/>
              </w:rPr>
              <w:t xml:space="preserve"> </w:t>
            </w:r>
            <w:r>
              <w:rPr>
                <w:rStyle w:val="197"/>
                <w:u w:val="single"/>
                <w:lang w:bidi="ar"/>
              </w:rPr>
              <w:t xml:space="preserve"> </w:t>
            </w:r>
            <w:r>
              <w:rPr>
                <w:rStyle w:val="197"/>
                <w:rFonts w:hint="eastAsia"/>
                <w:u w:val="single"/>
                <w:lang w:bidi="ar"/>
              </w:rPr>
              <w:t xml:space="preserve"> </w:t>
            </w:r>
            <w:r>
              <w:rPr>
                <w:rStyle w:val="172"/>
                <w:rFonts w:hint="default" w:ascii="Times New Roman" w:hAnsi="Times New Roman" w:cs="Times New Roman"/>
                <w:sz w:val="36"/>
                <w:szCs w:val="36"/>
                <w:lang w:bidi="ar"/>
              </w:rPr>
              <w:t>月考核情况表(冬季10月1日至3月31日)</w:t>
            </w:r>
          </w:p>
        </w:tc>
      </w:tr>
      <w:tr>
        <w:tblPrEx>
          <w:tblCellMar>
            <w:top w:w="0" w:type="dxa"/>
            <w:left w:w="0" w:type="dxa"/>
            <w:bottom w:w="0" w:type="dxa"/>
            <w:right w:w="0" w:type="dxa"/>
          </w:tblCellMar>
        </w:tblPrEx>
        <w:trPr>
          <w:trHeight w:val="297" w:hRule="atLeast"/>
          <w:jc w:val="center"/>
        </w:trPr>
        <w:tc>
          <w:tcPr>
            <w:tcW w:w="15972" w:type="dxa"/>
            <w:gridSpan w:val="5"/>
            <w:tcBorders>
              <w:top w:val="nil"/>
              <w:left w:val="nil"/>
              <w:bottom w:val="nil"/>
              <w:right w:val="nil"/>
            </w:tcBorders>
            <w:noWrap w:val="0"/>
            <w:tcMar>
              <w:top w:w="15" w:type="dxa"/>
              <w:left w:w="15" w:type="dxa"/>
              <w:right w:w="15" w:type="dxa"/>
            </w:tcMar>
            <w:vAlign w:val="center"/>
          </w:tcPr>
          <w:p>
            <w:pPr>
              <w:widowControl/>
              <w:spacing w:line="400" w:lineRule="exact"/>
              <w:jc w:val="left"/>
              <w:textAlignment w:val="center"/>
              <w:rPr>
                <w:rFonts w:eastAsia="方正仿宋_GBK"/>
                <w:color w:val="000000"/>
                <w:sz w:val="30"/>
                <w:szCs w:val="30"/>
              </w:rPr>
            </w:pPr>
            <w:r>
              <w:rPr>
                <w:rFonts w:eastAsia="方正仿宋_GBK"/>
                <w:color w:val="000000"/>
                <w:kern w:val="0"/>
                <w:sz w:val="30"/>
                <w:szCs w:val="30"/>
                <w:lang w:bidi="ar"/>
              </w:rPr>
              <w:t xml:space="preserve">被考核单位： </w:t>
            </w:r>
            <w:r>
              <w:rPr>
                <w:rFonts w:hint="eastAsia" w:eastAsia="方正仿宋_GBK"/>
                <w:color w:val="000000"/>
                <w:kern w:val="0"/>
                <w:sz w:val="30"/>
                <w:szCs w:val="30"/>
                <w:lang w:bidi="ar"/>
              </w:rPr>
              <w:t xml:space="preserve">       </w:t>
            </w:r>
            <w:r>
              <w:rPr>
                <w:rFonts w:eastAsia="方正仿宋_GBK"/>
                <w:color w:val="000000"/>
                <w:kern w:val="0"/>
                <w:sz w:val="30"/>
                <w:szCs w:val="30"/>
                <w:lang w:bidi="ar"/>
              </w:rPr>
              <w:t xml:space="preserve">                                                                          得分：</w:t>
            </w:r>
          </w:p>
        </w:tc>
      </w:tr>
      <w:tr>
        <w:tblPrEx>
          <w:tblCellMar>
            <w:top w:w="0" w:type="dxa"/>
            <w:left w:w="0" w:type="dxa"/>
            <w:bottom w:w="0" w:type="dxa"/>
            <w:right w:w="0" w:type="dxa"/>
          </w:tblCellMar>
        </w:tblPrEx>
        <w:trPr>
          <w:trHeight w:val="225" w:hRule="atLeast"/>
          <w:jc w:val="center"/>
        </w:trPr>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sz w:val="24"/>
              </w:rPr>
            </w:pPr>
            <w:r>
              <w:rPr>
                <w:rFonts w:ascii="宋体" w:hAnsi="宋体"/>
                <w:b/>
                <w:bCs/>
                <w:sz w:val="24"/>
              </w:rPr>
              <w:t>考核项目</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sz w:val="24"/>
              </w:rPr>
            </w:pPr>
            <w:r>
              <w:rPr>
                <w:rFonts w:hint="eastAsia" w:ascii="宋体" w:hAnsi="宋体"/>
                <w:b/>
                <w:bCs/>
                <w:sz w:val="24"/>
              </w:rPr>
              <w:t>考核内容及标准</w:t>
            </w:r>
          </w:p>
        </w:tc>
        <w:tc>
          <w:tcPr>
            <w:tcW w:w="6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sz w:val="24"/>
              </w:rPr>
            </w:pPr>
            <w:r>
              <w:rPr>
                <w:rFonts w:hint="eastAsia" w:ascii="宋体" w:hAnsi="宋体"/>
                <w:b/>
                <w:bCs/>
                <w:sz w:val="24"/>
              </w:rPr>
              <w:t>考核办法</w:t>
            </w:r>
          </w:p>
        </w:tc>
        <w:tc>
          <w:tcPr>
            <w:tcW w:w="15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sz w:val="24"/>
              </w:rPr>
            </w:pPr>
            <w:r>
              <w:rPr>
                <w:rFonts w:ascii="宋体" w:hAnsi="宋体"/>
                <w:b/>
                <w:bCs/>
                <w:sz w:val="24"/>
              </w:rPr>
              <w:t>存在的问题</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ascii="宋体" w:hAnsi="宋体"/>
                <w:b/>
                <w:bCs/>
                <w:sz w:val="24"/>
              </w:rPr>
            </w:pPr>
            <w:r>
              <w:rPr>
                <w:rFonts w:ascii="宋体" w:hAnsi="宋体"/>
                <w:b/>
                <w:bCs/>
                <w:sz w:val="24"/>
              </w:rPr>
              <w:t>扣分</w:t>
            </w:r>
          </w:p>
        </w:tc>
      </w:tr>
      <w:tr>
        <w:trPr>
          <w:trHeight w:val="1416" w:hRule="atLeast"/>
          <w:jc w:val="center"/>
        </w:trPr>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eastAsia="方正仿宋_GBK"/>
                <w:color w:val="000000"/>
                <w:kern w:val="0"/>
                <w:szCs w:val="21"/>
                <w:lang w:val="zh-CN" w:bidi="ar"/>
              </w:rPr>
            </w:pPr>
            <w:r>
              <w:rPr>
                <w:rFonts w:hint="eastAsia" w:eastAsia="方正仿宋_GBK"/>
                <w:color w:val="000000"/>
                <w:kern w:val="0"/>
                <w:szCs w:val="21"/>
                <w:lang w:val="zh-CN" w:bidi="ar"/>
              </w:rPr>
              <w:t>冰雪清除</w:t>
            </w:r>
          </w:p>
          <w:p>
            <w:pPr>
              <w:widowControl/>
              <w:spacing w:line="300" w:lineRule="exact"/>
              <w:jc w:val="center"/>
              <w:textAlignment w:val="center"/>
              <w:rPr>
                <w:rFonts w:hint="eastAsia" w:eastAsia="方正仿宋_GBK"/>
                <w:color w:val="000000"/>
                <w:kern w:val="0"/>
                <w:szCs w:val="21"/>
                <w:lang w:bidi="ar"/>
              </w:rPr>
            </w:pPr>
            <w:r>
              <w:rPr>
                <w:rFonts w:hint="eastAsia" w:eastAsia="方正仿宋_GBK"/>
                <w:color w:val="000000"/>
                <w:kern w:val="0"/>
                <w:szCs w:val="21"/>
                <w:lang w:bidi="ar"/>
              </w:rPr>
              <w:t>(</w:t>
            </w:r>
            <w:r>
              <w:rPr>
                <w:rFonts w:eastAsia="方正仿宋_GBK"/>
                <w:color w:val="000000"/>
                <w:kern w:val="0"/>
                <w:szCs w:val="21"/>
                <w:lang w:val="zh-CN" w:bidi="ar"/>
              </w:rPr>
              <w:t>25</w:t>
            </w:r>
            <w:r>
              <w:rPr>
                <w:rFonts w:hint="eastAsia" w:eastAsia="方正仿宋_GBK"/>
                <w:color w:val="000000"/>
                <w:kern w:val="0"/>
                <w:szCs w:val="21"/>
                <w:lang w:val="zh-CN" w:bidi="ar"/>
              </w:rPr>
              <w:t>分</w:t>
            </w:r>
            <w:r>
              <w:rPr>
                <w:rFonts w:hint="eastAsia" w:eastAsia="方正仿宋_GBK"/>
                <w:color w:val="000000"/>
                <w:kern w:val="0"/>
                <w:szCs w:val="21"/>
                <w:lang w:bidi="ar"/>
              </w:rPr>
              <w:t>)</w:t>
            </w:r>
          </w:p>
        </w:tc>
        <w:tc>
          <w:tcPr>
            <w:tcW w:w="621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1、城区主干道需即下即扫即清；次干道要当天扫，当天清；背街小巷小区、院落需当天扫，两日清。</w:t>
            </w:r>
          </w:p>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2、冰雪清除后的道路路面应达到露地面、见行道线、不留残余冰雪；</w:t>
            </w:r>
          </w:p>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3、机动车道、非机动车道、人行道、路口、公交港湾等公共区域内不得存放积雪；</w:t>
            </w:r>
          </w:p>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4、清雪过程中严禁撒盐融雪剂。</w:t>
            </w:r>
          </w:p>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5、严禁向道路中央或下水道抛洒积雪。</w:t>
            </w:r>
          </w:p>
          <w:p>
            <w:pPr>
              <w:spacing w:line="240" w:lineRule="exact"/>
              <w:rPr>
                <w:rFonts w:ascii="方正仿宋_GBK" w:hAnsi="宋体" w:eastAsia="方正仿宋_GBK"/>
                <w:w w:val="60"/>
                <w:sz w:val="18"/>
                <w:szCs w:val="18"/>
              </w:rPr>
            </w:pPr>
            <w:r>
              <w:rPr>
                <w:rFonts w:hint="eastAsia" w:ascii="方正仿宋_GBK" w:hAnsi="宋体" w:eastAsia="方正仿宋_GBK"/>
                <w:w w:val="60"/>
                <w:sz w:val="18"/>
                <w:szCs w:val="18"/>
                <w:lang w:val="zh-CN"/>
              </w:rPr>
              <w:t>6、堆积在绿化带内的积雪不得超过50厘米。</w:t>
            </w:r>
          </w:p>
        </w:tc>
        <w:tc>
          <w:tcPr>
            <w:tcW w:w="627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1、未及时出动车辆人员组织清雪的，发现一处扣2分，清推不干净的发现一处扣0.5分。</w:t>
            </w:r>
          </w:p>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2、主干道的快车道每1平方米冰雪未及时清除扣1分，慢车道、人行道每1方米冰雪未清除扣1分。</w:t>
            </w:r>
          </w:p>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3、道路清雪不彻底的，未露地面、人行道，且有残冰、残雪的，发现一处扣1分。</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lang w:val="zh-CN"/>
              </w:rPr>
              <w:t>4</w:t>
            </w:r>
            <w:r>
              <w:rPr>
                <w:rFonts w:hint="eastAsia" w:ascii="方正仿宋_GBK" w:hAnsi="宋体" w:eastAsia="方正仿宋_GBK"/>
                <w:w w:val="60"/>
                <w:sz w:val="18"/>
                <w:szCs w:val="18"/>
                <w:lang w:val="zh-CN"/>
              </w:rPr>
              <w:t>、机动车道、非机动车道、人行道、路口、道路转盘、广场、公交港湾等公共区域有积存冰雪的一处扣1分。</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lang w:val="zh-CN"/>
              </w:rPr>
              <w:t>5</w:t>
            </w:r>
            <w:r>
              <w:rPr>
                <w:rFonts w:hint="eastAsia" w:ascii="方正仿宋_GBK" w:hAnsi="宋体" w:eastAsia="方正仿宋_GBK"/>
                <w:w w:val="60"/>
                <w:sz w:val="18"/>
                <w:szCs w:val="18"/>
                <w:lang w:val="zh-CN"/>
              </w:rPr>
              <w:t>、向道路中央、下水道抛洒积雪的，发现一次扣1分，擅自使用融雪剂的，发现一次扣1分。</w:t>
            </w:r>
          </w:p>
          <w:p>
            <w:pPr>
              <w:spacing w:line="240" w:lineRule="exact"/>
              <w:rPr>
                <w:rFonts w:ascii="方正仿宋_GBK" w:hAnsi="宋体" w:eastAsia="方正仿宋_GBK"/>
                <w:w w:val="60"/>
                <w:sz w:val="18"/>
                <w:szCs w:val="18"/>
                <w:lang w:val="zh-CN"/>
              </w:rPr>
            </w:pPr>
            <w:r>
              <w:rPr>
                <w:rFonts w:ascii="方正仿宋_GBK" w:hAnsi="宋体" w:eastAsia="方正仿宋_GBK"/>
                <w:w w:val="60"/>
                <w:sz w:val="18"/>
                <w:szCs w:val="18"/>
                <w:lang w:val="zh-CN"/>
              </w:rPr>
              <w:t>6</w:t>
            </w:r>
            <w:r>
              <w:rPr>
                <w:rFonts w:hint="eastAsia" w:ascii="方正仿宋_GBK" w:hAnsi="宋体" w:eastAsia="方正仿宋_GBK"/>
                <w:w w:val="60"/>
                <w:sz w:val="18"/>
                <w:szCs w:val="18"/>
                <w:lang w:val="zh-CN"/>
              </w:rPr>
              <w:t>、居民来信、来电、来访投诉或被新闻单位曝光等，一次扣1分。</w:t>
            </w:r>
          </w:p>
        </w:tc>
        <w:tc>
          <w:tcPr>
            <w:tcW w:w="154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w w:val="60"/>
                <w:sz w:val="20"/>
                <w:szCs w:val="20"/>
                <w:lang w:val="zh-CN"/>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000000"/>
                <w:w w:val="60"/>
                <w:sz w:val="20"/>
                <w:szCs w:val="20"/>
              </w:rPr>
            </w:pPr>
          </w:p>
        </w:tc>
      </w:tr>
      <w:tr>
        <w:tblPrEx>
          <w:tblCellMar>
            <w:top w:w="0" w:type="dxa"/>
            <w:left w:w="0" w:type="dxa"/>
            <w:bottom w:w="0" w:type="dxa"/>
            <w:right w:w="0" w:type="dxa"/>
          </w:tblCellMar>
        </w:tblPrEx>
        <w:trPr>
          <w:trHeight w:val="1534" w:hRule="atLeast"/>
          <w:jc w:val="center"/>
        </w:trPr>
        <w:tc>
          <w:tcPr>
            <w:tcW w:w="121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eastAsia="方正仿宋_GBK"/>
                <w:color w:val="000000"/>
                <w:kern w:val="0"/>
                <w:szCs w:val="21"/>
                <w:lang w:bidi="ar"/>
              </w:rPr>
            </w:pPr>
            <w:r>
              <w:rPr>
                <w:rFonts w:hint="eastAsia" w:eastAsia="方正仿宋_GBK"/>
                <w:color w:val="000000"/>
                <w:kern w:val="0"/>
                <w:szCs w:val="21"/>
                <w:lang w:bidi="ar"/>
              </w:rPr>
              <w:t>道路清扫保洁</w:t>
            </w:r>
          </w:p>
          <w:p>
            <w:pPr>
              <w:widowControl/>
              <w:spacing w:line="300" w:lineRule="exact"/>
              <w:jc w:val="center"/>
              <w:textAlignment w:val="center"/>
              <w:rPr>
                <w:rFonts w:eastAsia="方正仿宋_GBK"/>
                <w:color w:val="000000"/>
                <w:kern w:val="0"/>
                <w:szCs w:val="21"/>
                <w:lang w:bidi="ar"/>
              </w:rPr>
            </w:pPr>
            <w:r>
              <w:rPr>
                <w:rFonts w:hint="eastAsia" w:eastAsia="方正仿宋_GBK"/>
                <w:color w:val="000000"/>
                <w:kern w:val="0"/>
                <w:szCs w:val="21"/>
                <w:lang w:bidi="ar"/>
              </w:rPr>
              <w:t>(15分)</w:t>
            </w:r>
          </w:p>
        </w:tc>
        <w:tc>
          <w:tcPr>
            <w:tcW w:w="62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color w:val="000000"/>
                <w:w w:val="60"/>
                <w:sz w:val="18"/>
                <w:szCs w:val="18"/>
                <w:lang w:val="zh-CN"/>
              </w:rPr>
            </w:pPr>
            <w:r>
              <w:rPr>
                <w:rFonts w:hint="eastAsia" w:ascii="方正仿宋_GBK" w:hAnsi="宋体" w:eastAsia="方正仿宋_GBK"/>
                <w:color w:val="000000"/>
                <w:w w:val="60"/>
                <w:sz w:val="18"/>
                <w:szCs w:val="18"/>
                <w:lang w:val="zh-CN"/>
              </w:rPr>
              <w:t>1、城镇区域坚持全天两扫两保，工业园区全天两扫一保，次干道、支路、巷道全天一扫一保，20点前完毕。</w:t>
            </w:r>
          </w:p>
          <w:p>
            <w:pPr>
              <w:spacing w:line="240" w:lineRule="exact"/>
              <w:rPr>
                <w:rFonts w:hint="eastAsia" w:ascii="方正仿宋_GBK" w:hAnsi="宋体" w:eastAsia="方正仿宋_GBK"/>
                <w:color w:val="000000"/>
                <w:w w:val="60"/>
                <w:sz w:val="18"/>
                <w:szCs w:val="18"/>
                <w:lang w:val="zh-CN"/>
              </w:rPr>
            </w:pPr>
            <w:r>
              <w:rPr>
                <w:rFonts w:hint="eastAsia" w:ascii="方正仿宋_GBK" w:hAnsi="宋体" w:eastAsia="方正仿宋_GBK"/>
                <w:color w:val="000000"/>
                <w:w w:val="60"/>
                <w:sz w:val="18"/>
                <w:szCs w:val="18"/>
                <w:lang w:val="zh-CN"/>
              </w:rPr>
              <w:t>2、清扫保洁作业应达到：“五不”，“五净”，既：不见积水、不见积土，不见纸屑果皮烟头、不露收堆，不乱倒垃圾；路面净，路沿净、人行道净、树坑墙边净、果皮箱净。</w:t>
            </w:r>
          </w:p>
          <w:p>
            <w:pPr>
              <w:spacing w:line="240" w:lineRule="exact"/>
              <w:rPr>
                <w:rFonts w:hint="eastAsia" w:ascii="方正仿宋_GBK" w:hAnsi="宋体" w:eastAsia="方正仿宋_GBK"/>
                <w:color w:val="000000"/>
                <w:w w:val="60"/>
                <w:sz w:val="18"/>
                <w:szCs w:val="18"/>
                <w:lang w:val="zh-CN"/>
              </w:rPr>
            </w:pPr>
            <w:r>
              <w:rPr>
                <w:rFonts w:hint="eastAsia" w:ascii="方正仿宋_GBK" w:hAnsi="宋体" w:eastAsia="方正仿宋_GBK"/>
                <w:color w:val="000000"/>
                <w:w w:val="60"/>
                <w:sz w:val="18"/>
                <w:szCs w:val="18"/>
                <w:lang w:val="zh-CN"/>
              </w:rPr>
              <w:t>3、人行道花砖缝隙无明显污物。</w:t>
            </w:r>
          </w:p>
          <w:p>
            <w:pPr>
              <w:spacing w:line="240" w:lineRule="exact"/>
              <w:rPr>
                <w:rFonts w:hint="eastAsia" w:ascii="方正仿宋_GBK" w:hAnsi="宋体" w:eastAsia="方正仿宋_GBK"/>
                <w:color w:val="000000"/>
                <w:w w:val="60"/>
                <w:sz w:val="18"/>
                <w:szCs w:val="18"/>
                <w:lang w:val="zh-CN"/>
              </w:rPr>
            </w:pPr>
            <w:r>
              <w:rPr>
                <w:rFonts w:hint="eastAsia" w:ascii="方正仿宋_GBK" w:hAnsi="宋体" w:eastAsia="方正仿宋_GBK"/>
                <w:color w:val="000000"/>
                <w:w w:val="60"/>
                <w:sz w:val="18"/>
                <w:szCs w:val="18"/>
                <w:lang w:val="zh-CN"/>
              </w:rPr>
              <w:t>4、路边绿地、街心、花园、街道树穴内应干净、整洁，无垃圾污物。</w:t>
            </w:r>
          </w:p>
          <w:p>
            <w:pPr>
              <w:spacing w:line="240" w:lineRule="exact"/>
              <w:rPr>
                <w:rFonts w:hint="eastAsia" w:ascii="方正仿宋_GBK" w:hAnsi="宋体" w:eastAsia="方正仿宋_GBK"/>
                <w:color w:val="000000"/>
                <w:w w:val="60"/>
                <w:sz w:val="18"/>
                <w:szCs w:val="18"/>
                <w:lang w:val="zh-CN"/>
              </w:rPr>
            </w:pPr>
            <w:r>
              <w:rPr>
                <w:rFonts w:hint="eastAsia" w:ascii="方正仿宋_GBK" w:hAnsi="宋体" w:eastAsia="方正仿宋_GBK"/>
                <w:color w:val="000000"/>
                <w:w w:val="60"/>
                <w:sz w:val="18"/>
                <w:szCs w:val="18"/>
                <w:lang w:val="zh-CN"/>
              </w:rPr>
              <w:t>5、</w:t>
            </w:r>
            <w:r>
              <w:rPr>
                <w:rFonts w:hint="eastAsia" w:ascii="方正仿宋_GBK" w:hAnsi="宋体" w:eastAsia="方正仿宋_GBK"/>
                <w:color w:val="000000"/>
                <w:w w:val="66"/>
                <w:sz w:val="18"/>
                <w:szCs w:val="18"/>
                <w:lang w:val="zh-CN"/>
              </w:rPr>
              <w:t>洒水降尘，温度不低于5度，每天保证1次。</w:t>
            </w:r>
          </w:p>
          <w:p>
            <w:pPr>
              <w:spacing w:line="240" w:lineRule="exact"/>
              <w:rPr>
                <w:rFonts w:ascii="方正仿宋_GBK" w:hAnsi="宋体" w:eastAsia="方正仿宋_GBK"/>
                <w:color w:val="000000"/>
                <w:w w:val="60"/>
                <w:sz w:val="18"/>
                <w:szCs w:val="18"/>
                <w:lang w:val="zh-CN"/>
              </w:rPr>
            </w:pPr>
            <w:r>
              <w:rPr>
                <w:rFonts w:hint="eastAsia" w:ascii="方正仿宋_GBK" w:hAnsi="宋体" w:eastAsia="方正仿宋_GBK"/>
                <w:color w:val="000000"/>
                <w:w w:val="60"/>
                <w:sz w:val="18"/>
                <w:szCs w:val="18"/>
                <w:lang w:val="zh-CN"/>
              </w:rPr>
              <w:t>6.保洁人员工作期间必须着装统一工作服。</w:t>
            </w:r>
          </w:p>
        </w:tc>
        <w:tc>
          <w:tcPr>
            <w:tcW w:w="62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1、未在规定的时间完成清扫作业，每处扣1分，机动车道有垃圾污物和明显尘土，每处扣0.5分。</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lang w:val="zh-CN"/>
              </w:rPr>
              <w:t>2</w:t>
            </w:r>
            <w:r>
              <w:rPr>
                <w:rFonts w:hint="eastAsia" w:ascii="方正仿宋_GBK" w:hAnsi="宋体" w:eastAsia="方正仿宋_GBK"/>
                <w:w w:val="60"/>
                <w:sz w:val="18"/>
                <w:szCs w:val="18"/>
                <w:lang w:val="zh-CN"/>
              </w:rPr>
              <w:t>、机动车道有纸屑、果皮、烟头等污物，每处扣1分，未按规定时间、次数洒水降尘，扣1分。</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lang w:val="zh-CN"/>
              </w:rPr>
              <w:t>3</w:t>
            </w:r>
            <w:r>
              <w:rPr>
                <w:rFonts w:hint="eastAsia" w:ascii="方正仿宋_GBK" w:hAnsi="宋体" w:eastAsia="方正仿宋_GBK"/>
                <w:w w:val="60"/>
                <w:sz w:val="18"/>
                <w:szCs w:val="18"/>
                <w:lang w:val="zh-CN"/>
              </w:rPr>
              <w:t>、设施完善的道路，路面有积水的，每处扣0.5分，清扫后未及时清理，有漏收堆的现象，每处扣1分。</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lang w:val="zh-CN"/>
              </w:rPr>
              <w:t>4</w:t>
            </w:r>
            <w:r>
              <w:rPr>
                <w:rFonts w:hint="eastAsia" w:ascii="方正仿宋_GBK" w:hAnsi="宋体" w:eastAsia="方正仿宋_GBK"/>
                <w:w w:val="60"/>
                <w:sz w:val="18"/>
                <w:szCs w:val="18"/>
                <w:lang w:val="zh-CN"/>
              </w:rPr>
              <w:t>、人行道每500平方米内果皮纸屑超过一处，扣1分，人行道花砖缝隙有明显污物的，每处扣0.5分。</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lang w:val="zh-CN"/>
              </w:rPr>
              <w:t>5</w:t>
            </w:r>
            <w:r>
              <w:rPr>
                <w:rFonts w:hint="eastAsia" w:ascii="方正仿宋_GBK" w:hAnsi="宋体" w:eastAsia="方正仿宋_GBK"/>
                <w:w w:val="60"/>
                <w:sz w:val="18"/>
                <w:szCs w:val="18"/>
                <w:lang w:val="zh-CN"/>
              </w:rPr>
              <w:t>、清扫保洁后，垃圾污物未倾倒至指定地点，有乱倒垃圾现象，每处扣</w:t>
            </w:r>
            <w:r>
              <w:rPr>
                <w:rFonts w:ascii="方正仿宋_GBK" w:hAnsi="宋体" w:eastAsia="方正仿宋_GBK"/>
                <w:w w:val="60"/>
                <w:sz w:val="18"/>
                <w:szCs w:val="18"/>
                <w:lang w:val="zh-CN"/>
              </w:rPr>
              <w:t>2</w:t>
            </w:r>
            <w:r>
              <w:rPr>
                <w:rFonts w:hint="eastAsia" w:ascii="方正仿宋_GBK" w:hAnsi="宋体" w:eastAsia="方正仿宋_GBK"/>
                <w:w w:val="60"/>
                <w:sz w:val="18"/>
                <w:szCs w:val="18"/>
                <w:lang w:val="zh-CN"/>
              </w:rPr>
              <w:t>分。</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lang w:val="zh-CN"/>
              </w:rPr>
              <w:t>6</w:t>
            </w:r>
            <w:r>
              <w:rPr>
                <w:rFonts w:hint="eastAsia" w:ascii="方正仿宋_GBK" w:hAnsi="宋体" w:eastAsia="方正仿宋_GBK"/>
                <w:w w:val="60"/>
                <w:sz w:val="18"/>
                <w:szCs w:val="18"/>
                <w:lang w:val="zh-CN"/>
              </w:rPr>
              <w:t>、路边绿地、街心花园、行道树穴有垃圾污物，每处扣0.5分。</w:t>
            </w:r>
          </w:p>
          <w:p>
            <w:pPr>
              <w:spacing w:line="240" w:lineRule="exact"/>
              <w:rPr>
                <w:rFonts w:ascii="方正仿宋_GBK" w:hAnsi="宋体" w:eastAsia="方正仿宋_GBK"/>
                <w:w w:val="60"/>
                <w:sz w:val="18"/>
                <w:szCs w:val="18"/>
                <w:lang w:val="zh-CN"/>
              </w:rPr>
            </w:pPr>
            <w:r>
              <w:rPr>
                <w:rFonts w:ascii="方正仿宋_GBK" w:hAnsi="宋体" w:eastAsia="方正仿宋_GBK"/>
                <w:w w:val="60"/>
                <w:sz w:val="18"/>
                <w:szCs w:val="18"/>
                <w:lang w:val="zh-CN"/>
              </w:rPr>
              <w:t>7</w:t>
            </w:r>
            <w:r>
              <w:rPr>
                <w:rFonts w:hint="eastAsia" w:ascii="方正仿宋_GBK" w:hAnsi="宋体" w:eastAsia="方正仿宋_GBK"/>
                <w:w w:val="60"/>
                <w:sz w:val="18"/>
                <w:szCs w:val="18"/>
                <w:lang w:val="zh-CN"/>
              </w:rPr>
              <w:t>、保洁人员工作期间必须着装统一工作服，扣1分。</w:t>
            </w:r>
          </w:p>
        </w:tc>
        <w:tc>
          <w:tcPr>
            <w:tcW w:w="15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w w:val="60"/>
                <w:sz w:val="20"/>
                <w:szCs w:val="20"/>
              </w:rPr>
            </w:pPr>
          </w:p>
        </w:tc>
        <w:tc>
          <w:tcPr>
            <w:tcW w:w="7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000000"/>
                <w:w w:val="60"/>
                <w:kern w:val="0"/>
                <w:sz w:val="20"/>
                <w:szCs w:val="20"/>
                <w:lang w:bidi="ar"/>
              </w:rPr>
            </w:pPr>
          </w:p>
        </w:tc>
      </w:tr>
      <w:tr>
        <w:tblPrEx>
          <w:tblCellMar>
            <w:top w:w="0" w:type="dxa"/>
            <w:left w:w="0" w:type="dxa"/>
            <w:bottom w:w="0" w:type="dxa"/>
            <w:right w:w="0" w:type="dxa"/>
          </w:tblCellMar>
        </w:tblPrEx>
        <w:trPr>
          <w:trHeight w:val="1258" w:hRule="atLeast"/>
          <w:jc w:val="center"/>
        </w:trPr>
        <w:tc>
          <w:tcPr>
            <w:tcW w:w="12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eastAsia="方正仿宋_GBK"/>
                <w:color w:val="000000"/>
                <w:kern w:val="0"/>
                <w:szCs w:val="21"/>
                <w:lang w:bidi="ar"/>
              </w:rPr>
            </w:pPr>
            <w:r>
              <w:rPr>
                <w:rFonts w:hint="eastAsia" w:eastAsia="方正仿宋_GBK"/>
                <w:color w:val="000000"/>
                <w:kern w:val="0"/>
                <w:szCs w:val="21"/>
                <w:lang w:bidi="ar"/>
              </w:rPr>
              <w:t>牛皮癣清除、设施清洁</w:t>
            </w:r>
          </w:p>
          <w:p>
            <w:pPr>
              <w:widowControl/>
              <w:spacing w:line="300" w:lineRule="exact"/>
              <w:jc w:val="center"/>
              <w:textAlignment w:val="center"/>
              <w:rPr>
                <w:rFonts w:eastAsia="方正仿宋_GBK"/>
                <w:color w:val="000000"/>
                <w:kern w:val="0"/>
                <w:szCs w:val="21"/>
                <w:lang w:bidi="ar"/>
              </w:rPr>
            </w:pPr>
            <w:r>
              <w:rPr>
                <w:rFonts w:hint="eastAsia" w:eastAsia="方正仿宋_GBK"/>
                <w:color w:val="000000"/>
                <w:kern w:val="0"/>
                <w:szCs w:val="21"/>
                <w:lang w:bidi="ar"/>
              </w:rPr>
              <w:t>(</w:t>
            </w:r>
            <w:r>
              <w:rPr>
                <w:rFonts w:eastAsia="方正仿宋_GBK"/>
                <w:color w:val="000000"/>
                <w:kern w:val="0"/>
                <w:szCs w:val="21"/>
                <w:lang w:bidi="ar"/>
              </w:rPr>
              <w:t>10</w:t>
            </w:r>
            <w:r>
              <w:rPr>
                <w:rFonts w:hint="eastAsia" w:eastAsia="方正仿宋_GBK"/>
                <w:color w:val="000000"/>
                <w:kern w:val="0"/>
                <w:szCs w:val="21"/>
                <w:lang w:bidi="ar"/>
              </w:rPr>
              <w:t>分)</w:t>
            </w:r>
          </w:p>
        </w:tc>
        <w:tc>
          <w:tcPr>
            <w:tcW w:w="6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1、</w:t>
            </w:r>
            <w:r>
              <w:rPr>
                <w:rFonts w:hint="eastAsia" w:ascii="方正仿宋_GBK" w:hAnsi="宋体" w:eastAsia="方正仿宋_GBK"/>
                <w:w w:val="60"/>
                <w:sz w:val="18"/>
                <w:szCs w:val="18"/>
              </w:rPr>
              <w:t>公共地段“牛皮癣”清理工作</w:t>
            </w:r>
            <w:r>
              <w:rPr>
                <w:rFonts w:hint="eastAsia" w:ascii="方正仿宋_GBK" w:hAnsi="宋体" w:eastAsia="方正仿宋_GBK"/>
                <w:w w:val="60"/>
                <w:sz w:val="18"/>
                <w:szCs w:val="18"/>
                <w:lang w:val="zh-CN"/>
              </w:rPr>
              <w:t>。</w:t>
            </w:r>
          </w:p>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2、</w:t>
            </w:r>
            <w:r>
              <w:rPr>
                <w:rFonts w:hint="eastAsia" w:ascii="方正仿宋_GBK" w:hAnsi="宋体" w:eastAsia="方正仿宋_GBK"/>
                <w:w w:val="60"/>
                <w:sz w:val="18"/>
                <w:szCs w:val="18"/>
              </w:rPr>
              <w:t>果皮箱内的垃圾应及时清除，清掏要彻底，无垃圾残留、满溢和散落，箱体周围地面应无抛洒、存留垃圾。及时擦洗果皮箱，做到无痰（涕）迹、无灰尘、无污垢</w:t>
            </w:r>
            <w:r>
              <w:rPr>
                <w:rFonts w:hint="eastAsia" w:ascii="方正仿宋_GBK" w:hAnsi="宋体" w:eastAsia="方正仿宋_GBK"/>
                <w:w w:val="60"/>
                <w:sz w:val="18"/>
                <w:szCs w:val="18"/>
                <w:lang w:val="zh-CN"/>
              </w:rPr>
              <w:t>。</w:t>
            </w:r>
          </w:p>
          <w:p>
            <w:pPr>
              <w:spacing w:line="240" w:lineRule="exact"/>
              <w:rPr>
                <w:rFonts w:hint="eastAsia" w:ascii="方正仿宋_GBK" w:hAnsi="宋体" w:eastAsia="方正仿宋_GBK"/>
                <w:w w:val="60"/>
                <w:sz w:val="18"/>
                <w:szCs w:val="18"/>
              </w:rPr>
            </w:pPr>
            <w:r>
              <w:rPr>
                <w:rFonts w:hint="eastAsia" w:ascii="方正仿宋_GBK" w:hAnsi="宋体" w:eastAsia="方正仿宋_GBK"/>
                <w:w w:val="60"/>
                <w:sz w:val="18"/>
                <w:szCs w:val="18"/>
                <w:lang w:val="zh-CN"/>
              </w:rPr>
              <w:t>3、“城市家具”（路灯杆及附着物、果皮箱、监控杆、交通指示灯、路牌标识、隔离墩等道路设施）</w:t>
            </w:r>
            <w:r>
              <w:rPr>
                <w:rFonts w:hint="eastAsia" w:ascii="方正仿宋_GBK" w:hAnsi="宋体" w:eastAsia="方正仿宋_GBK"/>
                <w:w w:val="60"/>
                <w:sz w:val="18"/>
                <w:szCs w:val="18"/>
              </w:rPr>
              <w:t>干净、整洁。</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rPr>
              <w:t>4</w:t>
            </w:r>
            <w:r>
              <w:rPr>
                <w:rFonts w:hint="eastAsia" w:ascii="方正仿宋_GBK" w:hAnsi="宋体" w:eastAsia="方正仿宋_GBK"/>
                <w:w w:val="60"/>
                <w:sz w:val="18"/>
                <w:szCs w:val="18"/>
                <w:lang w:val="zh-CN"/>
              </w:rPr>
              <w:t>、垃圾收集</w:t>
            </w:r>
            <w:r>
              <w:rPr>
                <w:rFonts w:hint="eastAsia" w:ascii="方正仿宋_GBK" w:hAnsi="宋体" w:eastAsia="方正仿宋_GBK"/>
                <w:w w:val="60"/>
                <w:sz w:val="18"/>
                <w:szCs w:val="18"/>
              </w:rPr>
              <w:t>设施</w:t>
            </w:r>
            <w:r>
              <w:rPr>
                <w:rFonts w:hint="eastAsia" w:ascii="方正仿宋_GBK" w:hAnsi="宋体" w:eastAsia="方正仿宋_GBK"/>
                <w:w w:val="60"/>
                <w:sz w:val="18"/>
                <w:szCs w:val="18"/>
                <w:lang w:val="zh-CN"/>
              </w:rPr>
              <w:t>应定期清洗、消毒。</w:t>
            </w:r>
          </w:p>
          <w:p>
            <w:pPr>
              <w:spacing w:line="240" w:lineRule="exact"/>
              <w:rPr>
                <w:rFonts w:ascii="方正仿宋_GBK" w:hAnsi="宋体" w:eastAsia="方正仿宋_GBK"/>
                <w:w w:val="60"/>
                <w:sz w:val="18"/>
                <w:szCs w:val="18"/>
              </w:rPr>
            </w:pPr>
            <w:r>
              <w:rPr>
                <w:rFonts w:ascii="方正仿宋_GBK" w:hAnsi="宋体" w:eastAsia="方正仿宋_GBK"/>
                <w:w w:val="60"/>
                <w:sz w:val="18"/>
                <w:szCs w:val="18"/>
              </w:rPr>
              <w:t>5</w:t>
            </w:r>
            <w:r>
              <w:rPr>
                <w:rFonts w:hint="eastAsia" w:ascii="方正仿宋_GBK" w:hAnsi="宋体" w:eastAsia="方正仿宋_GBK"/>
                <w:w w:val="60"/>
                <w:sz w:val="18"/>
                <w:szCs w:val="18"/>
              </w:rPr>
              <w:t>、公共地段摆放垃圾设施干净、整洁，摆放规范</w:t>
            </w:r>
            <w:r>
              <w:rPr>
                <w:rFonts w:hint="eastAsia" w:ascii="方正仿宋_GBK" w:hAnsi="宋体" w:eastAsia="方正仿宋_GBK"/>
                <w:w w:val="60"/>
                <w:sz w:val="18"/>
                <w:szCs w:val="18"/>
                <w:lang w:val="zh-CN"/>
              </w:rPr>
              <w:t>。</w:t>
            </w:r>
          </w:p>
        </w:tc>
        <w:tc>
          <w:tcPr>
            <w:tcW w:w="627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1、</w:t>
            </w:r>
            <w:r>
              <w:rPr>
                <w:rFonts w:hint="eastAsia" w:ascii="方正仿宋_GBK" w:hAnsi="宋体" w:eastAsia="方正仿宋_GBK"/>
                <w:w w:val="60"/>
                <w:sz w:val="18"/>
                <w:szCs w:val="18"/>
              </w:rPr>
              <w:t>公共地段“牛皮癣”未清除，每处扣1分；清除不彻底</w:t>
            </w:r>
            <w:r>
              <w:rPr>
                <w:rFonts w:hint="eastAsia" w:ascii="方正仿宋_GBK" w:hAnsi="宋体" w:eastAsia="方正仿宋_GBK"/>
                <w:w w:val="60"/>
                <w:sz w:val="18"/>
                <w:szCs w:val="18"/>
                <w:lang w:val="zh-CN"/>
              </w:rPr>
              <w:t>每处扣0.5分。</w:t>
            </w:r>
          </w:p>
          <w:p>
            <w:pPr>
              <w:spacing w:line="240" w:lineRule="exact"/>
              <w:rPr>
                <w:rFonts w:ascii="方正仿宋_GBK" w:hAnsi="宋体" w:eastAsia="方正仿宋_GBK"/>
                <w:w w:val="60"/>
                <w:sz w:val="18"/>
                <w:szCs w:val="18"/>
              </w:rPr>
            </w:pPr>
            <w:r>
              <w:rPr>
                <w:rFonts w:hint="eastAsia" w:ascii="方正仿宋_GBK" w:hAnsi="宋体" w:eastAsia="方正仿宋_GBK"/>
                <w:w w:val="60"/>
                <w:sz w:val="18"/>
                <w:szCs w:val="18"/>
                <w:lang w:val="zh-CN"/>
              </w:rPr>
              <w:t>2、</w:t>
            </w:r>
            <w:r>
              <w:rPr>
                <w:rFonts w:hint="eastAsia" w:ascii="方正仿宋_GBK" w:hAnsi="宋体" w:eastAsia="方正仿宋_GBK"/>
                <w:w w:val="60"/>
                <w:sz w:val="18"/>
                <w:szCs w:val="18"/>
              </w:rPr>
              <w:t>果皮箱有灰尘、脏污，</w:t>
            </w:r>
            <w:r>
              <w:rPr>
                <w:rFonts w:hint="eastAsia" w:ascii="方正仿宋_GBK" w:hAnsi="宋体" w:eastAsia="方正仿宋_GBK"/>
                <w:w w:val="60"/>
                <w:sz w:val="18"/>
                <w:szCs w:val="18"/>
                <w:lang w:val="zh-CN"/>
              </w:rPr>
              <w:t>每处扣1分；</w:t>
            </w:r>
            <w:r>
              <w:rPr>
                <w:rFonts w:hint="eastAsia" w:ascii="方正仿宋_GBK" w:hAnsi="宋体" w:eastAsia="方正仿宋_GBK"/>
                <w:w w:val="60"/>
                <w:sz w:val="18"/>
                <w:szCs w:val="18"/>
              </w:rPr>
              <w:t>清掏不及时、满溢扣1分</w:t>
            </w:r>
            <w:r>
              <w:rPr>
                <w:rFonts w:hint="eastAsia" w:ascii="方正仿宋_GBK" w:hAnsi="宋体" w:eastAsia="方正仿宋_GBK"/>
                <w:w w:val="60"/>
                <w:sz w:val="18"/>
                <w:szCs w:val="18"/>
                <w:lang w:val="zh-CN"/>
              </w:rPr>
              <w:t>；</w:t>
            </w:r>
            <w:r>
              <w:rPr>
                <w:rFonts w:hint="eastAsia" w:ascii="方正仿宋_GBK" w:hAnsi="宋体" w:eastAsia="方正仿宋_GBK"/>
                <w:w w:val="60"/>
                <w:sz w:val="18"/>
                <w:szCs w:val="18"/>
              </w:rPr>
              <w:t>果皮箱周边有散落垃圾，每处扣1分。</w:t>
            </w:r>
          </w:p>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3、路灯杆及附着物、果皮箱、监控杆、交通指示灯、路牌标识、U型管、隔离墩、隔音屏等道路设施</w:t>
            </w:r>
            <w:r>
              <w:rPr>
                <w:rFonts w:hint="eastAsia" w:ascii="方正仿宋_GBK" w:hAnsi="宋体" w:eastAsia="方正仿宋_GBK"/>
                <w:w w:val="60"/>
                <w:sz w:val="18"/>
                <w:szCs w:val="18"/>
              </w:rPr>
              <w:t>脏污</w:t>
            </w:r>
            <w:r>
              <w:rPr>
                <w:rFonts w:hint="eastAsia" w:ascii="方正仿宋_GBK" w:hAnsi="宋体" w:eastAsia="方正仿宋_GBK"/>
                <w:w w:val="60"/>
                <w:sz w:val="18"/>
                <w:szCs w:val="18"/>
                <w:lang w:val="zh-CN"/>
              </w:rPr>
              <w:t>，每处扣</w:t>
            </w:r>
            <w:r>
              <w:rPr>
                <w:rFonts w:hint="eastAsia" w:ascii="方正仿宋_GBK" w:hAnsi="宋体" w:eastAsia="方正仿宋_GBK"/>
                <w:w w:val="60"/>
                <w:sz w:val="18"/>
                <w:szCs w:val="18"/>
              </w:rPr>
              <w:t>0.5</w:t>
            </w:r>
            <w:r>
              <w:rPr>
                <w:rFonts w:hint="eastAsia" w:ascii="方正仿宋_GBK" w:hAnsi="宋体" w:eastAsia="方正仿宋_GBK"/>
                <w:w w:val="60"/>
                <w:sz w:val="18"/>
                <w:szCs w:val="18"/>
                <w:lang w:val="zh-CN"/>
              </w:rPr>
              <w:t>分。</w:t>
            </w:r>
          </w:p>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4、</w:t>
            </w:r>
            <w:r>
              <w:rPr>
                <w:rFonts w:hint="eastAsia" w:ascii="方正仿宋_GBK" w:hAnsi="宋体" w:eastAsia="方正仿宋_GBK"/>
                <w:w w:val="60"/>
                <w:sz w:val="18"/>
                <w:szCs w:val="18"/>
              </w:rPr>
              <w:t>“车行道栏杆”、“人行道栏杆”有灰尘、脏污，每处扣1分。</w:t>
            </w:r>
            <w:r>
              <w:rPr>
                <w:rFonts w:hint="eastAsia" w:ascii="方正仿宋_GBK" w:hAnsi="宋体" w:eastAsia="方正仿宋_GBK"/>
                <w:w w:val="60"/>
                <w:sz w:val="18"/>
                <w:szCs w:val="18"/>
                <w:lang w:val="zh-CN"/>
              </w:rPr>
              <w:t>5、垃圾</w:t>
            </w:r>
            <w:r>
              <w:rPr>
                <w:rFonts w:hint="eastAsia" w:ascii="方正仿宋_GBK" w:hAnsi="宋体" w:eastAsia="方正仿宋_GBK"/>
                <w:w w:val="60"/>
                <w:sz w:val="18"/>
                <w:szCs w:val="18"/>
              </w:rPr>
              <w:t>收集设施</w:t>
            </w:r>
            <w:r>
              <w:rPr>
                <w:rFonts w:hint="eastAsia" w:ascii="方正仿宋_GBK" w:hAnsi="宋体" w:eastAsia="方正仿宋_GBK"/>
                <w:w w:val="60"/>
                <w:sz w:val="18"/>
                <w:szCs w:val="18"/>
                <w:lang w:val="zh-CN"/>
              </w:rPr>
              <w:t>未定期消毒，内及周围有蝇蛆，每处扣1分。</w:t>
            </w:r>
          </w:p>
          <w:p>
            <w:pPr>
              <w:spacing w:line="240" w:lineRule="exact"/>
              <w:rPr>
                <w:rFonts w:ascii="方正仿宋_GBK" w:hAnsi="宋体" w:eastAsia="方正仿宋_GBK"/>
                <w:w w:val="60"/>
                <w:sz w:val="18"/>
                <w:szCs w:val="18"/>
              </w:rPr>
            </w:pPr>
            <w:r>
              <w:rPr>
                <w:rFonts w:hint="eastAsia" w:ascii="方正仿宋_GBK" w:hAnsi="宋体" w:eastAsia="方正仿宋_GBK"/>
                <w:w w:val="60"/>
                <w:sz w:val="18"/>
                <w:szCs w:val="18"/>
              </w:rPr>
              <w:t>5、公共地段摆放垃圾设施脏污</w:t>
            </w:r>
            <w:r>
              <w:rPr>
                <w:rFonts w:hint="eastAsia" w:ascii="方正仿宋_GBK" w:hAnsi="宋体" w:eastAsia="方正仿宋_GBK"/>
                <w:w w:val="60"/>
                <w:sz w:val="18"/>
                <w:szCs w:val="18"/>
                <w:lang w:val="zh-CN"/>
              </w:rPr>
              <w:t>，每处扣</w:t>
            </w:r>
            <w:r>
              <w:rPr>
                <w:rFonts w:hint="eastAsia" w:ascii="方正仿宋_GBK" w:hAnsi="宋体" w:eastAsia="方正仿宋_GBK"/>
                <w:w w:val="60"/>
                <w:sz w:val="18"/>
                <w:szCs w:val="18"/>
              </w:rPr>
              <w:t>1</w:t>
            </w:r>
            <w:r>
              <w:rPr>
                <w:rFonts w:hint="eastAsia" w:ascii="方正仿宋_GBK" w:hAnsi="宋体" w:eastAsia="方正仿宋_GBK"/>
                <w:w w:val="60"/>
                <w:sz w:val="18"/>
                <w:szCs w:val="18"/>
                <w:lang w:val="zh-CN"/>
              </w:rPr>
              <w:t>分。</w:t>
            </w:r>
          </w:p>
        </w:tc>
        <w:tc>
          <w:tcPr>
            <w:tcW w:w="1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w w:val="60"/>
                <w:sz w:val="20"/>
                <w:szCs w:val="20"/>
                <w:lang w:val="zh-CN"/>
              </w:rPr>
            </w:pPr>
          </w:p>
        </w:tc>
        <w:tc>
          <w:tcPr>
            <w:tcW w:w="721"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240" w:lineRule="exact"/>
              <w:rPr>
                <w:rFonts w:eastAsia="方正仿宋_GBK"/>
                <w:color w:val="000000"/>
                <w:w w:val="60"/>
                <w:sz w:val="20"/>
                <w:szCs w:val="20"/>
              </w:rPr>
            </w:pPr>
          </w:p>
        </w:tc>
      </w:tr>
      <w:tr>
        <w:tblPrEx>
          <w:tblCellMar>
            <w:top w:w="0" w:type="dxa"/>
            <w:left w:w="0" w:type="dxa"/>
            <w:bottom w:w="0" w:type="dxa"/>
            <w:right w:w="0" w:type="dxa"/>
          </w:tblCellMar>
        </w:tblPrEx>
        <w:trPr>
          <w:trHeight w:val="1092" w:hRule="atLeast"/>
          <w:jc w:val="center"/>
        </w:trPr>
        <w:tc>
          <w:tcPr>
            <w:tcW w:w="1214"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eastAsia="方正仿宋_GBK"/>
                <w:color w:val="000000"/>
                <w:kern w:val="0"/>
                <w:szCs w:val="21"/>
                <w:lang w:bidi="ar"/>
              </w:rPr>
            </w:pPr>
            <w:r>
              <w:rPr>
                <w:rFonts w:hint="eastAsia" w:eastAsia="方正仿宋_GBK"/>
                <w:color w:val="000000"/>
                <w:kern w:val="0"/>
                <w:szCs w:val="21"/>
                <w:lang w:bidi="ar"/>
              </w:rPr>
              <w:t>垃圾清运及分类</w:t>
            </w:r>
          </w:p>
          <w:p>
            <w:pPr>
              <w:widowControl/>
              <w:spacing w:line="300" w:lineRule="exact"/>
              <w:jc w:val="center"/>
              <w:textAlignment w:val="center"/>
              <w:rPr>
                <w:rFonts w:eastAsia="方正仿宋_GBK"/>
                <w:color w:val="000000"/>
                <w:kern w:val="0"/>
                <w:szCs w:val="21"/>
                <w:lang w:bidi="ar"/>
              </w:rPr>
            </w:pPr>
            <w:r>
              <w:rPr>
                <w:rFonts w:hint="eastAsia" w:eastAsia="方正仿宋_GBK"/>
                <w:color w:val="000000"/>
                <w:kern w:val="0"/>
                <w:szCs w:val="21"/>
                <w:lang w:bidi="ar"/>
              </w:rPr>
              <w:t>(15分)</w:t>
            </w:r>
          </w:p>
        </w:tc>
        <w:tc>
          <w:tcPr>
            <w:tcW w:w="62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1、垃圾日产日清，垃圾容器不满溢。</w:t>
            </w:r>
          </w:p>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2、清运车辆标志清楚、车辆密封、无抛撒（渗滤液和垃圾）、按指定地点倾倒垃圾，清运车辆运输过程中不得抛洒。</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rPr>
              <w:t>3</w:t>
            </w:r>
            <w:r>
              <w:rPr>
                <w:rFonts w:hint="eastAsia" w:ascii="方正仿宋_GBK" w:hAnsi="宋体" w:eastAsia="方正仿宋_GBK"/>
                <w:w w:val="60"/>
                <w:sz w:val="18"/>
                <w:szCs w:val="18"/>
                <w:lang w:val="zh-CN"/>
              </w:rPr>
              <w:t>、文明装车，车走站净，清运车辆车容整洁，车体无明显污迹。</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rPr>
              <w:t>4</w:t>
            </w:r>
            <w:r>
              <w:rPr>
                <w:rFonts w:hint="eastAsia" w:ascii="方正仿宋_GBK" w:hAnsi="宋体" w:eastAsia="方正仿宋_GBK"/>
                <w:w w:val="60"/>
                <w:sz w:val="18"/>
                <w:szCs w:val="18"/>
                <w:lang w:val="zh-CN"/>
              </w:rPr>
              <w:t>、清运及时，垃圾</w:t>
            </w:r>
            <w:r>
              <w:rPr>
                <w:rFonts w:hint="eastAsia" w:ascii="方正仿宋_GBK" w:hAnsi="宋体" w:eastAsia="方正仿宋_GBK"/>
                <w:w w:val="60"/>
                <w:sz w:val="18"/>
                <w:szCs w:val="18"/>
              </w:rPr>
              <w:t>转运站按要求进行消杀</w:t>
            </w:r>
            <w:r>
              <w:rPr>
                <w:rFonts w:hint="eastAsia" w:ascii="方正仿宋_GBK" w:hAnsi="宋体" w:eastAsia="方正仿宋_GBK"/>
                <w:w w:val="60"/>
                <w:sz w:val="18"/>
                <w:szCs w:val="18"/>
                <w:lang w:val="zh-CN"/>
              </w:rPr>
              <w:t>。</w:t>
            </w:r>
          </w:p>
          <w:p>
            <w:pPr>
              <w:spacing w:line="240" w:lineRule="exact"/>
              <w:rPr>
                <w:rFonts w:ascii="方正仿宋_GBK" w:hAnsi="宋体" w:eastAsia="方正仿宋_GBK"/>
                <w:w w:val="60"/>
                <w:sz w:val="18"/>
                <w:szCs w:val="18"/>
              </w:rPr>
            </w:pPr>
            <w:r>
              <w:rPr>
                <w:rFonts w:ascii="方正仿宋_GBK" w:hAnsi="宋体" w:eastAsia="方正仿宋_GBK"/>
                <w:w w:val="60"/>
                <w:sz w:val="18"/>
                <w:szCs w:val="18"/>
              </w:rPr>
              <w:t>5</w:t>
            </w:r>
            <w:r>
              <w:rPr>
                <w:rFonts w:hint="eastAsia" w:ascii="方正仿宋_GBK" w:hAnsi="宋体" w:eastAsia="方正仿宋_GBK"/>
                <w:w w:val="60"/>
                <w:sz w:val="18"/>
                <w:szCs w:val="18"/>
              </w:rPr>
              <w:t>、城镇中心对各环卫作业单位生活垃圾分类工作的评价。</w:t>
            </w:r>
          </w:p>
        </w:tc>
        <w:tc>
          <w:tcPr>
            <w:tcW w:w="6276" w:type="dxa"/>
            <w:tcBorders>
              <w:top w:val="single" w:color="auto" w:sz="4" w:space="0"/>
              <w:left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0"/>
                <w:sz w:val="18"/>
                <w:szCs w:val="18"/>
                <w:lang w:val="zh-CN"/>
              </w:rPr>
            </w:pPr>
            <w:r>
              <w:rPr>
                <w:rFonts w:hint="eastAsia" w:ascii="方正仿宋_GBK" w:hAnsi="宋体" w:eastAsia="方正仿宋_GBK"/>
                <w:w w:val="60"/>
                <w:sz w:val="18"/>
                <w:szCs w:val="18"/>
                <w:lang w:val="zh-CN"/>
              </w:rPr>
              <w:t>1、垃圾未及时清运，造成垃圾容器满溢，每处扣0.5分，运输车辆不密闭或密闭不严，每车次扣0.5分。</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lang w:val="zh-CN"/>
              </w:rPr>
              <w:t>2</w:t>
            </w:r>
            <w:r>
              <w:rPr>
                <w:rFonts w:hint="eastAsia" w:ascii="方正仿宋_GBK" w:hAnsi="宋体" w:eastAsia="方正仿宋_GBK"/>
                <w:w w:val="60"/>
                <w:sz w:val="18"/>
                <w:szCs w:val="18"/>
                <w:lang w:val="zh-CN"/>
              </w:rPr>
              <w:t>、垃圾运输车辆沿途抛撒，每车次扣1分，垃圾运输车辆车体脏污、标志不清，每车次扣0.5分。</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lang w:val="zh-CN"/>
              </w:rPr>
              <w:t>3</w:t>
            </w:r>
            <w:r>
              <w:rPr>
                <w:rFonts w:hint="eastAsia" w:ascii="方正仿宋_GBK" w:hAnsi="宋体" w:eastAsia="方正仿宋_GBK"/>
                <w:w w:val="60"/>
                <w:sz w:val="18"/>
                <w:szCs w:val="18"/>
                <w:lang w:val="zh-CN"/>
              </w:rPr>
              <w:t>、未按指定地点倾倒垃圾，每车次扣1分。</w:t>
            </w:r>
          </w:p>
          <w:p>
            <w:pPr>
              <w:spacing w:line="240" w:lineRule="exact"/>
              <w:rPr>
                <w:rFonts w:hint="eastAsia" w:ascii="方正仿宋_GBK" w:hAnsi="宋体" w:eastAsia="方正仿宋_GBK"/>
                <w:w w:val="60"/>
                <w:sz w:val="18"/>
                <w:szCs w:val="18"/>
                <w:lang w:val="zh-CN"/>
              </w:rPr>
            </w:pPr>
            <w:r>
              <w:rPr>
                <w:rFonts w:ascii="方正仿宋_GBK" w:hAnsi="宋体" w:eastAsia="方正仿宋_GBK"/>
                <w:w w:val="60"/>
                <w:sz w:val="18"/>
                <w:szCs w:val="18"/>
                <w:lang w:val="zh-CN"/>
              </w:rPr>
              <w:t>4</w:t>
            </w:r>
            <w:r>
              <w:rPr>
                <w:rFonts w:hint="eastAsia" w:ascii="方正仿宋_GBK" w:hAnsi="宋体" w:eastAsia="方正仿宋_GBK"/>
                <w:w w:val="60"/>
                <w:sz w:val="18"/>
                <w:szCs w:val="18"/>
                <w:lang w:val="zh-CN"/>
              </w:rPr>
              <w:t>、垃圾转运站</w:t>
            </w:r>
            <w:r>
              <w:rPr>
                <w:rFonts w:hint="eastAsia" w:ascii="方正仿宋_GBK" w:hAnsi="宋体" w:eastAsia="方正仿宋_GBK"/>
                <w:w w:val="60"/>
                <w:sz w:val="18"/>
                <w:szCs w:val="18"/>
              </w:rPr>
              <w:t>不按要求消杀，</w:t>
            </w:r>
            <w:r>
              <w:rPr>
                <w:rFonts w:hint="eastAsia" w:ascii="方正仿宋_GBK" w:hAnsi="宋体" w:eastAsia="方正仿宋_GBK"/>
                <w:w w:val="60"/>
                <w:sz w:val="18"/>
                <w:szCs w:val="18"/>
                <w:lang w:val="zh-CN"/>
              </w:rPr>
              <w:t>发现每处扣0.5分。</w:t>
            </w:r>
          </w:p>
          <w:p>
            <w:pPr>
              <w:spacing w:line="240" w:lineRule="exact"/>
              <w:rPr>
                <w:rFonts w:ascii="方正仿宋_GBK" w:hAnsi="宋体" w:eastAsia="方正仿宋_GBK"/>
                <w:w w:val="60"/>
                <w:sz w:val="18"/>
                <w:szCs w:val="18"/>
              </w:rPr>
            </w:pPr>
            <w:r>
              <w:rPr>
                <w:rFonts w:ascii="方正仿宋_GBK" w:hAnsi="宋体" w:eastAsia="方正仿宋_GBK"/>
                <w:w w:val="60"/>
                <w:sz w:val="18"/>
                <w:szCs w:val="18"/>
              </w:rPr>
              <w:t>5</w:t>
            </w:r>
            <w:r>
              <w:rPr>
                <w:rFonts w:hint="eastAsia" w:ascii="方正仿宋_GBK" w:hAnsi="宋体" w:eastAsia="方正仿宋_GBK"/>
                <w:w w:val="60"/>
                <w:sz w:val="18"/>
                <w:szCs w:val="18"/>
              </w:rPr>
              <w:t>、城镇中心对各环卫作业单位生活垃圾分类的评价（合格/不合格），不合格每次扣2分。</w:t>
            </w:r>
          </w:p>
        </w:tc>
        <w:tc>
          <w:tcPr>
            <w:tcW w:w="1542"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w w:val="60"/>
                <w:sz w:val="20"/>
                <w:szCs w:val="20"/>
                <w:lang w:val="zh-CN"/>
              </w:rPr>
            </w:pPr>
          </w:p>
        </w:tc>
        <w:tc>
          <w:tcPr>
            <w:tcW w:w="7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000000"/>
                <w:w w:val="60"/>
                <w:sz w:val="20"/>
                <w:szCs w:val="20"/>
              </w:rPr>
            </w:pPr>
          </w:p>
        </w:tc>
      </w:tr>
      <w:tr>
        <w:tblPrEx>
          <w:tblCellMar>
            <w:top w:w="0" w:type="dxa"/>
            <w:left w:w="0" w:type="dxa"/>
            <w:bottom w:w="0" w:type="dxa"/>
            <w:right w:w="0" w:type="dxa"/>
          </w:tblCellMar>
        </w:tblPrEx>
        <w:trPr>
          <w:trHeight w:val="1548" w:hRule="atLeast"/>
          <w:jc w:val="center"/>
        </w:trPr>
        <w:tc>
          <w:tcPr>
            <w:tcW w:w="121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eastAsia="方正仿宋_GBK"/>
                <w:color w:val="000000"/>
                <w:kern w:val="0"/>
                <w:szCs w:val="21"/>
                <w:lang w:bidi="ar"/>
              </w:rPr>
            </w:pPr>
            <w:r>
              <w:rPr>
                <w:rFonts w:eastAsia="方正仿宋_GBK"/>
                <w:color w:val="000000"/>
                <w:kern w:val="0"/>
                <w:szCs w:val="21"/>
                <w:lang w:bidi="ar"/>
              </w:rPr>
              <w:t>公厕管理</w:t>
            </w:r>
          </w:p>
          <w:p>
            <w:pPr>
              <w:widowControl/>
              <w:spacing w:line="300" w:lineRule="exact"/>
              <w:jc w:val="center"/>
              <w:textAlignment w:val="center"/>
              <w:rPr>
                <w:rFonts w:eastAsia="方正仿宋_GBK"/>
                <w:color w:val="000000"/>
                <w:kern w:val="0"/>
                <w:szCs w:val="21"/>
                <w:lang w:bidi="ar"/>
              </w:rPr>
            </w:pPr>
            <w:r>
              <w:rPr>
                <w:rFonts w:eastAsia="方正仿宋_GBK"/>
                <w:color w:val="000000"/>
                <w:kern w:val="0"/>
                <w:szCs w:val="21"/>
                <w:lang w:bidi="ar"/>
              </w:rPr>
              <w:t>(15分)</w:t>
            </w:r>
          </w:p>
        </w:tc>
        <w:tc>
          <w:tcPr>
            <w:tcW w:w="6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0"/>
                <w:sz w:val="18"/>
                <w:szCs w:val="18"/>
              </w:rPr>
            </w:pPr>
            <w:r>
              <w:rPr>
                <w:rFonts w:hint="eastAsia" w:ascii="方正仿宋_GBK" w:hAnsi="宋体" w:eastAsia="方正仿宋_GBK"/>
                <w:w w:val="60"/>
                <w:sz w:val="18"/>
                <w:szCs w:val="18"/>
              </w:rPr>
              <w:t>1、</w:t>
            </w:r>
            <w:r>
              <w:rPr>
                <w:rFonts w:hint="eastAsia" w:ascii="方正仿宋_GBK" w:hAnsi="宋体" w:eastAsia="方正仿宋_GBK"/>
                <w:w w:val="60"/>
                <w:sz w:val="18"/>
                <w:szCs w:val="18"/>
                <w:lang w:val="zh-CN"/>
              </w:rPr>
              <w:t>公厕外观及周边卫</w:t>
            </w:r>
            <w:r>
              <w:rPr>
                <w:rFonts w:hint="eastAsia" w:ascii="方正仿宋_GBK" w:hAnsi="宋体" w:eastAsia="方正仿宋_GBK"/>
                <w:w w:val="60"/>
                <w:sz w:val="18"/>
                <w:szCs w:val="18"/>
              </w:rPr>
              <w:t>生：</w:t>
            </w:r>
            <w:r>
              <w:rPr>
                <w:rFonts w:hint="eastAsia" w:ascii="方正仿宋_GBK" w:hAnsi="宋体" w:eastAsia="方正仿宋_GBK"/>
                <w:w w:val="60"/>
                <w:sz w:val="18"/>
                <w:szCs w:val="18"/>
                <w:lang w:val="zh-CN"/>
              </w:rPr>
              <w:t>公厕外观及周边卫</w:t>
            </w:r>
            <w:r>
              <w:rPr>
                <w:rFonts w:hint="eastAsia" w:ascii="方正仿宋_GBK" w:hAnsi="宋体" w:eastAsia="方正仿宋_GBK"/>
                <w:w w:val="60"/>
                <w:sz w:val="18"/>
                <w:szCs w:val="18"/>
              </w:rPr>
              <w:t>生不整洁，</w:t>
            </w:r>
            <w:r>
              <w:rPr>
                <w:rFonts w:hint="eastAsia" w:ascii="方正仿宋_GBK" w:hAnsi="宋体" w:eastAsia="方正仿宋_GBK"/>
                <w:w w:val="60"/>
                <w:sz w:val="18"/>
                <w:szCs w:val="18"/>
                <w:lang w:val="zh-CN"/>
              </w:rPr>
              <w:t>公厕外墙洁净，无乱涂乱画、勿乱张贴，无私自搭建建筑物、构筑物，四周无乱堆乱放杂物，地面洁净、无污物。</w:t>
            </w:r>
          </w:p>
          <w:p>
            <w:pPr>
              <w:spacing w:line="240" w:lineRule="exact"/>
              <w:rPr>
                <w:rFonts w:hint="eastAsia" w:ascii="方正仿宋_GBK" w:hAnsi="宋体" w:eastAsia="方正仿宋_GBK"/>
                <w:w w:val="60"/>
                <w:sz w:val="18"/>
                <w:szCs w:val="18"/>
              </w:rPr>
            </w:pPr>
            <w:r>
              <w:rPr>
                <w:rFonts w:hint="eastAsia" w:ascii="方正仿宋_GBK" w:hAnsi="宋体" w:eastAsia="方正仿宋_GBK"/>
                <w:w w:val="60"/>
                <w:sz w:val="18"/>
                <w:szCs w:val="18"/>
              </w:rPr>
              <w:t>2、</w:t>
            </w:r>
            <w:r>
              <w:rPr>
                <w:rFonts w:hint="eastAsia" w:ascii="方正仿宋_GBK" w:hAnsi="宋体" w:eastAsia="方正仿宋_GBK"/>
                <w:w w:val="60"/>
                <w:sz w:val="18"/>
                <w:szCs w:val="18"/>
                <w:lang w:val="zh-CN"/>
              </w:rPr>
              <w:t>公厕服务：公厕有专人保洁，</w:t>
            </w:r>
            <w:r>
              <w:rPr>
                <w:rFonts w:hint="eastAsia" w:ascii="方正仿宋_GBK" w:hAnsi="宋体" w:eastAsia="方正仿宋_GBK"/>
                <w:w w:val="60"/>
                <w:sz w:val="18"/>
                <w:szCs w:val="18"/>
              </w:rPr>
              <w:t>公厕按时开放，</w:t>
            </w:r>
            <w:r>
              <w:rPr>
                <w:rFonts w:ascii="方正仿宋_GBK" w:hAnsi="宋体" w:eastAsia="方正仿宋_GBK"/>
                <w:w w:val="60"/>
                <w:sz w:val="18"/>
                <w:szCs w:val="18"/>
                <w:lang w:val="zh-CN"/>
              </w:rPr>
              <w:t>公厕开放时间为冬季（10月1日-3月31日）早9:00-晚23:00</w:t>
            </w:r>
            <w:r>
              <w:rPr>
                <w:rFonts w:hint="eastAsia" w:ascii="方正仿宋_GBK" w:hAnsi="宋体" w:eastAsia="方正仿宋_GBK"/>
                <w:w w:val="60"/>
                <w:sz w:val="18"/>
                <w:szCs w:val="18"/>
                <w:lang w:val="zh-CN"/>
              </w:rPr>
              <w:t>，</w:t>
            </w:r>
            <w:r>
              <w:rPr>
                <w:rFonts w:ascii="方正仿宋_GBK" w:hAnsi="宋体" w:eastAsia="方正仿宋_GBK"/>
                <w:w w:val="60"/>
                <w:sz w:val="18"/>
                <w:szCs w:val="18"/>
                <w:lang w:val="zh-CN"/>
              </w:rPr>
              <w:t>节假日正常开放。</w:t>
            </w:r>
          </w:p>
          <w:p>
            <w:pPr>
              <w:spacing w:line="240" w:lineRule="exact"/>
              <w:rPr>
                <w:rFonts w:hint="eastAsia" w:ascii="方正仿宋_GBK" w:hAnsi="宋体" w:eastAsia="方正仿宋_GBK"/>
                <w:w w:val="60"/>
                <w:sz w:val="18"/>
                <w:szCs w:val="18"/>
              </w:rPr>
            </w:pPr>
            <w:r>
              <w:rPr>
                <w:rFonts w:hint="eastAsia" w:ascii="方正仿宋_GBK" w:hAnsi="宋体" w:eastAsia="方正仿宋_GBK"/>
                <w:w w:val="60"/>
                <w:sz w:val="18"/>
                <w:szCs w:val="18"/>
              </w:rPr>
              <w:t>3、</w:t>
            </w:r>
            <w:r>
              <w:rPr>
                <w:rFonts w:hint="eastAsia" w:ascii="方正仿宋_GBK" w:hAnsi="宋体" w:eastAsia="方正仿宋_GBK"/>
                <w:w w:val="60"/>
                <w:sz w:val="18"/>
                <w:szCs w:val="18"/>
                <w:lang w:val="zh-CN"/>
              </w:rPr>
              <w:t>卫生保洁：管理间干净整洁无异味，地面洁净，蹲位应正常使用，洗手器具、冲水设备无损坏、洁净。</w:t>
            </w:r>
          </w:p>
          <w:p>
            <w:pPr>
              <w:spacing w:line="240" w:lineRule="exact"/>
              <w:rPr>
                <w:rFonts w:hint="eastAsia" w:ascii="方正仿宋_GBK" w:hAnsi="宋体" w:eastAsia="方正仿宋_GBK"/>
                <w:w w:val="60"/>
                <w:sz w:val="18"/>
                <w:szCs w:val="18"/>
              </w:rPr>
            </w:pPr>
            <w:r>
              <w:rPr>
                <w:rFonts w:hint="eastAsia" w:ascii="方正仿宋_GBK" w:hAnsi="宋体" w:eastAsia="方正仿宋_GBK"/>
                <w:w w:val="60"/>
                <w:sz w:val="18"/>
                <w:szCs w:val="18"/>
              </w:rPr>
              <w:t>4、</w:t>
            </w:r>
            <w:r>
              <w:rPr>
                <w:rFonts w:hint="eastAsia" w:ascii="方正仿宋_GBK" w:hAnsi="宋体" w:eastAsia="方正仿宋_GBK"/>
                <w:w w:val="60"/>
                <w:sz w:val="18"/>
                <w:szCs w:val="18"/>
                <w:lang w:val="zh-CN"/>
              </w:rPr>
              <w:t>消毒灭蝇</w:t>
            </w:r>
            <w:r>
              <w:rPr>
                <w:rFonts w:hint="eastAsia" w:ascii="方正仿宋_GBK" w:hAnsi="宋体" w:eastAsia="方正仿宋_GBK"/>
                <w:w w:val="60"/>
                <w:sz w:val="18"/>
                <w:szCs w:val="18"/>
              </w:rPr>
              <w:t>：</w:t>
            </w:r>
            <w:r>
              <w:rPr>
                <w:rFonts w:hint="eastAsia" w:ascii="方正仿宋_GBK" w:hAnsi="宋体" w:eastAsia="方正仿宋_GBK"/>
                <w:w w:val="60"/>
                <w:sz w:val="18"/>
                <w:szCs w:val="18"/>
                <w:lang w:val="zh-CN"/>
              </w:rPr>
              <w:t>有合格消毒用品，消毒设施齐全，</w:t>
            </w:r>
            <w:r>
              <w:rPr>
                <w:rFonts w:hint="eastAsia" w:ascii="方正仿宋_GBK" w:hAnsi="宋体" w:eastAsia="方正仿宋_GBK"/>
                <w:w w:val="60"/>
                <w:sz w:val="18"/>
                <w:szCs w:val="18"/>
              </w:rPr>
              <w:t>窗户安装窗纱，消毒记录完整，消毒液配比合格。</w:t>
            </w:r>
          </w:p>
          <w:p>
            <w:pPr>
              <w:spacing w:line="240" w:lineRule="exact"/>
              <w:rPr>
                <w:rFonts w:hint="eastAsia"/>
                <w:w w:val="60"/>
                <w:sz w:val="18"/>
                <w:szCs w:val="18"/>
              </w:rPr>
            </w:pPr>
          </w:p>
        </w:tc>
        <w:tc>
          <w:tcPr>
            <w:tcW w:w="62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napToGrid/>
              <w:spacing w:line="240" w:lineRule="exact"/>
              <w:jc w:val="both"/>
              <w:rPr>
                <w:rFonts w:hint="eastAsia" w:ascii="方正仿宋_GBK" w:hAnsi="宋体" w:eastAsia="方正仿宋_GBK"/>
                <w:w w:val="60"/>
              </w:rPr>
            </w:pPr>
            <w:r>
              <w:rPr>
                <w:rFonts w:hint="eastAsia" w:ascii="方正仿宋_GBK" w:hAnsi="宋体" w:eastAsia="方正仿宋_GBK"/>
                <w:w w:val="60"/>
              </w:rPr>
              <w:t>1、公厕外观及周边卫生：公厕外观及周边卫生不整洁，公厕外墙不洁净，有乱涂乱画、乱张贴，私自搭建建筑物、构筑物，四周乱堆乱放杂物，地面脏乱、有污物。有一处不合格扣0.5分。</w:t>
            </w:r>
          </w:p>
          <w:p>
            <w:pPr>
              <w:pStyle w:val="26"/>
              <w:snapToGrid/>
              <w:spacing w:line="240" w:lineRule="exact"/>
              <w:jc w:val="both"/>
              <w:rPr>
                <w:rFonts w:hint="eastAsia" w:ascii="方正仿宋_GBK" w:hAnsi="宋体" w:eastAsia="方正仿宋_GBK"/>
                <w:w w:val="60"/>
              </w:rPr>
            </w:pPr>
            <w:r>
              <w:rPr>
                <w:rFonts w:hint="eastAsia" w:ascii="方正仿宋_GBK" w:hAnsi="宋体" w:eastAsia="方正仿宋_GBK"/>
                <w:w w:val="60"/>
              </w:rPr>
              <w:t>2、公厕服务：公厕专人保洁，公厕未按时开放扣1分，未开放扣5分。</w:t>
            </w:r>
          </w:p>
          <w:p>
            <w:pPr>
              <w:pStyle w:val="26"/>
              <w:snapToGrid/>
              <w:spacing w:line="240" w:lineRule="exact"/>
              <w:jc w:val="both"/>
              <w:rPr>
                <w:rFonts w:hint="eastAsia" w:ascii="方正仿宋_GBK" w:hAnsi="宋体" w:eastAsia="方正仿宋_GBK"/>
                <w:w w:val="60"/>
              </w:rPr>
            </w:pPr>
            <w:r>
              <w:rPr>
                <w:rFonts w:hint="eastAsia" w:ascii="方正仿宋_GBK" w:hAnsi="宋体" w:eastAsia="方正仿宋_GBK"/>
                <w:w w:val="60"/>
              </w:rPr>
              <w:t>3、卫生保洁：卫生差、有异味、乱堆乱放杂物各扣1分；</w:t>
            </w:r>
          </w:p>
          <w:p>
            <w:pPr>
              <w:pStyle w:val="26"/>
              <w:snapToGrid/>
              <w:spacing w:line="240" w:lineRule="exact"/>
              <w:jc w:val="both"/>
              <w:rPr>
                <w:rFonts w:hint="eastAsia" w:ascii="方正仿宋_GBK" w:hAnsi="宋体" w:eastAsia="方正仿宋_GBK"/>
                <w:w w:val="60"/>
              </w:rPr>
            </w:pPr>
            <w:r>
              <w:rPr>
                <w:rFonts w:hint="eastAsia" w:ascii="方正仿宋_GBK" w:hAnsi="宋体" w:eastAsia="方正仿宋_GBK"/>
                <w:w w:val="60"/>
              </w:rPr>
              <w:t>厕内有轻微异味扣2分，有明显异味扣4分，有恶臭扣</w:t>
            </w:r>
            <w:r>
              <w:rPr>
                <w:rFonts w:ascii="方正仿宋_GBK" w:hAnsi="宋体" w:eastAsia="方正仿宋_GBK"/>
                <w:w w:val="60"/>
              </w:rPr>
              <w:t>3</w:t>
            </w:r>
            <w:r>
              <w:rPr>
                <w:rFonts w:hint="eastAsia" w:ascii="方正仿宋_GBK" w:hAnsi="宋体" w:eastAsia="方正仿宋_GBK"/>
                <w:w w:val="60"/>
              </w:rPr>
              <w:t>分；环境卫生不整洁乱堆放杂物有一处扣1分；设施损坏1处扣1分；光线昏暗扣3分，无照明扣7分。</w:t>
            </w:r>
          </w:p>
          <w:p>
            <w:pPr>
              <w:pStyle w:val="26"/>
              <w:snapToGrid/>
              <w:spacing w:line="240" w:lineRule="exact"/>
              <w:jc w:val="both"/>
              <w:rPr>
                <w:rFonts w:hint="eastAsia" w:ascii="方正仿宋_GBK" w:hAnsi="宋体" w:eastAsia="方正仿宋_GBK"/>
                <w:w w:val="60"/>
              </w:rPr>
            </w:pPr>
            <w:r>
              <w:rPr>
                <w:rFonts w:hint="eastAsia" w:ascii="方正仿宋_GBK" w:hAnsi="宋体" w:eastAsia="方正仿宋_GBK"/>
                <w:w w:val="60"/>
              </w:rPr>
              <w:t>4、消毒灭蝇：无合格消毒用品扣2分；消毒设施不齐全1处扣1分；消毒记录不完整，消毒液配比不合格，1处扣1分。</w:t>
            </w:r>
          </w:p>
        </w:tc>
        <w:tc>
          <w:tcPr>
            <w:tcW w:w="15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pacing w:line="240" w:lineRule="exact"/>
              <w:jc w:val="both"/>
              <w:rPr>
                <w:rFonts w:hint="eastAsia"/>
                <w:lang w:val="zh-CN"/>
              </w:rPr>
            </w:pPr>
          </w:p>
        </w:tc>
        <w:tc>
          <w:tcPr>
            <w:tcW w:w="7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000000"/>
                <w:w w:val="60"/>
                <w:sz w:val="20"/>
                <w:szCs w:val="20"/>
              </w:rPr>
            </w:pPr>
          </w:p>
        </w:tc>
      </w:tr>
      <w:tr>
        <w:tblPrEx>
          <w:tblCellMar>
            <w:top w:w="0" w:type="dxa"/>
            <w:left w:w="0" w:type="dxa"/>
            <w:bottom w:w="0" w:type="dxa"/>
            <w:right w:w="0" w:type="dxa"/>
          </w:tblCellMar>
        </w:tblPrEx>
        <w:trPr>
          <w:trHeight w:val="503" w:hRule="atLeast"/>
          <w:jc w:val="center"/>
        </w:trPr>
        <w:tc>
          <w:tcPr>
            <w:tcW w:w="121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00" w:lineRule="exact"/>
              <w:jc w:val="center"/>
              <w:textAlignment w:val="center"/>
              <w:rPr>
                <w:szCs w:val="21"/>
              </w:rPr>
            </w:pPr>
            <w:r>
              <w:rPr>
                <w:rFonts w:eastAsia="方正仿宋_GBK"/>
                <w:color w:val="000000"/>
                <w:kern w:val="0"/>
                <w:szCs w:val="21"/>
                <w:lang w:bidi="ar"/>
              </w:rPr>
              <w:t>公</w:t>
            </w:r>
            <w:r>
              <w:rPr>
                <w:rFonts w:hint="eastAsia" w:eastAsia="方正仿宋_GBK"/>
                <w:color w:val="000000"/>
                <w:kern w:val="0"/>
                <w:szCs w:val="21"/>
                <w:lang w:bidi="ar"/>
              </w:rPr>
              <w:t>共设施</w:t>
            </w:r>
          </w:p>
          <w:p>
            <w:pPr>
              <w:pStyle w:val="26"/>
              <w:jc w:val="center"/>
              <w:rPr>
                <w:rFonts w:hint="eastAsia"/>
                <w:sz w:val="21"/>
                <w:szCs w:val="21"/>
              </w:rPr>
            </w:pPr>
            <w:r>
              <w:rPr>
                <w:rFonts w:eastAsia="方正仿宋_GBK"/>
                <w:color w:val="000000"/>
                <w:kern w:val="0"/>
                <w:sz w:val="21"/>
                <w:szCs w:val="21"/>
                <w:lang w:bidi="ar"/>
              </w:rPr>
              <w:t>(10分)</w:t>
            </w:r>
          </w:p>
        </w:tc>
        <w:tc>
          <w:tcPr>
            <w:tcW w:w="62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ascii="方正仿宋_GBK" w:hAnsi="宋体" w:eastAsia="方正仿宋_GBK"/>
                <w:w w:val="66"/>
                <w:sz w:val="18"/>
                <w:szCs w:val="18"/>
              </w:rPr>
            </w:pPr>
            <w:r>
              <w:rPr>
                <w:rFonts w:hint="eastAsia" w:ascii="方正仿宋_GBK" w:hAnsi="宋体" w:eastAsia="方正仿宋_GBK"/>
                <w:w w:val="66"/>
                <w:sz w:val="18"/>
                <w:szCs w:val="18"/>
              </w:rPr>
              <w:t>1、作业车辆：文明使用所有作业车辆，定期保养维护，每年维护保养不少于2次。</w:t>
            </w:r>
          </w:p>
          <w:p>
            <w:pPr>
              <w:spacing w:line="240" w:lineRule="exact"/>
              <w:rPr>
                <w:rFonts w:ascii="方正仿宋_GBK" w:hAnsi="宋体" w:eastAsia="方正仿宋_GBK"/>
                <w:w w:val="66"/>
                <w:sz w:val="18"/>
                <w:szCs w:val="18"/>
              </w:rPr>
            </w:pPr>
            <w:r>
              <w:rPr>
                <w:rFonts w:ascii="方正仿宋_GBK" w:hAnsi="宋体" w:eastAsia="方正仿宋_GBK"/>
                <w:w w:val="66"/>
                <w:sz w:val="18"/>
                <w:szCs w:val="18"/>
              </w:rPr>
              <w:t>2</w:t>
            </w:r>
            <w:r>
              <w:rPr>
                <w:rFonts w:hint="eastAsia" w:ascii="方正仿宋_GBK" w:hAnsi="宋体" w:eastAsia="方正仿宋_GBK"/>
                <w:w w:val="66"/>
                <w:sz w:val="18"/>
                <w:szCs w:val="18"/>
              </w:rPr>
              <w:t>、井盖维护与更换（外围自来水井盖）：损坏及时更新，无井盖造成的安全隐患。</w:t>
            </w:r>
          </w:p>
          <w:p>
            <w:pPr>
              <w:pStyle w:val="26"/>
              <w:spacing w:line="240" w:lineRule="exact"/>
              <w:jc w:val="both"/>
              <w:rPr>
                <w:rFonts w:hint="eastAsia"/>
              </w:rPr>
            </w:pPr>
            <w:r>
              <w:rPr>
                <w:rFonts w:ascii="方正仿宋_GBK" w:hAnsi="宋体" w:eastAsia="方正仿宋_GBK"/>
                <w:w w:val="66"/>
              </w:rPr>
              <w:t>3</w:t>
            </w:r>
            <w:r>
              <w:rPr>
                <w:rFonts w:hint="eastAsia" w:ascii="方正仿宋_GBK" w:hAnsi="宋体" w:eastAsia="方正仿宋_GBK"/>
                <w:w w:val="66"/>
              </w:rPr>
              <w:t>、配电箱（公共区域）：维护和修理好小区内的配电设施。</w:t>
            </w:r>
          </w:p>
        </w:tc>
        <w:tc>
          <w:tcPr>
            <w:tcW w:w="627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6"/>
                <w:sz w:val="18"/>
                <w:szCs w:val="18"/>
              </w:rPr>
            </w:pPr>
            <w:r>
              <w:rPr>
                <w:rFonts w:ascii="方正仿宋_GBK" w:hAnsi="宋体" w:eastAsia="方正仿宋_GBK"/>
                <w:w w:val="66"/>
                <w:sz w:val="18"/>
                <w:szCs w:val="18"/>
              </w:rPr>
              <w:t>1</w:t>
            </w:r>
            <w:r>
              <w:rPr>
                <w:rFonts w:hint="eastAsia" w:ascii="方正仿宋_GBK" w:hAnsi="宋体" w:eastAsia="方正仿宋_GBK"/>
                <w:w w:val="66"/>
                <w:sz w:val="18"/>
                <w:szCs w:val="18"/>
              </w:rPr>
              <w:t>、野蛮操作作业车辆发现一次扣2分，未按求保养的一次扣2分。</w:t>
            </w:r>
          </w:p>
          <w:p>
            <w:pPr>
              <w:spacing w:line="240" w:lineRule="exact"/>
              <w:rPr>
                <w:rFonts w:hint="eastAsia" w:ascii="方正仿宋_GBK" w:hAnsi="宋体" w:eastAsia="方正仿宋_GBK"/>
                <w:w w:val="66"/>
                <w:sz w:val="18"/>
                <w:szCs w:val="18"/>
              </w:rPr>
            </w:pPr>
            <w:r>
              <w:rPr>
                <w:rFonts w:hint="eastAsia" w:ascii="方正仿宋_GBK" w:hAnsi="宋体" w:eastAsia="方正仿宋_GBK"/>
                <w:w w:val="66"/>
                <w:sz w:val="18"/>
                <w:szCs w:val="18"/>
              </w:rPr>
              <w:t>2、保证自来水井盖完好，及时更损坏井盖，一次不及时处理的扣2分。</w:t>
            </w:r>
          </w:p>
          <w:p>
            <w:pPr>
              <w:pStyle w:val="26"/>
              <w:spacing w:line="240" w:lineRule="exact"/>
              <w:jc w:val="both"/>
              <w:rPr>
                <w:rFonts w:hint="eastAsia" w:ascii="方正仿宋_GBK" w:hAnsi="宋体" w:eastAsia="方正仿宋_GBK"/>
                <w:w w:val="60"/>
              </w:rPr>
            </w:pPr>
            <w:r>
              <w:rPr>
                <w:rFonts w:ascii="方正仿宋_GBK" w:hAnsi="宋体" w:eastAsia="方正仿宋_GBK"/>
                <w:w w:val="66"/>
              </w:rPr>
              <w:t>3</w:t>
            </w:r>
            <w:r>
              <w:rPr>
                <w:rFonts w:hint="eastAsia" w:ascii="方正仿宋_GBK" w:hAnsi="宋体" w:eastAsia="方正仿宋_GBK"/>
                <w:w w:val="66"/>
              </w:rPr>
              <w:t>、及时维护好公共区域配电箱，一次扣2分。</w:t>
            </w:r>
          </w:p>
        </w:tc>
        <w:tc>
          <w:tcPr>
            <w:tcW w:w="1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6"/>
              <w:spacing w:line="240" w:lineRule="exact"/>
              <w:jc w:val="both"/>
              <w:rPr>
                <w:rFonts w:hint="eastAsia" w:ascii="方正仿宋_GBK" w:hAnsi="宋体" w:eastAsia="方正仿宋_GBK"/>
                <w:w w:val="60"/>
                <w:sz w:val="20"/>
                <w:szCs w:val="20"/>
                <w:lang w:val="zh-CN"/>
              </w:rPr>
            </w:pPr>
          </w:p>
        </w:tc>
        <w:tc>
          <w:tcPr>
            <w:tcW w:w="72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000000"/>
                <w:w w:val="60"/>
                <w:sz w:val="20"/>
                <w:szCs w:val="20"/>
              </w:rPr>
            </w:pPr>
          </w:p>
        </w:tc>
      </w:tr>
      <w:tr>
        <w:tblPrEx>
          <w:tblCellMar>
            <w:top w:w="0" w:type="dxa"/>
            <w:left w:w="0" w:type="dxa"/>
            <w:bottom w:w="0" w:type="dxa"/>
            <w:right w:w="0" w:type="dxa"/>
          </w:tblCellMar>
        </w:tblPrEx>
        <w:trPr>
          <w:trHeight w:val="350" w:hRule="atLeast"/>
          <w:jc w:val="center"/>
        </w:trPr>
        <w:tc>
          <w:tcPr>
            <w:tcW w:w="121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00" w:lineRule="exact"/>
              <w:jc w:val="center"/>
              <w:textAlignment w:val="center"/>
              <w:rPr>
                <w:rFonts w:eastAsia="方正仿宋_GBK"/>
                <w:color w:val="000000"/>
                <w:kern w:val="0"/>
                <w:szCs w:val="21"/>
                <w:lang w:bidi="ar"/>
              </w:rPr>
            </w:pPr>
            <w:r>
              <w:rPr>
                <w:rFonts w:hint="eastAsia" w:eastAsia="方正仿宋_GBK"/>
                <w:color w:val="000000"/>
                <w:kern w:val="0"/>
                <w:szCs w:val="21"/>
                <w:lang w:bidi="ar"/>
              </w:rPr>
              <w:t>其他</w:t>
            </w:r>
            <w:r>
              <w:rPr>
                <w:rFonts w:hint="eastAsia"/>
                <w:szCs w:val="21"/>
              </w:rPr>
              <w:t>(10分)</w:t>
            </w:r>
          </w:p>
        </w:tc>
        <w:tc>
          <w:tcPr>
            <w:tcW w:w="6219"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spacing w:line="240" w:lineRule="exact"/>
              <w:rPr>
                <w:rFonts w:hint="eastAsia" w:ascii="方正仿宋_GBK" w:hAnsi="宋体" w:eastAsia="方正仿宋_GBK"/>
                <w:w w:val="60"/>
                <w:sz w:val="18"/>
                <w:szCs w:val="18"/>
              </w:rPr>
            </w:pPr>
            <w:r>
              <w:rPr>
                <w:rFonts w:hint="eastAsia" w:ascii="方正仿宋_GBK" w:hAnsi="宋体" w:eastAsia="方正仿宋_GBK"/>
                <w:w w:val="60"/>
                <w:sz w:val="18"/>
                <w:szCs w:val="18"/>
              </w:rPr>
              <w:t>1、积极配合农场和城镇管理服务中心安排的各项工作任务。</w:t>
            </w:r>
          </w:p>
        </w:tc>
        <w:tc>
          <w:tcPr>
            <w:tcW w:w="6276"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26"/>
              <w:spacing w:line="240" w:lineRule="exact"/>
              <w:jc w:val="both"/>
              <w:rPr>
                <w:rFonts w:hint="eastAsia" w:ascii="方正仿宋_GBK" w:hAnsi="宋体" w:eastAsia="方正仿宋_GBK"/>
                <w:w w:val="60"/>
              </w:rPr>
            </w:pPr>
            <w:r>
              <w:rPr>
                <w:rFonts w:hint="eastAsia" w:ascii="方正仿宋_GBK" w:hAnsi="宋体" w:eastAsia="方正仿宋_GBK"/>
                <w:w w:val="60"/>
              </w:rPr>
              <w:t>1、一次不配合，推托扣5分。</w:t>
            </w:r>
          </w:p>
        </w:tc>
        <w:tc>
          <w:tcPr>
            <w:tcW w:w="1542"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26"/>
              <w:spacing w:line="240" w:lineRule="exact"/>
              <w:jc w:val="both"/>
            </w:pPr>
          </w:p>
        </w:tc>
        <w:tc>
          <w:tcPr>
            <w:tcW w:w="7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eastAsia="方正仿宋_GBK"/>
                <w:color w:val="000000"/>
                <w:w w:val="60"/>
                <w:sz w:val="20"/>
                <w:szCs w:val="20"/>
              </w:rPr>
            </w:pPr>
          </w:p>
        </w:tc>
      </w:tr>
      <w:tr>
        <w:tblPrEx>
          <w:tblCellMar>
            <w:top w:w="0" w:type="dxa"/>
            <w:left w:w="0" w:type="dxa"/>
            <w:bottom w:w="0" w:type="dxa"/>
            <w:right w:w="0" w:type="dxa"/>
          </w:tblCellMar>
        </w:tblPrEx>
        <w:trPr>
          <w:trHeight w:val="308" w:hRule="atLeast"/>
          <w:jc w:val="center"/>
        </w:trPr>
        <w:tc>
          <w:tcPr>
            <w:tcW w:w="152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210" w:firstLineChars="100"/>
              <w:rPr>
                <w:rFonts w:ascii="方正仿宋_GBK" w:hAnsi="宋体" w:eastAsia="方正仿宋_GBK"/>
                <w:w w:val="60"/>
                <w:szCs w:val="21"/>
                <w:lang w:val="zh-CN"/>
              </w:rPr>
            </w:pPr>
            <w:r>
              <w:rPr>
                <w:rFonts w:eastAsia="方正仿宋_GBK"/>
                <w:color w:val="000000"/>
                <w:kern w:val="0"/>
                <w:szCs w:val="21"/>
                <w:lang w:bidi="ar"/>
              </w:rPr>
              <w:t>总</w:t>
            </w:r>
            <w:r>
              <w:rPr>
                <w:rFonts w:hint="eastAsia" w:eastAsia="方正仿宋_GBK"/>
                <w:color w:val="000000"/>
                <w:kern w:val="0"/>
                <w:szCs w:val="21"/>
                <w:lang w:bidi="ar"/>
              </w:rPr>
              <w:t xml:space="preserve"> </w:t>
            </w:r>
            <w:r>
              <w:rPr>
                <w:rFonts w:eastAsia="方正仿宋_GBK"/>
                <w:color w:val="000000"/>
                <w:kern w:val="0"/>
                <w:szCs w:val="21"/>
                <w:lang w:bidi="ar"/>
              </w:rPr>
              <w:t>计</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rPr>
                <w:rFonts w:eastAsia="方正仿宋_GBK"/>
                <w:color w:val="000000"/>
                <w:w w:val="60"/>
                <w:sz w:val="20"/>
                <w:szCs w:val="20"/>
              </w:rPr>
            </w:pPr>
          </w:p>
        </w:tc>
      </w:tr>
      <w:tr>
        <w:tblPrEx>
          <w:tblCellMar>
            <w:top w:w="0" w:type="dxa"/>
            <w:left w:w="0" w:type="dxa"/>
            <w:bottom w:w="0" w:type="dxa"/>
            <w:right w:w="0" w:type="dxa"/>
          </w:tblCellMar>
        </w:tblPrEx>
        <w:trPr>
          <w:trHeight w:val="197" w:hRule="atLeast"/>
          <w:jc w:val="center"/>
        </w:trPr>
        <w:tc>
          <w:tcPr>
            <w:tcW w:w="15972" w:type="dxa"/>
            <w:gridSpan w:val="5"/>
            <w:tcBorders>
              <w:top w:val="nil"/>
              <w:left w:val="nil"/>
              <w:bottom w:val="nil"/>
              <w:right w:val="nil"/>
            </w:tcBorders>
            <w:noWrap w:val="0"/>
            <w:tcMar>
              <w:top w:w="15" w:type="dxa"/>
              <w:left w:w="15" w:type="dxa"/>
              <w:right w:w="15" w:type="dxa"/>
            </w:tcMar>
            <w:vAlign w:val="center"/>
          </w:tcPr>
          <w:p>
            <w:pPr>
              <w:widowControl/>
              <w:spacing w:line="400" w:lineRule="exact"/>
              <w:textAlignment w:val="center"/>
              <w:rPr>
                <w:rFonts w:eastAsia="方正仿宋_GBK"/>
                <w:color w:val="000000"/>
                <w:sz w:val="22"/>
                <w:szCs w:val="22"/>
              </w:rPr>
            </w:pPr>
            <w:r>
              <w:rPr>
                <w:rFonts w:hint="eastAsia" w:eastAsia="方正仿宋_GBK"/>
                <w:color w:val="000000"/>
                <w:kern w:val="0"/>
                <w:sz w:val="28"/>
                <w:szCs w:val="28"/>
                <w:lang w:bidi="ar"/>
              </w:rPr>
              <w:t>检查人签字</w:t>
            </w:r>
            <w:r>
              <w:rPr>
                <w:rFonts w:hint="eastAsia"/>
              </w:rPr>
              <w:t xml:space="preserve">：                                 </w:t>
            </w:r>
            <w:r>
              <w:t xml:space="preserve">      </w:t>
            </w:r>
            <w:r>
              <w:rPr>
                <w:rFonts w:hint="eastAsia"/>
              </w:rPr>
              <w:t xml:space="preserve">   </w:t>
            </w:r>
            <w:r>
              <w:t xml:space="preserve"> </w:t>
            </w:r>
            <w:r>
              <w:rPr>
                <w:rFonts w:hint="eastAsia" w:eastAsia="方正仿宋_GBK"/>
                <w:color w:val="000000"/>
                <w:kern w:val="0"/>
                <w:sz w:val="28"/>
                <w:szCs w:val="28"/>
                <w:lang w:bidi="ar"/>
              </w:rPr>
              <w:t>责任人签字</w:t>
            </w:r>
            <w:r>
              <w:rPr>
                <w:rFonts w:hint="eastAsia"/>
              </w:rPr>
              <w:t>：</w:t>
            </w:r>
            <w:r>
              <w:t xml:space="preserve">  </w:t>
            </w:r>
            <w:r>
              <w:rPr>
                <w:rFonts w:hint="eastAsia"/>
              </w:rPr>
              <w:t xml:space="preserve">                                  </w:t>
            </w:r>
            <w:r>
              <w:t xml:space="preserve">          </w:t>
            </w:r>
            <w:r>
              <w:rPr>
                <w:rFonts w:hint="eastAsia" w:eastAsia="方正仿宋_GBK"/>
                <w:color w:val="000000"/>
                <w:kern w:val="0"/>
                <w:sz w:val="28"/>
                <w:szCs w:val="28"/>
                <w:lang w:bidi="ar"/>
              </w:rPr>
              <w:t>检查</w:t>
            </w:r>
            <w:r>
              <w:rPr>
                <w:rFonts w:eastAsia="方正仿宋_GBK"/>
                <w:color w:val="000000"/>
                <w:kern w:val="0"/>
                <w:sz w:val="28"/>
                <w:szCs w:val="28"/>
                <w:lang w:bidi="ar"/>
              </w:rPr>
              <w:t>日期：</w:t>
            </w:r>
            <w:r>
              <w:rPr>
                <w:rFonts w:hint="eastAsia" w:eastAsia="方正仿宋_GBK"/>
                <w:color w:val="000000"/>
                <w:kern w:val="0"/>
                <w:sz w:val="28"/>
                <w:szCs w:val="28"/>
                <w:lang w:bidi="ar"/>
              </w:rPr>
              <w:t xml:space="preserve">    年  月  日</w:t>
            </w:r>
          </w:p>
        </w:tc>
      </w:tr>
    </w:tbl>
    <w:p>
      <w:pPr>
        <w:pStyle w:val="26"/>
        <w:rPr>
          <w:rFonts w:hint="eastAsia"/>
        </w:rPr>
        <w:sectPr>
          <w:pgSz w:w="16838" w:h="11906" w:orient="landscape"/>
          <w:pgMar w:top="1797" w:right="1440" w:bottom="1797" w:left="1440" w:header="851" w:footer="992" w:gutter="0"/>
          <w:pgNumType w:fmt="decimal" w:start="1"/>
          <w:cols w:space="720" w:num="1"/>
          <w:titlePg/>
          <w:docGrid w:type="lines" w:linePitch="312" w:charSpace="0"/>
        </w:sectPr>
      </w:pPr>
    </w:p>
    <w:p>
      <w:pPr>
        <w:topLinePunct/>
        <w:jc w:val="center"/>
        <w:outlineLvl w:val="0"/>
        <w:rPr>
          <w:rFonts w:hint="eastAsia" w:ascii="仿宋" w:hAnsi="仿宋" w:eastAsia="仿宋" w:cs="仿宋"/>
          <w:b/>
          <w:bCs/>
          <w:color w:val="000000" w:themeColor="text1"/>
          <w:kern w:val="44"/>
          <w:sz w:val="44"/>
          <w:szCs w:val="20"/>
          <w:highlight w:val="none"/>
          <w14:textFill>
            <w14:solidFill>
              <w14:schemeClr w14:val="tx1"/>
            </w14:solidFill>
          </w14:textFill>
        </w:rPr>
      </w:pPr>
      <w:bookmarkStart w:id="211" w:name="_Toc32415"/>
      <w:bookmarkStart w:id="212" w:name="_Toc15550"/>
      <w:r>
        <w:rPr>
          <w:rFonts w:hint="eastAsia" w:ascii="仿宋" w:hAnsi="仿宋" w:eastAsia="仿宋" w:cs="仿宋"/>
          <w:b/>
          <w:bCs/>
          <w:color w:val="000000" w:themeColor="text1"/>
          <w:kern w:val="44"/>
          <w:sz w:val="44"/>
          <w:szCs w:val="20"/>
          <w:highlight w:val="none"/>
          <w14:textFill>
            <w14:solidFill>
              <w14:schemeClr w14:val="tx1"/>
            </w14:solidFill>
          </w14:textFill>
        </w:rPr>
        <w:t>第四章 评审方法</w:t>
      </w:r>
      <w:bookmarkEnd w:id="201"/>
      <w:bookmarkEnd w:id="202"/>
      <w:bookmarkEnd w:id="203"/>
      <w:bookmarkEnd w:id="204"/>
      <w:bookmarkEnd w:id="208"/>
      <w:bookmarkEnd w:id="209"/>
      <w:bookmarkEnd w:id="210"/>
      <w:bookmarkEnd w:id="211"/>
      <w:bookmarkEnd w:id="212"/>
    </w:p>
    <w:p>
      <w:pPr>
        <w:pStyle w:val="130"/>
        <w:keepNext w:val="0"/>
        <w:keepLines w:val="0"/>
        <w:topLinePunct/>
        <w:spacing w:before="0" w:after="0" w:line="360" w:lineRule="auto"/>
        <w:ind w:left="0" w:leftChars="0"/>
        <w:jc w:val="left"/>
        <w:rPr>
          <w:rFonts w:hint="eastAsia" w:ascii="仿宋" w:hAnsi="仿宋" w:eastAsia="仿宋" w:cs="仿宋"/>
          <w:color w:val="000000" w:themeColor="text1"/>
          <w:highlight w:val="none"/>
          <w:lang w:val="en-US" w:eastAsia="zh-CN"/>
          <w14:textFill>
            <w14:solidFill>
              <w14:schemeClr w14:val="tx1"/>
            </w14:solidFill>
          </w14:textFill>
        </w:rPr>
      </w:pPr>
      <w:bookmarkStart w:id="213" w:name="_Toc23836"/>
      <w:bookmarkStart w:id="214" w:name="_Toc24788"/>
      <w:bookmarkStart w:id="215" w:name="_Toc24047"/>
      <w:bookmarkStart w:id="216" w:name="_Toc293736067"/>
      <w:bookmarkStart w:id="217" w:name="_Toc293739005"/>
      <w:bookmarkStart w:id="218" w:name="_Toc446599330"/>
      <w:bookmarkStart w:id="219" w:name="_Toc293736024"/>
      <w:r>
        <w:rPr>
          <w:rFonts w:hint="eastAsia" w:ascii="仿宋" w:hAnsi="仿宋" w:eastAsia="仿宋" w:cs="仿宋"/>
          <w:color w:val="000000" w:themeColor="text1"/>
          <w:highlight w:val="none"/>
          <w:lang w:val="en-US" w:eastAsia="zh-CN"/>
          <w14:textFill>
            <w14:solidFill>
              <w14:schemeClr w14:val="tx1"/>
            </w14:solidFill>
          </w14:textFill>
        </w:rPr>
        <w:t>一、综合评分</w:t>
      </w:r>
      <w:bookmarkEnd w:id="213"/>
      <w:bookmarkEnd w:id="214"/>
      <w:bookmarkEnd w:id="215"/>
    </w:p>
    <w:p>
      <w:pPr>
        <w:pStyle w:val="130"/>
        <w:keepNext w:val="0"/>
        <w:keepLines w:val="0"/>
        <w:topLinePunct/>
        <w:spacing w:before="0" w:after="0" w:line="360" w:lineRule="auto"/>
        <w:ind w:left="0" w:leftChars="0" w:firstLine="480" w:firstLineChars="200"/>
        <w:jc w:val="left"/>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bookmarkStart w:id="220" w:name="_Toc20603"/>
      <w:bookmarkStart w:id="221" w:name="_Toc10204"/>
      <w:bookmarkStart w:id="222" w:name="_Toc5037"/>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综合评分法是指在最大限度地满足招标文件实质性要求前提下，按照招标文件中规定的评分细则评审后，以评标最终最高得分的投标人作为中标人的评标方法。每一投标人的最终得分为所有评委评分的算术平均值。得分相同的，报价较低的一方为中标人。得分且投标报价相同的，技术指标较优的一方为中标人。</w:t>
      </w:r>
      <w:bookmarkEnd w:id="220"/>
      <w:bookmarkEnd w:id="221"/>
      <w:bookmarkEnd w:id="222"/>
    </w:p>
    <w:p>
      <w:pPr>
        <w:pStyle w:val="130"/>
        <w:keepNext w:val="0"/>
        <w:keepLines w:val="0"/>
        <w:topLinePunct/>
        <w:spacing w:before="0" w:after="0" w:line="360" w:lineRule="auto"/>
        <w:jc w:val="left"/>
        <w:rPr>
          <w:rFonts w:hint="eastAsia" w:ascii="仿宋" w:hAnsi="仿宋" w:eastAsia="仿宋" w:cs="仿宋"/>
          <w:color w:val="000000" w:themeColor="text1"/>
          <w:highlight w:val="none"/>
          <w:lang w:val="en-US" w:eastAsia="zh-CN"/>
          <w14:textFill>
            <w14:solidFill>
              <w14:schemeClr w14:val="tx1"/>
            </w14:solidFill>
          </w14:textFill>
        </w:rPr>
      </w:pPr>
      <w:bookmarkStart w:id="223" w:name="_Toc10584"/>
      <w:bookmarkStart w:id="224" w:name="_Toc6407"/>
      <w:bookmarkStart w:id="225" w:name="_Toc22214"/>
      <w:r>
        <w:rPr>
          <w:rFonts w:hint="eastAsia" w:ascii="仿宋" w:hAnsi="仿宋" w:eastAsia="仿宋" w:cs="仿宋"/>
          <w:color w:val="000000" w:themeColor="text1"/>
          <w:highlight w:val="none"/>
          <w:lang w:val="en-US" w:eastAsia="zh-CN"/>
          <w14:textFill>
            <w14:solidFill>
              <w14:schemeClr w14:val="tx1"/>
            </w14:solidFill>
          </w14:textFill>
        </w:rPr>
        <w:t>二、综合评分细则表</w:t>
      </w:r>
      <w:bookmarkEnd w:id="223"/>
      <w:bookmarkEnd w:id="224"/>
      <w:bookmarkEnd w:id="225"/>
    </w:p>
    <w:tbl>
      <w:tblPr>
        <w:tblStyle w:val="38"/>
        <w:tblpPr w:leftFromText="180" w:rightFromText="180" w:vertAnchor="text" w:horzAnchor="page" w:tblpX="1287" w:tblpY="468"/>
        <w:tblOverlap w:val="never"/>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74"/>
        <w:gridCol w:w="814"/>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81" w:hRule="atLeast"/>
        </w:trPr>
        <w:tc>
          <w:tcPr>
            <w:tcW w:w="1488" w:type="dxa"/>
            <w:gridSpan w:val="2"/>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评分因素</w:t>
            </w:r>
          </w:p>
        </w:tc>
        <w:tc>
          <w:tcPr>
            <w:tcW w:w="8021" w:type="dxa"/>
            <w:noWrap w:val="0"/>
            <w:vAlign w:val="center"/>
          </w:tcPr>
          <w:p>
            <w:pPr>
              <w:pStyle w:val="65"/>
              <w:jc w:val="center"/>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restart"/>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初步评审</w:t>
            </w:r>
          </w:p>
        </w:tc>
        <w:tc>
          <w:tcPr>
            <w:tcW w:w="814" w:type="dxa"/>
            <w:vMerge w:val="restart"/>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资格检查</w:t>
            </w:r>
          </w:p>
        </w:tc>
        <w:tc>
          <w:tcPr>
            <w:tcW w:w="8021" w:type="dxa"/>
            <w:noWrap w:val="0"/>
            <w:vAlign w:val="center"/>
          </w:tcPr>
          <w:p>
            <w:pPr>
              <w:pStyle w:val="14"/>
              <w:widowControl/>
              <w:spacing w:line="288"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一、具有独立承担民事责任的能力</w:t>
            </w:r>
          </w:p>
          <w:p>
            <w:pPr>
              <w:pStyle w:val="14"/>
              <w:widowControl/>
              <w:spacing w:line="288"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1.投标人法人营业执照（副本）或事业单位法人证书（副本）或个体工商户营业执照或有效的自然人身份证明、组织机构代码证</w:t>
            </w:r>
            <w:r>
              <w:rPr>
                <w:rFonts w:hint="eastAsia" w:ascii="仿宋" w:hAnsi="仿宋" w:eastAsia="仿宋" w:cs="仿宋"/>
                <w:b/>
                <w:bCs/>
                <w:color w:val="000000" w:themeColor="text1"/>
                <w:sz w:val="24"/>
                <w:szCs w:val="24"/>
                <w:highlight w:val="none"/>
                <w14:textFill>
                  <w14:solidFill>
                    <w14:schemeClr w14:val="tx1"/>
                  </w14:solidFill>
                </w14:textFill>
              </w:rPr>
              <w:t>扫描件</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投标人按“三证合一”登记制度办理营业执照的,组织机构代码证和税务登记证（副本）以投标人所提供的营业执照（副本）</w:t>
            </w:r>
            <w:r>
              <w:rPr>
                <w:rFonts w:hint="eastAsia" w:ascii="仿宋" w:hAnsi="仿宋" w:eastAsia="仿宋" w:cs="仿宋"/>
                <w:b/>
                <w:bCs/>
                <w:color w:val="000000" w:themeColor="text1"/>
                <w:sz w:val="24"/>
                <w:szCs w:val="24"/>
                <w:highlight w:val="none"/>
                <w14:textFill>
                  <w14:solidFill>
                    <w14:schemeClr w14:val="tx1"/>
                  </w14:solidFill>
                </w14:textFill>
              </w:rPr>
              <w:t>扫描件</w:t>
            </w:r>
            <w:r>
              <w:rPr>
                <w:rFonts w:hint="eastAsia" w:ascii="仿宋" w:hAnsi="仿宋" w:eastAsia="仿宋" w:cs="仿宋"/>
                <w:color w:val="000000" w:themeColor="text1"/>
                <w:sz w:val="24"/>
                <w:szCs w:val="24"/>
                <w:highlight w:val="none"/>
                <w14:textFill>
                  <w14:solidFill>
                    <w14:schemeClr w14:val="tx1"/>
                  </w14:solidFill>
                </w14:textFill>
              </w:rPr>
              <w:t>为准；</w:t>
            </w:r>
          </w:p>
          <w:p>
            <w:pPr>
              <w:pStyle w:val="14"/>
              <w:widowControl/>
              <w:spacing w:line="288"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法定代表人身份证明及法定代表人授权书</w:t>
            </w:r>
          </w:p>
          <w:p>
            <w:pPr>
              <w:pStyle w:val="65"/>
              <w:jc w:val="left"/>
              <w:rPr>
                <w:rFonts w:hint="eastAsia" w:ascii="仿宋" w:hAnsi="仿宋" w:eastAsia="仿宋" w:cs="仿宋"/>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投标人法定代表人身份证明和法定代表人授权代表委托书扫描件</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021" w:type="dxa"/>
            <w:noWrap w:val="0"/>
            <w:vAlign w:val="center"/>
          </w:tcPr>
          <w:p>
            <w:pPr>
              <w:pStyle w:val="111"/>
              <w:spacing w:line="288" w:lineRule="auto"/>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二、具有良好的商业信誉和健全的财务会计制度</w:t>
            </w:r>
          </w:p>
          <w:p>
            <w:pPr>
              <w:pStyle w:val="65"/>
              <w:ind w:firstLine="480" w:firstLineChars="200"/>
              <w:jc w:val="lef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具有良好的商业信誉和健全的财务会计制度，投标人须提供经会计师事务所或审计机构审计的2021年度或2022年度财务审计报告，如供应商无法提供经会计师事务所或审计机构审计的财务会计报告，则需提供供应商基本账户银行出具的资信证明（递交响应文件截止时间前三个月内）的扫描件，银行出具的存款证明不能作为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021" w:type="dxa"/>
            <w:noWrap w:val="0"/>
            <w:vAlign w:val="center"/>
          </w:tcPr>
          <w:p>
            <w:pPr>
              <w:pStyle w:val="111"/>
              <w:spacing w:line="288" w:lineRule="auto"/>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三、具有履行合同所必需的设备和专业技术能力</w:t>
            </w:r>
          </w:p>
          <w:p>
            <w:pPr>
              <w:pStyle w:val="14"/>
              <w:widowControl/>
              <w:spacing w:line="288" w:lineRule="auto"/>
              <w:ind w:firstLine="240" w:firstLineChars="100"/>
              <w:jc w:val="lef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投标人须提供相关资料或书面声明（格式可自拟）。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021" w:type="dxa"/>
            <w:noWrap w:val="0"/>
            <w:vAlign w:val="center"/>
          </w:tcPr>
          <w:p>
            <w:pPr>
              <w:spacing w:line="360" w:lineRule="auto"/>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四、有依法缴纳税收和社会保障金的良好记录</w:t>
            </w:r>
          </w:p>
          <w:p>
            <w:pPr>
              <w:pStyle w:val="14"/>
              <w:widowControl/>
              <w:spacing w:line="288" w:lineRule="auto"/>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投标人提供（递交响应文件截止时间前）近6个月内任意</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个月的缴纳税收的凭据证明材料扫描件以及缴纳社会保险的凭据证明材料扫描件；</w:t>
            </w:r>
          </w:p>
          <w:p>
            <w:pPr>
              <w:pStyle w:val="14"/>
              <w:widowControl/>
              <w:spacing w:line="288" w:lineRule="auto"/>
              <w:ind w:firstLine="480" w:firstLineChars="200"/>
              <w:jc w:val="lef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如依法免税或依法不需要缴纳社会保障资金的，应提供的相应文件证明其依法免税或依法不需要缴纳社会保障资金。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67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021" w:type="dxa"/>
            <w:noWrap w:val="0"/>
            <w:vAlign w:val="center"/>
          </w:tcPr>
          <w:p>
            <w:pPr>
              <w:pStyle w:val="111"/>
              <w:numPr>
                <w:ilvl w:val="0"/>
                <w:numId w:val="0"/>
              </w:numPr>
              <w:spacing w:line="288"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参加政府采购活动前三年内</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在经营活动中没有重大违法记录</w:t>
            </w:r>
          </w:p>
          <w:p>
            <w:pPr>
              <w:pStyle w:val="65"/>
              <w:ind w:firstLine="480" w:firstLineChars="200"/>
              <w:jc w:val="left"/>
              <w:rPr>
                <w:rFonts w:hint="eastAsia" w:ascii="仿宋" w:hAnsi="仿宋" w:eastAsia="仿宋" w:cs="仿宋"/>
                <w:b w:val="0"/>
                <w:bCs/>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投标人参加政府采购活动前3年内在经营活动中没有重大违法记录的书面声明（格式</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可</w:t>
            </w:r>
            <w:r>
              <w:rPr>
                <w:rFonts w:hint="eastAsia" w:ascii="仿宋" w:hAnsi="仿宋" w:eastAsia="仿宋" w:cs="仿宋"/>
                <w:b w:val="0"/>
                <w:bCs/>
                <w:i w:val="0"/>
                <w:iCs w:val="0"/>
                <w:color w:val="000000" w:themeColor="text1"/>
                <w:sz w:val="24"/>
                <w:szCs w:val="24"/>
                <w:highlight w:val="none"/>
                <w14:textFill>
                  <w14:solidFill>
                    <w14:schemeClr w14:val="tx1"/>
                  </w14:solidFill>
                </w14:textFill>
              </w:rPr>
              <w:t>自拟）；</w:t>
            </w:r>
          </w:p>
          <w:p>
            <w:pPr>
              <w:pStyle w:val="65"/>
              <w:jc w:val="lef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 xml:space="preserve"> </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 xml:space="preserve">  投标人近三年（2020年1月1日-投标截止日）在“信用中国”网站（</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instrText xml:space="preserve"> HYPERLINK "http://www.creditchina.gov.cn/" </w:instrTex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http://www.creditchina.gov.cn/</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)中未被列入失信被执行人名单、重大税收违法失信主体名单；3）近三年（2020年1月1日-投标截止日）在“中国政府采购网”（www.ccgp.gov.cn）未被列入严重违法失信行为记录名单；</w:t>
            </w:r>
            <w:r>
              <w:rPr>
                <w:rFonts w:hint="eastAsia" w:ascii="仿宋" w:hAnsi="仿宋" w:eastAsia="仿宋" w:cs="仿宋"/>
                <w:b w:val="0"/>
                <w:bCs/>
                <w:i w:val="0"/>
                <w:iCs w:val="0"/>
                <w:color w:val="000000" w:themeColor="text1"/>
                <w:sz w:val="24"/>
                <w:szCs w:val="24"/>
                <w:highlight w:val="none"/>
                <w14:textFill>
                  <w14:solidFill>
                    <w14:schemeClr w14:val="tx1"/>
                  </w14:solidFill>
                </w14:textFill>
              </w:rPr>
              <w:t>（查询的时间以采购人或采购代理机构开标当日查询记录为准）</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021" w:type="dxa"/>
            <w:noWrap w:val="0"/>
            <w:vAlign w:val="center"/>
          </w:tcPr>
          <w:p>
            <w:pPr>
              <w:pStyle w:val="111"/>
              <w:numPr>
                <w:ilvl w:val="0"/>
                <w:numId w:val="0"/>
              </w:numPr>
              <w:spacing w:line="288" w:lineRule="auto"/>
              <w:ind w:leftChars="0"/>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六、具备法律、行政法规规定的其他条件的证明材料</w:t>
            </w:r>
          </w:p>
          <w:p>
            <w:pPr>
              <w:pStyle w:val="188"/>
              <w:ind w:left="0" w:leftChars="0" w:firstLine="480" w:firstLineChars="200"/>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供应商除《中华人民共和国政府采购法》第二十二条、《中华人民共和国政府采购法实施条例》第十七条的规定条件以外不满足政府采购类其他法律法规的情形。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021" w:type="dxa"/>
            <w:noWrap w:val="0"/>
            <w:vAlign w:val="center"/>
          </w:tcPr>
          <w:p>
            <w:pPr>
              <w:pStyle w:val="65"/>
              <w:spacing w:line="360" w:lineRule="auto"/>
              <w:jc w:val="left"/>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lang w:eastAsia="zh-CN"/>
                <w14:textFill>
                  <w14:solidFill>
                    <w14:schemeClr w14:val="tx1"/>
                  </w14:solidFill>
                </w14:textFill>
              </w:rPr>
              <w:t>、落实政府采购政策需满足的资格要求</w:t>
            </w:r>
          </w:p>
          <w:p>
            <w:pPr>
              <w:numPr>
                <w:ilvl w:val="0"/>
                <w:numId w:val="0"/>
              </w:numPr>
              <w:spacing w:line="360" w:lineRule="auto"/>
              <w:ind w:left="0" w:leftChars="0" w:firstLine="480" w:firstLineChars="200"/>
              <w:jc w:val="left"/>
              <w:rPr>
                <w:rFonts w:hint="default"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t>供应商为中小企业：请根据要求单独上传《中小企业声明函》，格式以采购文件要求为准；监狱企业、残疾人福利性单位在本项目采购活动中视同小型、微型企业，也须按要求提供佐证材料，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restart"/>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符合性检查</w:t>
            </w:r>
          </w:p>
        </w:tc>
        <w:tc>
          <w:tcPr>
            <w:tcW w:w="8021" w:type="dxa"/>
            <w:noWrap w:val="0"/>
            <w:vAlign w:val="center"/>
          </w:tcPr>
          <w:p>
            <w:pPr>
              <w:pStyle w:val="2"/>
              <w:numPr>
                <w:ilvl w:val="0"/>
                <w:numId w:val="0"/>
              </w:numPr>
              <w:spacing w:before="0" w:after="0" w:line="240" w:lineRule="auto"/>
              <w:ind w:left="0" w:leftChars="0" w:firstLine="0" w:firstLineChars="0"/>
              <w:jc w:val="left"/>
              <w:rPr>
                <w:rFonts w:hint="eastAsia" w:ascii="仿宋" w:hAnsi="仿宋" w:eastAsia="仿宋" w:cs="仿宋"/>
                <w:b/>
                <w:bCs/>
                <w:color w:val="000000" w:themeColor="text1"/>
                <w:sz w:val="24"/>
                <w:szCs w:val="24"/>
                <w:highlight w:val="none"/>
                <w14:textFill>
                  <w14:solidFill>
                    <w14:schemeClr w14:val="tx1"/>
                  </w14:solidFill>
                </w14:textFill>
              </w:rPr>
            </w:pPr>
            <w:bookmarkStart w:id="226" w:name="_Toc7018"/>
            <w:bookmarkStart w:id="227" w:name="_Toc4031"/>
            <w:bookmarkStart w:id="228" w:name="_Toc11734"/>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一、</w:t>
            </w:r>
            <w:r>
              <w:rPr>
                <w:rFonts w:hint="eastAsia" w:ascii="仿宋" w:hAnsi="仿宋" w:eastAsia="仿宋" w:cs="仿宋"/>
                <w:b/>
                <w:bCs/>
                <w:color w:val="000000" w:themeColor="text1"/>
                <w:sz w:val="24"/>
                <w:szCs w:val="24"/>
                <w:highlight w:val="none"/>
                <w14:textFill>
                  <w14:solidFill>
                    <w14:schemeClr w14:val="tx1"/>
                  </w14:solidFill>
                </w14:textFill>
              </w:rPr>
              <w:t>电子投标文件签署</w:t>
            </w:r>
            <w:bookmarkEnd w:id="226"/>
            <w:bookmarkEnd w:id="227"/>
            <w:bookmarkEnd w:id="228"/>
          </w:p>
          <w:p>
            <w:pPr>
              <w:pStyle w:val="65"/>
              <w:spacing w:line="360" w:lineRule="auto"/>
              <w:jc w:val="lef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电子投标文件上公司签章、法定代表人或其授权代表人的签章或签字是否符合采购文件要求。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831" w:hRule="atLeast"/>
        </w:trPr>
        <w:tc>
          <w:tcPr>
            <w:tcW w:w="67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021" w:type="dxa"/>
            <w:noWrap w:val="0"/>
            <w:vAlign w:val="center"/>
          </w:tcPr>
          <w:p>
            <w:pPr>
              <w:pStyle w:val="65"/>
              <w:spacing w:line="360" w:lineRule="auto"/>
              <w:jc w:val="left"/>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i w:val="0"/>
                <w:iCs w:val="0"/>
                <w:color w:val="000000" w:themeColor="text1"/>
                <w:sz w:val="24"/>
                <w:szCs w:val="24"/>
                <w:highlight w:val="none"/>
                <w14:textFill>
                  <w14:solidFill>
                    <w14:schemeClr w14:val="tx1"/>
                  </w14:solidFill>
                </w14:textFill>
              </w:rPr>
              <w:t>报价唯一性投标报价</w:t>
            </w:r>
          </w:p>
          <w:p>
            <w:pPr>
              <w:pStyle w:val="65"/>
              <w:spacing w:line="360" w:lineRule="auto"/>
              <w:jc w:val="lef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具有唯一性</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i w:val="0"/>
                <w:iCs w:val="0"/>
                <w:color w:val="000000" w:themeColor="text1"/>
                <w:sz w:val="24"/>
                <w:szCs w:val="24"/>
                <w:highlight w:val="none"/>
                <w14:textFill>
                  <w14:solidFill>
                    <w14:schemeClr w14:val="tx1"/>
                  </w14:solidFill>
                </w14:textFill>
              </w:rPr>
              <w:t>报价未超过</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b w:val="0"/>
                <w:bCs/>
                <w:i w:val="0"/>
                <w:iCs w:val="0"/>
                <w:color w:val="000000" w:themeColor="text1"/>
                <w:sz w:val="24"/>
                <w:szCs w:val="24"/>
                <w:highlight w:val="none"/>
                <w14:textFill>
                  <w14:solidFill>
                    <w14:schemeClr w14:val="tx1"/>
                  </w14:solidFill>
                </w14:textFill>
              </w:rPr>
              <w:t>中规定的预算金额或者最高限</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价</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93" w:hRule="atLeast"/>
        </w:trPr>
        <w:tc>
          <w:tcPr>
            <w:tcW w:w="67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021" w:type="dxa"/>
            <w:noWrap w:val="0"/>
            <w:vAlign w:val="center"/>
          </w:tcPr>
          <w:p>
            <w:pPr>
              <w:numPr>
                <w:ilvl w:val="0"/>
                <w:numId w:val="0"/>
              </w:numPr>
              <w:ind w:left="0" w:leftChars="0" w:firstLine="0" w:firstLineChars="0"/>
              <w:jc w:val="left"/>
              <w:rPr>
                <w:rFonts w:hint="eastAsia" w:ascii="仿宋" w:hAnsi="仿宋" w:eastAsia="仿宋" w:cs="仿宋"/>
                <w:b/>
                <w:bCs/>
                <w:i w:val="0"/>
                <w:i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bidi="ar-SA"/>
                <w14:textFill>
                  <w14:solidFill>
                    <w14:schemeClr w14:val="tx1"/>
                  </w14:solidFill>
                </w14:textFill>
              </w:rPr>
              <w:t>三、投标有效期</w:t>
            </w:r>
          </w:p>
          <w:p>
            <w:pPr>
              <w:pStyle w:val="65"/>
              <w:jc w:val="lef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自提交投标文件截止之日起90日历日；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071" w:hRule="atLeast"/>
        </w:trPr>
        <w:tc>
          <w:tcPr>
            <w:tcW w:w="67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021" w:type="dxa"/>
            <w:noWrap w:val="0"/>
            <w:vAlign w:val="center"/>
          </w:tcPr>
          <w:p>
            <w:pPr>
              <w:numPr>
                <w:ilvl w:val="0"/>
                <w:numId w:val="0"/>
              </w:numPr>
              <w:ind w:left="0" w:leftChars="0" w:firstLine="0" w:firstLineChars="0"/>
              <w:jc w:val="left"/>
              <w:rPr>
                <w:rFonts w:hint="eastAsia" w:ascii="仿宋" w:hAnsi="仿宋" w:eastAsia="仿宋" w:cs="仿宋"/>
                <w:b/>
                <w:bCs/>
                <w:i w:val="0"/>
                <w:i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bidi="ar-SA"/>
                <w14:textFill>
                  <w14:solidFill>
                    <w14:schemeClr w14:val="tx1"/>
                  </w14:solidFill>
                </w14:textFill>
              </w:rPr>
              <w:t>四、投标保证金</w:t>
            </w:r>
          </w:p>
          <w:p>
            <w:pPr>
              <w:numPr>
                <w:ilvl w:val="0"/>
                <w:numId w:val="0"/>
              </w:numPr>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1.通过基本账户转出的投标保证金汇款凭证（备注项目名称或项目编号）</w:t>
            </w:r>
          </w:p>
          <w:p>
            <w:pPr>
              <w:numPr>
                <w:ilvl w:val="0"/>
                <w:numId w:val="0"/>
              </w:numPr>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2.投标人基本账户开户许可证或基本存款账户信息。</w:t>
            </w:r>
          </w:p>
          <w:p>
            <w:pPr>
              <w:numPr>
                <w:ilvl w:val="0"/>
                <w:numId w:val="0"/>
              </w:numPr>
              <w:ind w:left="0" w:leftChars="0" w:firstLine="0" w:firstLineChars="0"/>
              <w:jc w:val="left"/>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如提供采用银行保函缴纳的，应出具保函的银行级别（应为国有商业银行或股份制商业银行的支行及其以上的银行）及保函的有效期。</w:t>
            </w:r>
          </w:p>
        </w:tc>
      </w:tr>
    </w:tbl>
    <w:tbl>
      <w:tblPr>
        <w:tblStyle w:val="38"/>
        <w:tblpPr w:leftFromText="180" w:rightFromText="180" w:vertAnchor="text" w:horzAnchor="page" w:tblpX="1287" w:tblpY="1"/>
        <w:tblOverlap w:val="never"/>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674"/>
        <w:gridCol w:w="814"/>
        <w:gridCol w:w="1196"/>
        <w:gridCol w:w="6199"/>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76" w:hRule="atLeast"/>
        </w:trPr>
        <w:tc>
          <w:tcPr>
            <w:tcW w:w="674" w:type="dxa"/>
            <w:noWrap w:val="0"/>
            <w:vAlign w:val="center"/>
          </w:tcPr>
          <w:p>
            <w:pPr>
              <w:pStyle w:val="170"/>
              <w:spacing w:before="74"/>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bookmarkStart w:id="283" w:name="_GoBack"/>
            <w:bookmarkEnd w:id="283"/>
            <w:r>
              <w:rPr>
                <w:rFonts w:hint="eastAsia" w:ascii="仿宋" w:hAnsi="仿宋" w:eastAsia="仿宋" w:cs="仿宋"/>
                <w:b/>
                <w:i w:val="0"/>
                <w:iCs w:val="0"/>
                <w:color w:val="000000" w:themeColor="text1"/>
                <w:sz w:val="24"/>
                <w:szCs w:val="24"/>
                <w:highlight w:val="none"/>
                <w:lang w:eastAsia="en-US"/>
                <w14:textFill>
                  <w14:solidFill>
                    <w14:schemeClr w14:val="tx1"/>
                  </w14:solidFill>
                </w14:textFill>
              </w:rPr>
              <w:t>评分因素</w:t>
            </w:r>
          </w:p>
        </w:tc>
        <w:tc>
          <w:tcPr>
            <w:tcW w:w="814" w:type="dxa"/>
            <w:noWrap w:val="0"/>
            <w:vAlign w:val="center"/>
          </w:tcPr>
          <w:p>
            <w:pPr>
              <w:pStyle w:val="170"/>
              <w:spacing w:before="74"/>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r>
              <w:rPr>
                <w:rFonts w:hint="eastAsia" w:ascii="仿宋" w:hAnsi="仿宋" w:eastAsia="仿宋" w:cs="仿宋"/>
                <w:b/>
                <w:i w:val="0"/>
                <w:iCs w:val="0"/>
                <w:color w:val="000000" w:themeColor="text1"/>
                <w:sz w:val="24"/>
                <w:szCs w:val="24"/>
                <w:highlight w:val="none"/>
                <w:lang w:eastAsia="en-US"/>
                <w14:textFill>
                  <w14:solidFill>
                    <w14:schemeClr w14:val="tx1"/>
                  </w14:solidFill>
                </w14:textFill>
              </w:rPr>
              <w:t>评分点</w:t>
            </w:r>
          </w:p>
        </w:tc>
        <w:tc>
          <w:tcPr>
            <w:tcW w:w="1196" w:type="dxa"/>
            <w:noWrap w:val="0"/>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lang w:eastAsia="en-US"/>
                <w14:textFill>
                  <w14:solidFill>
                    <w14:schemeClr w14:val="tx1"/>
                  </w14:solidFill>
                </w14:textFill>
              </w:rPr>
              <w:t>评分标准</w:t>
            </w:r>
          </w:p>
        </w:tc>
        <w:tc>
          <w:tcPr>
            <w:tcW w:w="6825" w:type="dxa"/>
            <w:gridSpan w:val="2"/>
            <w:noWrap w:val="0"/>
            <w:vAlign w:val="center"/>
          </w:tcPr>
          <w:p>
            <w:pPr>
              <w:pStyle w:val="170"/>
              <w:spacing w:before="74"/>
              <w:jc w:val="center"/>
              <w:rPr>
                <w:rFonts w:hint="eastAsia" w:ascii="仿宋" w:hAnsi="仿宋" w:eastAsia="仿宋" w:cs="仿宋"/>
                <w:b w:val="0"/>
                <w:bCs w:val="0"/>
                <w:i w:val="0"/>
                <w:i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i w:val="0"/>
                <w:iCs w:val="0"/>
                <w:color w:val="000000" w:themeColor="text1"/>
                <w:sz w:val="24"/>
                <w:szCs w:val="24"/>
                <w:highlight w:val="none"/>
                <w:lang w:eastAsia="en-US"/>
                <w14:textFill>
                  <w14:solidFill>
                    <w14:schemeClr w14:val="tx1"/>
                  </w14:solidFill>
                </w14:textFill>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498" w:hRule="atLeast"/>
        </w:trPr>
        <w:tc>
          <w:tcPr>
            <w:tcW w:w="674" w:type="dxa"/>
            <w:vMerge w:val="restart"/>
            <w:noWrap w:val="0"/>
            <w:vAlign w:val="center"/>
          </w:tcPr>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spacing w:before="7"/>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p>
            <w:pPr>
              <w:pStyle w:val="170"/>
              <w:spacing w:line="242" w:lineRule="auto"/>
              <w:ind w:left="150" w:right="134"/>
              <w:jc w:val="center"/>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en-US"/>
                <w14:textFill>
                  <w14:solidFill>
                    <w14:schemeClr w14:val="tx1"/>
                  </w14:solidFill>
                </w14:textFill>
              </w:rPr>
              <w:t>详细评审</w:t>
            </w:r>
          </w:p>
        </w:tc>
        <w:tc>
          <w:tcPr>
            <w:tcW w:w="814" w:type="dxa"/>
            <w:noWrap w:val="0"/>
            <w:vAlign w:val="center"/>
          </w:tcPr>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en-US"/>
                <w14:textFill>
                  <w14:solidFill>
                    <w14:schemeClr w14:val="tx1"/>
                  </w14:solidFill>
                </w14:textFill>
              </w:rPr>
              <w:t>价格评审</w:t>
            </w:r>
          </w:p>
          <w:p>
            <w:pPr>
              <w:pStyle w:val="170"/>
              <w:jc w:val="center"/>
              <w:rPr>
                <w:rFonts w:hint="eastAsia" w:ascii="仿宋" w:hAnsi="仿宋" w:eastAsia="仿宋" w:cs="仿宋"/>
                <w:i w:val="0"/>
                <w:iCs w:val="0"/>
                <w:color w:val="000000" w:themeColor="text1"/>
                <w:kern w:val="0"/>
                <w:sz w:val="24"/>
                <w:szCs w:val="24"/>
                <w:highlight w:val="none"/>
                <w:lang w:val="zh-CN" w:eastAsia="en-US" w:bidi="zh-CN"/>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en-US"/>
                <w14:textFill>
                  <w14:solidFill>
                    <w14:schemeClr w14:val="tx1"/>
                  </w14:solidFill>
                </w14:textFill>
              </w:rPr>
              <w:t>（</w:t>
            </w:r>
            <w:r>
              <w:rPr>
                <w:rFonts w:hint="eastAsia" w:cs="仿宋"/>
                <w:i w:val="0"/>
                <w:iCs w:val="0"/>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i w:val="0"/>
                <w:iCs w:val="0"/>
                <w:color w:val="000000" w:themeColor="text1"/>
                <w:sz w:val="24"/>
                <w:szCs w:val="24"/>
                <w:highlight w:val="none"/>
                <w:lang w:eastAsia="en-US"/>
                <w14:textFill>
                  <w14:solidFill>
                    <w14:schemeClr w14:val="tx1"/>
                  </w14:solidFill>
                </w14:textFill>
              </w:rPr>
              <w:t>分）</w:t>
            </w:r>
          </w:p>
        </w:tc>
        <w:tc>
          <w:tcPr>
            <w:tcW w:w="1196" w:type="dxa"/>
            <w:noWrap w:val="0"/>
            <w:vAlign w:val="center"/>
          </w:tcPr>
          <w:p>
            <w:pPr>
              <w:jc w:val="center"/>
              <w:rPr>
                <w:rFonts w:hint="eastAsia" w:ascii="仿宋" w:hAnsi="仿宋" w:eastAsia="仿宋" w:cs="仿宋"/>
                <w:i w:val="0"/>
                <w:iCs w:val="0"/>
                <w:color w:val="000000" w:themeColor="text1"/>
                <w:kern w:val="2"/>
                <w:sz w:val="24"/>
                <w:szCs w:val="24"/>
                <w:highlight w:val="none"/>
                <w:lang w:val="en-US" w:eastAsia="en-US"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w:t>
            </w:r>
          </w:p>
        </w:tc>
        <w:tc>
          <w:tcPr>
            <w:tcW w:w="6825" w:type="dxa"/>
            <w:gridSpan w:val="2"/>
            <w:noWrap w:val="0"/>
            <w:vAlign w:val="center"/>
          </w:tcPr>
          <w:p>
            <w:pPr>
              <w:keepNext w:val="0"/>
              <w:keepLines w:val="0"/>
              <w:widowControl/>
              <w:suppressLineNumbers w:val="0"/>
              <w:jc w:val="left"/>
              <w:rPr>
                <w:rFonts w:hint="eastAsia" w:ascii="仿宋" w:hAnsi="仿宋" w:eastAsia="仿宋" w:cs="仿宋"/>
                <w:b w:val="0"/>
                <w:bCs w:val="0"/>
                <w:i w:val="0"/>
                <w:i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lang w:val="en-US" w:eastAsia="zh-CN" w:bidi="ar-SA"/>
                <w14:textFill>
                  <w14:solidFill>
                    <w14:schemeClr w14:val="tx1"/>
                  </w14:solidFill>
                </w14:textFill>
              </w:rPr>
              <w:t>评标基准价=有效投标报价的最低值,有效投标报价等于基准值的得满分,投标报价得分=（评标基准价/投标报价）×10。</w:t>
            </w:r>
          </w:p>
          <w:p>
            <w:pPr>
              <w:keepNext w:val="0"/>
              <w:keepLines w:val="0"/>
              <w:widowControl/>
              <w:suppressLineNumbers w:val="0"/>
              <w:jc w:val="left"/>
              <w:rPr>
                <w:rFonts w:hint="eastAsia" w:ascii="仿宋" w:hAnsi="仿宋" w:eastAsia="仿宋" w:cs="仿宋"/>
                <w:b w:val="0"/>
                <w:bCs w:val="0"/>
                <w:i w:val="0"/>
                <w:i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lang w:val="en-US" w:eastAsia="zh-CN" w:bidi="ar-SA"/>
                <w14:textFill>
                  <w14:solidFill>
                    <w14:schemeClr w14:val="tx1"/>
                  </w14:solidFill>
                </w14:textFill>
              </w:rPr>
              <w:t>注：有效投标报价为通过初步审查的供应商投标报价。</w:t>
            </w:r>
          </w:p>
          <w:p>
            <w:pPr>
              <w:widowControl/>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bidi="ar-SA"/>
                <w14:textFill>
                  <w14:solidFill>
                    <w14:schemeClr w14:val="tx1"/>
                  </w14:solidFill>
                </w14:textFill>
              </w:rPr>
              <w:t>本项目整体专门面向中小微企业采购（</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专门面向小微企业预留100%</w:t>
            </w:r>
            <w:r>
              <w:rPr>
                <w:rFonts w:hint="eastAsia" w:ascii="仿宋" w:hAnsi="仿宋" w:eastAsia="仿宋" w:cs="仿宋"/>
                <w:b/>
                <w:bCs/>
                <w:i w:val="0"/>
                <w:iCs w:val="0"/>
                <w:color w:val="000000" w:themeColor="text1"/>
                <w:kern w:val="0"/>
                <w:sz w:val="24"/>
                <w:szCs w:val="24"/>
                <w:highlight w:val="none"/>
                <w:lang w:val="en-US" w:eastAsia="zh-CN" w:bidi="ar-SA"/>
                <w14:textFill>
                  <w14:solidFill>
                    <w14:schemeClr w14:val="tx1"/>
                  </w14:solidFill>
                </w14:textFill>
              </w:rPr>
              <w:t>），不再执行“价格评审优惠”的扶持政策。</w:t>
            </w:r>
          </w:p>
          <w:p>
            <w:pPr>
              <w:pStyle w:val="190"/>
              <w:ind w:left="0" w:leftChars="0" w:firstLine="0" w:firstLineChars="0"/>
              <w:rPr>
                <w:rFonts w:hint="eastAsia" w:ascii="仿宋" w:hAnsi="仿宋" w:eastAsia="仿宋" w:cs="仿宋"/>
                <w:b w:val="0"/>
                <w:bCs w:val="0"/>
                <w:i w:val="0"/>
                <w:i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lang w:val="en-US" w:eastAsia="zh-CN" w:bidi="ar-SA"/>
                <w14:textFill>
                  <w14:solidFill>
                    <w14:schemeClr w14:val="tx1"/>
                  </w14:solidFill>
                </w14:textFill>
              </w:rPr>
              <w:t>在服务采购项目中，服务由中小企业承接，即提供服务的人员为中小企业依照《中华人民共和国劳动合同法》订立劳动合同的从业人员。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085"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restart"/>
            <w:noWrap w:val="0"/>
            <w:vAlign w:val="center"/>
          </w:tcPr>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en-US"/>
                <w14:textFill>
                  <w14:solidFill>
                    <w14:schemeClr w14:val="tx1"/>
                  </w14:solidFill>
                </w14:textFill>
              </w:rPr>
              <w:t>商务标</w:t>
            </w:r>
            <w:r>
              <w:rPr>
                <w:rFonts w:hint="eastAsia" w:ascii="仿宋" w:hAnsi="仿宋" w:eastAsia="仿宋" w:cs="仿宋"/>
                <w:i w:val="0"/>
                <w:iCs w:val="0"/>
                <w:color w:val="000000" w:themeColor="text1"/>
                <w:sz w:val="24"/>
                <w:szCs w:val="24"/>
                <w:highlight w:val="none"/>
                <w:lang w:val="en-US"/>
                <w14:textFill>
                  <w14:solidFill>
                    <w14:schemeClr w14:val="tx1"/>
                  </w14:solidFill>
                </w14:textFill>
              </w:rPr>
              <w:t>评</w:t>
            </w:r>
            <w:r>
              <w:rPr>
                <w:rFonts w:hint="eastAsia" w:ascii="仿宋" w:hAnsi="仿宋" w:eastAsia="仿宋" w:cs="仿宋"/>
                <w:i w:val="0"/>
                <w:iCs w:val="0"/>
                <w:color w:val="000000" w:themeColor="text1"/>
                <w:sz w:val="24"/>
                <w:szCs w:val="24"/>
                <w:highlight w:val="none"/>
                <w:lang w:eastAsia="en-US"/>
                <w14:textFill>
                  <w14:solidFill>
                    <w14:schemeClr w14:val="tx1"/>
                  </w14:solidFill>
                </w14:textFill>
              </w:rPr>
              <w:t>审</w:t>
            </w:r>
          </w:p>
          <w:p>
            <w:pPr>
              <w:pStyle w:val="170"/>
              <w:jc w:val="center"/>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en-US"/>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i w:val="0"/>
                <w:iCs w:val="0"/>
                <w:color w:val="000000" w:themeColor="text1"/>
                <w:spacing w:val="-30"/>
                <w:sz w:val="24"/>
                <w:szCs w:val="24"/>
                <w:highlight w:val="none"/>
                <w:lang w:eastAsia="en-US"/>
                <w14:textFill>
                  <w14:solidFill>
                    <w14:schemeClr w14:val="tx1"/>
                  </w14:solidFill>
                </w14:textFill>
              </w:rPr>
              <w:t>分</w:t>
            </w:r>
            <w:r>
              <w:rPr>
                <w:rFonts w:hint="eastAsia" w:ascii="仿宋" w:hAnsi="仿宋" w:eastAsia="仿宋" w:cs="仿宋"/>
                <w:i w:val="0"/>
                <w:iCs w:val="0"/>
                <w:color w:val="000000" w:themeColor="text1"/>
                <w:sz w:val="24"/>
                <w:szCs w:val="24"/>
                <w:highlight w:val="none"/>
                <w:lang w:eastAsia="en-US"/>
                <w14:textFill>
                  <w14:solidFill>
                    <w14:schemeClr w14:val="tx1"/>
                  </w14:solidFill>
                </w14:textFill>
              </w:rPr>
              <w:t>）</w:t>
            </w:r>
          </w:p>
        </w:tc>
        <w:tc>
          <w:tcPr>
            <w:tcW w:w="1196" w:type="dxa"/>
            <w:noWrap w:val="0"/>
            <w:vAlign w:val="center"/>
          </w:tcPr>
          <w:p>
            <w:pPr>
              <w:widowControl/>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项目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类似</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业绩</w:t>
            </w:r>
          </w:p>
        </w:tc>
        <w:tc>
          <w:tcPr>
            <w:tcW w:w="6199" w:type="dxa"/>
            <w:noWrap w:val="0"/>
            <w:vAlign w:val="center"/>
          </w:tcPr>
          <w:p>
            <w:pPr>
              <w:spacing w:line="300" w:lineRule="exact"/>
              <w:rPr>
                <w:rFonts w:hint="eastAsia" w:ascii="仿宋" w:hAnsi="仿宋" w:eastAsia="仿宋" w:cs="仿宋"/>
                <w:b w:val="0"/>
                <w:bCs w:val="0"/>
                <w:i w:val="0"/>
                <w:i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lang w:val="en-US" w:eastAsia="zh-CN" w:bidi="ar-SA"/>
                <w14:textFill>
                  <w14:solidFill>
                    <w14:schemeClr w14:val="tx1"/>
                  </w14:solidFill>
                </w14:textFill>
              </w:rPr>
              <w:t>提供近三年（2019年5月1日至今）类似规模及内容的项目业绩，须提供物业服务合同，每提供1份得1分，最高得2分（未提供材料不得分）</w:t>
            </w:r>
          </w:p>
          <w:p>
            <w:pPr>
              <w:pStyle w:val="18"/>
              <w:numPr>
                <w:ilvl w:val="0"/>
                <w:numId w:val="0"/>
              </w:numPr>
              <w:jc w:val="both"/>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i w:val="0"/>
                <w:iCs w:val="0"/>
                <w:color w:val="000000" w:themeColor="text1"/>
                <w:kern w:val="0"/>
                <w:sz w:val="24"/>
                <w:szCs w:val="24"/>
                <w:highlight w:val="none"/>
                <w:lang w:val="en-US" w:eastAsia="zh-CN" w:bidi="ar-SA"/>
                <w14:textFill>
                  <w14:solidFill>
                    <w14:schemeClr w14:val="tx1"/>
                  </w14:solidFill>
                </w14:textFill>
              </w:rPr>
              <w:t>注：证明资料须真实有效且清晰反映项目名称、服务内容、服务期限、合同金额、合同签订时间、合同签字盖章页信息，否则不予认可。</w:t>
            </w:r>
          </w:p>
        </w:tc>
        <w:tc>
          <w:tcPr>
            <w:tcW w:w="626" w:type="dxa"/>
            <w:noWrap w:val="0"/>
            <w:vAlign w:val="center"/>
          </w:tcPr>
          <w:p>
            <w:pPr>
              <w:widowControl/>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20"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tc>
        <w:tc>
          <w:tcPr>
            <w:tcW w:w="1196" w:type="dxa"/>
            <w:noWrap w:val="0"/>
            <w:vAlign w:val="center"/>
          </w:tcPr>
          <w:p>
            <w:pPr>
              <w:pStyle w:val="165"/>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投入设备</w:t>
            </w:r>
          </w:p>
        </w:tc>
        <w:tc>
          <w:tcPr>
            <w:tcW w:w="6199" w:type="dxa"/>
            <w:noWrap w:val="0"/>
            <w:vAlign w:val="center"/>
          </w:tcPr>
          <w:p>
            <w:pPr>
              <w:pStyle w:val="165"/>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重型清雪车辆投入1辆得1分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，满分6分</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（车辆须上牌、有效的道路营运手续及有效期内的保险）</w:t>
            </w:r>
          </w:p>
          <w:p>
            <w:pPr>
              <w:pStyle w:val="165"/>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融雪剂撒布机1台投入1辆得1分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，满分1分</w:t>
            </w:r>
          </w:p>
          <w:p>
            <w:pPr>
              <w:pStyle w:val="165"/>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抛雪机（设备）1台投入1辆得1分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，满分1分</w:t>
            </w:r>
          </w:p>
          <w:p>
            <w:pPr>
              <w:pStyle w:val="165"/>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夏季清扫车1台投入1辆得1分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，满分1分</w:t>
            </w:r>
          </w:p>
          <w:p>
            <w:pPr>
              <w:pStyle w:val="165"/>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洒水车1台投入1辆得1分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，满分1分</w:t>
            </w:r>
          </w:p>
          <w:p>
            <w:pPr>
              <w:pStyle w:val="165"/>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证明材料包含：提供自有车辆购买发票（包括分公司）、机动车登记证书、设备挂牌照片（一个挂牌车辆只认为是一种车种）；国有移交的车辆提供国有资产移交协议（含清单）、车辆近期照片、车架号，未提供相关证明材料视为不满足要求。</w:t>
            </w:r>
          </w:p>
        </w:tc>
        <w:tc>
          <w:tcPr>
            <w:tcW w:w="626" w:type="dxa"/>
            <w:noWrap w:val="0"/>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20"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tc>
        <w:tc>
          <w:tcPr>
            <w:tcW w:w="1196" w:type="dxa"/>
            <w:noWrap w:val="0"/>
            <w:vAlign w:val="center"/>
          </w:tcPr>
          <w:p>
            <w:pPr>
              <w:pStyle w:val="165"/>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拟投入的人员</w:t>
            </w:r>
          </w:p>
        </w:tc>
        <w:tc>
          <w:tcPr>
            <w:tcW w:w="6199" w:type="dxa"/>
            <w:noWrap w:val="0"/>
            <w:vAlign w:val="center"/>
          </w:tcPr>
          <w:p>
            <w:pPr>
              <w:pStyle w:val="165"/>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1、机械车辆驾驶员</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配备1人得1分</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，每增加1人得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分，本项最高得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分。</w:t>
            </w:r>
          </w:p>
          <w:p>
            <w:pPr>
              <w:pStyle w:val="165"/>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2、保洁（清雪）人员在基本人员配置要求的基础上</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（30人）</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，每增加1人得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0.1</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分，本项最高得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分。</w:t>
            </w:r>
          </w:p>
          <w:p>
            <w:pPr>
              <w:pStyle w:val="165"/>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要求 ：（1）机械车辆驾驶人员须提供B2及以上准驾车型驾驶证；（2）提供投标人为机械车辆驾驶人员及保洁人员连续缴纳6个月及以上社会养老保险及工伤保险的证明材料；（3）上述证明材料为扫描件加盖公章，包含投标人自有人员、劳务派遣人员（需提供劳务派遣合同扫描件加盖公章）</w:t>
            </w:r>
          </w:p>
          <w:p>
            <w:pPr>
              <w:pStyle w:val="165"/>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（证明材料：提供拟投入人员近6个月的社保缴纳证明、职业技能等级证书扫描件）</w:t>
            </w:r>
          </w:p>
        </w:tc>
        <w:tc>
          <w:tcPr>
            <w:tcW w:w="626" w:type="dxa"/>
            <w:noWrap w:val="0"/>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20"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tc>
        <w:tc>
          <w:tcPr>
            <w:tcW w:w="1196" w:type="dxa"/>
            <w:noWrap w:val="0"/>
            <w:vAlign w:val="center"/>
          </w:tcPr>
          <w:p>
            <w:pPr>
              <w:spacing w:line="3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规范用工</w:t>
            </w:r>
          </w:p>
          <w:p>
            <w:pPr>
              <w:spacing w:line="3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（6分）</w:t>
            </w:r>
          </w:p>
        </w:tc>
        <w:tc>
          <w:tcPr>
            <w:tcW w:w="6199" w:type="dxa"/>
            <w:noWrap w:val="0"/>
            <w:vAlign w:val="center"/>
          </w:tcPr>
          <w:p>
            <w:pPr>
              <w:spacing w:line="300" w:lineRule="exact"/>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履行合同期内，具有依法规范用工（相关人员的招收、培训、劳动合同签订、工资待遇、参加社保等）的承诺及相关管理办法，满分得6分，每缺少一项扣1分，直至扣完为止。</w:t>
            </w:r>
          </w:p>
        </w:tc>
        <w:tc>
          <w:tcPr>
            <w:tcW w:w="626" w:type="dxa"/>
            <w:noWrap w:val="0"/>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15"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170"/>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tc>
        <w:tc>
          <w:tcPr>
            <w:tcW w:w="1196" w:type="dxa"/>
            <w:noWrap w:val="0"/>
            <w:vAlign w:val="center"/>
          </w:tcPr>
          <w:p>
            <w:pPr>
              <w:spacing w:line="300" w:lineRule="exact"/>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投标文件</w:t>
            </w:r>
          </w:p>
          <w:p>
            <w:pPr>
              <w:spacing w:line="3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编制</w:t>
            </w:r>
          </w:p>
          <w:p>
            <w:pPr>
              <w:spacing w:line="3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（2分）</w:t>
            </w:r>
          </w:p>
        </w:tc>
        <w:tc>
          <w:tcPr>
            <w:tcW w:w="6199" w:type="dxa"/>
            <w:noWrap w:val="0"/>
            <w:vAlign w:val="center"/>
          </w:tcPr>
          <w:p>
            <w:pPr>
              <w:spacing w:line="300" w:lineRule="exact"/>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根据投标文件内容是否完整、叙述是否准确细致，具有针对性等情况进行打分，满分得2分，每缺少一项扣0.5分，直至扣完为止。</w:t>
            </w:r>
          </w:p>
        </w:tc>
        <w:tc>
          <w:tcPr>
            <w:tcW w:w="626" w:type="dxa"/>
            <w:noWrap w:val="0"/>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restart"/>
            <w:noWrap w:val="0"/>
            <w:vAlign w:val="center"/>
          </w:tcPr>
          <w:p>
            <w:pPr>
              <w:pStyle w:val="170"/>
              <w:spacing w:before="2"/>
              <w:jc w:val="center"/>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en-US"/>
                <w14:textFill>
                  <w14:solidFill>
                    <w14:schemeClr w14:val="tx1"/>
                  </w14:solidFill>
                </w14:textFill>
              </w:rPr>
              <w:t>技术标评审</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cs="仿宋"/>
                <w:i w:val="0"/>
                <w:iCs w:val="0"/>
                <w:color w:val="000000" w:themeColor="text1"/>
                <w:sz w:val="24"/>
                <w:szCs w:val="24"/>
                <w:highlight w:val="none"/>
                <w:lang w:val="en-US" w:eastAsia="zh-CN"/>
                <w14:textFill>
                  <w14:solidFill>
                    <w14:schemeClr w14:val="tx1"/>
                  </w14:solidFill>
                </w14:textFill>
              </w:rPr>
              <w:t>60</w:t>
            </w:r>
            <w:r>
              <w:rPr>
                <w:rFonts w:hint="eastAsia" w:ascii="仿宋" w:hAnsi="仿宋" w:eastAsia="仿宋" w:cs="仿宋"/>
                <w:i w:val="0"/>
                <w:iCs w:val="0"/>
                <w:color w:val="000000" w:themeColor="text1"/>
                <w:spacing w:val="-30"/>
                <w:sz w:val="24"/>
                <w:szCs w:val="24"/>
                <w:highlight w:val="none"/>
                <w:lang w:eastAsia="en-US"/>
                <w14:textFill>
                  <w14:solidFill>
                    <w14:schemeClr w14:val="tx1"/>
                  </w14:solidFill>
                </w14:textFill>
              </w:rPr>
              <w:t>分</w:t>
            </w:r>
            <w:r>
              <w:rPr>
                <w:rFonts w:hint="eastAsia" w:ascii="仿宋" w:hAnsi="仿宋" w:eastAsia="仿宋" w:cs="仿宋"/>
                <w:i w:val="0"/>
                <w:iCs w:val="0"/>
                <w:color w:val="000000" w:themeColor="text1"/>
                <w:sz w:val="24"/>
                <w:szCs w:val="24"/>
                <w:highlight w:val="none"/>
                <w:lang w:eastAsia="en-US"/>
                <w14:textFill>
                  <w14:solidFill>
                    <w14:schemeClr w14:val="tx1"/>
                  </w14:solidFill>
                </w14:textFill>
              </w:rPr>
              <w:t>）</w:t>
            </w:r>
          </w:p>
        </w:tc>
        <w:tc>
          <w:tcPr>
            <w:tcW w:w="1196" w:type="dxa"/>
            <w:noWrap w:val="0"/>
            <w:vAlign w:val="center"/>
          </w:tcPr>
          <w:p>
            <w:pPr>
              <w:widowControl/>
              <w:jc w:val="center"/>
              <w:rPr>
                <w:rFonts w:hint="default" w:ascii="仿宋" w:hAnsi="仿宋" w:eastAsia="仿宋" w:cs="仿宋"/>
                <w:b w:val="0"/>
                <w:bCs w:val="0"/>
                <w:i w:val="0"/>
                <w:iCs w:val="0"/>
                <w:color w:val="000000" w:themeColor="text1"/>
                <w:kern w:val="2"/>
                <w:sz w:val="24"/>
                <w:szCs w:val="24"/>
                <w:highlight w:val="none"/>
                <w:lang w:val="en-US" w:eastAsia="zh-CN" w:bidi="ar-SA"/>
                <w14:textFill>
                  <w14:solidFill>
                    <w14:schemeClr w14:val="tx1"/>
                  </w14:solidFill>
                </w14:textFill>
              </w:rPr>
            </w:pPr>
            <w:r>
              <w:rPr>
                <w:rFonts w:hint="default" w:ascii="仿宋" w:hAnsi="仿宋" w:eastAsia="仿宋" w:cs="仿宋"/>
                <w:b w:val="0"/>
                <w:bCs w:val="0"/>
                <w:i w:val="0"/>
                <w:iCs w:val="0"/>
                <w:color w:val="000000" w:themeColor="text1"/>
                <w:kern w:val="2"/>
                <w:sz w:val="24"/>
                <w:szCs w:val="24"/>
                <w:highlight w:val="none"/>
                <w:lang w:val="en-US" w:eastAsia="zh-CN" w:bidi="ar-SA"/>
                <w14:textFill>
                  <w14:solidFill>
                    <w14:schemeClr w14:val="tx1"/>
                  </w14:solidFill>
                </w14:textFill>
              </w:rPr>
              <w:t>服务方案</w:t>
            </w:r>
          </w:p>
        </w:tc>
        <w:tc>
          <w:tcPr>
            <w:tcW w:w="6199" w:type="dxa"/>
            <w:noWrap w:val="0"/>
            <w:vAlign w:val="center"/>
          </w:tcPr>
          <w:p>
            <w:pPr>
              <w:widowControl/>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投标人的方案的理解进行综合评审，内容包括本项目整体服务方案、清扫清雪计划、绿化养护方案、质量控制措施、劳动力保障方案、组织协调保证措施、夜间施工技术措施、特殊事件应急预案（如特大降雪、紧急突发任务、招标人给予的其它零星工作任务等）共8项内容。由评审委员会横向综合比较。</w:t>
            </w:r>
          </w:p>
          <w:p>
            <w:pPr>
              <w:widowControl/>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要求：（1）前7项内容每一项内容进行了详细阐述，逻辑性强，合理可行且完全满足采购需求的，该项得5-10分，满分10分；特殊事件应急预案为重要条款，对本项内容进行了详细阐述且完全满足采购需求的得5-10分。本项评审共计20分。</w:t>
            </w:r>
          </w:p>
          <w:p>
            <w:pPr>
              <w:widowControl/>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前7项内容每有一项内容虽然进行了阐述但并未完全贴合项目需求理解情况，或理解的内容未包括细节或存在偏差，逻辑性欠缺，该项得3-5分；特殊事件应急预案为重要条款，本项内容虽然进行了阐述但并未完全贴合项目需求理解情况，或理解的内容未包括细节或存在偏差本项得3-5分。</w:t>
            </w:r>
          </w:p>
          <w:p>
            <w:pPr>
              <w:widowControl/>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（3）每有一项内容未进行阐述或阐述内容无法满足项目需求的，酌情得分。</w:t>
            </w:r>
          </w:p>
        </w:tc>
        <w:tc>
          <w:tcPr>
            <w:tcW w:w="626" w:type="dxa"/>
            <w:noWrap w:val="0"/>
            <w:vAlign w:val="center"/>
          </w:tcPr>
          <w:p>
            <w:pPr>
              <w:pStyle w:val="170"/>
              <w:spacing w:before="74" w:line="282" w:lineRule="exact"/>
              <w:jc w:val="cente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SA"/>
                <w14:textFill>
                  <w14:solidFill>
                    <w14:schemeClr w14:val="tx1"/>
                  </w14:solidFill>
                </w14:textFill>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170"/>
              <w:spacing w:before="2"/>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tc>
        <w:tc>
          <w:tcPr>
            <w:tcW w:w="1196" w:type="dxa"/>
            <w:noWrap w:val="0"/>
            <w:vAlign w:val="center"/>
          </w:tcPr>
          <w:p>
            <w:pPr>
              <w:widowControl/>
              <w:numPr>
                <w:ilvl w:val="0"/>
                <w:numId w:val="0"/>
              </w:numPr>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质量控制</w:t>
            </w:r>
          </w:p>
          <w:p>
            <w:pPr>
              <w:widowControl/>
              <w:numPr>
                <w:ilvl w:val="0"/>
                <w:numId w:val="0"/>
              </w:numPr>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p>
          <w:p>
            <w:pPr>
              <w:widowControl/>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6199" w:type="dxa"/>
            <w:noWrap w:val="0"/>
            <w:vAlign w:val="center"/>
          </w:tcPr>
          <w:p>
            <w:pPr>
              <w:widowControl/>
              <w:numPr>
                <w:ilvl w:val="0"/>
                <w:numId w:val="0"/>
              </w:numPr>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根据本项目实际情况，供应商提供质量控制方案，方案表述条理清晰,制定科学合理，内容全面完整且可操作性强，得10分；方案内容不够完整或方案制定有不科学或有不合理处，每有1处扣1分，未提供不得分。</w:t>
            </w:r>
          </w:p>
        </w:tc>
        <w:tc>
          <w:tcPr>
            <w:tcW w:w="626" w:type="dxa"/>
            <w:noWrap w:val="0"/>
            <w:vAlign w:val="center"/>
          </w:tcPr>
          <w:p>
            <w:pPr>
              <w:pStyle w:val="170"/>
              <w:spacing w:before="74" w:line="282"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i w:val="0"/>
                <w:iCs w:val="0"/>
                <w:color w:val="000000" w:themeColor="text1"/>
                <w:kern w:val="0"/>
                <w:sz w:val="24"/>
                <w:szCs w:val="24"/>
                <w:highlight w:val="none"/>
                <w:lang w:val="en-US" w:eastAsia="zh-CN" w:bidi="ar-SA"/>
                <w14:textFill>
                  <w14:solidFill>
                    <w14:schemeClr w14:val="tx1"/>
                  </w14:solidFill>
                </w14:textFill>
              </w:rPr>
              <w:t>10</w:t>
            </w:r>
            <w:r>
              <w:rPr>
                <w:rFonts w:hint="eastAsia" w:ascii="仿宋" w:hAnsi="仿宋" w:eastAsia="仿宋" w:cs="仿宋"/>
                <w:i w:val="0"/>
                <w:iCs w:val="0"/>
                <w:color w:val="000000" w:themeColor="text1"/>
                <w:kern w:val="0"/>
                <w:sz w:val="24"/>
                <w:szCs w:val="24"/>
                <w:highlight w:val="none"/>
                <w:lang w:val="en-US" w:eastAsia="zh-CN" w:bidi="ar-SA"/>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170"/>
              <w:spacing w:before="2"/>
              <w:jc w:val="center"/>
              <w:rPr>
                <w:rFonts w:hint="eastAsia" w:ascii="仿宋" w:hAnsi="仿宋" w:eastAsia="仿宋" w:cs="仿宋"/>
                <w:i w:val="0"/>
                <w:iCs w:val="0"/>
                <w:color w:val="000000" w:themeColor="text1"/>
                <w:sz w:val="24"/>
                <w:szCs w:val="24"/>
                <w:highlight w:val="none"/>
                <w:lang w:eastAsia="en-US"/>
                <w14:textFill>
                  <w14:solidFill>
                    <w14:schemeClr w14:val="tx1"/>
                  </w14:solidFill>
                </w14:textFill>
              </w:rPr>
            </w:pPr>
          </w:p>
        </w:tc>
        <w:tc>
          <w:tcPr>
            <w:tcW w:w="1196" w:type="dxa"/>
            <w:noWrap w:val="0"/>
            <w:vAlign w:val="center"/>
          </w:tcPr>
          <w:p>
            <w:pPr>
              <w:widowControl/>
              <w:numPr>
                <w:ilvl w:val="0"/>
                <w:numId w:val="0"/>
              </w:numPr>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经营管理</w:t>
            </w:r>
          </w:p>
        </w:tc>
        <w:tc>
          <w:tcPr>
            <w:tcW w:w="6199" w:type="dxa"/>
            <w:noWrap w:val="0"/>
            <w:vAlign w:val="center"/>
          </w:tcPr>
          <w:p>
            <w:pPr>
              <w:pStyle w:val="65"/>
              <w:rPr>
                <w:rFonts w:hint="default" w:ascii="宋体" w:hAnsi="宋体" w:eastAsia="宋体" w:cs="宋体"/>
                <w:sz w:val="24"/>
                <w:szCs w:val="24"/>
                <w:lang w:val="en-US" w:eastAsia="zh-CN" w:bidi="ar-SA"/>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经营管理制度详实性、完整性（包含项目管理架构、主要人员职责、巡查、日常管理制度等），合理完整逻辑性强得10分，经营管理制度每有一条逻辑性差或内容缺失的扣</w:t>
            </w:r>
            <w: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分，扣完为止。</w:t>
            </w:r>
          </w:p>
        </w:tc>
        <w:tc>
          <w:tcPr>
            <w:tcW w:w="626" w:type="dxa"/>
            <w:noWrap w:val="0"/>
            <w:vAlign w:val="center"/>
          </w:tcPr>
          <w:p>
            <w:pPr>
              <w:keepNext w:val="0"/>
              <w:keepLines w:val="0"/>
              <w:widowControl/>
              <w:suppressLineNumbers w:val="0"/>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75" w:hRule="atLeast"/>
        </w:trPr>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17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196" w:type="dxa"/>
            <w:noWrap w:val="0"/>
            <w:vAlign w:val="center"/>
          </w:tcPr>
          <w:p>
            <w:pPr>
              <w:widowControl/>
              <w:numPr>
                <w:ilvl w:val="0"/>
                <w:numId w:val="0"/>
              </w:numPr>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应急预案</w:t>
            </w:r>
          </w:p>
          <w:p>
            <w:pPr>
              <w:spacing w:line="300" w:lineRule="exact"/>
              <w:jc w:val="cente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p>
        </w:tc>
        <w:tc>
          <w:tcPr>
            <w:tcW w:w="6199" w:type="dxa"/>
            <w:noWrap w:val="0"/>
            <w:vAlign w:val="center"/>
          </w:tcPr>
          <w:p>
            <w:pPr>
              <w:spacing w:line="300" w:lineRule="exact"/>
              <w:rPr>
                <w:rFonts w:hint="eastAsia" w:ascii="仿宋" w:hAnsi="仿宋" w:eastAsia="仿宋" w:cs="仿宋"/>
                <w:i w:val="0"/>
                <w:iCs w:val="0"/>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人针对本项目的实际情况，对可能产生的各种突发事件制定应急预案，预案内容科学合理、描述详细且可操作性强，得10分；方案内容不够完整或方案制定有不科学或有不合理，每有1处扣1分，扣完为止；未提供不得分。</w:t>
            </w:r>
          </w:p>
        </w:tc>
        <w:tc>
          <w:tcPr>
            <w:tcW w:w="626" w:type="dxa"/>
            <w:noWrap w:val="0"/>
            <w:vAlign w:val="center"/>
          </w:tcPr>
          <w:p>
            <w:pPr>
              <w:keepNext w:val="0"/>
              <w:keepLines w:val="0"/>
              <w:widowControl/>
              <w:suppressLineNumbers w:val="0"/>
              <w:spacing w:line="300" w:lineRule="auto"/>
              <w:jc w:val="center"/>
              <w:rPr>
                <w:rFonts w:hint="default"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14" w:type="dxa"/>
            <w:vMerge w:val="continue"/>
            <w:noWrap w:val="0"/>
            <w:vAlign w:val="center"/>
          </w:tcPr>
          <w:p>
            <w:pPr>
              <w:pStyle w:val="17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196" w:type="dxa"/>
            <w:noWrap w:val="0"/>
            <w:vAlign w:val="center"/>
          </w:tcPr>
          <w:p>
            <w:pPr>
              <w:widowControl/>
              <w:ind w:left="0" w:leftChars="0" w:right="0" w:rightChars="0" w:firstLine="0" w:firstLineChars="0"/>
              <w:jc w:val="center"/>
              <w:rPr>
                <w:rFonts w:hint="default"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合理化建议</w:t>
            </w:r>
          </w:p>
        </w:tc>
        <w:tc>
          <w:tcPr>
            <w:tcW w:w="6199" w:type="dxa"/>
            <w:noWrap w:val="0"/>
            <w:vAlign w:val="center"/>
          </w:tcPr>
          <w:p>
            <w:pPr>
              <w:widowControl/>
              <w:numPr>
                <w:ilvl w:val="0"/>
                <w:numId w:val="0"/>
              </w:numPr>
              <w:jc w:val="left"/>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在满足招标文件要求的基础上，能根据业主需求，通过自身管理经验提出合理化建议或能合理展现投标人的专业管理特色和经验的，合理化建议可行性高的得7-10分，可行性一般的得3-6分，可行性低的得0-2分，未提供合理化建议的不得分。 </w:t>
            </w:r>
          </w:p>
        </w:tc>
        <w:tc>
          <w:tcPr>
            <w:tcW w:w="626" w:type="dxa"/>
            <w:noWrap w:val="0"/>
            <w:vAlign w:val="center"/>
          </w:tcPr>
          <w:p>
            <w:pPr>
              <w:keepNext w:val="0"/>
              <w:keepLines w:val="0"/>
              <w:widowControl/>
              <w:suppressLineNumbers w:val="0"/>
              <w:spacing w:line="300" w:lineRule="auto"/>
              <w:jc w:val="center"/>
              <w:rPr>
                <w:rFonts w:hint="default"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restart"/>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汇总</w:t>
            </w:r>
          </w:p>
        </w:tc>
        <w:tc>
          <w:tcPr>
            <w:tcW w:w="8209" w:type="dxa"/>
            <w:gridSpan w:val="3"/>
            <w:noWrap w:val="0"/>
            <w:vAlign w:val="center"/>
          </w:tcPr>
          <w:p>
            <w:pPr>
              <w:pStyle w:val="170"/>
              <w:jc w:val="both"/>
              <w:rPr>
                <w:rFonts w:hint="eastAsia" w:ascii="仿宋" w:hAnsi="仿宋" w:eastAsia="仿宋" w:cs="仿宋"/>
                <w:i w:val="0"/>
                <w:iCs w:val="0"/>
                <w:color w:val="000000" w:themeColor="text1"/>
                <w:sz w:val="24"/>
                <w:szCs w:val="24"/>
                <w:highlight w:val="none"/>
                <w:lang w:val="en-US"/>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14:textFill>
                  <w14:solidFill>
                    <w14:schemeClr w14:val="tx1"/>
                  </w14:solidFill>
                </w14:textFill>
              </w:rPr>
              <w:t>合计</w:t>
            </w:r>
          </w:p>
        </w:tc>
        <w:tc>
          <w:tcPr>
            <w:tcW w:w="626" w:type="dxa"/>
            <w:noWrap w:val="0"/>
            <w:vAlign w:val="center"/>
          </w:tcPr>
          <w:p>
            <w:pPr>
              <w:pStyle w:val="170"/>
              <w:jc w:val="cente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14:textFill>
                  <w14:solidFill>
                    <w14:schemeClr w14:val="tx1"/>
                  </w14:solidFill>
                </w14:textFill>
              </w:rPr>
              <w:t>100</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674" w:type="dxa"/>
            <w:vMerge w:val="continue"/>
            <w:noWrap w:val="0"/>
            <w:vAlign w:val="center"/>
          </w:tcPr>
          <w:p>
            <w:pPr>
              <w:autoSpaceDE w:val="0"/>
              <w:autoSpaceDN w:val="0"/>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8835" w:type="dxa"/>
            <w:gridSpan w:val="4"/>
            <w:noWrap w:val="0"/>
            <w:vAlign w:val="center"/>
          </w:tcPr>
          <w:p>
            <w:pPr>
              <w:pStyle w:val="170"/>
              <w:jc w:val="both"/>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注</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14:textFill>
                  <w14:solidFill>
                    <w14:schemeClr w14:val="tx1"/>
                  </w14:solidFill>
                </w14:textFill>
              </w:rPr>
              <w:t>评分分值计算保留小数点后两位</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14:textFill>
                  <w14:solidFill>
                    <w14:schemeClr w14:val="tx1"/>
                  </w14:solidFill>
                </w14:textFill>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1488" w:type="dxa"/>
            <w:gridSpan w:val="2"/>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废标</w:t>
            </w:r>
            <w:r>
              <w:rPr>
                <w:rFonts w:hint="eastAsia" w:ascii="仿宋" w:hAnsi="仿宋" w:eastAsia="仿宋" w:cs="仿宋"/>
                <w:i w:val="0"/>
                <w:iCs w:val="0"/>
                <w:color w:val="000000" w:themeColor="text1"/>
                <w:sz w:val="24"/>
                <w:szCs w:val="24"/>
                <w:highlight w:val="none"/>
                <w14:textFill>
                  <w14:solidFill>
                    <w14:schemeClr w14:val="tx1"/>
                  </w14:solidFill>
                </w14:textFill>
              </w:rPr>
              <w:t>条款</w:t>
            </w:r>
          </w:p>
        </w:tc>
        <w:tc>
          <w:tcPr>
            <w:tcW w:w="7395" w:type="dxa"/>
            <w:gridSpan w:val="2"/>
            <w:noWrap w:val="0"/>
            <w:vAlign w:val="center"/>
          </w:tcPr>
          <w:p>
            <w:pPr>
              <w:pStyle w:val="65"/>
              <w:numPr>
                <w:ilvl w:val="0"/>
                <w:numId w:val="3"/>
              </w:numPr>
              <w:jc w:val="both"/>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未按照</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i w:val="0"/>
                <w:iCs w:val="0"/>
                <w:color w:val="000000" w:themeColor="text1"/>
                <w:sz w:val="24"/>
                <w:szCs w:val="24"/>
                <w:highlight w:val="none"/>
                <w14:textFill>
                  <w14:solidFill>
                    <w14:schemeClr w14:val="tx1"/>
                  </w14:solidFill>
                </w14:textFill>
              </w:rPr>
              <w:t>文件的规定提交投标保证金的</w:t>
            </w:r>
          </w:p>
          <w:p>
            <w:pPr>
              <w:pStyle w:val="65"/>
              <w:numPr>
                <w:ilvl w:val="0"/>
                <w:numId w:val="3"/>
              </w:numPr>
              <w:jc w:val="both"/>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投标文件未按</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i w:val="0"/>
                <w:iCs w:val="0"/>
                <w:color w:val="000000" w:themeColor="text1"/>
                <w:sz w:val="24"/>
                <w:szCs w:val="24"/>
                <w:highlight w:val="none"/>
                <w14:textFill>
                  <w14:solidFill>
                    <w14:schemeClr w14:val="tx1"/>
                  </w14:solidFill>
                </w14:textFill>
              </w:rPr>
              <w:t>要求签署、盖章的</w:t>
            </w:r>
          </w:p>
          <w:p>
            <w:pPr>
              <w:pStyle w:val="65"/>
              <w:jc w:val="both"/>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 不具备</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i w:val="0"/>
                <w:iCs w:val="0"/>
                <w:color w:val="000000" w:themeColor="text1"/>
                <w:sz w:val="24"/>
                <w:szCs w:val="24"/>
                <w:highlight w:val="none"/>
                <w14:textFill>
                  <w14:solidFill>
                    <w14:schemeClr w14:val="tx1"/>
                  </w14:solidFill>
                </w14:textFill>
              </w:rPr>
              <w:t>中规定的资格要求</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 xml:space="preserve"> </w:t>
            </w:r>
          </w:p>
          <w:p>
            <w:pPr>
              <w:pStyle w:val="65"/>
              <w:jc w:val="both"/>
              <w:rPr>
                <w:rFonts w:hint="eastAsia" w:ascii="仿宋" w:hAnsi="仿宋" w:eastAsia="仿宋" w:cs="仿宋"/>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(4) 报价超过</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i w:val="0"/>
                <w:iCs w:val="0"/>
                <w:color w:val="000000" w:themeColor="text1"/>
                <w:sz w:val="24"/>
                <w:szCs w:val="24"/>
                <w:highlight w:val="none"/>
                <w14:textFill>
                  <w14:solidFill>
                    <w14:schemeClr w14:val="tx1"/>
                  </w14:solidFill>
                </w14:textFill>
              </w:rPr>
              <w:t>中规定的预算金额或者最高限价的</w:t>
            </w:r>
          </w:p>
          <w:p>
            <w:pPr>
              <w:pStyle w:val="65"/>
              <w:jc w:val="both"/>
              <w:rPr>
                <w:rFonts w:hint="eastAsia" w:ascii="仿宋" w:hAnsi="仿宋" w:eastAsia="仿宋" w:cs="仿宋"/>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(5) 投标文件含有采购人不能接受的附加条件的</w:t>
            </w:r>
          </w:p>
          <w:p>
            <w:pPr>
              <w:pStyle w:val="65"/>
              <w:jc w:val="both"/>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(6) 法律、法规和</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i w:val="0"/>
                <w:iCs w:val="0"/>
                <w:color w:val="000000" w:themeColor="text1"/>
                <w:sz w:val="24"/>
                <w:szCs w:val="24"/>
                <w:highlight w:val="none"/>
                <w14:textFill>
                  <w14:solidFill>
                    <w14:schemeClr w14:val="tx1"/>
                  </w14:solidFill>
                </w14:textFill>
              </w:rPr>
              <w:t>规定的其他无效情形</w:t>
            </w:r>
          </w:p>
        </w:tc>
        <w:tc>
          <w:tcPr>
            <w:tcW w:w="626" w:type="dxa"/>
            <w:noWrap w:val="0"/>
            <w:vAlign w:val="center"/>
          </w:tcPr>
          <w:p>
            <w:pPr>
              <w:pStyle w:val="65"/>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r>
    </w:tbl>
    <w:p>
      <w:pPr>
        <w:pStyle w:val="130"/>
        <w:keepNext w:val="0"/>
        <w:keepLines w:val="0"/>
        <w:topLinePunct/>
        <w:spacing w:before="0" w:after="0" w:line="360" w:lineRule="auto"/>
        <w:ind w:left="0" w:leftChars="0"/>
        <w:jc w:val="left"/>
        <w:outlineLvl w:val="9"/>
        <w:rPr>
          <w:rFonts w:hint="eastAsia" w:ascii="仿宋" w:hAnsi="仿宋" w:eastAsia="仿宋" w:cs="仿宋"/>
          <w:color w:val="000000" w:themeColor="text1"/>
          <w:highlight w:val="none"/>
          <w:lang w:val="en-US" w:eastAsia="zh-CN"/>
          <w14:textFill>
            <w14:solidFill>
              <w14:schemeClr w14:val="tx1"/>
            </w14:solidFill>
          </w14:textFill>
        </w:rPr>
      </w:pPr>
    </w:p>
    <w:p>
      <w:pPr>
        <w:pStyle w:val="111"/>
        <w:rPr>
          <w:rFonts w:hint="eastAsia"/>
          <w:color w:val="000000" w:themeColor="text1"/>
          <w:highlight w:val="none"/>
          <w:lang w:val="en-US" w:eastAsia="zh-CN"/>
          <w14:textFill>
            <w14:solidFill>
              <w14:schemeClr w14:val="tx1"/>
            </w14:solidFill>
          </w14:textFill>
        </w:rPr>
      </w:pPr>
    </w:p>
    <w:p>
      <w:pPr>
        <w:pStyle w:val="111"/>
        <w:rPr>
          <w:rFonts w:hint="eastAsia"/>
          <w:color w:val="000000" w:themeColor="text1"/>
          <w:highlight w:val="none"/>
          <w:lang w:val="en-US" w:eastAsia="zh-CN"/>
          <w14:textFill>
            <w14:solidFill>
              <w14:schemeClr w14:val="tx1"/>
            </w14:solidFill>
          </w14:textFill>
        </w:rPr>
      </w:pPr>
    </w:p>
    <w:p>
      <w:pPr>
        <w:pStyle w:val="130"/>
        <w:keepNext w:val="0"/>
        <w:keepLines w:val="0"/>
        <w:topLinePunct/>
        <w:spacing w:before="0" w:after="0" w:line="360" w:lineRule="auto"/>
        <w:ind w:left="0" w:leftChars="0"/>
        <w:jc w:val="left"/>
        <w:rPr>
          <w:rFonts w:hint="eastAsia" w:ascii="仿宋" w:hAnsi="仿宋" w:eastAsia="仿宋" w:cs="仿宋"/>
          <w:color w:val="000000" w:themeColor="text1"/>
          <w:highlight w:val="none"/>
          <w:lang w:val="en-US" w:eastAsia="zh-CN"/>
          <w14:textFill>
            <w14:solidFill>
              <w14:schemeClr w14:val="tx1"/>
            </w14:solidFill>
          </w14:textFill>
        </w:rPr>
      </w:pPr>
      <w:bookmarkStart w:id="229" w:name="_Toc24182"/>
      <w:bookmarkStart w:id="230" w:name="_Toc21960"/>
      <w:bookmarkStart w:id="231" w:name="_Toc13852"/>
      <w:r>
        <w:rPr>
          <w:rFonts w:hint="eastAsia" w:ascii="仿宋" w:hAnsi="仿宋" w:eastAsia="仿宋" w:cs="仿宋"/>
          <w:color w:val="000000" w:themeColor="text1"/>
          <w:highlight w:val="none"/>
          <w:lang w:val="en-US" w:eastAsia="zh-CN"/>
          <w14:textFill>
            <w14:solidFill>
              <w14:schemeClr w14:val="tx1"/>
            </w14:solidFill>
          </w14:textFill>
        </w:rPr>
        <w:t>三、推荐成交供应商</w:t>
      </w:r>
      <w:bookmarkEnd w:id="229"/>
      <w:bookmarkEnd w:id="230"/>
      <w:bookmarkEnd w:id="231"/>
    </w:p>
    <w:p>
      <w:pPr>
        <w:pStyle w:val="149"/>
        <w:topLinePunct/>
        <w:spacing w:line="360" w:lineRule="auto"/>
        <w:ind w:firstLine="560"/>
        <w:jc w:val="lef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1、投标人报价=（投标最低报价/投标报价）*最大分值</w:t>
      </w:r>
    </w:p>
    <w:p>
      <w:pPr>
        <w:pStyle w:val="149"/>
        <w:topLinePunct/>
        <w:spacing w:line="360" w:lineRule="auto"/>
        <w:ind w:firstLine="560"/>
        <w:jc w:val="lef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pStyle w:val="149"/>
        <w:topLinePunct/>
        <w:spacing w:line="360" w:lineRule="auto"/>
        <w:ind w:firstLine="560"/>
        <w:jc w:val="lef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pStyle w:val="149"/>
        <w:topLinePunct/>
        <w:spacing w:line="360" w:lineRule="auto"/>
        <w:ind w:firstLine="560"/>
        <w:jc w:val="lef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4、在任何评标环节中，需评标委员会就某项评审结论做出表决的，由评标委员会全体成员按照少数服从多数的原则，以记名投票方式表决。</w:t>
      </w:r>
    </w:p>
    <w:p>
      <w:pPr>
        <w:pStyle w:val="130"/>
        <w:keepNext w:val="0"/>
        <w:keepLines w:val="0"/>
        <w:topLinePunct/>
        <w:spacing w:before="0" w:after="0" w:line="360" w:lineRule="auto"/>
        <w:ind w:left="0" w:leftChars="0"/>
        <w:jc w:val="left"/>
        <w:rPr>
          <w:rFonts w:hint="eastAsia" w:ascii="仿宋" w:hAnsi="仿宋" w:eastAsia="仿宋" w:cs="仿宋"/>
          <w:color w:val="000000" w:themeColor="text1"/>
          <w:highlight w:val="none"/>
          <w:lang w:val="en-US" w:eastAsia="zh-CN"/>
          <w14:textFill>
            <w14:solidFill>
              <w14:schemeClr w14:val="tx1"/>
            </w14:solidFill>
          </w14:textFill>
        </w:rPr>
      </w:pPr>
      <w:bookmarkStart w:id="232" w:name="_Toc4540"/>
      <w:bookmarkStart w:id="233" w:name="_Toc7842"/>
      <w:bookmarkStart w:id="234" w:name="_Toc17440"/>
      <w:r>
        <w:rPr>
          <w:rFonts w:hint="eastAsia" w:ascii="仿宋" w:hAnsi="仿宋" w:eastAsia="仿宋" w:cs="仿宋"/>
          <w:color w:val="000000" w:themeColor="text1"/>
          <w:highlight w:val="none"/>
          <w:lang w:val="en-US" w:eastAsia="zh-CN"/>
          <w14:textFill>
            <w14:solidFill>
              <w14:schemeClr w14:val="tx1"/>
            </w14:solidFill>
          </w14:textFill>
        </w:rPr>
        <w:t>四、确定成交供应商</w:t>
      </w:r>
      <w:bookmarkEnd w:id="232"/>
      <w:bookmarkEnd w:id="233"/>
      <w:bookmarkEnd w:id="234"/>
    </w:p>
    <w:p>
      <w:pPr>
        <w:pStyle w:val="149"/>
        <w:topLinePunct/>
        <w:spacing w:line="360" w:lineRule="auto"/>
        <w:ind w:firstLine="560"/>
        <w:jc w:val="lef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1.采购代理机构应当在评审结束后2个工作日内将评审报告送采购人确认。</w:t>
      </w:r>
    </w:p>
    <w:p>
      <w:pPr>
        <w:pStyle w:val="149"/>
        <w:topLinePunct/>
        <w:spacing w:line="360" w:lineRule="auto"/>
        <w:ind w:firstLine="560"/>
        <w:jc w:val="lef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采购人应当在收到评审报告后5个工作日内，从评审报告提出的成交候选供应商中，按照排序由高到低的原则确定成交供应商，也可以书面授权评标小组直接确定成交供应商。采购人逾期未确定成交供应商且不提出异议的，视为确定评审报告提出的排序第一的供应商为成交供应商。</w:t>
      </w:r>
    </w:p>
    <w:p>
      <w:pPr>
        <w:topLinePunct/>
        <w:ind w:firstLine="560" w:firstLineChars="200"/>
        <w:jc w:val="center"/>
        <w:outlineLvl w:val="0"/>
        <w:rPr>
          <w:rFonts w:hint="eastAsia" w:ascii="仿宋" w:hAnsi="仿宋" w:eastAsia="仿宋" w:cs="仿宋"/>
          <w:b/>
          <w:bCs/>
          <w:color w:val="000000" w:themeColor="text1"/>
          <w:kern w:val="44"/>
          <w:sz w:val="44"/>
          <w:szCs w:val="20"/>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br w:type="page"/>
      </w:r>
      <w:bookmarkEnd w:id="216"/>
      <w:bookmarkEnd w:id="217"/>
      <w:bookmarkEnd w:id="218"/>
      <w:bookmarkEnd w:id="219"/>
    </w:p>
    <w:p>
      <w:pPr>
        <w:ind w:firstLine="420"/>
        <w:rPr>
          <w:rFonts w:hint="eastAsia" w:ascii="仿宋" w:hAnsi="仿宋" w:eastAsia="仿宋" w:cs="仿宋"/>
          <w:color w:val="000000" w:themeColor="text1"/>
          <w:highlight w:val="none"/>
          <w14:textFill>
            <w14:solidFill>
              <w14:schemeClr w14:val="tx1"/>
            </w14:solidFill>
          </w14:textFill>
        </w:rPr>
      </w:pPr>
      <w:bookmarkStart w:id="235" w:name="EB549d73658a6846bf944104fe82e48c66"/>
    </w:p>
    <w:bookmarkEnd w:id="235"/>
    <w:p>
      <w:pPr>
        <w:topLinePunct/>
        <w:ind w:firstLine="883" w:firstLineChars="200"/>
        <w:jc w:val="center"/>
        <w:outlineLvl w:val="0"/>
        <w:rPr>
          <w:rFonts w:hint="eastAsia" w:ascii="仿宋" w:hAnsi="仿宋" w:eastAsia="仿宋" w:cs="仿宋"/>
          <w:b/>
          <w:bCs/>
          <w:color w:val="000000" w:themeColor="text1"/>
          <w:kern w:val="44"/>
          <w:sz w:val="44"/>
          <w:szCs w:val="20"/>
          <w:highlight w:val="none"/>
          <w14:textFill>
            <w14:solidFill>
              <w14:schemeClr w14:val="tx1"/>
            </w14:solidFill>
          </w14:textFill>
        </w:rPr>
      </w:pPr>
      <w:bookmarkStart w:id="236" w:name="_Toc29923"/>
      <w:bookmarkStart w:id="237" w:name="_Toc8609"/>
      <w:bookmarkStart w:id="238" w:name="_Toc532543568"/>
      <w:bookmarkStart w:id="239" w:name="_Toc531075012"/>
      <w:bookmarkStart w:id="240" w:name="_Toc257633148"/>
      <w:bookmarkStart w:id="241" w:name="_Toc18901"/>
      <w:r>
        <w:rPr>
          <w:rFonts w:hint="eastAsia" w:ascii="仿宋" w:hAnsi="仿宋" w:eastAsia="仿宋" w:cs="仿宋"/>
          <w:b/>
          <w:bCs/>
          <w:color w:val="000000" w:themeColor="text1"/>
          <w:kern w:val="44"/>
          <w:sz w:val="44"/>
          <w:szCs w:val="20"/>
          <w:highlight w:val="none"/>
          <w14:textFill>
            <w14:solidFill>
              <w14:schemeClr w14:val="tx1"/>
            </w14:solidFill>
          </w14:textFill>
        </w:rPr>
        <w:t>第五章 合同格式及合同条款</w:t>
      </w:r>
      <w:bookmarkEnd w:id="236"/>
      <w:bookmarkEnd w:id="237"/>
    </w:p>
    <w:p>
      <w:pPr>
        <w:ind w:firstLine="420"/>
        <w:rPr>
          <w:rFonts w:hint="eastAsia" w:ascii="仿宋" w:hAnsi="仿宋" w:eastAsia="仿宋" w:cs="仿宋"/>
          <w:color w:val="000000" w:themeColor="text1"/>
          <w:highlight w:val="none"/>
          <w14:textFill>
            <w14:solidFill>
              <w14:schemeClr w14:val="tx1"/>
            </w14:solidFill>
          </w14:textFill>
        </w:rPr>
      </w:pPr>
    </w:p>
    <w:p>
      <w:pPr>
        <w:jc w:val="center"/>
        <w:rPr>
          <w:rFonts w:hint="eastAsia"/>
          <w:color w:val="000000" w:themeColor="text1"/>
          <w:highlight w:val="none"/>
          <w:lang w:eastAsia="zh-CN"/>
          <w14:textFill>
            <w14:solidFill>
              <w14:schemeClr w14:val="tx1"/>
            </w14:solidFill>
          </w14:textFill>
        </w:rPr>
      </w:pPr>
    </w:p>
    <w:p>
      <w:pPr>
        <w:jc w:val="center"/>
        <w:rPr>
          <w:rFonts w:hint="eastAsia"/>
          <w:color w:val="000000" w:themeColor="text1"/>
          <w:highlight w:val="none"/>
          <w:lang w:eastAsia="zh-CN"/>
          <w14:textFill>
            <w14:solidFill>
              <w14:schemeClr w14:val="tx1"/>
            </w14:solidFill>
          </w14:textFill>
        </w:rPr>
      </w:pPr>
    </w:p>
    <w:p>
      <w:pPr>
        <w:jc w:val="center"/>
        <w:rPr>
          <w:rFonts w:hint="eastAsia"/>
          <w:color w:val="000000" w:themeColor="text1"/>
          <w:highlight w:val="none"/>
          <w:lang w:eastAsia="zh-CN"/>
          <w14:textFill>
            <w14:solidFill>
              <w14:schemeClr w14:val="tx1"/>
            </w14:solidFill>
          </w14:textFill>
        </w:rPr>
      </w:pPr>
    </w:p>
    <w:p>
      <w:pPr>
        <w:jc w:val="center"/>
        <w:rPr>
          <w:rFonts w:hint="eastAsia"/>
          <w:color w:val="000000" w:themeColor="text1"/>
          <w:highlight w:val="none"/>
          <w:lang w:eastAsia="zh-CN"/>
          <w14:textFill>
            <w14:solidFill>
              <w14:schemeClr w14:val="tx1"/>
            </w14:solidFill>
          </w14:textFill>
        </w:rPr>
      </w:pPr>
    </w:p>
    <w:p>
      <w:pPr>
        <w:jc w:val="center"/>
        <w:rPr>
          <w:rFonts w:hint="eastAsia"/>
          <w:color w:val="000000" w:themeColor="text1"/>
          <w:highlight w:val="none"/>
          <w:lang w:eastAsia="zh-CN"/>
          <w14:textFill>
            <w14:solidFill>
              <w14:schemeClr w14:val="tx1"/>
            </w14:solidFill>
          </w14:textFill>
        </w:rPr>
      </w:pPr>
    </w:p>
    <w:p>
      <w:pPr>
        <w:pStyle w:val="143"/>
        <w:tabs>
          <w:tab w:val="left" w:pos="720"/>
        </w:tabs>
        <w:spacing w:line="360" w:lineRule="auto"/>
        <w:jc w:val="center"/>
        <w:rPr>
          <w:rFonts w:hint="eastAsia" w:ascii="宋体" w:hAnsi="宋体" w:eastAsia="宋体" w:cs="Times New Roman"/>
          <w:b/>
          <w:sz w:val="28"/>
          <w:szCs w:val="28"/>
          <w:lang w:eastAsia="zh-CN"/>
        </w:rPr>
      </w:pPr>
    </w:p>
    <w:p>
      <w:pPr>
        <w:pStyle w:val="143"/>
        <w:tabs>
          <w:tab w:val="left" w:pos="720"/>
        </w:tabs>
        <w:spacing w:line="360" w:lineRule="auto"/>
        <w:jc w:val="center"/>
        <w:rPr>
          <w:rFonts w:hint="eastAsia" w:ascii="宋体" w:hAnsi="宋体" w:eastAsia="宋体" w:cs="Times New Roman"/>
          <w:b/>
          <w:sz w:val="28"/>
          <w:szCs w:val="28"/>
          <w:lang w:eastAsia="zh-CN"/>
        </w:rPr>
      </w:pPr>
      <w:r>
        <w:rPr>
          <w:rFonts w:hint="eastAsia" w:ascii="宋体" w:hAnsi="宋体"/>
          <w:b/>
          <w:sz w:val="28"/>
          <w:szCs w:val="28"/>
          <w:u w:val="single"/>
        </w:rPr>
        <w:t xml:space="preserve">         </w:t>
      </w:r>
      <w:r>
        <w:rPr>
          <w:rFonts w:hint="eastAsia" w:ascii="宋体" w:hAnsi="宋体" w:eastAsia="宋体" w:cs="Times New Roman"/>
          <w:b/>
          <w:sz w:val="28"/>
          <w:szCs w:val="28"/>
          <w:lang w:eastAsia="zh-CN"/>
        </w:rPr>
        <w:t>政府采购</w:t>
      </w:r>
    </w:p>
    <w:p>
      <w:pPr>
        <w:pStyle w:val="143"/>
        <w:tabs>
          <w:tab w:val="left" w:pos="720"/>
        </w:tabs>
        <w:spacing w:line="360" w:lineRule="auto"/>
        <w:jc w:val="center"/>
        <w:rPr>
          <w:rFonts w:hint="eastAsia" w:ascii="宋体" w:hAnsi="宋体" w:eastAsia="宋体" w:cs="Times New Roman"/>
          <w:b/>
          <w:sz w:val="28"/>
          <w:szCs w:val="28"/>
          <w:lang w:eastAsia="zh-CN"/>
        </w:rPr>
      </w:pPr>
    </w:p>
    <w:p>
      <w:pPr>
        <w:pStyle w:val="143"/>
        <w:tabs>
          <w:tab w:val="left" w:pos="720"/>
        </w:tabs>
        <w:spacing w:line="360" w:lineRule="auto"/>
        <w:jc w:val="center"/>
        <w:rPr>
          <w:rFonts w:hint="eastAsia" w:ascii="宋体" w:hAnsi="宋体" w:eastAsia="宋体" w:cs="Times New Roman"/>
          <w:b/>
          <w:sz w:val="28"/>
          <w:szCs w:val="28"/>
          <w:lang w:eastAsia="zh-CN"/>
        </w:rPr>
      </w:pPr>
    </w:p>
    <w:p>
      <w:pPr>
        <w:pStyle w:val="143"/>
        <w:tabs>
          <w:tab w:val="left" w:pos="720"/>
        </w:tabs>
        <w:spacing w:line="360" w:lineRule="auto"/>
        <w:jc w:val="center"/>
        <w:rPr>
          <w:rFonts w:hint="eastAsia" w:ascii="宋体" w:hAnsi="宋体" w:eastAsia="宋体" w:cs="Times New Roman"/>
          <w:b/>
          <w:sz w:val="28"/>
          <w:szCs w:val="28"/>
          <w:lang w:eastAsia="zh-CN"/>
        </w:rPr>
      </w:pPr>
    </w:p>
    <w:p>
      <w:pPr>
        <w:pStyle w:val="143"/>
        <w:tabs>
          <w:tab w:val="left" w:pos="720"/>
        </w:tabs>
        <w:spacing w:line="360" w:lineRule="auto"/>
        <w:jc w:val="center"/>
        <w:rPr>
          <w:rFonts w:hint="eastAsia" w:ascii="宋体" w:hAnsi="宋体" w:eastAsia="宋体" w:cs="Times New Roman"/>
          <w:b/>
          <w:sz w:val="28"/>
          <w:szCs w:val="28"/>
          <w:lang w:eastAsia="zh-CN"/>
        </w:rPr>
      </w:pPr>
    </w:p>
    <w:p>
      <w:pPr>
        <w:pStyle w:val="143"/>
        <w:tabs>
          <w:tab w:val="left" w:pos="720"/>
        </w:tabs>
        <w:spacing w:line="360" w:lineRule="auto"/>
        <w:jc w:val="center"/>
        <w:rPr>
          <w:rFonts w:hint="eastAsia" w:ascii="宋体" w:hAnsi="宋体" w:eastAsia="宋体" w:cs="Times New Roman"/>
          <w:b/>
          <w:sz w:val="28"/>
          <w:szCs w:val="28"/>
          <w:lang w:eastAsia="zh-CN"/>
        </w:rPr>
      </w:pPr>
    </w:p>
    <w:p>
      <w:pPr>
        <w:pStyle w:val="143"/>
        <w:tabs>
          <w:tab w:val="left" w:pos="720"/>
        </w:tabs>
        <w:spacing w:line="360" w:lineRule="auto"/>
        <w:ind w:firstLine="1687" w:firstLineChars="600"/>
        <w:jc w:val="both"/>
        <w:rPr>
          <w:rFonts w:hint="eastAsia" w:ascii="宋体" w:hAnsi="宋体" w:eastAsia="宋体" w:cs="Times New Roman"/>
          <w:b/>
          <w:sz w:val="28"/>
          <w:szCs w:val="28"/>
          <w:lang w:eastAsia="zh-CN"/>
        </w:rPr>
      </w:pPr>
      <w:r>
        <w:rPr>
          <w:rFonts w:hint="eastAsia" w:ascii="宋体" w:hAnsi="宋体" w:eastAsia="宋体" w:cs="Times New Roman"/>
          <w:b/>
          <w:sz w:val="28"/>
          <w:szCs w:val="28"/>
          <w:lang w:eastAsia="zh-CN"/>
        </w:rPr>
        <w:t>采购编号：</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eastAsia="宋体" w:cs="Times New Roman"/>
          <w:b/>
          <w:sz w:val="28"/>
          <w:szCs w:val="28"/>
          <w:lang w:eastAsia="zh-CN"/>
        </w:rPr>
        <w:t xml:space="preserve">                      </w:t>
      </w:r>
    </w:p>
    <w:p>
      <w:pPr>
        <w:pStyle w:val="143"/>
        <w:tabs>
          <w:tab w:val="left" w:pos="720"/>
        </w:tabs>
        <w:spacing w:line="360" w:lineRule="auto"/>
        <w:jc w:val="center"/>
        <w:rPr>
          <w:rFonts w:hint="eastAsia" w:ascii="宋体" w:hAnsi="宋体" w:eastAsia="宋体" w:cs="Times New Roman"/>
          <w:b/>
          <w:sz w:val="28"/>
          <w:szCs w:val="28"/>
          <w:lang w:eastAsia="zh-CN"/>
        </w:rPr>
      </w:pPr>
    </w:p>
    <w:p>
      <w:pPr>
        <w:pStyle w:val="143"/>
        <w:tabs>
          <w:tab w:val="left" w:pos="720"/>
        </w:tabs>
        <w:spacing w:line="360" w:lineRule="auto"/>
        <w:ind w:firstLine="1687" w:firstLineChars="600"/>
        <w:jc w:val="both"/>
        <w:rPr>
          <w:rFonts w:hint="eastAsia" w:ascii="宋体" w:hAnsi="宋体" w:eastAsia="宋体" w:cs="Times New Roman"/>
          <w:b/>
          <w:sz w:val="28"/>
          <w:szCs w:val="28"/>
          <w:lang w:eastAsia="zh-CN"/>
        </w:rPr>
      </w:pPr>
      <w:r>
        <w:rPr>
          <w:rFonts w:hint="eastAsia" w:ascii="宋体" w:hAnsi="宋体" w:eastAsia="宋体" w:cs="Times New Roman"/>
          <w:b/>
          <w:sz w:val="28"/>
          <w:szCs w:val="28"/>
          <w:lang w:eastAsia="zh-CN"/>
        </w:rPr>
        <w:t>项目名称：</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eastAsia="宋体" w:cs="Times New Roman"/>
          <w:b/>
          <w:sz w:val="28"/>
          <w:szCs w:val="28"/>
          <w:lang w:eastAsia="zh-CN"/>
        </w:rPr>
        <w:t xml:space="preserve">                 </w:t>
      </w:r>
    </w:p>
    <w:p>
      <w:pPr>
        <w:pStyle w:val="143"/>
        <w:tabs>
          <w:tab w:val="left" w:pos="720"/>
        </w:tabs>
        <w:spacing w:line="360" w:lineRule="auto"/>
        <w:jc w:val="center"/>
        <w:rPr>
          <w:rFonts w:hint="eastAsia" w:ascii="宋体" w:hAnsi="宋体" w:eastAsia="宋体" w:cs="Times New Roman"/>
          <w:b/>
          <w:sz w:val="28"/>
          <w:szCs w:val="28"/>
          <w:lang w:eastAsia="zh-CN"/>
        </w:rPr>
      </w:pPr>
    </w:p>
    <w:p>
      <w:pPr>
        <w:pStyle w:val="143"/>
        <w:tabs>
          <w:tab w:val="left" w:pos="720"/>
        </w:tabs>
        <w:spacing w:line="360" w:lineRule="auto"/>
        <w:jc w:val="center"/>
        <w:rPr>
          <w:rFonts w:hint="eastAsia" w:ascii="宋体" w:hAnsi="宋体" w:eastAsia="宋体" w:cs="Times New Roman"/>
          <w:b/>
          <w:sz w:val="28"/>
          <w:szCs w:val="28"/>
          <w:lang w:eastAsia="zh-CN"/>
        </w:rPr>
      </w:pPr>
    </w:p>
    <w:p>
      <w:pPr>
        <w:pStyle w:val="143"/>
        <w:tabs>
          <w:tab w:val="left" w:pos="720"/>
        </w:tabs>
        <w:spacing w:line="360" w:lineRule="auto"/>
        <w:jc w:val="center"/>
        <w:rPr>
          <w:rFonts w:hint="eastAsia" w:ascii="宋体" w:hAnsi="宋体" w:eastAsia="宋体" w:cs="Times New Roman"/>
          <w:b/>
          <w:sz w:val="28"/>
          <w:szCs w:val="28"/>
          <w:lang w:eastAsia="zh-CN"/>
        </w:rPr>
      </w:pPr>
    </w:p>
    <w:p>
      <w:pPr>
        <w:pStyle w:val="143"/>
        <w:tabs>
          <w:tab w:val="left" w:pos="720"/>
        </w:tabs>
        <w:spacing w:line="360" w:lineRule="auto"/>
        <w:jc w:val="both"/>
        <w:rPr>
          <w:rFonts w:hint="eastAsia" w:ascii="宋体" w:hAnsi="宋体" w:eastAsia="宋体" w:cs="Times New Roman"/>
          <w:b/>
          <w:sz w:val="28"/>
          <w:szCs w:val="28"/>
          <w:lang w:eastAsia="zh-CN"/>
        </w:rPr>
      </w:pPr>
    </w:p>
    <w:p>
      <w:pPr>
        <w:pStyle w:val="143"/>
        <w:tabs>
          <w:tab w:val="left" w:pos="720"/>
        </w:tabs>
        <w:spacing w:line="360" w:lineRule="auto"/>
        <w:jc w:val="both"/>
        <w:rPr>
          <w:rFonts w:hint="eastAsia" w:ascii="宋体" w:hAnsi="宋体" w:eastAsia="宋体" w:cs="Times New Roman"/>
          <w:b/>
          <w:sz w:val="28"/>
          <w:szCs w:val="28"/>
          <w:lang w:eastAsia="zh-CN"/>
        </w:rPr>
      </w:pPr>
      <w:r>
        <w:rPr>
          <w:rFonts w:hint="eastAsia" w:ascii="宋体" w:hAnsi="宋体" w:eastAsia="宋体" w:cs="Times New Roman"/>
          <w:b/>
          <w:sz w:val="28"/>
          <w:szCs w:val="28"/>
          <w:lang w:eastAsia="zh-CN"/>
        </w:rPr>
        <w:t>注：本协议书仅为参考文本，签订双方可根据项目的具体要求进行修订。</w:t>
      </w:r>
    </w:p>
    <w:p>
      <w:pPr>
        <w:pStyle w:val="143"/>
        <w:tabs>
          <w:tab w:val="left" w:pos="720"/>
        </w:tabs>
        <w:spacing w:line="360" w:lineRule="auto"/>
        <w:jc w:val="center"/>
        <w:rPr>
          <w:rFonts w:hint="eastAsia" w:ascii="宋体" w:hAnsi="宋体" w:eastAsia="宋体" w:cs="Times New Roman"/>
          <w:b/>
          <w:sz w:val="28"/>
          <w:szCs w:val="28"/>
          <w:lang w:eastAsia="zh-CN"/>
        </w:rPr>
      </w:pPr>
      <w:r>
        <w:rPr>
          <w:rFonts w:hint="eastAsia" w:ascii="宋体" w:hAnsi="宋体" w:eastAsia="宋体" w:cs="Times New Roman"/>
          <w:b/>
          <w:sz w:val="28"/>
          <w:szCs w:val="28"/>
          <w:lang w:eastAsia="zh-CN"/>
        </w:rPr>
        <w:br w:type="page"/>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合同主要条款</w:t>
      </w:r>
    </w:p>
    <w:p>
      <w:pPr>
        <w:rPr>
          <w:rFonts w:hint="eastAsia"/>
          <w:color w:val="000000" w:themeColor="text1"/>
          <w:highlight w:val="none"/>
          <w:lang w:eastAsia="zh-CN"/>
          <w14:textFill>
            <w14:solidFill>
              <w14:schemeClr w14:val="tx1"/>
            </w14:solidFill>
          </w14:textFill>
        </w:rPr>
      </w:pP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具体合同条款以最终签订为准</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1.定义</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本合同中和附件中所用的下列术语应解释为：</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1.1“买方”系指买服务的单位。</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1.2“卖方”系指提供合同服务和服务的经济实体。</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1.3“合同”系指买方、卖方双方签署的、合同格式中载明的供需双方所达成的协议，包括所有附件、附表和组成合同的所有文件。</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1.4“合同价格”系指根据合同规定，在卖方全面正确的履行合同义务时买方应支付给卖方的货币额。</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1.5“服务”系指根据合同所含招标文件中技术规范要求的服务内容及其它类似的义务。</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 合同标的(详见技术规格及要求)</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 供货范围</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3.1 合同的采购范围详见第三章相关条款。</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 合同价格</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4.1 合同价格即合同总价（      ）万元（大写:       万元）。</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本合同采用的合同价格方式为固定合同总价，包括服务及与合同有关的所有费用。</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4.1.1 合同价格为（      ）万元。</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4.1.2 合同其他费为（      ）万元。</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4.2 合同价格在合同执行期内不得变动。</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4.2.1如因在合同履行过程中有变更，存在减少有关服务情况，经甲乙双方现场确认，报财务局审批后，按乙方中标时的固定单价对总价进行调减，并按有关规定签订补充合同。</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4.2.2如因在合同履行过程中，需追加与本合同标的相同的服务的，在不改变合同条款的 前提下，经甲乙双方现场确认，按乙方中标时的固定单价对总价进行调增，并按有关规定签订补充合同，但应注意追加增加的服务总价不得超过本合同金额的10%。如追加的服务总价超过本合同金额的10%，由甲方报财务局采购管理处按有关规定处理。</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5. 服务期限：                               。</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 xml:space="preserve">6. 结算方式： </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6.1 本合同使用的货币种类为人民币。</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6.2 费用的支付：合同签订后支付合同价款的    ，剩余    按照工作要求和时限完成审计工作，经确认无误后支付剩余     。</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7. 服务期限</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7.1 本合同服务内容为满足招标文件的要求。</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8. 违约罚款</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8.1如果卖方没有按照规定的时间完成服务，或没有达到投标文件中任一条款的承诺都是卖方违约。应向买方支付的     的违约金。如果达到最高限额，买方将考虑终止合同。</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 不可抗力</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9.1 如果双方任何一方由于战争、严重的火灾、水灾、台风和地震以及其他双方同意属于不可抗力的事故，致使合同的履行受到影响时，履行合同的期限应予以延长，延长的期限应相当于事故所影响的时间。</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9.2 受事故影响的一方应在不可抗力发生后尽快以传真通知另一方，并在事故发生后    天内，将有关部门出具的证明文件用特快专递寄给另一方，如果不可抗力影响时间延续     天以上时，双方应通过友好协商在合理的时间内达成进一步履行合同的协议。</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10. 税费</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10.1 本合同价格为含税价。卖方提供的服务等所有税费已全部包含在合同价格内，由卖方承担。</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 合同争议的解决</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11.1 在执行本合同中所发生的或与本合同有关一切争端，买卖双方通过友好协商解决，如协商不能解决，双方应将争端提交人民法院诉讼解决。</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11.2 法院判决对双方均有约束力。</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11.3 由上述过程发生的费用除法院判决另有规定外，应有败诉方负担。</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11.4 在法院审理期间，除正在进行法院审理的部分外，本合同其他部分应继续执行。</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12. 违约终止合同</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12.1 在买方对因卖方违约而采取的任何补救不受损害的情况下，买方可向卖方发出终止部分或全部合同的书面通知书。</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A.如果卖方未能按合同规定的期限或买方同意延长的限期内提供部分或者全部服务。</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B.如果卖方未能履行合同规定的其他任何义务。</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在上述任一情况下，卖方在收到买方发出的违约通知后    天内，或经买方书面认可延长的时间内未能矫正其过失。</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12.2 在买方根据12.1条规定，终止了全部或部分合同，买方可以依其认为适当的条件和方法购买类似未交的服务，卖方应对购买类似服务所超出的费用部分负责。但是，卖方应继续执行合同中未终止部分。</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13. 转让和分包</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13.1 除买方事先书面同意外，卖方不得部分转让或全部转让其应履行的合同义务。</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13.2 如投标文件中没有明确分包合同，卖方应书面通知买方本合同中卖方所转授出的全部分包合同，但原投标文件或后来发出的通知均不能解除卖方履行本合同的义务。</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13.3 卖方对部分或全部转让其应履行的义务而确定的分包合同负全部责任，买方不承担任何责任和义务。</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14. 适用法律</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本合同按中华人民共和国的法律进行解释。</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合同生效及其他：</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14.1 合同在买方、卖方双方签字后即开始生效。</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14.2 本合同一式四份，以中文书写。买、卖双方各执两份。</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14.3 招标文件、投标单位的投标文件、评标答疑记录及中标通知书都是本合同不可分割的一部分。</w:t>
      </w:r>
    </w:p>
    <w:p>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14.4如需修改或补充合同内容,经协商，买卖双方应签署书面修改或补充协议，该协议将作为本合同不可分割的一部分。</w:t>
      </w: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pStyle w:val="26"/>
        <w:rPr>
          <w:rFonts w:hint="eastAsia"/>
          <w:color w:val="000000" w:themeColor="text1"/>
          <w:highlight w:val="none"/>
          <w:lang w:eastAsia="zh-CN"/>
          <w14:textFill>
            <w14:solidFill>
              <w14:schemeClr w14:val="tx1"/>
            </w14:solidFill>
          </w14:textFill>
        </w:rPr>
      </w:pPr>
    </w:p>
    <w:p>
      <w:pPr>
        <w:rPr>
          <w:color w:val="000000" w:themeColor="text1"/>
          <w:highlight w:val="none"/>
          <w14:textFill>
            <w14:solidFill>
              <w14:schemeClr w14:val="tx1"/>
            </w14:solidFill>
          </w14:textFill>
        </w:rPr>
      </w:pPr>
    </w:p>
    <w:p>
      <w:pPr>
        <w:topLinePunct/>
        <w:ind w:firstLine="883" w:firstLineChars="200"/>
        <w:jc w:val="center"/>
        <w:outlineLvl w:val="0"/>
        <w:rPr>
          <w:rFonts w:hint="eastAsia" w:ascii="仿宋" w:hAnsi="仿宋" w:eastAsia="仿宋" w:cs="仿宋"/>
          <w:b/>
          <w:bCs/>
          <w:color w:val="000000" w:themeColor="text1"/>
          <w:kern w:val="44"/>
          <w:sz w:val="44"/>
          <w:szCs w:val="20"/>
          <w:highlight w:val="none"/>
          <w14:textFill>
            <w14:solidFill>
              <w14:schemeClr w14:val="tx1"/>
            </w14:solidFill>
          </w14:textFill>
        </w:rPr>
      </w:pPr>
      <w:bookmarkStart w:id="242" w:name="_Toc19291"/>
      <w:bookmarkStart w:id="243" w:name="_Toc4560"/>
      <w:r>
        <w:rPr>
          <w:rFonts w:hint="eastAsia" w:ascii="仿宋" w:hAnsi="仿宋" w:eastAsia="仿宋" w:cs="仿宋"/>
          <w:b/>
          <w:bCs/>
          <w:color w:val="000000" w:themeColor="text1"/>
          <w:kern w:val="44"/>
          <w:sz w:val="44"/>
          <w:szCs w:val="20"/>
          <w:highlight w:val="none"/>
          <w14:textFill>
            <w14:solidFill>
              <w14:schemeClr w14:val="tx1"/>
            </w14:solidFill>
          </w14:textFill>
        </w:rPr>
        <w:t xml:space="preserve">第六章 </w:t>
      </w:r>
      <w:r>
        <w:rPr>
          <w:rFonts w:hint="eastAsia" w:ascii="仿宋" w:hAnsi="仿宋" w:eastAsia="仿宋" w:cs="仿宋"/>
          <w:b/>
          <w:bCs/>
          <w:color w:val="000000" w:themeColor="text1"/>
          <w:kern w:val="44"/>
          <w:sz w:val="44"/>
          <w:szCs w:val="20"/>
          <w:highlight w:val="none"/>
          <w:lang w:val="en-US" w:eastAsia="zh-CN"/>
          <w14:textFill>
            <w14:solidFill>
              <w14:schemeClr w14:val="tx1"/>
            </w14:solidFill>
          </w14:textFill>
        </w:rPr>
        <w:t>投标</w:t>
      </w:r>
      <w:r>
        <w:rPr>
          <w:rFonts w:hint="eastAsia" w:ascii="仿宋" w:hAnsi="仿宋" w:eastAsia="仿宋" w:cs="仿宋"/>
          <w:b/>
          <w:bCs/>
          <w:color w:val="000000" w:themeColor="text1"/>
          <w:kern w:val="44"/>
          <w:sz w:val="44"/>
          <w:szCs w:val="20"/>
          <w:highlight w:val="none"/>
          <w14:textFill>
            <w14:solidFill>
              <w14:schemeClr w14:val="tx1"/>
            </w14:solidFill>
          </w14:textFill>
        </w:rPr>
        <w:t>文件格式</w:t>
      </w:r>
      <w:bookmarkEnd w:id="238"/>
      <w:bookmarkEnd w:id="239"/>
      <w:bookmarkEnd w:id="240"/>
      <w:bookmarkEnd w:id="241"/>
      <w:bookmarkEnd w:id="242"/>
      <w:bookmarkEnd w:id="243"/>
    </w:p>
    <w:p>
      <w:pPr>
        <w:topLinePunct/>
        <w:rPr>
          <w:rFonts w:hint="eastAsia" w:ascii="仿宋" w:hAnsi="仿宋" w:eastAsia="仿宋" w:cs="仿宋"/>
          <w:color w:val="000000" w:themeColor="text1"/>
          <w:highlight w:val="none"/>
          <w14:textFill>
            <w14:solidFill>
              <w14:schemeClr w14:val="tx1"/>
            </w14:solidFill>
          </w14:textFill>
        </w:rPr>
      </w:pPr>
      <w:bookmarkStart w:id="244" w:name="EBb5dd68fd2a304dbeb6aeee6f34002852"/>
    </w:p>
    <w:p>
      <w:pPr>
        <w:pStyle w:val="131"/>
        <w:widowControl w:val="0"/>
        <w:topLinePunct/>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lang w:val="en-US" w:eastAsia="zh-CN"/>
          <w14:textFill>
            <w14:solidFill>
              <w14:schemeClr w14:val="tx1"/>
            </w14:solidFill>
          </w14:textFill>
        </w:rPr>
        <w:t>投标</w:t>
      </w:r>
      <w:r>
        <w:rPr>
          <w:rFonts w:hint="eastAsia" w:ascii="仿宋" w:hAnsi="仿宋" w:eastAsia="仿宋" w:cs="仿宋"/>
          <w:b/>
          <w:color w:val="000000" w:themeColor="text1"/>
          <w:sz w:val="28"/>
          <w:highlight w:val="none"/>
          <w14:textFill>
            <w14:solidFill>
              <w14:schemeClr w14:val="tx1"/>
            </w14:solidFill>
          </w14:textFill>
        </w:rPr>
        <w:t>文件封面</w:t>
      </w:r>
    </w:p>
    <w:p>
      <w:pPr>
        <w:pStyle w:val="163"/>
        <w:topLinePunct/>
        <w:spacing w:line="360" w:lineRule="auto"/>
        <w:ind w:firstLine="560" w:firstLineChars="200"/>
        <w:jc w:val="center"/>
        <w:rPr>
          <w:rFonts w:hint="eastAsia" w:ascii="仿宋" w:hAnsi="仿宋" w:eastAsia="仿宋" w:cs="仿宋"/>
          <w:color w:val="000000" w:themeColor="text1"/>
          <w:sz w:val="28"/>
          <w:highlight w:val="none"/>
          <w14:textFill>
            <w14:solidFill>
              <w14:schemeClr w14:val="tx1"/>
            </w14:solidFill>
          </w14:textFill>
        </w:rPr>
      </w:pPr>
    </w:p>
    <w:p>
      <w:pPr>
        <w:pStyle w:val="163"/>
        <w:topLinePunct/>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（项目名称）</w:t>
      </w:r>
    </w:p>
    <w:p>
      <w:pPr>
        <w:pStyle w:val="163"/>
        <w:topLinePunct/>
        <w:spacing w:line="360" w:lineRule="auto"/>
        <w:ind w:firstLine="560" w:firstLineChars="200"/>
        <w:jc w:val="center"/>
        <w:rPr>
          <w:rFonts w:hint="eastAsia" w:ascii="仿宋" w:hAnsi="仿宋" w:eastAsia="仿宋" w:cs="仿宋"/>
          <w:color w:val="000000" w:themeColor="text1"/>
          <w:sz w:val="28"/>
          <w:szCs w:val="28"/>
          <w:highlight w:val="none"/>
          <w14:textFill>
            <w14:solidFill>
              <w14:schemeClr w14:val="tx1"/>
            </w14:solidFill>
          </w14:textFill>
        </w:rPr>
      </w:pPr>
    </w:p>
    <w:p>
      <w:pPr>
        <w:pStyle w:val="163"/>
        <w:topLinePunct/>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（项目编号）</w:t>
      </w:r>
    </w:p>
    <w:p>
      <w:pPr>
        <w:pStyle w:val="163"/>
        <w:topLinePunct/>
        <w:spacing w:line="360" w:lineRule="auto"/>
        <w:ind w:firstLine="560" w:firstLineChars="200"/>
        <w:jc w:val="center"/>
        <w:rPr>
          <w:rFonts w:hint="eastAsia" w:ascii="仿宋" w:hAnsi="仿宋" w:eastAsia="仿宋" w:cs="仿宋"/>
          <w:color w:val="000000" w:themeColor="text1"/>
          <w:sz w:val="28"/>
          <w:szCs w:val="28"/>
          <w:highlight w:val="none"/>
          <w14:textFill>
            <w14:solidFill>
              <w14:schemeClr w14:val="tx1"/>
            </w14:solidFill>
          </w14:textFill>
        </w:rPr>
      </w:pPr>
    </w:p>
    <w:p>
      <w:pPr>
        <w:pStyle w:val="163"/>
        <w:topLinePunct/>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pStyle w:val="163"/>
        <w:topLinePunct/>
        <w:spacing w:line="360" w:lineRule="auto"/>
        <w:ind w:firstLine="560" w:firstLineChars="200"/>
        <w:jc w:val="center"/>
        <w:rPr>
          <w:rFonts w:hint="eastAsia" w:ascii="仿宋" w:hAnsi="仿宋" w:eastAsia="仿宋" w:cs="仿宋"/>
          <w:color w:val="000000" w:themeColor="text1"/>
          <w:sz w:val="28"/>
          <w:highlight w:val="none"/>
          <w14:textFill>
            <w14:solidFill>
              <w14:schemeClr w14:val="tx1"/>
            </w14:solidFill>
          </w14:textFill>
        </w:rPr>
      </w:pPr>
    </w:p>
    <w:p>
      <w:pPr>
        <w:pStyle w:val="163"/>
        <w:topLinePunct/>
        <w:spacing w:line="360" w:lineRule="auto"/>
        <w:ind w:firstLine="560" w:firstLineChars="200"/>
        <w:jc w:val="center"/>
        <w:rPr>
          <w:rFonts w:hint="eastAsia" w:ascii="仿宋" w:hAnsi="仿宋" w:eastAsia="仿宋" w:cs="仿宋"/>
          <w:color w:val="000000" w:themeColor="text1"/>
          <w:sz w:val="28"/>
          <w:highlight w:val="none"/>
          <w14:textFill>
            <w14:solidFill>
              <w14:schemeClr w14:val="tx1"/>
            </w14:solidFill>
          </w14:textFill>
        </w:rPr>
      </w:pPr>
    </w:p>
    <w:p>
      <w:pPr>
        <w:pStyle w:val="163"/>
        <w:topLinePunct/>
        <w:spacing w:line="360" w:lineRule="auto"/>
        <w:ind w:firstLine="2891" w:firstLineChars="400"/>
        <w:jc w:val="both"/>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lang w:val="en-US" w:eastAsia="zh-CN"/>
          <w14:textFill>
            <w14:solidFill>
              <w14:schemeClr w14:val="tx1"/>
            </w14:solidFill>
          </w14:textFill>
        </w:rPr>
        <w:t>投标</w:t>
      </w:r>
      <w:r>
        <w:rPr>
          <w:rFonts w:hint="eastAsia" w:ascii="仿宋" w:hAnsi="仿宋" w:eastAsia="仿宋" w:cs="仿宋"/>
          <w:b/>
          <w:color w:val="000000" w:themeColor="text1"/>
          <w:sz w:val="72"/>
          <w:szCs w:val="72"/>
          <w:highlight w:val="none"/>
          <w14:textFill>
            <w14:solidFill>
              <w14:schemeClr w14:val="tx1"/>
            </w14:solidFill>
          </w14:textFill>
        </w:rPr>
        <w:t>文件</w:t>
      </w:r>
    </w:p>
    <w:p>
      <w:pPr>
        <w:pStyle w:val="163"/>
        <w:topLinePunct/>
        <w:spacing w:line="360" w:lineRule="auto"/>
        <w:ind w:firstLine="560" w:firstLineChars="200"/>
        <w:jc w:val="center"/>
        <w:rPr>
          <w:rFonts w:hint="eastAsia" w:ascii="仿宋" w:hAnsi="仿宋" w:eastAsia="仿宋" w:cs="仿宋"/>
          <w:color w:val="000000" w:themeColor="text1"/>
          <w:sz w:val="28"/>
          <w:highlight w:val="none"/>
          <w14:textFill>
            <w14:solidFill>
              <w14:schemeClr w14:val="tx1"/>
            </w14:solidFill>
          </w14:textFill>
        </w:rPr>
      </w:pPr>
    </w:p>
    <w:p>
      <w:pPr>
        <w:pStyle w:val="163"/>
        <w:topLinePunct/>
        <w:spacing w:line="360" w:lineRule="auto"/>
        <w:ind w:firstLine="562" w:firstLineChars="200"/>
        <w:rPr>
          <w:rFonts w:hint="eastAsia" w:ascii="仿宋" w:hAnsi="仿宋" w:eastAsia="仿宋" w:cs="仿宋"/>
          <w:b/>
          <w:color w:val="000000" w:themeColor="text1"/>
          <w:sz w:val="28"/>
          <w:highlight w:val="none"/>
          <w14:textFill>
            <w14:solidFill>
              <w14:schemeClr w14:val="tx1"/>
            </w14:solidFill>
          </w14:textFill>
        </w:rPr>
      </w:pPr>
    </w:p>
    <w:p>
      <w:pPr>
        <w:pStyle w:val="128"/>
        <w:numPr>
          <w:ilvl w:val="0"/>
          <w:numId w:val="4"/>
        </w:numPr>
        <w:topLinePunct/>
        <w:adjustRightInd w:val="0"/>
        <w:snapToGrid w:val="0"/>
        <w:spacing w:line="360" w:lineRule="auto"/>
        <w:outlineLvl w:val="2"/>
        <w:rPr>
          <w:rFonts w:hint="eastAsia" w:ascii="仿宋" w:hAnsi="仿宋" w:eastAsia="仿宋" w:cs="仿宋"/>
          <w:b/>
          <w:color w:val="000000" w:themeColor="text1"/>
          <w:kern w:val="0"/>
          <w:sz w:val="30"/>
          <w:szCs w:val="3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End w:id="244"/>
      <w:bookmarkStart w:id="245" w:name="_Toc19100"/>
      <w:bookmarkEnd w:id="245"/>
    </w:p>
    <w:p>
      <w:pPr>
        <w:pStyle w:val="2"/>
        <w:numPr>
          <w:ilvl w:val="0"/>
          <w:numId w:val="0"/>
        </w:numPr>
        <w:spacing w:before="0" w:line="360" w:lineRule="auto"/>
        <w:ind w:leftChars="-257" w:firstLine="964" w:firstLineChars="300"/>
        <w:jc w:val="center"/>
        <w:outlineLvl w:val="0"/>
        <w:rPr>
          <w:rFonts w:hint="eastAsia" w:ascii="仿宋" w:hAnsi="仿宋" w:eastAsia="仿宋" w:cs="仿宋"/>
          <w:color w:val="000000" w:themeColor="text1"/>
          <w:sz w:val="24"/>
          <w:szCs w:val="24"/>
          <w:highlight w:val="none"/>
          <w14:textFill>
            <w14:solidFill>
              <w14:schemeClr w14:val="tx1"/>
            </w14:solidFill>
          </w14:textFill>
        </w:rPr>
      </w:pPr>
      <w:bookmarkStart w:id="246" w:name="_Toc7037"/>
      <w:bookmarkStart w:id="247" w:name="_Toc2042"/>
      <w:bookmarkStart w:id="248" w:name="_Toc26661"/>
      <w:bookmarkStart w:id="249" w:name="_Toc23004"/>
      <w: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b/>
          <w:bCs w:val="0"/>
          <w:color w:val="000000" w:themeColor="text1"/>
          <w:sz w:val="32"/>
          <w:szCs w:val="32"/>
          <w:highlight w:val="none"/>
          <w14:textFill>
            <w14:solidFill>
              <w14:schemeClr w14:val="tx1"/>
            </w14:solidFill>
          </w14:textFill>
        </w:rPr>
        <w:t xml:space="preserve"> 资格证明文件</w:t>
      </w:r>
      <w:bookmarkEnd w:id="246"/>
      <w:bookmarkEnd w:id="247"/>
      <w:bookmarkEnd w:id="248"/>
      <w:bookmarkEnd w:id="249"/>
    </w:p>
    <w:p>
      <w:pPr>
        <w:spacing w:line="360" w:lineRule="auto"/>
        <w:ind w:left="708" w:hanging="708" w:hangingChars="295"/>
        <w:jc w:val="center"/>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5580"/>
        </w:tabs>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p>
      <w:pPr>
        <w:tabs>
          <w:tab w:val="left" w:pos="5580"/>
        </w:tabs>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.法定代表人身份证明及法定代表人授权书</w:t>
      </w:r>
    </w:p>
    <w:p>
      <w:pPr>
        <w:tabs>
          <w:tab w:val="left" w:pos="5580"/>
        </w:tabs>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.具有良好的商业信誉和健全的财务会计制度的证明文件</w:t>
      </w:r>
    </w:p>
    <w:p>
      <w:pPr>
        <w:tabs>
          <w:tab w:val="left" w:pos="5580"/>
        </w:tabs>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.具有履行合同所必需的设备和专业技术能力</w:t>
      </w:r>
    </w:p>
    <w:p>
      <w:pPr>
        <w:tabs>
          <w:tab w:val="left" w:pos="5580"/>
        </w:tabs>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.有依法缴纳税收和社会保障资金的良好记录</w:t>
      </w:r>
    </w:p>
    <w:p>
      <w:pPr>
        <w:tabs>
          <w:tab w:val="left" w:pos="5580"/>
        </w:tabs>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.参加政府采购活动前3年内在经营活动中没有重大违法记录的书面声明</w:t>
      </w:r>
    </w:p>
    <w:p>
      <w:pPr>
        <w:tabs>
          <w:tab w:val="left" w:pos="5580"/>
        </w:tabs>
        <w:spacing w:line="360" w:lineRule="auto"/>
        <w:ind w:firstLine="424" w:firstLineChars="17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.投标人须知资料表要求的其他资格证明文件</w:t>
      </w:r>
    </w:p>
    <w:p>
      <w:pPr>
        <w:pStyle w:val="11"/>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color w:val="000000" w:themeColor="text1"/>
          <w:sz w:val="24"/>
          <w:szCs w:val="24"/>
          <w:highlight w:val="none"/>
          <w14:textFill>
            <w14:solidFill>
              <w14:schemeClr w14:val="tx1"/>
            </w14:solidFill>
          </w14:textFill>
        </w:rPr>
      </w:pPr>
    </w:p>
    <w:p>
      <w:pPr>
        <w:tabs>
          <w:tab w:val="left" w:pos="5580"/>
        </w:tabs>
        <w:spacing w:line="360" w:lineRule="auto"/>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1.具有独立承担民事责任的能力</w:t>
      </w:r>
    </w:p>
    <w:p>
      <w:pPr>
        <w:pStyle w:val="14"/>
        <w:widowControl/>
        <w:spacing w:line="288"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.投标人法人营业执照（副本）或事业单位法人证书（副本）或个体工商户营业执照或有效的自然人身份证明、组织机构代码证</w:t>
      </w:r>
      <w:r>
        <w:rPr>
          <w:rFonts w:hint="eastAsia" w:ascii="仿宋" w:hAnsi="仿宋" w:eastAsia="仿宋" w:cs="仿宋"/>
          <w:b/>
          <w:bCs/>
          <w:color w:val="000000" w:themeColor="text1"/>
          <w:sz w:val="24"/>
          <w:szCs w:val="24"/>
          <w:highlight w:val="none"/>
          <w14:textFill>
            <w14:solidFill>
              <w14:schemeClr w14:val="tx1"/>
            </w14:solidFill>
          </w14:textFill>
        </w:rPr>
        <w:t>扫描件</w:t>
      </w:r>
      <w:r>
        <w:rPr>
          <w:rFonts w:hint="eastAsia" w:ascii="仿宋" w:hAnsi="仿宋" w:eastAsia="仿宋" w:cs="仿宋"/>
          <w:color w:val="000000" w:themeColor="text1"/>
          <w:sz w:val="24"/>
          <w:szCs w:val="24"/>
          <w:highlight w:val="none"/>
          <w14:textFill>
            <w14:solidFill>
              <w14:schemeClr w14:val="tx1"/>
            </w14:solidFill>
          </w14:textFill>
        </w:rPr>
        <w:t>（投标人按“三证合一”登记制度办理营业执照的,组织机构代码证和税务登记证（副本）以投标人所提供的营业执照（副本）</w:t>
      </w:r>
      <w:r>
        <w:rPr>
          <w:rFonts w:hint="eastAsia" w:ascii="仿宋" w:hAnsi="仿宋" w:eastAsia="仿宋" w:cs="仿宋"/>
          <w:b/>
          <w:bCs/>
          <w:color w:val="000000" w:themeColor="text1"/>
          <w:sz w:val="24"/>
          <w:szCs w:val="24"/>
          <w:highlight w:val="none"/>
          <w14:textFill>
            <w14:solidFill>
              <w14:schemeClr w14:val="tx1"/>
            </w14:solidFill>
          </w14:textFill>
        </w:rPr>
        <w:t>扫描件</w:t>
      </w:r>
      <w:r>
        <w:rPr>
          <w:rFonts w:hint="eastAsia" w:ascii="仿宋" w:hAnsi="仿宋" w:eastAsia="仿宋" w:cs="仿宋"/>
          <w:color w:val="000000" w:themeColor="text1"/>
          <w:sz w:val="24"/>
          <w:szCs w:val="24"/>
          <w:highlight w:val="none"/>
          <w14:textFill>
            <w14:solidFill>
              <w14:schemeClr w14:val="tx1"/>
            </w14:solidFill>
          </w14:textFill>
        </w:rPr>
        <w:t>为准。）；</w:t>
      </w: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(2)法定代表人身份证明及法定代表人授权书</w:t>
      </w:r>
    </w:p>
    <w:p>
      <w:pPr>
        <w:pStyle w:val="144"/>
        <w:adjustRightInd w:val="0"/>
        <w:snapToGrid w:val="0"/>
        <w:spacing w:line="500" w:lineRule="exact"/>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法定代表人资格证明文件</w:t>
      </w:r>
    </w:p>
    <w:p>
      <w:pPr>
        <w:pStyle w:val="144"/>
        <w:adjustRightInd w:val="0"/>
        <w:snapToGrid w:val="0"/>
        <w:spacing w:line="500" w:lineRule="exact"/>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（代理机构名称）</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144"/>
        <w:adjustRightInd w:val="0"/>
        <w:snapToGrid w:val="0"/>
        <w:spacing w:line="5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兹有</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同志为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公司法定代表人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代表我公司办理一切社会公务事宜</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具有法律效力。 </w:t>
      </w:r>
    </w:p>
    <w:p>
      <w:pPr>
        <w:pStyle w:val="144"/>
        <w:adjustRightInd w:val="0"/>
        <w:snapToGrid w:val="0"/>
        <w:spacing w:line="5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附法定代表人基本情况</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144"/>
        <w:adjustRightInd w:val="0"/>
        <w:snapToGrid w:val="0"/>
        <w:spacing w:line="500" w:lineRule="exact"/>
        <w:ind w:firstLine="480" w:firstLineChars="200"/>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性别</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年龄</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职务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adjustRightInd w:val="0"/>
        <w:snapToGrid w:val="0"/>
        <w:spacing w:line="5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身份证号码</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adjustRightInd w:val="0"/>
        <w:snapToGrid w:val="0"/>
        <w:spacing w:line="5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通讯地址</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adjustRightInd w:val="0"/>
        <w:snapToGrid w:val="0"/>
        <w:spacing w:line="5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电话号码</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邮政编码</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adjustRightInd w:val="0"/>
        <w:snapToGrid w:val="0"/>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bl>
      <w:tblPr>
        <w:tblStyle w:val="38"/>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144"/>
              <w:adjustRightInd w:val="0"/>
              <w:snapToGrid w:val="0"/>
              <w:spacing w:line="500" w:lineRule="exact"/>
              <w:jc w:val="center"/>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adjustRightInd w:val="0"/>
              <w:snapToGrid w:val="0"/>
              <w:spacing w:line="500" w:lineRule="exact"/>
              <w:jc w:val="center"/>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adjustRightInd w:val="0"/>
              <w:snapToGrid w:val="0"/>
              <w:spacing w:line="500" w:lineRule="exact"/>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法定代表人《居民身份证》</w:t>
            </w:r>
            <w:r>
              <w:rPr>
                <w:rFonts w:hint="eastAsia" w:ascii="仿宋" w:hAnsi="仿宋" w:eastAsia="仿宋" w:cs="仿宋"/>
                <w:color w:val="000000" w:themeColor="text1"/>
                <w:sz w:val="24"/>
                <w:szCs w:val="24"/>
                <w:highlight w:val="none"/>
                <w:lang w:val="en-US" w:eastAsia="zh-CN"/>
                <w14:textFill>
                  <w14:solidFill>
                    <w14:schemeClr w14:val="tx1"/>
                  </w14:solidFill>
                </w14:textFill>
              </w:rPr>
              <w:t>正反面</w:t>
            </w:r>
            <w:r>
              <w:rPr>
                <w:rFonts w:hint="eastAsia" w:ascii="仿宋" w:hAnsi="仿宋" w:eastAsia="仿宋" w:cs="仿宋"/>
                <w:color w:val="000000" w:themeColor="text1"/>
                <w:sz w:val="24"/>
                <w:szCs w:val="24"/>
                <w:highlight w:val="none"/>
                <w14:textFill>
                  <w14:solidFill>
                    <w14:schemeClr w14:val="tx1"/>
                  </w14:solidFill>
                </w14:textFill>
              </w:rPr>
              <w:t>扫描件</w:t>
            </w:r>
          </w:p>
        </w:tc>
      </w:tr>
    </w:tbl>
    <w:p>
      <w:pPr>
        <w:pStyle w:val="144"/>
        <w:adjustRightInd w:val="0"/>
        <w:snapToGrid w:val="0"/>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tabs>
          <w:tab w:val="left" w:pos="750"/>
        </w:tabs>
        <w:adjustRightInd w:val="0"/>
        <w:snapToGrid w:val="0"/>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投标人名称（签章）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tabs>
          <w:tab w:val="left" w:pos="750"/>
        </w:tabs>
        <w:adjustRightInd w:val="0"/>
        <w:snapToGrid w:val="0"/>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tabs>
          <w:tab w:val="left" w:pos="750"/>
        </w:tabs>
        <w:adjustRightInd w:val="0"/>
        <w:snapToGrid w:val="0"/>
        <w:spacing w:line="500" w:lineRule="exact"/>
        <w:ind w:firstLine="720" w:firstLineChars="3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lang w:val="en-US" w:eastAsia="zh-CN"/>
          <w14:textFill>
            <w14:solidFill>
              <w14:schemeClr w14:val="tx1"/>
            </w14:solidFill>
          </w14:textFill>
        </w:rPr>
        <w:t>签字或</w:t>
      </w:r>
      <w:r>
        <w:rPr>
          <w:rFonts w:hint="eastAsia" w:ascii="仿宋" w:hAnsi="仿宋" w:eastAsia="仿宋" w:cs="仿宋"/>
          <w:color w:val="000000" w:themeColor="text1"/>
          <w:sz w:val="24"/>
          <w:szCs w:val="24"/>
          <w:highlight w:val="none"/>
          <w14:textFill>
            <w14:solidFill>
              <w14:schemeClr w14:val="tx1"/>
            </w14:solidFill>
          </w14:textFill>
        </w:rPr>
        <w:t xml:space="preserve">签章）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tabs>
          <w:tab w:val="left" w:pos="750"/>
        </w:tabs>
        <w:adjustRightInd w:val="0"/>
        <w:snapToGrid w:val="0"/>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tabs>
          <w:tab w:val="left" w:pos="750"/>
        </w:tabs>
        <w:adjustRightInd w:val="0"/>
        <w:snapToGrid w:val="0"/>
        <w:spacing w:line="500" w:lineRule="exact"/>
        <w:ind w:firstLine="720" w:firstLineChars="3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pPr>
        <w:pStyle w:val="192"/>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192"/>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92"/>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44"/>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jc w:val="center"/>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法定代表人授权书</w:t>
      </w:r>
    </w:p>
    <w:p>
      <w:pPr>
        <w:pStyle w:val="144"/>
        <w:spacing w:line="500" w:lineRule="exact"/>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（代理机构名称）</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144"/>
        <w:spacing w:line="500" w:lineRule="exact"/>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兹授权</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同志为我公司参加贵单位组织的编号为</w:t>
      </w:r>
      <w:r>
        <w:rPr>
          <w:rFonts w:hint="eastAsia" w:ascii="仿宋" w:hAnsi="仿宋" w:eastAsia="仿宋" w:cs="仿宋"/>
          <w:color w:val="000000" w:themeColor="text1"/>
          <w:sz w:val="24"/>
          <w:szCs w:val="24"/>
          <w:highlight w:val="none"/>
          <w:u w:val="single"/>
          <w14:textFill>
            <w14:solidFill>
              <w14:schemeClr w14:val="tx1"/>
            </w14:solidFill>
          </w14:textFill>
        </w:rPr>
        <w:t>（项目编号）</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u w:val="single"/>
          <w14:textFill>
            <w14:solidFill>
              <w14:schemeClr w14:val="tx1"/>
            </w14:solidFill>
          </w14:textFill>
        </w:rPr>
        <w:t>（项 目 名 称）</w:t>
      </w:r>
      <w:r>
        <w:rPr>
          <w:rFonts w:hint="eastAsia" w:ascii="仿宋" w:hAnsi="仿宋" w:eastAsia="仿宋" w:cs="仿宋"/>
          <w:color w:val="000000" w:themeColor="text1"/>
          <w:sz w:val="24"/>
          <w:szCs w:val="24"/>
          <w:highlight w:val="none"/>
          <w14:textFill>
            <w14:solidFill>
              <w14:schemeClr w14:val="tx1"/>
            </w14:solidFill>
          </w14:textFill>
        </w:rPr>
        <w:t>采购活动的投标代表人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全权代表我公司处理在该项目采购活动中的一切事宜。代理期限从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日起至</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日止。 </w:t>
      </w: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lang w:val="en-US" w:eastAsia="zh-CN"/>
          <w14:textFill>
            <w14:solidFill>
              <w14:schemeClr w14:val="tx1"/>
            </w14:solidFill>
          </w14:textFill>
        </w:rPr>
        <w:t>签字或</w:t>
      </w:r>
      <w:r>
        <w:rPr>
          <w:rFonts w:hint="eastAsia" w:ascii="仿宋" w:hAnsi="仿宋" w:eastAsia="仿宋" w:cs="仿宋"/>
          <w:color w:val="000000" w:themeColor="text1"/>
          <w:sz w:val="24"/>
          <w:szCs w:val="24"/>
          <w:highlight w:val="none"/>
          <w14:textFill>
            <w14:solidFill>
              <w14:schemeClr w14:val="tx1"/>
            </w14:solidFill>
          </w14:textFill>
        </w:rPr>
        <w:t>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签发日期</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代理人工作单位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性别</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adjustRightInd w:val="0"/>
        <w:snapToGrid w:val="0"/>
        <w:spacing w:line="500" w:lineRule="exact"/>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身份证号码</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adjustRightInd w:val="0"/>
        <w:snapToGrid w:val="0"/>
        <w:spacing w:line="500" w:lineRule="exact"/>
        <w:ind w:left="-88" w:leftChars="-42" w:firstLine="600" w:firstLineChars="250"/>
        <w:outlineLvl w:val="9"/>
        <w:rPr>
          <w:rFonts w:hint="eastAsia" w:ascii="仿宋" w:hAnsi="仿宋" w:eastAsia="仿宋" w:cs="仿宋"/>
          <w:color w:val="000000" w:themeColor="text1"/>
          <w:sz w:val="24"/>
          <w:szCs w:val="24"/>
          <w:highlight w:val="none"/>
          <w:u w:val="single"/>
          <w14:textFill>
            <w14:solidFill>
              <w14:schemeClr w14:val="tx1"/>
            </w14:solidFill>
          </w14:textFill>
        </w:rPr>
      </w:pP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粘贴被授权人身份证</w:t>
            </w:r>
            <w:r>
              <w:rPr>
                <w:rFonts w:hint="eastAsia" w:ascii="仿宋" w:hAnsi="仿宋" w:eastAsia="仿宋" w:cs="仿宋"/>
                <w:color w:val="000000" w:themeColor="text1"/>
                <w:sz w:val="24"/>
                <w:szCs w:val="24"/>
                <w:highlight w:val="none"/>
                <w:lang w:val="en-US" w:eastAsia="zh-CN"/>
                <w14:textFill>
                  <w14:solidFill>
                    <w14:schemeClr w14:val="tx1"/>
                  </w14:solidFill>
                </w14:textFill>
              </w:rPr>
              <w:t>正反面</w:t>
            </w:r>
            <w:r>
              <w:rPr>
                <w:rFonts w:hint="eastAsia" w:ascii="仿宋" w:hAnsi="仿宋" w:eastAsia="仿宋" w:cs="仿宋"/>
                <w:color w:val="000000" w:themeColor="text1"/>
                <w:sz w:val="24"/>
                <w:szCs w:val="24"/>
                <w:highlight w:val="none"/>
                <w14:textFill>
                  <w14:solidFill>
                    <w14:schemeClr w14:val="tx1"/>
                  </w14:solidFill>
                </w14:textFill>
              </w:rPr>
              <w:t>（扫描件）</w:t>
            </w:r>
          </w:p>
        </w:tc>
      </w:tr>
    </w:tbl>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11"/>
        <w:spacing w:line="288" w:lineRule="auto"/>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pStyle w:val="111"/>
        <w:spacing w:line="288" w:lineRule="auto"/>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pStyle w:val="111"/>
        <w:spacing w:line="288" w:lineRule="auto"/>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pStyle w:val="111"/>
        <w:spacing w:line="288" w:lineRule="auto"/>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pStyle w:val="111"/>
        <w:spacing w:line="288" w:lineRule="auto"/>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pStyle w:val="111"/>
        <w:spacing w:line="288" w:lineRule="auto"/>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2.具有良好的商业信誉和健全的财务会计制度</w:t>
      </w:r>
    </w:p>
    <w:p>
      <w:pPr>
        <w:pStyle w:val="121"/>
        <w:ind w:firstLine="240" w:firstLineChars="100"/>
        <w:jc w:val="both"/>
        <w:outlineLvl w:val="9"/>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具有良好的商业信誉和健全的财务会计制度，提供（2021年度或2022年度）经第三方审计的财务会计报告，如供应商无法提供经第三方审计的财务会计报告，则需提供供应商基本账户银行出具的资信证明（递交响应文件截止时间前三个月内）的扫描件，银行出具的存款证明不能作为银行资信证明。</w:t>
      </w: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11"/>
        <w:spacing w:line="288" w:lineRule="auto"/>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3.具有履行合同所必需的设备和专业技术能力</w:t>
      </w:r>
    </w:p>
    <w:p>
      <w:pPr>
        <w:pStyle w:val="121"/>
        <w:ind w:firstLine="240" w:firstLineChars="100"/>
        <w:jc w:val="both"/>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投标人须提供相关资料或书面声明（格式自拟）；</w:t>
      </w: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spacing w:line="360" w:lineRule="auto"/>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4.有依法缴纳税收和社会保障金的良好记录</w:t>
      </w:r>
    </w:p>
    <w:p>
      <w:pPr>
        <w:pStyle w:val="102"/>
        <w:spacing w:line="360" w:lineRule="exact"/>
        <w:ind w:firstLine="240" w:firstLineChars="100"/>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（1）投</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标人依法缴纳税收的证明材料复印件加盖公章（提供投标截止日期之前6个月内任何一期的纳税记录或证明文件,</w:t>
      </w:r>
      <w:r>
        <w:rPr>
          <w:rFonts w:hint="eastAsia" w:ascii="仿宋" w:hAnsi="仿宋" w:eastAsia="仿宋" w:cs="仿宋"/>
          <w:b w:val="0"/>
          <w:bCs w:val="0"/>
          <w:color w:val="000000" w:themeColor="text1"/>
          <w:sz w:val="24"/>
          <w:szCs w:val="24"/>
          <w:highlight w:val="none"/>
          <w14:textFill>
            <w14:solidFill>
              <w14:schemeClr w14:val="tx1"/>
            </w14:solidFill>
          </w14:textFill>
        </w:rPr>
        <w:t>如依法免税或不需要缴纳</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税收</w:t>
      </w:r>
      <w:r>
        <w:rPr>
          <w:rFonts w:hint="eastAsia" w:ascii="仿宋" w:hAnsi="仿宋" w:eastAsia="仿宋" w:cs="仿宋"/>
          <w:b w:val="0"/>
          <w:bCs w:val="0"/>
          <w:color w:val="000000" w:themeColor="text1"/>
          <w:sz w:val="24"/>
          <w:szCs w:val="24"/>
          <w:highlight w:val="none"/>
          <w14:textFill>
            <w14:solidFill>
              <w14:schemeClr w14:val="tx1"/>
            </w14:solidFill>
          </w14:textFill>
        </w:rPr>
        <w:t>的,提供相应证明材料</w:t>
      </w:r>
      <w:r>
        <w:rPr>
          <w:rFonts w:hint="eastAsia" w:ascii="仿宋" w:hAnsi="仿宋" w:eastAsia="仿宋" w:cs="仿宋"/>
          <w:b w:val="0"/>
          <w:bCs w:val="0"/>
          <w:color w:val="000000" w:themeColor="text1"/>
          <w:kern w:val="0"/>
          <w:sz w:val="24"/>
          <w:szCs w:val="24"/>
          <w:highlight w:val="none"/>
          <w14:textFill>
            <w14:solidFill>
              <w14:schemeClr w14:val="tx1"/>
            </w14:solidFill>
          </w14:textFill>
        </w:rPr>
        <w:t>）；</w:t>
      </w:r>
    </w:p>
    <w:p>
      <w:pPr>
        <w:pStyle w:val="121"/>
        <w:ind w:firstLine="240" w:firstLineChars="100"/>
        <w:jc w:val="both"/>
        <w:rPr>
          <w:rFonts w:hint="eastAsia" w:ascii="仿宋" w:hAnsi="仿宋" w:eastAsia="仿宋" w:cs="仿宋"/>
          <w:b w:val="0"/>
          <w:color w:val="000000" w:themeColor="text1"/>
          <w:sz w:val="24"/>
          <w:szCs w:val="24"/>
          <w:highlight w:val="none"/>
          <w:lang w:val="en-US" w:eastAsia="zh-CN"/>
          <w14:textFill>
            <w14:solidFill>
              <w14:schemeClr w14:val="tx1"/>
            </w14:solidFill>
          </w14:textFill>
        </w:rPr>
      </w:pPr>
    </w:p>
    <w:p>
      <w:pPr>
        <w:pStyle w:val="121"/>
        <w:ind w:firstLine="240" w:firstLineChars="100"/>
        <w:jc w:val="both"/>
        <w:rPr>
          <w:rFonts w:hint="eastAsia" w:ascii="仿宋" w:hAnsi="仿宋" w:eastAsia="仿宋" w:cs="仿宋"/>
          <w:b w:val="0"/>
          <w:color w:val="000000" w:themeColor="text1"/>
          <w:sz w:val="24"/>
          <w:szCs w:val="24"/>
          <w:highlight w:val="none"/>
          <w:lang w:val="en-US" w:eastAsia="zh-CN"/>
          <w14:textFill>
            <w14:solidFill>
              <w14:schemeClr w14:val="tx1"/>
            </w14:solidFill>
          </w14:textFill>
        </w:rPr>
      </w:pPr>
    </w:p>
    <w:p>
      <w:pPr>
        <w:pStyle w:val="121"/>
        <w:ind w:firstLine="240" w:firstLineChars="100"/>
        <w:jc w:val="both"/>
        <w:rPr>
          <w:rFonts w:hint="eastAsia" w:ascii="仿宋" w:hAnsi="仿宋" w:eastAsia="仿宋" w:cs="仿宋"/>
          <w:b w:val="0"/>
          <w:color w:val="000000" w:themeColor="text1"/>
          <w:sz w:val="24"/>
          <w:szCs w:val="24"/>
          <w:highlight w:val="none"/>
          <w:lang w:val="en-US" w:eastAsia="zh-CN"/>
          <w14:textFill>
            <w14:solidFill>
              <w14:schemeClr w14:val="tx1"/>
            </w14:solidFill>
          </w14:textFill>
        </w:rPr>
      </w:pPr>
    </w:p>
    <w:p>
      <w:pPr>
        <w:pStyle w:val="121"/>
        <w:ind w:firstLine="240" w:firstLineChars="100"/>
        <w:jc w:val="both"/>
        <w:rPr>
          <w:rFonts w:hint="eastAsia" w:ascii="仿宋" w:hAnsi="仿宋" w:eastAsia="仿宋" w:cs="仿宋"/>
          <w:b w:val="0"/>
          <w:color w:val="000000" w:themeColor="text1"/>
          <w:sz w:val="24"/>
          <w:szCs w:val="24"/>
          <w:highlight w:val="none"/>
          <w:lang w:val="en-US" w:eastAsia="zh-CN"/>
          <w14:textFill>
            <w14:solidFill>
              <w14:schemeClr w14:val="tx1"/>
            </w14:solidFill>
          </w14:textFill>
        </w:rPr>
      </w:pPr>
    </w:p>
    <w:p>
      <w:pPr>
        <w:pStyle w:val="121"/>
        <w:ind w:firstLine="240" w:firstLineChars="100"/>
        <w:jc w:val="both"/>
        <w:rPr>
          <w:rFonts w:hint="eastAsia" w:ascii="仿宋" w:hAnsi="仿宋" w:eastAsia="仿宋" w:cs="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b w:val="0"/>
          <w:bCs/>
          <w:color w:val="000000" w:themeColor="text1"/>
          <w:sz w:val="24"/>
          <w:szCs w:val="24"/>
          <w:highlight w:val="none"/>
          <w14:textFill>
            <w14:solidFill>
              <w14:schemeClr w14:val="tx1"/>
            </w14:solidFill>
          </w14:textFill>
        </w:rPr>
        <w:t>依法缴纳社会保障资金的证明材料复印件加盖公章（提供投标截止日期之前6个月内任何一期的缴费记录或证明文件</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如依法不需要缴纳社会保障资金的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提供相应证明材料）</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11"/>
        <w:numPr>
          <w:ilvl w:val="0"/>
          <w:numId w:val="0"/>
        </w:numPr>
        <w:spacing w:line="288" w:lineRule="auto"/>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参加政府采购活动前三年内</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在经营活动中没有重大违法记录</w:t>
      </w:r>
    </w:p>
    <w:p>
      <w:pPr>
        <w:pStyle w:val="111"/>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11"/>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（1）投标人参加政府采购活动前3年内在经营活动中没有重大违法记录的书面声明（格式自拟）；</w:t>
      </w:r>
    </w:p>
    <w:p>
      <w:pPr>
        <w:pStyle w:val="111"/>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11"/>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11"/>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11"/>
        <w:numPr>
          <w:ilvl w:val="0"/>
          <w:numId w:val="0"/>
        </w:numPr>
        <w:spacing w:line="288"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（2）投标人近三年（2020年1月1日-投标截止日）在“信用中国”网站（</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instrText xml:space="preserve"> HYPERLINK "http://www.creditchina.gov.cn/" </w:instrTex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http://www.creditchina.gov.cn/</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中未被列入失信被执行人名单、重大税收违法失信主体名单；近三年（2020年1月1日-投标截止日）在“中国政府采购网”（www.ccgp.gov.cn）未被列入严重违法失信行为记录名单；（查询的时间以采购人或采购代理机构开标当日查询记录为准）。 </w:t>
      </w: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11"/>
        <w:numPr>
          <w:ilvl w:val="0"/>
          <w:numId w:val="0"/>
        </w:numPr>
        <w:spacing w:line="288" w:lineRule="auto"/>
        <w:ind w:leftChars="0"/>
        <w:jc w:val="both"/>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6.具备法律、行政法规规定的其他条件的证明材料</w:t>
      </w:r>
    </w:p>
    <w:p>
      <w:pPr>
        <w:pStyle w:val="169"/>
        <w:widowControl/>
        <w:spacing w:before="100" w:beforeAutospacing="1" w:after="100" w:afterAutospacing="1" w:line="360" w:lineRule="auto"/>
        <w:jc w:val="both"/>
        <w:outlineLvl w:val="9"/>
        <w:rPr>
          <w:rFonts w:hint="eastAsia" w:ascii="仿宋" w:hAnsi="仿宋" w:eastAsia="仿宋" w:cs="仿宋"/>
          <w:b w:val="0"/>
          <w:bCs w:val="0"/>
          <w:color w:val="000000" w:themeColor="text1"/>
          <w:kern w:val="2"/>
          <w:sz w:val="24"/>
          <w:szCs w:val="24"/>
          <w:highlight w:val="none"/>
          <w:lang w:val="en-US" w:eastAsia="zh-CN" w:bidi="ug-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ug-CN"/>
          <w14:textFill>
            <w14:solidFill>
              <w14:schemeClr w14:val="tx1"/>
            </w14:solidFill>
          </w14:textFill>
        </w:rPr>
        <w:t>供应商除《中华人民共和国政府采购法》第二十二条、《中华人民共和国政府采购法实施条例》第十七条的规定条件以外不存在不满足政府采购类其他法律法规的情形。（须提供承诺书，格式自拟）</w:t>
      </w:r>
    </w:p>
    <w:p>
      <w:pPr>
        <w:pStyle w:val="169"/>
        <w:widowControl/>
        <w:spacing w:before="100" w:beforeAutospacing="1" w:after="100" w:afterAutospacing="1" w:line="360" w:lineRule="auto"/>
        <w:jc w:val="both"/>
        <w:outlineLvl w:val="9"/>
        <w:rPr>
          <w:rFonts w:hint="eastAsia" w:ascii="仿宋" w:hAnsi="仿宋" w:eastAsia="仿宋" w:cs="仿宋"/>
          <w:b/>
          <w:bCs/>
          <w:color w:val="000000" w:themeColor="text1"/>
          <w:kern w:val="2"/>
          <w:sz w:val="24"/>
          <w:szCs w:val="24"/>
          <w:highlight w:val="none"/>
          <w:lang w:val="en-US" w:eastAsia="zh-CN" w:bidi="ug-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ug-CN"/>
          <w14:textFill>
            <w14:solidFill>
              <w14:schemeClr w14:val="tx1"/>
            </w14:solidFill>
          </w14:textFill>
        </w:rPr>
        <w:t>6.1投标单位（供应商）反商业贿赂承诺书</w:t>
      </w:r>
    </w:p>
    <w:p>
      <w:pPr>
        <w:pStyle w:val="169"/>
        <w:widowControl/>
        <w:spacing w:line="480" w:lineRule="auto"/>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w:t>
      </w:r>
      <w:r>
        <w:rPr>
          <w:rFonts w:hint="eastAsia" w:ascii="仿宋" w:hAnsi="仿宋" w:eastAsia="仿宋" w:cs="仿宋"/>
          <w:color w:val="000000" w:themeColor="text1"/>
          <w:szCs w:val="21"/>
          <w:highlight w:val="non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我公司承诺在</w:t>
      </w:r>
      <w:r>
        <w:rPr>
          <w:rFonts w:hint="eastAsia" w:ascii="仿宋" w:hAnsi="仿宋" w:eastAsia="仿宋" w:cs="仿宋"/>
          <w:color w:val="000000" w:themeColor="text1"/>
          <w:sz w:val="24"/>
          <w:szCs w:val="24"/>
          <w:highlight w:val="none"/>
          <w:u w:val="single"/>
          <w14:textFill>
            <w14:solidFill>
              <w14:schemeClr w14:val="tx1"/>
            </w14:solidFill>
          </w14:textFill>
        </w:rPr>
        <w:t>（项目编号、项目名称）</w:t>
      </w:r>
      <w:r>
        <w:rPr>
          <w:rFonts w:hint="eastAsia" w:ascii="仿宋" w:hAnsi="仿宋" w:eastAsia="仿宋" w:cs="仿宋"/>
          <w:color w:val="000000" w:themeColor="text1"/>
          <w:sz w:val="24"/>
          <w:szCs w:val="24"/>
          <w:highlight w:val="none"/>
          <w14:textFill>
            <w14:solidFill>
              <w14:schemeClr w14:val="tx1"/>
            </w14:solidFill>
          </w14:textFill>
        </w:rPr>
        <w:t xml:space="preserve">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投标单位（供应商）承诺书 </w:t>
      </w:r>
    </w:p>
    <w:p>
      <w:pPr>
        <w:pStyle w:val="169"/>
        <w:widowControl/>
        <w:spacing w:line="480" w:lineRule="auto"/>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我公司承诺在参加本次投标前三年内，无以下行为：</w:t>
      </w:r>
    </w:p>
    <w:p>
      <w:pPr>
        <w:pStyle w:val="169"/>
        <w:widowControl/>
        <w:spacing w:line="480" w:lineRule="auto"/>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重大违法行为；</w:t>
      </w:r>
    </w:p>
    <w:p>
      <w:pPr>
        <w:pStyle w:val="169"/>
        <w:widowControl/>
        <w:spacing w:line="480" w:lineRule="auto"/>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商业贿赂行为；</w:t>
      </w:r>
    </w:p>
    <w:p>
      <w:pPr>
        <w:pStyle w:val="169"/>
        <w:widowControl/>
        <w:spacing w:line="480" w:lineRule="auto"/>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政府采购法《第七十七条》，列入不良行为记录名单的各种行为；</w:t>
      </w:r>
    </w:p>
    <w:p>
      <w:pPr>
        <w:pStyle w:val="169"/>
        <w:widowControl/>
        <w:spacing w:line="480" w:lineRule="auto"/>
        <w:ind w:firstLine="480" w:firstLineChars="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如有上述行为，我公司及项目参与人员自愿放弃本次项目的投标、报价资格，若为预中标、成交人，也自愿放弃中标、成交资格。 </w:t>
      </w:r>
    </w:p>
    <w:p>
      <w:pPr>
        <w:pStyle w:val="169"/>
        <w:widowControl/>
        <w:spacing w:line="480" w:lineRule="auto"/>
        <w:jc w:val="lef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69"/>
        <w:widowControl/>
        <w:spacing w:line="480" w:lineRule="auto"/>
        <w:ind w:firstLine="6240" w:firstLineChars="2600"/>
        <w:jc w:val="left"/>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投标人（签章）：</w:t>
      </w:r>
    </w:p>
    <w:p>
      <w:pPr>
        <w:pStyle w:val="169"/>
        <w:widowControl/>
        <w:spacing w:line="480" w:lineRule="auto"/>
        <w:ind w:firstLine="5280" w:firstLineChars="22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公司法人代表签字</w:t>
      </w:r>
      <w:r>
        <w:rPr>
          <w:rFonts w:hint="eastAsia" w:ascii="仿宋" w:hAnsi="仿宋" w:eastAsia="仿宋" w:cs="仿宋"/>
          <w:color w:val="000000" w:themeColor="text1"/>
          <w:sz w:val="24"/>
          <w:szCs w:val="24"/>
          <w:highlight w:val="none"/>
          <w:lang w:val="en-US" w:eastAsia="zh-CN"/>
          <w14:textFill>
            <w14:solidFill>
              <w14:schemeClr w14:val="tx1"/>
            </w14:solidFill>
          </w14:textFill>
        </w:rPr>
        <w:t>或签章</w:t>
      </w:r>
      <w:r>
        <w:rPr>
          <w:rFonts w:hint="eastAsia" w:ascii="仿宋" w:hAnsi="仿宋" w:eastAsia="仿宋" w:cs="仿宋"/>
          <w:color w:val="000000" w:themeColor="text1"/>
          <w:sz w:val="24"/>
          <w:szCs w:val="24"/>
          <w:highlight w:val="none"/>
          <w14:textFill>
            <w14:solidFill>
              <w14:schemeClr w14:val="tx1"/>
            </w14:solidFill>
          </w14:textFill>
        </w:rPr>
        <w:t>：</w:t>
      </w:r>
    </w:p>
    <w:p>
      <w:pPr>
        <w:pStyle w:val="169"/>
        <w:widowControl/>
        <w:spacing w:line="480" w:lineRule="auto"/>
        <w:ind w:firstLine="6480" w:firstLineChars="2700"/>
        <w:jc w:val="lef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pPr>
        <w:pStyle w:val="121"/>
        <w:numPr>
          <w:ilvl w:val="0"/>
          <w:numId w:val="0"/>
        </w:numPr>
        <w:jc w:val="both"/>
        <w:outlineLvl w:val="9"/>
        <w:rPr>
          <w:rFonts w:hint="default" w:ascii="仿宋" w:hAnsi="仿宋" w:eastAsia="仿宋" w:cs="仿宋"/>
          <w:b/>
          <w:bCs/>
          <w:color w:val="000000" w:themeColor="text1"/>
          <w:kern w:val="2"/>
          <w:sz w:val="24"/>
          <w:szCs w:val="24"/>
          <w:highlight w:val="none"/>
          <w:lang w:val="en-US" w:eastAsia="zh-CN" w:bidi="ug-CN"/>
          <w14:textFill>
            <w14:solidFill>
              <w14:schemeClr w14:val="tx1"/>
            </w14:solidFill>
          </w14:textFill>
        </w:rPr>
      </w:pPr>
    </w:p>
    <w:p>
      <w:pPr>
        <w:pStyle w:val="152"/>
        <w:outlineLvl w:val="9"/>
        <w:rPr>
          <w:rFonts w:hint="eastAsia" w:ascii="仿宋" w:hAnsi="仿宋" w:eastAsia="仿宋" w:cs="仿宋"/>
          <w:b/>
          <w:bCs/>
          <w:color w:val="000000" w:themeColor="text1"/>
          <w:kern w:val="2"/>
          <w:sz w:val="24"/>
          <w:szCs w:val="24"/>
          <w:highlight w:val="none"/>
          <w:lang w:val="en-US" w:eastAsia="zh-CN" w:bidi="ug-CN"/>
          <w14:textFill>
            <w14:solidFill>
              <w14:schemeClr w14:val="tx1"/>
            </w14:solidFill>
          </w14:textFill>
        </w:rPr>
      </w:pPr>
    </w:p>
    <w:p>
      <w:pPr>
        <w:pStyle w:val="152"/>
        <w:outlineLvl w:val="9"/>
        <w:rPr>
          <w:rFonts w:hint="eastAsia" w:ascii="仿宋" w:hAnsi="仿宋" w:eastAsia="仿宋" w:cs="仿宋"/>
          <w:b/>
          <w:bCs/>
          <w:color w:val="000000" w:themeColor="text1"/>
          <w:kern w:val="2"/>
          <w:sz w:val="24"/>
          <w:szCs w:val="24"/>
          <w:highlight w:val="none"/>
          <w:lang w:val="en-US" w:eastAsia="zh-CN" w:bidi="ug-CN"/>
          <w14:textFill>
            <w14:solidFill>
              <w14:schemeClr w14:val="tx1"/>
            </w14:solidFill>
          </w14:textFill>
        </w:rPr>
      </w:pPr>
    </w:p>
    <w:p>
      <w:pPr>
        <w:pStyle w:val="152"/>
        <w:outlineLvl w:val="9"/>
        <w:rPr>
          <w:rFonts w:hint="eastAsia" w:ascii="仿宋" w:hAnsi="仿宋" w:eastAsia="仿宋" w:cs="仿宋"/>
          <w:b/>
          <w:bCs/>
          <w:color w:val="000000" w:themeColor="text1"/>
          <w:kern w:val="2"/>
          <w:sz w:val="24"/>
          <w:szCs w:val="24"/>
          <w:highlight w:val="none"/>
          <w:lang w:val="en-US" w:eastAsia="zh-CN" w:bidi="ug-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ug-CN"/>
          <w14:textFill>
            <w14:solidFill>
              <w14:schemeClr w14:val="tx1"/>
            </w14:solidFill>
          </w14:textFill>
        </w:rPr>
        <w:t>6.2不参与围标串标承诺书</w:t>
      </w:r>
    </w:p>
    <w:p>
      <w:pPr>
        <w:pStyle w:val="116"/>
        <w:spacing w:line="640" w:lineRule="exact"/>
        <w:ind w:firstLine="480" w:firstLineChars="200"/>
        <w:outlineLvl w:val="9"/>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本人作为</w:t>
      </w:r>
      <w:r>
        <w:rPr>
          <w:rFonts w:hint="eastAsia" w:ascii="仿宋" w:hAnsi="仿宋" w:eastAsia="仿宋" w:cs="仿宋"/>
          <w:b w:val="0"/>
          <w:bCs/>
          <w:color w:val="000000" w:themeColor="text1"/>
          <w:sz w:val="24"/>
          <w:highlight w:val="none"/>
          <w:u w:val="single"/>
          <w:lang w:val="en-US" w:eastAsia="zh-CN"/>
          <w14:textFill>
            <w14:solidFill>
              <w14:schemeClr w14:val="tx1"/>
            </w14:solidFill>
          </w14:textFill>
        </w:rPr>
        <w:t xml:space="preserve">（单位名称）                    </w:t>
      </w:r>
      <w:r>
        <w:rPr>
          <w:rFonts w:hint="eastAsia" w:ascii="仿宋" w:hAnsi="仿宋" w:eastAsia="仿宋" w:cs="仿宋"/>
          <w:b w:val="0"/>
          <w:bCs/>
          <w:color w:val="000000" w:themeColor="text1"/>
          <w:sz w:val="24"/>
          <w:highlight w:val="none"/>
          <w:lang w:val="en-US" w:eastAsia="zh-CN"/>
          <w14:textFill>
            <w14:solidFill>
              <w14:schemeClr w14:val="tx1"/>
            </w14:solidFill>
          </w14:textFill>
        </w:rPr>
        <w:t>的法人，清楚知晓我公司本项目投标活动，对以下事项作出承诺：</w:t>
      </w:r>
    </w:p>
    <w:p>
      <w:pPr>
        <w:pStyle w:val="116"/>
        <w:spacing w:line="640" w:lineRule="exact"/>
        <w:ind w:firstLine="480" w:firstLineChars="200"/>
        <w:outlineLvl w:val="9"/>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一、我单位遵循公开、公平、公正、诚实守信的原则，依法依规参与本项目竞标。</w:t>
      </w:r>
    </w:p>
    <w:p>
      <w:pPr>
        <w:pStyle w:val="116"/>
        <w:spacing w:line="640" w:lineRule="exact"/>
        <w:ind w:firstLine="480" w:firstLineChars="200"/>
        <w:outlineLvl w:val="9"/>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二、我单位在本项目招标投标活动中，未参与围标串标。</w:t>
      </w:r>
    </w:p>
    <w:p>
      <w:pPr>
        <w:pStyle w:val="116"/>
        <w:spacing w:line="640" w:lineRule="exact"/>
        <w:ind w:firstLine="480" w:firstLineChars="200"/>
        <w:outlineLvl w:val="9"/>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三、我单位如被查实在本项目招标投标活动中存在围标串标的，递交投标文件行为作为实施串通投标违法行为的关键环节，本人承担直接责任人员法律责任，接受相应行政处罚和失信惩戒。</w:t>
      </w:r>
    </w:p>
    <w:p>
      <w:pPr>
        <w:pStyle w:val="116"/>
        <w:spacing w:line="640" w:lineRule="exact"/>
        <w:jc w:val="left"/>
        <w:outlineLvl w:val="9"/>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 xml:space="preserve">项目编号：    </w:t>
      </w:r>
    </w:p>
    <w:p>
      <w:pPr>
        <w:pStyle w:val="116"/>
        <w:spacing w:line="640" w:lineRule="exact"/>
        <w:jc w:val="left"/>
        <w:outlineLvl w:val="9"/>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 xml:space="preserve">项目名称：    </w:t>
      </w:r>
    </w:p>
    <w:p>
      <w:pPr>
        <w:pStyle w:val="116"/>
        <w:spacing w:line="640" w:lineRule="exact"/>
        <w:jc w:val="left"/>
        <w:outlineLvl w:val="9"/>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 xml:space="preserve">                                  </w:t>
      </w:r>
    </w:p>
    <w:p>
      <w:pPr>
        <w:pStyle w:val="116"/>
        <w:spacing w:line="640" w:lineRule="exact"/>
        <w:jc w:val="left"/>
        <w:outlineLvl w:val="9"/>
        <w:rPr>
          <w:rFonts w:hint="eastAsia" w:ascii="仿宋" w:hAnsi="仿宋" w:eastAsia="仿宋" w:cs="仿宋"/>
          <w:b w:val="0"/>
          <w:bCs/>
          <w:color w:val="000000" w:themeColor="text1"/>
          <w:sz w:val="24"/>
          <w:highlight w:val="none"/>
          <w:lang w:val="en-US" w:eastAsia="zh-CN"/>
          <w14:textFill>
            <w14:solidFill>
              <w14:schemeClr w14:val="tx1"/>
            </w14:solidFill>
          </w14:textFill>
        </w:rPr>
      </w:pPr>
    </w:p>
    <w:p>
      <w:pPr>
        <w:pStyle w:val="116"/>
        <w:spacing w:line="640" w:lineRule="exact"/>
        <w:ind w:firstLine="4320" w:firstLineChars="1800"/>
        <w:jc w:val="left"/>
        <w:outlineLvl w:val="9"/>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投标人（签章）</w:t>
      </w:r>
    </w:p>
    <w:p>
      <w:pPr>
        <w:pStyle w:val="116"/>
        <w:spacing w:line="640" w:lineRule="exact"/>
        <w:ind w:firstLine="4320" w:firstLineChars="1800"/>
        <w:jc w:val="left"/>
        <w:outlineLvl w:val="9"/>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 xml:space="preserve"> 年   月   日</w:t>
      </w:r>
    </w:p>
    <w:p>
      <w:pPr>
        <w:pStyle w:val="121"/>
        <w:ind w:firstLine="241" w:firstLineChars="100"/>
        <w:jc w:val="both"/>
        <w:outlineLvl w:val="9"/>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pPr>
    </w:p>
    <w:p>
      <w:pPr>
        <w:pStyle w:val="121"/>
        <w:ind w:firstLine="241" w:firstLineChars="100"/>
        <w:jc w:val="both"/>
        <w:outlineLvl w:val="9"/>
        <w:rPr>
          <w:rFonts w:hint="eastAsia" w:ascii="仿宋" w:hAnsi="仿宋" w:eastAsia="仿宋" w:cs="仿宋"/>
          <w:b/>
          <w:bCs/>
          <w:i w:val="0"/>
          <w:iCs w:val="0"/>
          <w:color w:val="000000" w:themeColor="text1"/>
          <w:kern w:val="0"/>
          <w:sz w:val="24"/>
          <w:szCs w:val="24"/>
          <w:highlight w:val="none"/>
          <w:lang w:val="en-US" w:eastAsia="zh-CN" w:bidi="ar-SA"/>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65"/>
        <w:numPr>
          <w:ilvl w:val="0"/>
          <w:numId w:val="5"/>
        </w:numPr>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本项目的特定资格要求</w:t>
      </w:r>
    </w:p>
    <w:p>
      <w:pPr>
        <w:pStyle w:val="65"/>
        <w:numPr>
          <w:ilvl w:val="0"/>
          <w:numId w:val="0"/>
        </w:numPr>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无。</w:t>
      </w:r>
    </w:p>
    <w:p>
      <w:pPr>
        <w:pStyle w:val="111"/>
        <w:numPr>
          <w:ilvl w:val="0"/>
          <w:numId w:val="0"/>
        </w:numPr>
        <w:spacing w:line="288" w:lineRule="auto"/>
        <w:ind w:leftChars="0"/>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pStyle w:val="111"/>
        <w:numPr>
          <w:ilvl w:val="0"/>
          <w:numId w:val="0"/>
        </w:numPr>
        <w:spacing w:line="288" w:lineRule="auto"/>
        <w:ind w:leftChars="0"/>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pPr>
        <w:pStyle w:val="111"/>
        <w:numPr>
          <w:ilvl w:val="0"/>
          <w:numId w:val="0"/>
        </w:numPr>
        <w:spacing w:line="288" w:lineRule="auto"/>
        <w:ind w:leftChars="0"/>
        <w:jc w:val="both"/>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bCs/>
          <w:color w:val="000000" w:themeColor="text1"/>
          <w:sz w:val="24"/>
          <w:szCs w:val="24"/>
          <w:highlight w:val="none"/>
          <w:lang w:eastAsia="zh-CN"/>
          <w14:textFill>
            <w14:solidFill>
              <w14:schemeClr w14:val="tx1"/>
            </w14:solidFill>
          </w14:textFill>
        </w:rPr>
        <w:t>落实政府采购政策需满足的资格要求</w:t>
      </w:r>
    </w:p>
    <w:p>
      <w:pPr>
        <w:pStyle w:val="121"/>
        <w:jc w:val="both"/>
        <w:outlineLvl w:val="9"/>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供应商为小微企业：请根据要求单独上传《中小企业声明函》，格式以采购文件要求为准；</w:t>
      </w:r>
      <w:r>
        <w:rPr>
          <w:rFonts w:hint="eastAsia" w:ascii="仿宋" w:hAnsi="仿宋" w:eastAsia="仿宋" w:cs="仿宋"/>
          <w:b/>
          <w:bCs/>
          <w:color w:val="000000" w:themeColor="text1"/>
          <w:sz w:val="24"/>
          <w:highlight w:val="none"/>
          <w:lang w:val="en-US" w:eastAsia="zh-CN"/>
          <w14:textFill>
            <w14:solidFill>
              <w14:schemeClr w14:val="tx1"/>
            </w14:solidFill>
          </w14:textFill>
        </w:rPr>
        <w:t>监狱企业、残疾人福利性单位在本项目采购活动中视同小型、微型企业，也须按</w:t>
      </w:r>
      <w:r>
        <w:rPr>
          <w:rFonts w:hint="eastAsia" w:ascii="仿宋" w:hAnsi="仿宋" w:eastAsia="仿宋" w:cs="仿宋"/>
          <w:b/>
          <w:bCs/>
          <w:color w:val="000000" w:themeColor="text1"/>
          <w:sz w:val="24"/>
          <w:highlight w:val="none"/>
          <w:lang w:eastAsia="zh-CN"/>
          <w14:textFill>
            <w14:solidFill>
              <w14:schemeClr w14:val="tx1"/>
            </w14:solidFill>
          </w14:textFill>
        </w:rPr>
        <w:t>要求</w:t>
      </w:r>
      <w:r>
        <w:rPr>
          <w:rFonts w:hint="eastAsia" w:ascii="仿宋" w:hAnsi="仿宋" w:eastAsia="仿宋" w:cs="仿宋"/>
          <w:b/>
          <w:bCs/>
          <w:color w:val="000000" w:themeColor="text1"/>
          <w:sz w:val="24"/>
          <w:highlight w:val="none"/>
          <w:lang w:val="en-US" w:eastAsia="zh-CN"/>
          <w14:textFill>
            <w14:solidFill>
              <w14:schemeClr w14:val="tx1"/>
            </w14:solidFill>
          </w14:textFill>
        </w:rPr>
        <w:t>提供佐证材料，</w:t>
      </w:r>
      <w:r>
        <w:rPr>
          <w:rFonts w:hint="eastAsia" w:ascii="仿宋" w:hAnsi="仿宋" w:eastAsia="仿宋" w:cs="仿宋"/>
          <w:b/>
          <w:bCs/>
          <w:color w:val="000000" w:themeColor="text1"/>
          <w:sz w:val="24"/>
          <w:highlight w:val="none"/>
          <w:lang w:eastAsia="zh-CN"/>
          <w14:textFill>
            <w14:solidFill>
              <w14:schemeClr w14:val="tx1"/>
            </w14:solidFill>
          </w14:textFill>
        </w:rPr>
        <w:t>格式以采购文件要求为准。</w:t>
      </w:r>
    </w:p>
    <w:p>
      <w:pPr>
        <w:pStyle w:val="121"/>
        <w:jc w:val="both"/>
        <w:outlineLvl w:val="9"/>
        <w:rPr>
          <w:rFonts w:hint="eastAsia" w:ascii="仿宋" w:hAnsi="仿宋" w:eastAsia="仿宋" w:cs="仿宋"/>
          <w:b/>
          <w:bCs/>
          <w:color w:val="000000" w:themeColor="text1"/>
          <w:sz w:val="24"/>
          <w:highlight w:val="none"/>
          <w:lang w:eastAsia="zh-CN"/>
          <w14:textFill>
            <w14:solidFill>
              <w14:schemeClr w14:val="tx1"/>
            </w14:solidFill>
          </w14:textFill>
        </w:rPr>
      </w:pPr>
    </w:p>
    <w:p>
      <w:pPr>
        <w:pStyle w:val="121"/>
        <w:jc w:val="both"/>
        <w:outlineLvl w:val="9"/>
        <w:rPr>
          <w:rFonts w:hint="eastAsia" w:ascii="仿宋" w:hAnsi="仿宋" w:eastAsia="仿宋" w:cs="仿宋"/>
          <w:b/>
          <w:bCs/>
          <w:color w:val="000000" w:themeColor="text1"/>
          <w:sz w:val="24"/>
          <w:highlight w:val="none"/>
          <w:lang w:eastAsia="zh-CN"/>
          <w14:textFill>
            <w14:solidFill>
              <w14:schemeClr w14:val="tx1"/>
            </w14:solidFill>
          </w14:textFill>
        </w:rPr>
      </w:pPr>
    </w:p>
    <w:p>
      <w:pPr>
        <w:pStyle w:val="180"/>
        <w:outlineLvl w:val="9"/>
        <w:rPr>
          <w:rFonts w:hint="eastAsia" w:ascii="仿宋" w:hAnsi="仿宋" w:eastAsia="仿宋" w:cs="仿宋"/>
          <w:b/>
          <w:color w:val="000000" w:themeColor="text1"/>
          <w:kern w:val="0"/>
          <w:sz w:val="24"/>
          <w:szCs w:val="24"/>
          <w:highlight w:val="none"/>
          <w:lang w:bidi="ar-SA"/>
          <w14:textFill>
            <w14:solidFill>
              <w14:schemeClr w14:val="tx1"/>
            </w14:solidFill>
          </w14:textFill>
        </w:rPr>
      </w:pPr>
      <w:bookmarkStart w:id="250" w:name="_Toc24695"/>
      <w:r>
        <w:rPr>
          <w:rFonts w:hint="eastAsia" w:ascii="仿宋" w:hAnsi="仿宋" w:eastAsia="仿宋" w:cs="仿宋"/>
          <w:b/>
          <w:color w:val="000000" w:themeColor="text1"/>
          <w:kern w:val="0"/>
          <w:sz w:val="24"/>
          <w:szCs w:val="24"/>
          <w:highlight w:val="none"/>
          <w:lang w:val="en-US" w:eastAsia="zh-CN" w:bidi="ar-SA"/>
          <w14:textFill>
            <w14:solidFill>
              <w14:schemeClr w14:val="tx1"/>
            </w14:solidFill>
          </w14:textFill>
        </w:rPr>
        <w:t>8.1.</w:t>
      </w:r>
      <w:r>
        <w:rPr>
          <w:rFonts w:hint="eastAsia" w:ascii="仿宋" w:hAnsi="仿宋" w:eastAsia="仿宋" w:cs="仿宋"/>
          <w:b/>
          <w:color w:val="000000" w:themeColor="text1"/>
          <w:kern w:val="0"/>
          <w:sz w:val="24"/>
          <w:szCs w:val="24"/>
          <w:highlight w:val="none"/>
          <w:lang w:bidi="ar-SA"/>
          <w14:textFill>
            <w14:solidFill>
              <w14:schemeClr w14:val="tx1"/>
            </w14:solidFill>
          </w14:textFill>
        </w:rPr>
        <w:t>中小企业声明函</w:t>
      </w:r>
    </w:p>
    <w:p>
      <w:pPr>
        <w:keepNext w:val="0"/>
        <w:keepLines w:val="0"/>
        <w:widowControl/>
        <w:suppressLineNumbers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中小企业声明函（工程、服务）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t>本公司（联合体）郑重声明,根据《政府采购促进中小企业发展管理办法》（财库﹝2020﹞46 号）的规定,本公司（</w:t>
      </w:r>
      <w:r>
        <w:rPr>
          <w:rFonts w:hint="eastAsia" w:ascii="仿宋" w:hAnsi="仿宋" w:eastAsia="仿宋" w:cs="仿宋"/>
          <w:color w:val="000000" w:themeColor="text1"/>
          <w:spacing w:val="-2"/>
          <w:kern w:val="2"/>
          <w:sz w:val="24"/>
          <w:szCs w:val="24"/>
          <w:highlight w:val="none"/>
          <w:u w:val="single"/>
          <w:lang w:val="en-US" w:eastAsia="zh-CN" w:bidi="ar-SA"/>
          <w14:textFill>
            <w14:solidFill>
              <w14:schemeClr w14:val="tx1"/>
            </w14:solidFill>
          </w14:textFill>
        </w:rPr>
        <w:t>联合体</w:t>
      </w:r>
      <w: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t>）参加</w:t>
      </w:r>
      <w:r>
        <w:rPr>
          <w:rFonts w:hint="eastAsia" w:ascii="仿宋" w:hAnsi="仿宋" w:eastAsia="仿宋" w:cs="仿宋"/>
          <w:color w:val="000000" w:themeColor="text1"/>
          <w:spacing w:val="-2"/>
          <w:kern w:val="2"/>
          <w:sz w:val="24"/>
          <w:szCs w:val="24"/>
          <w:highlight w:val="none"/>
          <w:u w:val="single"/>
          <w:lang w:val="en-US" w:eastAsia="zh-CN" w:bidi="ar-SA"/>
          <w14:textFill>
            <w14:solidFill>
              <w14:schemeClr w14:val="tx1"/>
            </w14:solidFill>
          </w14:textFill>
        </w:rPr>
        <w:t>（单位名称）的（项目名称）</w:t>
      </w:r>
      <w: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000000" w:themeColor="text1"/>
          <w:spacing w:val="-2"/>
          <w:kern w:val="2"/>
          <w:sz w:val="24"/>
          <w:szCs w:val="24"/>
          <w:highlight w:val="none"/>
          <w:u w:val="single"/>
          <w:lang w:val="en-US" w:eastAsia="zh-CN" w:bidi="ar-SA"/>
          <w14:textFill>
            <w14:solidFill>
              <w14:schemeClr w14:val="tx1"/>
            </w14:solidFill>
          </w14:textFill>
        </w:rPr>
      </w:pPr>
      <w: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spacing w:val="-2"/>
          <w:kern w:val="2"/>
          <w:sz w:val="24"/>
          <w:szCs w:val="24"/>
          <w:highlight w:val="none"/>
          <w:u w:val="single"/>
          <w:lang w:val="en-US" w:eastAsia="zh-CN" w:bidi="ar-SA"/>
          <w14:textFill>
            <w14:solidFill>
              <w14:schemeClr w14:val="tx1"/>
            </w14:solidFill>
          </w14:textFill>
        </w:rPr>
        <w:t xml:space="preserve">（标的名称）,属于（采购文件中明确的所属行业）承建（承接）企业为（企业名称）,从业人员    人,营业收入为       万元,资产总额为    万元,属于（中型企业、小型企业、微型企业）；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kern w:val="2"/>
          <w:sz w:val="24"/>
          <w:szCs w:val="24"/>
          <w:highlight w:val="none"/>
          <w:u w:val="single"/>
          <w:lang w:val="en-US" w:eastAsia="zh-CN" w:bidi="ar-SA"/>
          <w14:textFill>
            <w14:solidFill>
              <w14:schemeClr w14:val="tx1"/>
            </w14:solidFill>
          </w14:textFill>
        </w:rPr>
        <w:t>2.（标的名称）,属于（采购文件中明确的所属行业）；承建（承接）企业为（企业名称）,从业人员    人,营业收入为   万元,资产总额为    万元,属于（中型企业、小型企业、微型企业）；</w:t>
      </w:r>
      <w: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2" w:firstLineChars="200"/>
        <w:jc w:val="left"/>
        <w:textAlignment w:val="auto"/>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t>本企业对上述声明内容的真实性负责。如有虚假,将依法承担相应责任。</w:t>
      </w:r>
    </w:p>
    <w:p>
      <w:pPr>
        <w:pStyle w:val="106"/>
        <w:spacing w:before="35" w:line="316" w:lineRule="auto"/>
        <w:ind w:right="2166" w:firstLine="472" w:firstLineChars="200"/>
        <w:rPr>
          <w:rFonts w:hint="eastAsia" w:ascii="仿宋" w:hAnsi="仿宋" w:eastAsia="仿宋" w:cs="仿宋"/>
          <w:color w:val="000000" w:themeColor="text1"/>
          <w:spacing w:val="-2"/>
          <w:kern w:val="2"/>
          <w:sz w:val="24"/>
          <w:szCs w:val="24"/>
          <w:highlight w:val="none"/>
          <w:lang w:val="en-US" w:eastAsia="zh-CN" w:bidi="ar-SA"/>
          <w14:textFill>
            <w14:solidFill>
              <w14:schemeClr w14:val="tx1"/>
            </w14:solidFill>
          </w14:textFill>
        </w:rPr>
      </w:pPr>
    </w:p>
    <w:p>
      <w:pPr>
        <w:pStyle w:val="106"/>
        <w:spacing w:before="35" w:line="316" w:lineRule="auto"/>
        <w:ind w:right="2166" w:firstLine="472" w:firstLineChars="200"/>
        <w:jc w:val="right"/>
        <w:rPr>
          <w:rFonts w:hint="eastAsia" w:ascii="仿宋" w:hAnsi="仿宋" w:eastAsia="仿宋" w:cs="仿宋"/>
          <w:color w:val="000000" w:themeColor="text1"/>
          <w:spacing w:val="-2"/>
          <w:sz w:val="24"/>
          <w:szCs w:val="24"/>
          <w:highlight w:val="none"/>
          <w:lang w:eastAsia="zh-CN"/>
          <w14:textFill>
            <w14:solidFill>
              <w14:schemeClr w14:val="tx1"/>
            </w14:solidFill>
          </w14:textFill>
        </w:rPr>
      </w:pPr>
    </w:p>
    <w:p>
      <w:pPr>
        <w:pStyle w:val="106"/>
        <w:spacing w:before="35" w:line="316" w:lineRule="auto"/>
        <w:ind w:right="2166" w:firstLine="472" w:firstLineChars="200"/>
        <w:jc w:val="right"/>
        <w:rPr>
          <w:rFonts w:hint="eastAsia" w:ascii="仿宋" w:hAnsi="仿宋" w:eastAsia="仿宋" w:cs="仿宋"/>
          <w:color w:val="000000" w:themeColor="text1"/>
          <w:spacing w:val="-2"/>
          <w:sz w:val="24"/>
          <w:szCs w:val="24"/>
          <w:highlight w:val="none"/>
          <w:lang w:eastAsia="zh-CN"/>
          <w14:textFill>
            <w14:solidFill>
              <w14:schemeClr w14:val="tx1"/>
            </w14:solidFill>
          </w14:textFill>
        </w:rPr>
      </w:pPr>
    </w:p>
    <w:p>
      <w:pPr>
        <w:pStyle w:val="106"/>
        <w:spacing w:before="35" w:line="316" w:lineRule="auto"/>
        <w:ind w:right="2166" w:firstLine="472" w:firstLineChars="200"/>
        <w:jc w:val="right"/>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企业名称（盖章）:</w:t>
      </w:r>
    </w:p>
    <w:p>
      <w:pPr>
        <w:ind w:firstLine="4484" w:firstLineChars="1900"/>
        <w:rPr>
          <w:rFonts w:hint="eastAsia" w:ascii="仿宋" w:hAnsi="仿宋" w:eastAsia="仿宋" w:cs="仿宋"/>
          <w:color w:val="000000" w:themeColor="text1"/>
          <w:spacing w:val="-2"/>
          <w:sz w:val="24"/>
          <w:szCs w:val="24"/>
          <w:highlight w:val="none"/>
          <w:lang w:eastAsia="zh-CN"/>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日期:</w:t>
      </w:r>
    </w:p>
    <w:p>
      <w:pPr>
        <w:pStyle w:val="106"/>
        <w:spacing w:before="35" w:line="316" w:lineRule="auto"/>
        <w:ind w:right="2166"/>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lang w:eastAsia="zh-CN"/>
          <w14:textFill>
            <w14:solidFill>
              <w14:schemeClr w14:val="tx1"/>
            </w14:solidFill>
          </w14:textFill>
        </w:rPr>
        <w:t xml:space="preserve">          </w:t>
      </w:r>
      <w:r>
        <w:rPr>
          <w:rFonts w:hint="eastAsia" w:ascii="仿宋" w:hAnsi="仿宋" w:eastAsia="仿宋" w:cs="仿宋"/>
          <w:color w:val="000000" w:themeColor="text1"/>
          <w:spacing w:val="-5"/>
          <w:sz w:val="24"/>
          <w:szCs w:val="24"/>
          <w:highlight w:val="none"/>
          <w:lang w:eastAsia="zh-CN"/>
          <w14:textFill>
            <w14:solidFill>
              <w14:schemeClr w14:val="tx1"/>
            </w14:solidFill>
          </w14:textFill>
        </w:rPr>
        <w:t xml:space="preserve">              </w:t>
      </w:r>
    </w:p>
    <w:p>
      <w:pPr>
        <w:pStyle w:val="18"/>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94"/>
        <w:spacing w:line="360" w:lineRule="auto"/>
        <w:outlineLvl w:val="1"/>
        <w:rPr>
          <w:rFonts w:hint="eastAsia" w:ascii="仿宋" w:hAnsi="仿宋" w:eastAsia="仿宋" w:cs="仿宋"/>
          <w:b/>
          <w:bCs/>
          <w:color w:val="000000" w:themeColor="text1"/>
          <w:sz w:val="24"/>
          <w:szCs w:val="24"/>
          <w:highlight w:val="none"/>
          <w:lang w:eastAsia="zh-CN"/>
          <w14:textFill>
            <w14:solidFill>
              <w14:schemeClr w14:val="tx1"/>
            </w14:solidFill>
          </w14:textFill>
        </w:rPr>
      </w:pPr>
      <w:bookmarkStart w:id="251" w:name="_Toc15641"/>
      <w:bookmarkStart w:id="252" w:name="_Toc15907"/>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b/>
          <w:bCs/>
          <w:color w:val="000000" w:themeColor="text1"/>
          <w:sz w:val="24"/>
          <w:szCs w:val="24"/>
          <w:highlight w:val="none"/>
          <w14:textFill>
            <w14:solidFill>
              <w14:schemeClr w14:val="tx1"/>
            </w14:solidFill>
          </w14:textFill>
        </w:rPr>
        <w:t>从业人员、营业收入</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资产</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总额</w:t>
      </w:r>
      <w:r>
        <w:rPr>
          <w:rFonts w:hint="eastAsia" w:ascii="仿宋" w:hAnsi="仿宋" w:eastAsia="仿宋" w:cs="仿宋"/>
          <w:b/>
          <w:bCs/>
          <w:color w:val="000000" w:themeColor="text1"/>
          <w:sz w:val="24"/>
          <w:szCs w:val="24"/>
          <w:highlight w:val="none"/>
          <w14:textFill>
            <w14:solidFill>
              <w14:schemeClr w14:val="tx1"/>
            </w14:solidFill>
          </w14:textFill>
        </w:rPr>
        <w:t>填报上一年度</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数据</w:t>
      </w:r>
      <w:r>
        <w:rPr>
          <w:rFonts w:hint="eastAsia" w:ascii="仿宋" w:hAnsi="仿宋" w:eastAsia="仿宋" w:cs="仿宋"/>
          <w:b/>
          <w:bCs/>
          <w:color w:val="000000" w:themeColor="text1"/>
          <w:sz w:val="24"/>
          <w:szCs w:val="24"/>
          <w:highlight w:val="none"/>
          <w14:textFill>
            <w14:solidFill>
              <w14:schemeClr w14:val="tx1"/>
            </w14:solidFill>
          </w14:textFill>
        </w:rPr>
        <w:t>，无上一年度</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数据</w:t>
      </w:r>
      <w:r>
        <w:rPr>
          <w:rFonts w:hint="eastAsia" w:ascii="仿宋" w:hAnsi="仿宋" w:eastAsia="仿宋" w:cs="仿宋"/>
          <w:b/>
          <w:bCs/>
          <w:color w:val="000000" w:themeColor="text1"/>
          <w:sz w:val="24"/>
          <w:szCs w:val="24"/>
          <w:highlight w:val="none"/>
          <w14:textFill>
            <w14:solidFill>
              <w14:schemeClr w14:val="tx1"/>
            </w14:solidFill>
          </w14:textFill>
        </w:rPr>
        <w:t>的新成立企业可不填报</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bookmarkEnd w:id="251"/>
      <w:bookmarkEnd w:id="252"/>
    </w:p>
    <w:p>
      <w:pPr>
        <w:pStyle w:val="94"/>
        <w:spacing w:line="360" w:lineRule="auto"/>
        <w:ind w:firstLine="482" w:firstLineChars="200"/>
        <w:outlineLvl w:val="1"/>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p>
    <w:p>
      <w:pPr>
        <w:pStyle w:val="94"/>
        <w:spacing w:line="360" w:lineRule="auto"/>
        <w:ind w:firstLine="482" w:firstLineChars="200"/>
        <w:outlineLvl w:val="1"/>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bookmarkStart w:id="253" w:name="_Toc24168"/>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中小企业声明函“注释”：</w:t>
      </w:r>
      <w:bookmarkEnd w:id="253"/>
    </w:p>
    <w:p>
      <w:pPr>
        <w:pStyle w:val="94"/>
        <w:spacing w:line="360" w:lineRule="auto"/>
        <w:ind w:firstLine="482" w:firstLineChars="200"/>
        <w:outlineLvl w:val="1"/>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bookmarkStart w:id="254" w:name="_Toc19642"/>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1.《中小企业声明函》由参加政府采购活动的供应商出具；组成联合体的，由联合体的一方或者各方共同出具；合同分包的，由参加政府采购活动的供应商（主承包商）出具。</w:t>
      </w:r>
      <w:bookmarkEnd w:id="254"/>
    </w:p>
    <w:p>
      <w:pPr>
        <w:pStyle w:val="94"/>
        <w:spacing w:line="360" w:lineRule="auto"/>
        <w:ind w:firstLine="482" w:firstLineChars="200"/>
        <w:outlineLvl w:val="1"/>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bookmarkStart w:id="255" w:name="_Toc12566"/>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2.相关企业的具体情况：提供的货物、承建工程、承接服务的中小企业的具体情况（包括联合体中的中小企业、签订分包意向协议的中小企业）。</w:t>
      </w:r>
      <w:bookmarkEnd w:id="255"/>
    </w:p>
    <w:p>
      <w:pPr>
        <w:pStyle w:val="94"/>
        <w:spacing w:line="360" w:lineRule="auto"/>
        <w:ind w:firstLine="482" w:firstLineChars="200"/>
        <w:outlineLvl w:val="1"/>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bookmarkStart w:id="256" w:name="_Toc24572"/>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1）对于联合体中由中小企业承担的部分，或者分包给中小企业的部分，必须全部由中小企业制造、承建或者承接；供应商应当在声明函“项目名称”部分标明联合体中中小企业承担的具体内容或者中小企业的具体分包内容。</w:t>
      </w:r>
      <w:bookmarkEnd w:id="256"/>
    </w:p>
    <w:p>
      <w:pPr>
        <w:pStyle w:val="94"/>
        <w:spacing w:line="360" w:lineRule="auto"/>
        <w:ind w:firstLine="482" w:firstLineChars="200"/>
        <w:outlineLvl w:val="1"/>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bookmarkStart w:id="257" w:name="_Toc16778"/>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（2）要求或接受联合体形式，或者要求或允许合同分包的，还应当提供联合体协议或者合同分包意向协议，该协议应标明联合体中中小企业承担的具体内容或者中小企业的具体分包内容。</w:t>
      </w:r>
      <w:bookmarkEnd w:id="257"/>
    </w:p>
    <w:p>
      <w:pPr>
        <w:pStyle w:val="94"/>
        <w:spacing w:line="360" w:lineRule="auto"/>
        <w:ind w:firstLine="482" w:firstLineChars="200"/>
        <w:outlineLvl w:val="1"/>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bookmarkStart w:id="258" w:name="_Toc2962"/>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3）“相关企业”信息为上一年度数据，无上一年度数据的新成立企业可不填。新成立的企业参照国务院批准的中小企业划分标准，根据企业自身情况如实判断，认为本企业属于中小企业的，可按照《政府采购促进中小企业发展管理办法》（财库〔2020〕46号）的规定出具的《中小企业声明函》，享受相关扶持政策。</w:t>
      </w:r>
      <w:bookmarkEnd w:id="258"/>
    </w:p>
    <w:p>
      <w:pPr>
        <w:pStyle w:val="94"/>
        <w:spacing w:line="360" w:lineRule="auto"/>
        <w:ind w:firstLine="482" w:firstLineChars="200"/>
        <w:outlineLvl w:val="1"/>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bookmarkStart w:id="259" w:name="_Toc29974"/>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（4）如果一个采购项目涉及多个采购标的的，应当按采购文件规定逐一填写所有采购标的对应的相关企业具体情况，并判断该企业类型。</w:t>
      </w:r>
      <w:bookmarkEnd w:id="259"/>
    </w:p>
    <w:p>
      <w:pPr>
        <w:pStyle w:val="182"/>
        <w:ind w:left="0" w:leftChars="0" w:firstLine="482" w:firstLineChars="200"/>
        <w:jc w:val="both"/>
        <w:outlineLvl w:val="1"/>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bookmarkStart w:id="260" w:name="_Toc26275"/>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（5）采购文件规定：采购项目属性、采购标的对应的中小企业划分标准所属行业。</w:t>
      </w:r>
      <w:bookmarkEnd w:id="260"/>
    </w:p>
    <w:p>
      <w:pPr>
        <w:pStyle w:val="94"/>
        <w:spacing w:line="360" w:lineRule="auto"/>
        <w:ind w:firstLine="723" w:firstLineChars="300"/>
        <w:outlineLvl w:val="9"/>
        <w:rPr>
          <w:rFonts w:hint="default"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3.除了需要投标人应该填写的内容外，不得随意修改或删除中小企业声明函中的其他任何内容，也不得提供除中小企业声明函以外的其他声明材料，否则视为不响应采购文件的实质性内容，作无效投标处理。</w:t>
      </w:r>
    </w:p>
    <w:p>
      <w:pPr>
        <w:pStyle w:val="182"/>
        <w:ind w:left="0" w:leftChars="0" w:firstLine="0" w:firstLineChars="0"/>
        <w:jc w:val="both"/>
        <w:outlineLvl w:val="1"/>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pPr>
    </w:p>
    <w:p>
      <w:pPr>
        <w:pStyle w:val="182"/>
        <w:ind w:left="0" w:leftChars="0" w:firstLine="0" w:firstLineChars="0"/>
        <w:jc w:val="both"/>
        <w:outlineLvl w:val="1"/>
        <w:rPr>
          <w:rFonts w:hint="eastAsia" w:ascii="仿宋" w:hAnsi="仿宋" w:eastAsia="仿宋" w:cs="仿宋"/>
          <w:color w:val="000000" w:themeColor="text1"/>
          <w:kern w:val="2"/>
          <w:highlight w:val="none"/>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br w:type="page"/>
      </w:r>
      <w:bookmarkStart w:id="261" w:name="_Toc14558"/>
      <w:r>
        <w:rPr>
          <w:rFonts w:hint="eastAsia" w:ascii="仿宋" w:hAnsi="仿宋" w:eastAsia="仿宋" w:cs="仿宋"/>
          <w:color w:val="000000" w:themeColor="text1"/>
          <w:kern w:val="2"/>
          <w:highlight w:val="none"/>
          <w:lang w:val="en-US" w:eastAsia="zh-CN"/>
          <w14:textFill>
            <w14:solidFill>
              <w14:schemeClr w14:val="tx1"/>
            </w14:solidFill>
          </w14:textFill>
        </w:rPr>
        <w:t>8.2.</w:t>
      </w:r>
      <w:r>
        <w:rPr>
          <w:rFonts w:hint="eastAsia" w:ascii="仿宋" w:hAnsi="仿宋" w:eastAsia="仿宋" w:cs="仿宋"/>
          <w:color w:val="000000" w:themeColor="text1"/>
          <w:kern w:val="2"/>
          <w:highlight w:val="none"/>
          <w14:textFill>
            <w14:solidFill>
              <w14:schemeClr w14:val="tx1"/>
            </w14:solidFill>
          </w14:textFill>
        </w:rPr>
        <w:t>监狱企业证明文件（如适用）</w:t>
      </w:r>
      <w:bookmarkEnd w:id="250"/>
      <w:bookmarkEnd w:id="261"/>
    </w:p>
    <w:p>
      <w:pPr>
        <w:pStyle w:val="183"/>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183"/>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69"/>
        <w:spacing w:before="165"/>
        <w:ind w:firstLine="2310"/>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投标人如是监狱企业,提供相关证明文件。</w:t>
      </w:r>
    </w:p>
    <w:p>
      <w:pPr>
        <w:pStyle w:val="183"/>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jc w:val="center"/>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监狱企业声明函</w:t>
      </w:r>
    </w:p>
    <w:p>
      <w:pPr>
        <w:jc w:val="center"/>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【服务类，监狱企业如需享受优惠政策，还须另行提供省级以上监狱管理局、戒毒管理局（含新疆生产建设兵团）出具的监狱企业证明文件】</w:t>
      </w:r>
    </w:p>
    <w:p>
      <w:pPr>
        <w:ind w:firstLine="420" w:firstLineChars="200"/>
        <w:outlineLvl w:val="9"/>
        <w:rPr>
          <w:rFonts w:hint="eastAsia" w:ascii="仿宋" w:hAnsi="仿宋" w:eastAsia="仿宋" w:cs="仿宋"/>
          <w:color w:val="000000" w:themeColor="text1"/>
          <w:szCs w:val="21"/>
          <w:highlight w:val="none"/>
          <w14:textFill>
            <w14:solidFill>
              <w14:schemeClr w14:val="tx1"/>
            </w14:solidFill>
          </w14:textFill>
        </w:rPr>
      </w:pPr>
    </w:p>
    <w:p>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本投标人郑重声明，根据《财政部司法部关于政府采购支持监狱企业发展有关问题的通知》（财库〔2014〕68号）的规定，本投标人参加</w:t>
      </w:r>
      <w:r>
        <w:rPr>
          <w:rFonts w:hint="eastAsia" w:ascii="仿宋" w:hAnsi="仿宋" w:eastAsia="仿宋" w:cs="仿宋"/>
          <w:b/>
          <w:bCs/>
          <w:color w:val="000000" w:themeColor="text1"/>
          <w:sz w:val="24"/>
          <w:szCs w:val="24"/>
          <w:highlight w:val="none"/>
          <w:u w:val="single"/>
          <w14:textFill>
            <w14:solidFill>
              <w14:schemeClr w14:val="tx1"/>
            </w14:solidFill>
          </w14:textFill>
        </w:rPr>
        <w:t>（采购人名称）</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b/>
          <w:bCs/>
          <w:color w:val="000000" w:themeColor="text1"/>
          <w:sz w:val="24"/>
          <w:szCs w:val="24"/>
          <w:highlight w:val="none"/>
          <w:u w:val="single"/>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采购活动，</w:t>
      </w:r>
      <w:r>
        <w:rPr>
          <w:rFonts w:hint="eastAsia" w:ascii="仿宋" w:hAnsi="仿宋" w:eastAsia="仿宋" w:cs="仿宋"/>
          <w:color w:val="000000" w:themeColor="text1"/>
          <w:sz w:val="24"/>
          <w:szCs w:val="24"/>
          <w:highlight w:val="none"/>
          <w:lang w:eastAsia="zh-CN"/>
          <w14:textFill>
            <w14:solidFill>
              <w14:schemeClr w14:val="tx1"/>
            </w14:solidFill>
          </w14:textFill>
        </w:rPr>
        <w:t>货物</w:t>
      </w:r>
      <w:r>
        <w:rPr>
          <w:rFonts w:hint="eastAsia" w:ascii="仿宋" w:hAnsi="仿宋" w:eastAsia="仿宋" w:cs="仿宋"/>
          <w:color w:val="000000" w:themeColor="text1"/>
          <w:sz w:val="24"/>
          <w:szCs w:val="24"/>
          <w:highlight w:val="none"/>
          <w:lang w:val="en-US" w:eastAsia="zh-CN"/>
          <w14:textFill>
            <w14:solidFill>
              <w14:schemeClr w14:val="tx1"/>
            </w14:solidFill>
          </w14:textFill>
        </w:rPr>
        <w:t>/施工/</w:t>
      </w:r>
      <w:r>
        <w:rPr>
          <w:rFonts w:hint="eastAsia" w:ascii="仿宋" w:hAnsi="仿宋" w:eastAsia="仿宋" w:cs="仿宋"/>
          <w:color w:val="000000" w:themeColor="text1"/>
          <w:sz w:val="24"/>
          <w:szCs w:val="24"/>
          <w:highlight w:val="none"/>
          <w14:textFill>
            <w14:solidFill>
              <w14:schemeClr w14:val="tx1"/>
            </w14:solidFill>
          </w14:textFill>
        </w:rPr>
        <w:t>服务全部由符合政策要求的监狱企业承接。相关监狱企业的具体情况如下：</w:t>
      </w:r>
    </w:p>
    <w:p>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szCs w:val="24"/>
          <w:highlight w:val="none"/>
          <w14:textFill>
            <w14:solidFill>
              <w14:schemeClr w14:val="tx1"/>
            </w14:solidFill>
          </w14:textFill>
        </w:rPr>
        <w:t>，承接单位为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14:textFill>
            <w14:solidFill>
              <w14:schemeClr w14:val="tx1"/>
            </w14:solidFill>
          </w14:textFill>
        </w:rPr>
        <w:t>监狱企业</w:t>
      </w:r>
      <w:r>
        <w:rPr>
          <w:rFonts w:hint="eastAsia" w:ascii="仿宋" w:hAnsi="仿宋" w:eastAsia="仿宋" w:cs="仿宋"/>
          <w:color w:val="000000" w:themeColor="text1"/>
          <w:sz w:val="24"/>
          <w:szCs w:val="24"/>
          <w:highlight w:val="none"/>
          <w14:textFill>
            <w14:solidFill>
              <w14:schemeClr w14:val="tx1"/>
            </w14:solidFill>
          </w14:textFill>
        </w:rPr>
        <w:t>；</w:t>
      </w:r>
    </w:p>
    <w:p>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szCs w:val="24"/>
          <w:highlight w:val="none"/>
          <w14:textFill>
            <w14:solidFill>
              <w14:schemeClr w14:val="tx1"/>
            </w14:solidFill>
          </w14:textFill>
        </w:rPr>
        <w:t>，承接单位为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14:textFill>
            <w14:solidFill>
              <w14:schemeClr w14:val="tx1"/>
            </w14:solidFill>
          </w14:textFill>
        </w:rPr>
        <w:t>监狱企业</w:t>
      </w:r>
      <w:r>
        <w:rPr>
          <w:rFonts w:hint="eastAsia" w:ascii="仿宋" w:hAnsi="仿宋" w:eastAsia="仿宋" w:cs="仿宋"/>
          <w:color w:val="000000" w:themeColor="text1"/>
          <w:sz w:val="24"/>
          <w:szCs w:val="24"/>
          <w:highlight w:val="none"/>
          <w14:textFill>
            <w14:solidFill>
              <w14:schemeClr w14:val="tx1"/>
            </w14:solidFill>
          </w14:textFill>
        </w:rPr>
        <w:t>。</w:t>
      </w:r>
    </w:p>
    <w:p>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本投标人对上述声明内容的真实性负责。如有虚假，将依法承担相应责任。</w:t>
      </w:r>
    </w:p>
    <w:p>
      <w:pPr>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附：省级以上监狱管理局、戒毒管理局（含新疆生产建设兵团）出具的监狱企业证明文件。</w:t>
      </w:r>
    </w:p>
    <w:p>
      <w:pPr>
        <w:spacing w:line="240" w:lineRule="atLeast"/>
        <w:ind w:firstLine="567"/>
        <w:jc w:val="center"/>
        <w:outlineLvl w:val="9"/>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企业名称（盖章）： </w:t>
      </w:r>
    </w:p>
    <w:p>
      <w:pPr>
        <w:spacing w:line="240" w:lineRule="atLeast"/>
        <w:ind w:firstLine="567"/>
        <w:jc w:val="center"/>
        <w:outlineLvl w:val="9"/>
        <w:rPr>
          <w:rFonts w:hint="eastAsia" w:ascii="仿宋" w:hAnsi="仿宋" w:eastAsia="仿宋" w:cs="仿宋"/>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日 期：</w:t>
      </w:r>
    </w:p>
    <w:p>
      <w:pPr>
        <w:pStyle w:val="69"/>
        <w:spacing w:before="35" w:beforeLines="0"/>
        <w:outlineLvl w:val="9"/>
        <w:rPr>
          <w:rFonts w:hint="eastAsia" w:ascii="仿宋" w:hAnsi="仿宋" w:eastAsia="仿宋" w:cs="仿宋"/>
          <w:color w:val="000000" w:themeColor="text1"/>
          <w:sz w:val="24"/>
          <w:highlight w:val="none"/>
          <w:lang w:val="en-US" w:eastAsia="zh-CN"/>
          <w14:textFill>
            <w14:solidFill>
              <w14:schemeClr w14:val="tx1"/>
            </w14:solidFill>
          </w14:textFill>
        </w:rPr>
      </w:pPr>
    </w:p>
    <w:p>
      <w:pPr>
        <w:pStyle w:val="183"/>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83"/>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183"/>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69"/>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投标人（签章）: </w:t>
      </w:r>
    </w:p>
    <w:p>
      <w:pPr>
        <w:pStyle w:val="183"/>
        <w:spacing w:before="1"/>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69"/>
        <w:spacing w:before="35"/>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日期: </w:t>
      </w:r>
    </w:p>
    <w:p>
      <w:pPr>
        <w:pStyle w:val="182"/>
        <w:spacing w:line="340" w:lineRule="exact"/>
        <w:ind w:left="0" w:leftChars="0" w:firstLine="0" w:firstLineChars="0"/>
        <w:jc w:val="both"/>
        <w:outlineLvl w:val="1"/>
        <w:rPr>
          <w:rFonts w:hint="eastAsia" w:ascii="仿宋" w:hAnsi="仿宋" w:eastAsia="仿宋" w:cs="仿宋"/>
          <w:color w:val="000000" w:themeColor="text1"/>
          <w:kern w:val="2"/>
          <w:highlight w:val="none"/>
          <w14:textFill>
            <w14:solidFill>
              <w14:schemeClr w14:val="tx1"/>
            </w14:solidFill>
          </w14:textFill>
        </w:rPr>
      </w:pPr>
      <w:r>
        <w:rPr>
          <w:rFonts w:hint="eastAsia" w:ascii="仿宋" w:hAnsi="仿宋" w:eastAsia="仿宋" w:cs="仿宋"/>
          <w:color w:val="000000" w:themeColor="text1"/>
          <w:kern w:val="2"/>
          <w:highlight w:val="none"/>
          <w14:textFill>
            <w14:solidFill>
              <w14:schemeClr w14:val="tx1"/>
            </w14:solidFill>
          </w14:textFill>
        </w:rPr>
        <w:br w:type="page"/>
      </w:r>
      <w:bookmarkStart w:id="262" w:name="_Toc2315"/>
      <w:bookmarkStart w:id="263" w:name="_Toc31226"/>
      <w:r>
        <w:rPr>
          <w:rFonts w:hint="eastAsia" w:ascii="仿宋" w:hAnsi="仿宋" w:eastAsia="仿宋" w:cs="仿宋"/>
          <w:color w:val="000000" w:themeColor="text1"/>
          <w:kern w:val="2"/>
          <w:highlight w:val="none"/>
          <w:lang w:val="en-US" w:eastAsia="zh-CN"/>
          <w14:textFill>
            <w14:solidFill>
              <w14:schemeClr w14:val="tx1"/>
            </w14:solidFill>
          </w14:textFill>
        </w:rPr>
        <w:t>8.3.</w:t>
      </w:r>
      <w:r>
        <w:rPr>
          <w:rFonts w:hint="eastAsia" w:ascii="仿宋" w:hAnsi="仿宋" w:eastAsia="仿宋" w:cs="仿宋"/>
          <w:color w:val="000000" w:themeColor="text1"/>
          <w:kern w:val="2"/>
          <w:highlight w:val="none"/>
          <w14:textFill>
            <w14:solidFill>
              <w14:schemeClr w14:val="tx1"/>
            </w14:solidFill>
          </w14:textFill>
        </w:rPr>
        <w:t>残疾人福利性单位声明函（如适用）</w:t>
      </w:r>
      <w:bookmarkEnd w:id="262"/>
      <w:bookmarkEnd w:id="263"/>
    </w:p>
    <w:p>
      <w:pPr>
        <w:pStyle w:val="184"/>
        <w:spacing w:before="123" w:line="340" w:lineRule="exact"/>
        <w:ind w:left="0" w:right="12"/>
        <w:jc w:val="center"/>
        <w:outlineLvl w:val="9"/>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p>
    <w:p>
      <w:pPr>
        <w:pStyle w:val="183"/>
        <w:spacing w:before="84" w:line="340" w:lineRule="exact"/>
        <w:ind w:left="62" w:right="72"/>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残疾人福利性单位声明函 </w:t>
      </w:r>
    </w:p>
    <w:p>
      <w:pPr>
        <w:pStyle w:val="183"/>
        <w:spacing w:line="34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69"/>
        <w:spacing w:before="35" w:line="340" w:lineRule="exact"/>
        <w:ind w:right="274" w:firstLine="444"/>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pPr>
        <w:pStyle w:val="69"/>
        <w:spacing w:before="46" w:line="340" w:lineRule="exact"/>
        <w:ind w:right="464" w:firstLine="480" w:firstLineChars="200"/>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本单位对上述声明的真实性负责。如有虚假,将依法承担相应责任。 </w:t>
      </w:r>
    </w:p>
    <w:p>
      <w:pPr>
        <w:pStyle w:val="183"/>
        <w:spacing w:before="10" w:line="34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69"/>
        <w:spacing w:line="340" w:lineRule="exact"/>
        <w:ind w:right="1716"/>
        <w:jc w:val="right"/>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投标人（签章）: </w:t>
      </w:r>
    </w:p>
    <w:p>
      <w:pPr>
        <w:pStyle w:val="69"/>
        <w:spacing w:line="340" w:lineRule="exact"/>
        <w:ind w:right="1728"/>
        <w:jc w:val="right"/>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日 期: </w:t>
      </w:r>
    </w:p>
    <w:p>
      <w:pPr>
        <w:pStyle w:val="183"/>
        <w:spacing w:line="34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183"/>
        <w:spacing w:line="34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183"/>
        <w:spacing w:before="38" w:line="340" w:lineRule="exact"/>
        <w:ind w:left="157"/>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享受政府采购支持政策的残疾人福利性单位应当同时满足以下条件</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183"/>
        <w:spacing w:before="36" w:line="340" w:lineRule="exact"/>
        <w:ind w:left="157" w:right="273" w:firstLine="399"/>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（1）安置的残疾人占本单位在职职工人数的比例不低于 25%（含 25%）</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并且安置的残疾人 人数不少于 10 人（含 10 人）；</w:t>
      </w:r>
    </w:p>
    <w:p>
      <w:pPr>
        <w:pStyle w:val="183"/>
        <w:spacing w:before="5" w:line="340" w:lineRule="exact"/>
        <w:ind w:left="557"/>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（2）依法与安置的每位残疾人签订了一年以上（含一年）的劳动合同或服务协议；</w:t>
      </w:r>
    </w:p>
    <w:p>
      <w:pPr>
        <w:pStyle w:val="183"/>
        <w:spacing w:before="21" w:line="340" w:lineRule="exact"/>
        <w:ind w:left="157" w:right="373" w:firstLine="399"/>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（3）为安置的每位残疾人按月足额缴纳了基本养老保险、基本医疗保险、失业保险、工伤保 险和生育保险等社会保险费；</w:t>
      </w:r>
    </w:p>
    <w:p>
      <w:pPr>
        <w:pStyle w:val="183"/>
        <w:spacing w:before="20" w:line="340" w:lineRule="exact"/>
        <w:ind w:left="157" w:right="373" w:firstLine="399"/>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（4）通过银行等金融机构向安置的每位残疾人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按月支付了不低于单位所在区县适用的经省 级人民政府批准的月最低工资标准的工资；</w:t>
      </w:r>
    </w:p>
    <w:p>
      <w:pPr>
        <w:pStyle w:val="183"/>
        <w:spacing w:before="20" w:line="340" w:lineRule="exact"/>
        <w:ind w:left="157" w:right="373" w:firstLine="399"/>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（5）提供本单位制造的货物、承担的工程或者服务（以下简称产品）</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或者提供其他残疾人 福利性单位制造的货物（不包括使用非残疾人福利性单位注册商标的货物）。</w:t>
      </w:r>
    </w:p>
    <w:p>
      <w:pPr>
        <w:pStyle w:val="183"/>
        <w:spacing w:before="20" w:line="340" w:lineRule="exact"/>
        <w:ind w:left="157" w:right="373" w:firstLine="399"/>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前款所称残疾人是指法定劳动年龄内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持有《中华人民共和国残疾人证》或者《中华人民共和 国残疾军人证（1 至 8 级）》的自然人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包括具有劳动条件和劳动意愿的精神残疾人。在职职工人 数是指与残疾人福利性单位建立劳动关系并依法签订劳动合同或者服务协议的雇员人数。</w:t>
      </w:r>
    </w:p>
    <w:p>
      <w:pPr>
        <w:pStyle w:val="121"/>
        <w:jc w:val="both"/>
        <w:outlineLvl w:val="9"/>
        <w:rPr>
          <w:rFonts w:hint="eastAsia" w:ascii="仿宋" w:hAnsi="仿宋" w:eastAsia="仿宋" w:cs="仿宋"/>
          <w:b/>
          <w:bCs/>
          <w:color w:val="000000" w:themeColor="text1"/>
          <w:sz w:val="24"/>
          <w:highlight w:val="none"/>
          <w:lang w:eastAsia="zh-CN"/>
          <w14:textFill>
            <w14:solidFill>
              <w14:schemeClr w14:val="tx1"/>
            </w14:solidFill>
          </w14:textFill>
        </w:rPr>
      </w:pPr>
    </w:p>
    <w:p>
      <w:pPr>
        <w:pStyle w:val="121"/>
        <w:jc w:val="both"/>
        <w:outlineLvl w:val="9"/>
        <w:rPr>
          <w:rFonts w:hint="eastAsia" w:ascii="仿宋" w:hAnsi="仿宋" w:eastAsia="仿宋" w:cs="仿宋"/>
          <w:b/>
          <w:bCs w:val="0"/>
          <w:i w:val="0"/>
          <w:iCs w:val="0"/>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b/>
          <w:bCs w:val="0"/>
          <w:i w:val="0"/>
          <w:iCs w:val="0"/>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b/>
          <w:bCs w:val="0"/>
          <w:i w:val="0"/>
          <w:iCs w:val="0"/>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b/>
          <w:bCs w:val="0"/>
          <w:i w:val="0"/>
          <w:iCs w:val="0"/>
          <w:color w:val="000000" w:themeColor="text1"/>
          <w:sz w:val="24"/>
          <w:szCs w:val="24"/>
          <w:highlight w:val="none"/>
          <w14:textFill>
            <w14:solidFill>
              <w14:schemeClr w14:val="tx1"/>
            </w14:solidFill>
          </w14:textFill>
        </w:rPr>
      </w:pPr>
    </w:p>
    <w:p>
      <w:pPr>
        <w:pStyle w:val="121"/>
        <w:jc w:val="both"/>
        <w:outlineLvl w:val="9"/>
        <w:rPr>
          <w:rFonts w:hint="eastAsia" w:ascii="仿宋" w:hAnsi="仿宋" w:eastAsia="仿宋" w:cs="仿宋"/>
          <w:b/>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符合性检查</w:t>
      </w:r>
    </w:p>
    <w:p>
      <w:pPr>
        <w:pStyle w:val="121"/>
        <w:numPr>
          <w:ilvl w:val="0"/>
          <w:numId w:val="6"/>
        </w:numPr>
        <w:jc w:val="both"/>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投标保证金:通过</w:t>
      </w:r>
      <w:r>
        <w:rPr>
          <w:rFonts w:hint="eastAsia" w:ascii="仿宋" w:hAnsi="仿宋" w:eastAsia="仿宋" w:cs="仿宋"/>
          <w:b/>
          <w:bCs/>
          <w:color w:val="000000" w:themeColor="text1"/>
          <w:sz w:val="24"/>
          <w:szCs w:val="24"/>
          <w:highlight w:val="none"/>
          <w14:textFill>
            <w14:solidFill>
              <w14:schemeClr w14:val="tx1"/>
            </w14:solidFill>
          </w14:textFill>
        </w:rPr>
        <w:t>基本账户转出</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的投标保证金汇款凭证（备注项目名称或项目编号）和投</w:t>
      </w:r>
      <w:r>
        <w:rPr>
          <w:rFonts w:hint="eastAsia" w:ascii="仿宋" w:hAnsi="仿宋" w:eastAsia="仿宋" w:cs="仿宋"/>
          <w:b/>
          <w:bCs/>
          <w:color w:val="000000" w:themeColor="text1"/>
          <w:kern w:val="2"/>
          <w:sz w:val="24"/>
          <w:szCs w:val="24"/>
          <w:highlight w:val="none"/>
          <w:lang w:val="en-US" w:eastAsia="zh-CN"/>
          <w14:textFill>
            <w14:solidFill>
              <w14:schemeClr w14:val="tx1"/>
            </w14:solidFill>
          </w14:textFill>
        </w:rPr>
        <w:t>标人基本账户开户许可证或基本存款账户信息。如提供</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采用银行保函缴纳的，应出具保函的银行级别（应为国有商业银行或股份制商业银行的支行及其以上的银行）及保函的有效期。</w:t>
      </w:r>
    </w:p>
    <w:p>
      <w:pPr>
        <w:pStyle w:val="121"/>
        <w:numPr>
          <w:ilvl w:val="0"/>
          <w:numId w:val="6"/>
        </w:numPr>
        <w:jc w:val="both"/>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（1）投标文件是否含有采购人不能接受的附加条件；（2）是否违反国家法律、法规和采购文件规定的其他无效情形。（3）未与其他投标人串通投标,或者与招标人串通投标。（须对以上进行承诺，格式自拟）</w:t>
      </w: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264" w:name="_Toc15271"/>
      <w:bookmarkStart w:id="265" w:name="_Toc923"/>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121"/>
        <w:numPr>
          <w:ilvl w:val="0"/>
          <w:numId w:val="0"/>
        </w:numPr>
        <w:jc w:val="center"/>
        <w:outlineLvl w:val="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br w:type="page"/>
      </w:r>
      <w:bookmarkStart w:id="266" w:name="_Toc6131"/>
      <w:bookmarkStart w:id="267" w:name="_Toc18923"/>
      <w:r>
        <w:rPr>
          <w:rFonts w:hint="eastAsia" w:ascii="仿宋" w:hAnsi="仿宋" w:eastAsia="仿宋" w:cs="仿宋"/>
          <w:color w:val="000000" w:themeColor="text1"/>
          <w:sz w:val="32"/>
          <w:szCs w:val="32"/>
          <w:highlight w:val="none"/>
          <w:lang w:val="en-US" w:eastAsia="zh-CN"/>
          <w14:textFill>
            <w14:solidFill>
              <w14:schemeClr w14:val="tx1"/>
            </w14:solidFill>
          </w14:textFill>
        </w:rPr>
        <w:t>二、报价文件</w:t>
      </w:r>
      <w:bookmarkEnd w:id="264"/>
      <w:bookmarkEnd w:id="265"/>
      <w:bookmarkEnd w:id="266"/>
      <w:bookmarkEnd w:id="267"/>
    </w:p>
    <w:p>
      <w:pPr>
        <w:pStyle w:val="121"/>
        <w:numPr>
          <w:ilvl w:val="0"/>
          <w:numId w:val="0"/>
        </w:numPr>
        <w:jc w:val="both"/>
        <w:outlineLvl w:val="9"/>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p>
    <w:p>
      <w:pPr>
        <w:pStyle w:val="121"/>
        <w:numPr>
          <w:ilvl w:val="0"/>
          <w:numId w:val="7"/>
        </w:numPr>
        <w:jc w:val="both"/>
        <w:outlineLvl w:val="9"/>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报价函</w:t>
      </w:r>
    </w:p>
    <w:p>
      <w:pPr>
        <w:pStyle w:val="121"/>
        <w:numPr>
          <w:ilvl w:val="0"/>
          <w:numId w:val="7"/>
        </w:numPr>
        <w:jc w:val="both"/>
        <w:outlineLvl w:val="9"/>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服务报价一览表</w:t>
      </w:r>
    </w:p>
    <w:p>
      <w:pPr>
        <w:pStyle w:val="121"/>
        <w:numPr>
          <w:ilvl w:val="0"/>
          <w:numId w:val="7"/>
        </w:numPr>
        <w:ind w:left="0" w:leftChars="0" w:firstLine="0" w:firstLineChars="0"/>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服务报价明细表</w:t>
      </w: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jc w:val="left"/>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1.报价函</w:t>
      </w:r>
    </w:p>
    <w:p>
      <w:pPr>
        <w:pStyle w:val="179"/>
        <w:widowControl/>
        <w:spacing w:line="360" w:lineRule="auto"/>
        <w:ind w:left="0" w:leftChars="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新疆森海旭和工程咨询有限公司:</w:t>
      </w:r>
    </w:p>
    <w:p>
      <w:pPr>
        <w:pStyle w:val="179"/>
        <w:widowControl/>
        <w:spacing w:line="360" w:lineRule="auto"/>
        <w:ind w:left="0" w:leftChars="0" w:firstLine="480" w:firstLineChars="200"/>
        <w:jc w:val="left"/>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依据贵方</w:t>
      </w:r>
      <w:r>
        <w:rPr>
          <w:rFonts w:hint="eastAsia" w:ascii="仿宋" w:hAnsi="仿宋" w:eastAsia="仿宋" w:cs="仿宋"/>
          <w:b w:val="0"/>
          <w:bCs w:val="0"/>
          <w:color w:val="000000" w:themeColor="text1"/>
          <w:sz w:val="24"/>
          <w:szCs w:val="24"/>
          <w:highlight w:val="none"/>
          <w:u w:val="singl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(采购项目名称/采购项目编号) 项目招标采购服务的招标公告，我方代表</w:t>
      </w:r>
      <w:r>
        <w:rPr>
          <w:rFonts w:hint="eastAsia" w:ascii="仿宋" w:hAnsi="仿宋" w:eastAsia="仿宋" w:cs="仿宋"/>
          <w:b w:val="0"/>
          <w:bCs w:val="0"/>
          <w:color w:val="000000" w:themeColor="text1"/>
          <w:sz w:val="24"/>
          <w:szCs w:val="24"/>
          <w:highlight w:val="none"/>
          <w:u w:val="singl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（姓名、职务）经正式授权并代表供应商</w:t>
      </w:r>
      <w:r>
        <w:rPr>
          <w:rFonts w:hint="eastAsia" w:ascii="仿宋" w:hAnsi="仿宋" w:eastAsia="仿宋" w:cs="仿宋"/>
          <w:b w:val="0"/>
          <w:bCs w:val="0"/>
          <w:color w:val="000000" w:themeColor="text1"/>
          <w:sz w:val="24"/>
          <w:szCs w:val="24"/>
          <w:highlight w:val="none"/>
          <w:u w:val="singl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（供应商名称、地址）提交下述响应文件。其中：在项目所属电子交易平台上传电子响应文件一份。</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1．服务报价表；</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2．服务报价明细表；</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3．所投服务清单；</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4．按招标文件供应商须知和技术规格要求提供的有关文件；</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5．资格证明文件；</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6．按招标文件的规定递交的投标保证金。</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在此，我方宣布同意如下：</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1．所附《服务报价表》中规定的应提交和交付的（包号）投标总价为（注明币种，并用文字和数字表示的投标总价）。</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2．将按招标文件的约定履行合同责任和义务。</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3．已详细审查全部招标文件，包括（修正或补充文件）（如有），对此无异议。</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4．本投标有效期为自开标日起，共90个日历日。</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5．接受招标文件所列须知中相关规定，关于没收投标保证金的约定。</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6．同意提供按照贵方可能要求的与其投标有关的一切数据或资料。</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7.与本投标有关的一切正式往来信函请寄：    。</w:t>
      </w:r>
    </w:p>
    <w:p>
      <w:pPr>
        <w:pStyle w:val="179"/>
        <w:widowControl/>
        <w:spacing w:line="360" w:lineRule="auto"/>
        <w:ind w:left="0" w:leftChars="0" w:firstLine="480" w:firstLineChars="200"/>
        <w:outlineLvl w:val="9"/>
        <w:rPr>
          <w:rFonts w:hint="default"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8.其他：    。</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 xml:space="preserve">供应商名称(签章)： </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法定代表人(签名或签章)：</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地    址：</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电    话：</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电子函件：</w:t>
      </w:r>
    </w:p>
    <w:p>
      <w:pPr>
        <w:pStyle w:val="179"/>
        <w:widowControl/>
        <w:spacing w:line="360" w:lineRule="auto"/>
        <w:ind w:left="0" w:leftChars="0" w:firstLine="480" w:firstLineChars="200"/>
        <w:outlineLvl w:val="9"/>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日期：</w:t>
      </w:r>
    </w:p>
    <w:p>
      <w:pPr>
        <w:bidi w:val="0"/>
        <w:outlineLvl w:val="9"/>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p>
      <w:pPr>
        <w:bidi w:val="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2.   服务报价一览表 </w:t>
      </w:r>
      <w:r>
        <w:rPr>
          <w:rFonts w:hint="eastAsia" w:ascii="仿宋" w:hAnsi="仿宋" w:eastAsia="仿宋" w:cs="仿宋"/>
          <w:b/>
          <w:bCs w:val="0"/>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tbl>
      <w:tblPr>
        <w:tblStyle w:val="38"/>
        <w:tblpPr w:leftFromText="180" w:rightFromText="180" w:vertAnchor="text" w:horzAnchor="page" w:tblpX="1464" w:tblpY="4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tcBorders>
              <w:bottom w:val="single" w:color="auto" w:sz="4" w:space="0"/>
            </w:tcBorders>
            <w:noWrap w:val="0"/>
            <w:vAlign w:val="center"/>
          </w:tcPr>
          <w:p>
            <w:pPr>
              <w:pStyle w:val="193"/>
              <w:tabs>
                <w:tab w:val="left" w:pos="1337"/>
              </w:tabs>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项目编号</w:t>
            </w:r>
          </w:p>
        </w:tc>
        <w:tc>
          <w:tcPr>
            <w:tcW w:w="6770" w:type="dxa"/>
            <w:tcBorders>
              <w:bottom w:val="single" w:color="auto" w:sz="4" w:space="0"/>
            </w:tcBorders>
            <w:noWrap w:val="0"/>
            <w:vAlign w:val="center"/>
          </w:tcPr>
          <w:p>
            <w:pPr>
              <w:pStyle w:val="193"/>
              <w:tabs>
                <w:tab w:val="left" w:pos="1337"/>
              </w:tabs>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tcBorders>
              <w:bottom w:val="single" w:color="auto" w:sz="4" w:space="0"/>
            </w:tcBorders>
            <w:noWrap w:val="0"/>
            <w:vAlign w:val="center"/>
          </w:tcPr>
          <w:p>
            <w:pPr>
              <w:pStyle w:val="193"/>
              <w:tabs>
                <w:tab w:val="left" w:pos="1337"/>
              </w:tabs>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项目名称</w:t>
            </w:r>
          </w:p>
        </w:tc>
        <w:tc>
          <w:tcPr>
            <w:tcW w:w="6770" w:type="dxa"/>
            <w:tcBorders>
              <w:bottom w:val="single" w:color="auto" w:sz="4" w:space="0"/>
            </w:tcBorders>
            <w:noWrap w:val="0"/>
            <w:vAlign w:val="center"/>
          </w:tcPr>
          <w:p>
            <w:pPr>
              <w:pStyle w:val="193"/>
              <w:tabs>
                <w:tab w:val="left" w:pos="1337"/>
              </w:tabs>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2410" w:type="dxa"/>
            <w:noWrap w:val="0"/>
            <w:vAlign w:val="center"/>
          </w:tcPr>
          <w:p>
            <w:pPr>
              <w:pStyle w:val="193"/>
              <w:tabs>
                <w:tab w:val="left" w:pos="1337"/>
              </w:tabs>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投标报价</w:t>
            </w:r>
          </w:p>
        </w:tc>
        <w:tc>
          <w:tcPr>
            <w:tcW w:w="6770" w:type="dxa"/>
            <w:noWrap w:val="0"/>
            <w:vAlign w:val="top"/>
          </w:tcPr>
          <w:p>
            <w:pPr>
              <w:pStyle w:val="193"/>
              <w:tabs>
                <w:tab w:val="left" w:pos="1337"/>
              </w:tabs>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p>
          <w:p>
            <w:pPr>
              <w:pStyle w:val="193"/>
              <w:tabs>
                <w:tab w:val="left" w:pos="1337"/>
              </w:tabs>
              <w:spacing w:line="360" w:lineRule="auto"/>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小写：</w:t>
            </w:r>
          </w:p>
          <w:p>
            <w:pPr>
              <w:pStyle w:val="193"/>
              <w:tabs>
                <w:tab w:val="left" w:pos="1337"/>
              </w:tabs>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p>
          <w:p>
            <w:pPr>
              <w:pStyle w:val="193"/>
              <w:tabs>
                <w:tab w:val="left" w:pos="1337"/>
              </w:tabs>
              <w:spacing w:line="360" w:lineRule="auto"/>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大写：</w:t>
            </w:r>
          </w:p>
          <w:p>
            <w:pPr>
              <w:pStyle w:val="193"/>
              <w:tabs>
                <w:tab w:val="left" w:pos="1337"/>
              </w:tabs>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noWrap w:val="0"/>
            <w:vAlign w:val="top"/>
          </w:tcPr>
          <w:p>
            <w:pPr>
              <w:pStyle w:val="193"/>
              <w:tabs>
                <w:tab w:val="left" w:pos="1337"/>
              </w:tabs>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服务期限</w:t>
            </w:r>
          </w:p>
        </w:tc>
        <w:tc>
          <w:tcPr>
            <w:tcW w:w="6770" w:type="dxa"/>
            <w:noWrap w:val="0"/>
            <w:vAlign w:val="top"/>
          </w:tcPr>
          <w:p>
            <w:pPr>
              <w:pStyle w:val="193"/>
              <w:tabs>
                <w:tab w:val="left" w:pos="1337"/>
              </w:tabs>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noWrap w:val="0"/>
            <w:vAlign w:val="top"/>
          </w:tcPr>
          <w:p>
            <w:pPr>
              <w:pStyle w:val="193"/>
              <w:tabs>
                <w:tab w:val="left" w:pos="1337"/>
              </w:tabs>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服务标准</w:t>
            </w:r>
          </w:p>
        </w:tc>
        <w:tc>
          <w:tcPr>
            <w:tcW w:w="6770" w:type="dxa"/>
            <w:noWrap w:val="0"/>
            <w:vAlign w:val="top"/>
          </w:tcPr>
          <w:p>
            <w:pPr>
              <w:pStyle w:val="193"/>
              <w:tabs>
                <w:tab w:val="left" w:pos="1337"/>
              </w:tabs>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10" w:type="dxa"/>
            <w:noWrap w:val="0"/>
            <w:vAlign w:val="top"/>
          </w:tcPr>
          <w:p>
            <w:pPr>
              <w:pStyle w:val="193"/>
              <w:tabs>
                <w:tab w:val="left" w:pos="1337"/>
              </w:tabs>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Cs/>
                <w:color w:val="000000" w:themeColor="text1"/>
                <w:sz w:val="24"/>
                <w:szCs w:val="24"/>
                <w:highlight w:val="none"/>
                <w14:textFill>
                  <w14:solidFill>
                    <w14:schemeClr w14:val="tx1"/>
                  </w14:solidFill>
                </w14:textFill>
              </w:rPr>
              <w:t>有效期</w:t>
            </w:r>
          </w:p>
        </w:tc>
        <w:tc>
          <w:tcPr>
            <w:tcW w:w="6770" w:type="dxa"/>
            <w:noWrap w:val="0"/>
            <w:vAlign w:val="top"/>
          </w:tcPr>
          <w:p>
            <w:pPr>
              <w:pStyle w:val="193"/>
              <w:tabs>
                <w:tab w:val="left" w:pos="1337"/>
              </w:tabs>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180" w:type="dxa"/>
            <w:gridSpan w:val="2"/>
            <w:noWrap w:val="0"/>
            <w:vAlign w:val="top"/>
          </w:tcPr>
          <w:p>
            <w:pPr>
              <w:pStyle w:val="193"/>
              <w:tabs>
                <w:tab w:val="left" w:pos="1337"/>
              </w:tabs>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tc>
      </w:tr>
    </w:tbl>
    <w:p>
      <w:pPr>
        <w:pStyle w:val="23"/>
        <w:tabs>
          <w:tab w:val="left" w:pos="5580"/>
        </w:tabs>
        <w:spacing w:line="240" w:lineRule="atLeast"/>
        <w:ind w:left="1080" w:leftChars="257" w:hanging="540"/>
        <w:rPr>
          <w:rFonts w:hint="eastAsia" w:ascii="仿宋" w:hAnsi="仿宋" w:eastAsia="仿宋" w:cs="仿宋"/>
          <w:color w:val="000000" w:themeColor="text1"/>
          <w:sz w:val="24"/>
          <w:szCs w:val="24"/>
          <w:highlight w:val="none"/>
          <w14:textFill>
            <w14:solidFill>
              <w14:schemeClr w14:val="tx1"/>
            </w14:solidFill>
          </w14:textFill>
        </w:rPr>
      </w:pPr>
    </w:p>
    <w:p>
      <w:pPr>
        <w:pStyle w:val="23"/>
        <w:tabs>
          <w:tab w:val="left" w:pos="5580"/>
        </w:tabs>
        <w:spacing w:line="360" w:lineRule="auto"/>
        <w:ind w:left="1080" w:leftChars="257" w:hanging="540"/>
        <w:rPr>
          <w:rFonts w:hint="eastAsia" w:ascii="仿宋" w:hAnsi="仿宋" w:eastAsia="仿宋" w:cs="仿宋"/>
          <w:color w:val="000000" w:themeColor="text1"/>
          <w:sz w:val="24"/>
          <w:szCs w:val="24"/>
          <w:highlight w:val="none"/>
          <w14:textFill>
            <w14:solidFill>
              <w14:schemeClr w14:val="tx1"/>
            </w14:solidFill>
          </w14:textFill>
        </w:rPr>
      </w:pPr>
    </w:p>
    <w:p>
      <w:pPr>
        <w:pStyle w:val="23"/>
        <w:tabs>
          <w:tab w:val="left" w:pos="5580"/>
        </w:tabs>
        <w:spacing w:line="360" w:lineRule="auto"/>
        <w:ind w:left="1080" w:leftChars="257" w:hanging="540"/>
        <w:rPr>
          <w:rFonts w:hint="eastAsia" w:ascii="仿宋" w:hAnsi="仿宋" w:eastAsia="仿宋" w:cs="仿宋"/>
          <w:color w:val="000000" w:themeColor="text1"/>
          <w:sz w:val="24"/>
          <w:szCs w:val="24"/>
          <w:highlight w:val="none"/>
          <w14:textFill>
            <w14:solidFill>
              <w14:schemeClr w14:val="tx1"/>
            </w14:solidFill>
          </w14:textFill>
        </w:rPr>
      </w:pPr>
    </w:p>
    <w:p>
      <w:pPr>
        <w:pStyle w:val="23"/>
        <w:tabs>
          <w:tab w:val="left" w:pos="5580"/>
        </w:tabs>
        <w:spacing w:line="360" w:lineRule="auto"/>
        <w:ind w:left="1080" w:leftChars="257" w:hanging="540"/>
        <w:rPr>
          <w:rFonts w:hint="eastAsia" w:ascii="仿宋" w:hAnsi="仿宋" w:eastAsia="仿宋" w:cs="仿宋"/>
          <w:color w:val="000000" w:themeColor="text1"/>
          <w:sz w:val="24"/>
          <w:szCs w:val="24"/>
          <w:highlight w:val="none"/>
          <w14:textFill>
            <w14:solidFill>
              <w14:schemeClr w14:val="tx1"/>
            </w14:solidFill>
          </w14:textFill>
        </w:rPr>
      </w:pPr>
    </w:p>
    <w:p>
      <w:pPr>
        <w:pStyle w:val="23"/>
        <w:tabs>
          <w:tab w:val="left" w:pos="5580"/>
        </w:tabs>
        <w:spacing w:line="360" w:lineRule="auto"/>
        <w:ind w:left="1080" w:leftChars="257" w:hanging="540"/>
        <w:rPr>
          <w:rFonts w:hint="eastAsia" w:ascii="仿宋" w:hAnsi="仿宋" w:eastAsia="仿宋" w:cs="仿宋"/>
          <w:color w:val="000000" w:themeColor="text1"/>
          <w:sz w:val="24"/>
          <w:szCs w:val="24"/>
          <w:highlight w:val="none"/>
          <w14:textFill>
            <w14:solidFill>
              <w14:schemeClr w14:val="tx1"/>
            </w14:solidFill>
          </w14:textFill>
        </w:rPr>
      </w:pPr>
    </w:p>
    <w:p>
      <w:pPr>
        <w:pStyle w:val="23"/>
        <w:tabs>
          <w:tab w:val="left" w:pos="5580"/>
        </w:tabs>
        <w:spacing w:line="360" w:lineRule="auto"/>
        <w:ind w:left="1080" w:leftChars="257" w:hanging="5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签</w:t>
      </w:r>
      <w:r>
        <w:rPr>
          <w:rFonts w:hint="eastAsia" w:ascii="仿宋" w:hAnsi="仿宋" w:eastAsia="仿宋" w:cs="仿宋"/>
          <w:color w:val="000000" w:themeColor="text1"/>
          <w:sz w:val="24"/>
          <w:szCs w:val="24"/>
          <w:highlight w:val="none"/>
          <w14:textFill>
            <w14:solidFill>
              <w14:schemeClr w14:val="tx1"/>
            </w14:solidFill>
          </w14:textFill>
        </w:rPr>
        <w:t>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23"/>
        <w:tabs>
          <w:tab w:val="left" w:pos="5580"/>
        </w:tabs>
        <w:spacing w:line="360" w:lineRule="auto"/>
        <w:ind w:left="1080" w:leftChars="257" w:hanging="540"/>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法定代表人或委托代理(签名或签章)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pPr>
        <w:pStyle w:val="23"/>
        <w:tabs>
          <w:tab w:val="left" w:pos="5580"/>
        </w:tabs>
        <w:spacing w:line="360" w:lineRule="auto"/>
        <w:ind w:left="1080" w:leftChars="257" w:hanging="540"/>
        <w:rPr>
          <w:rFonts w:hint="eastAsia" w:ascii="仿宋" w:hAnsi="仿宋" w:eastAsia="仿宋" w:cs="仿宋"/>
          <w:color w:val="000000" w:themeColor="text1"/>
          <w:sz w:val="24"/>
          <w:szCs w:val="24"/>
          <w:highlight w:val="none"/>
          <w14:textFill>
            <w14:solidFill>
              <w14:schemeClr w14:val="tx1"/>
            </w14:solidFill>
          </w14:textFill>
        </w:rPr>
      </w:pPr>
    </w:p>
    <w:p>
      <w:pPr>
        <w:pStyle w:val="15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说明：1、投标人严格按照规定的格式填写。投标报价为优惠后报价，并作为评审及定标的依据。</w:t>
      </w:r>
    </w:p>
    <w:p>
      <w:pPr>
        <w:pStyle w:val="157"/>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2、任何有选择或有条件的投标报价或表中某一包填写多个报价，均将导致投标被拒绝。</w:t>
      </w:r>
    </w:p>
    <w:p>
      <w:pPr>
        <w:pStyle w:val="121"/>
        <w:numPr>
          <w:ilvl w:val="0"/>
          <w:numId w:val="0"/>
        </w:numPr>
        <w:ind w:leftChars="0"/>
        <w:jc w:val="both"/>
        <w:outlineLvl w:val="9"/>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ind w:leftChars="0"/>
        <w:jc w:val="both"/>
        <w:outlineLvl w:val="9"/>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ind w:leftChars="0"/>
        <w:jc w:val="both"/>
        <w:outlineLvl w:val="9"/>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ind w:leftChars="0"/>
        <w:jc w:val="both"/>
        <w:outlineLvl w:val="9"/>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ind w:leftChars="0"/>
        <w:jc w:val="both"/>
        <w:outlineLvl w:val="9"/>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ind w:leftChars="0"/>
        <w:jc w:val="both"/>
        <w:outlineLvl w:val="9"/>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ind w:leftChars="0"/>
        <w:jc w:val="both"/>
        <w:outlineLvl w:val="9"/>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ind w:leftChars="0"/>
        <w:jc w:val="both"/>
        <w:outlineLvl w:val="9"/>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p>
    <w:p>
      <w:pPr>
        <w:pStyle w:val="121"/>
        <w:numPr>
          <w:ilvl w:val="0"/>
          <w:numId w:val="0"/>
        </w:numPr>
        <w:ind w:leftChars="0"/>
        <w:jc w:val="both"/>
        <w:outlineLvl w:val="9"/>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3.服务报价明细表</w:t>
      </w:r>
    </w:p>
    <w:p>
      <w:pPr>
        <w:pStyle w:val="186"/>
        <w:spacing w:line="360" w:lineRule="auto"/>
        <w:ind w:left="0" w:left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价格单位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75"/>
        <w:gridCol w:w="1269"/>
        <w:gridCol w:w="1150"/>
        <w:gridCol w:w="1940"/>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7" w:type="dxa"/>
            <w:noWrap w:val="0"/>
            <w:vAlign w:val="center"/>
          </w:tcPr>
          <w:p>
            <w:pPr>
              <w:pStyle w:val="163"/>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1775" w:type="dxa"/>
            <w:noWrap w:val="0"/>
            <w:vAlign w:val="center"/>
          </w:tcPr>
          <w:p>
            <w:pPr>
              <w:pStyle w:val="163"/>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内容</w:t>
            </w:r>
          </w:p>
        </w:tc>
        <w:tc>
          <w:tcPr>
            <w:tcW w:w="1269" w:type="dxa"/>
            <w:noWrap w:val="0"/>
            <w:vAlign w:val="center"/>
          </w:tcPr>
          <w:p>
            <w:pPr>
              <w:pStyle w:val="163"/>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服务标准</w:t>
            </w:r>
          </w:p>
        </w:tc>
        <w:tc>
          <w:tcPr>
            <w:tcW w:w="1150" w:type="dxa"/>
            <w:noWrap w:val="0"/>
            <w:vAlign w:val="center"/>
          </w:tcPr>
          <w:p>
            <w:pPr>
              <w:pStyle w:val="163"/>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1940" w:type="dxa"/>
            <w:noWrap w:val="0"/>
            <w:vAlign w:val="center"/>
          </w:tcPr>
          <w:p>
            <w:pPr>
              <w:pStyle w:val="163"/>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取费标准</w:t>
            </w:r>
          </w:p>
          <w:p>
            <w:pPr>
              <w:pStyle w:val="163"/>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w:t>
            </w:r>
          </w:p>
        </w:tc>
        <w:tc>
          <w:tcPr>
            <w:tcW w:w="653" w:type="dxa"/>
            <w:noWrap w:val="0"/>
            <w:vAlign w:val="center"/>
          </w:tcPr>
          <w:p>
            <w:pPr>
              <w:pStyle w:val="163"/>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w:t>
            </w:r>
          </w:p>
        </w:tc>
        <w:tc>
          <w:tcPr>
            <w:tcW w:w="1775"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269"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15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94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653"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p>
        </w:tc>
        <w:tc>
          <w:tcPr>
            <w:tcW w:w="1775"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269"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15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94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653"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3</w:t>
            </w:r>
          </w:p>
        </w:tc>
        <w:tc>
          <w:tcPr>
            <w:tcW w:w="1775"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269"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15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94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653"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rPr>
                <w:rFonts w:hint="eastAsia" w:ascii="仿宋" w:hAnsi="仿宋" w:eastAsia="仿宋" w:cs="仿宋"/>
                <w:b/>
                <w:color w:val="000000" w:themeColor="text1"/>
                <w:sz w:val="24"/>
                <w:szCs w:val="24"/>
                <w:highlight w:val="none"/>
                <w:lang w:val="en-US" w:eastAsia="zh-CN"/>
                <w14:textFill>
                  <w14:solidFill>
                    <w14:schemeClr w14:val="tx1"/>
                  </w14:solidFill>
                </w14:textFill>
              </w:rPr>
            </w:pPr>
          </w:p>
        </w:tc>
        <w:tc>
          <w:tcPr>
            <w:tcW w:w="1775"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w:t>
            </w:r>
          </w:p>
        </w:tc>
        <w:tc>
          <w:tcPr>
            <w:tcW w:w="1269" w:type="dxa"/>
            <w:noWrap w:val="0"/>
            <w:vAlign w:val="top"/>
          </w:tcPr>
          <w:p>
            <w:pPr>
              <w:pStyle w:val="163"/>
              <w:spacing w:line="360" w:lineRule="auto"/>
              <w:rPr>
                <w:rFonts w:hint="eastAsia" w:ascii="仿宋" w:hAnsi="仿宋" w:eastAsia="仿宋" w:cs="仿宋"/>
                <w:b w:val="0"/>
                <w:bCs w:val="0"/>
                <w:color w:val="000000" w:themeColor="text1"/>
                <w:sz w:val="24"/>
                <w:szCs w:val="24"/>
                <w:highlight w:val="none"/>
                <w:u w:val="none"/>
                <w14:textFill>
                  <w14:solidFill>
                    <w14:schemeClr w14:val="tx1"/>
                  </w14:solidFill>
                </w14:textFill>
              </w:rPr>
            </w:pPr>
          </w:p>
        </w:tc>
        <w:tc>
          <w:tcPr>
            <w:tcW w:w="115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94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653"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775"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w:t>
            </w:r>
          </w:p>
        </w:tc>
        <w:tc>
          <w:tcPr>
            <w:tcW w:w="1269" w:type="dxa"/>
            <w:noWrap w:val="0"/>
            <w:vAlign w:val="top"/>
          </w:tcPr>
          <w:p>
            <w:pPr>
              <w:pStyle w:val="163"/>
              <w:spacing w:line="360" w:lineRule="auto"/>
              <w:rPr>
                <w:rFonts w:hint="eastAsia" w:ascii="仿宋" w:hAnsi="仿宋" w:eastAsia="仿宋" w:cs="仿宋"/>
                <w:b w:val="0"/>
                <w:bCs w:val="0"/>
                <w:color w:val="000000" w:themeColor="text1"/>
                <w:sz w:val="24"/>
                <w:szCs w:val="24"/>
                <w:highlight w:val="none"/>
                <w:u w:val="none"/>
                <w14:textFill>
                  <w14:solidFill>
                    <w14:schemeClr w14:val="tx1"/>
                  </w14:solidFill>
                </w14:textFill>
              </w:rPr>
            </w:pPr>
          </w:p>
        </w:tc>
        <w:tc>
          <w:tcPr>
            <w:tcW w:w="115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94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653"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775"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269"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15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94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653"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775"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269"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15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94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653"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775"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269"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15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1940"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c>
          <w:tcPr>
            <w:tcW w:w="653" w:type="dxa"/>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dxa"/>
            <w:gridSpan w:val="2"/>
            <w:noWrap w:val="0"/>
            <w:vAlign w:val="center"/>
          </w:tcPr>
          <w:p>
            <w:pPr>
              <w:pStyle w:val="163"/>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w:t>
            </w:r>
            <w:r>
              <w:rPr>
                <w:rFonts w:hint="eastAsia" w:ascii="仿宋" w:hAnsi="仿宋" w:eastAsia="仿宋" w:cs="仿宋"/>
                <w:color w:val="000000" w:themeColor="text1"/>
                <w:sz w:val="24"/>
                <w:szCs w:val="24"/>
                <w:highlight w:val="none"/>
                <w14:textFill>
                  <w14:solidFill>
                    <w14:schemeClr w14:val="tx1"/>
                  </w14:solidFill>
                </w14:textFill>
              </w:rPr>
              <w:t>计</w:t>
            </w:r>
            <w:r>
              <w:rPr>
                <w:rFonts w:hint="eastAsia" w:ascii="仿宋" w:hAnsi="仿宋" w:eastAsia="仿宋" w:cs="仿宋"/>
                <w:color w:val="000000" w:themeColor="text1"/>
                <w:sz w:val="24"/>
                <w:szCs w:val="24"/>
                <w:highlight w:val="none"/>
                <w:lang w:val="en-US" w:eastAsia="zh-CN"/>
                <w14:textFill>
                  <w14:solidFill>
                    <w14:schemeClr w14:val="tx1"/>
                  </w14:solidFill>
                </w14:textFill>
              </w:rPr>
              <w:t>金额</w:t>
            </w:r>
          </w:p>
        </w:tc>
        <w:tc>
          <w:tcPr>
            <w:tcW w:w="5012" w:type="dxa"/>
            <w:gridSpan w:val="4"/>
            <w:noWrap w:val="0"/>
            <w:vAlign w:val="top"/>
          </w:tcPr>
          <w:p>
            <w:pPr>
              <w:pStyle w:val="163"/>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tc>
      </w:tr>
    </w:tbl>
    <w:p>
      <w:pPr>
        <w:pStyle w:val="163"/>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sz w:val="24"/>
          <w:szCs w:val="24"/>
          <w:highlight w:val="none"/>
          <w14:textFill>
            <w14:solidFill>
              <w14:schemeClr w14:val="tx1"/>
            </w14:solidFill>
          </w14:textFill>
        </w:rPr>
        <w:t>投标人必须填写</w:t>
      </w:r>
      <w:r>
        <w:rPr>
          <w:rFonts w:hint="eastAsia" w:ascii="仿宋" w:hAnsi="仿宋" w:eastAsia="仿宋" w:cs="仿宋"/>
          <w:color w:val="000000" w:themeColor="text1"/>
          <w:sz w:val="24"/>
          <w:szCs w:val="24"/>
          <w:highlight w:val="none"/>
          <w14:textFill>
            <w14:solidFill>
              <w14:schemeClr w14:val="tx1"/>
            </w14:solidFill>
          </w14:textFill>
        </w:rPr>
        <w:t>报价明细表</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否则将导致投标被拒绝。</w:t>
      </w:r>
    </w:p>
    <w:p>
      <w:pPr>
        <w:pStyle w:val="163"/>
        <w:spacing w:line="360" w:lineRule="auto"/>
        <w:ind w:left="7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2、报价分析表中的“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合计金额</w:t>
      </w:r>
      <w:r>
        <w:rPr>
          <w:rFonts w:hint="eastAsia" w:ascii="仿宋" w:hAnsi="仿宋" w:eastAsia="仿宋" w:cs="仿宋"/>
          <w:color w:val="000000" w:themeColor="text1"/>
          <w:sz w:val="24"/>
          <w:szCs w:val="24"/>
          <w:highlight w:val="none"/>
          <w14:textFill>
            <w14:solidFill>
              <w14:schemeClr w14:val="tx1"/>
            </w14:solidFill>
          </w14:textFill>
        </w:rPr>
        <w:t>”应等于“开标一览表”中的“投标总价”。</w:t>
      </w:r>
    </w:p>
    <w:p>
      <w:pPr>
        <w:pStyle w:val="163"/>
        <w:spacing w:line="360" w:lineRule="auto"/>
        <w:ind w:left="7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3、报价项目填报不下的</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可自行扩展。</w:t>
      </w:r>
    </w:p>
    <w:p>
      <w:pPr>
        <w:pStyle w:val="163"/>
        <w:rPr>
          <w:rFonts w:hint="eastAsia" w:ascii="仿宋" w:hAnsi="仿宋" w:eastAsia="仿宋" w:cs="仿宋"/>
          <w:color w:val="000000" w:themeColor="text1"/>
          <w:sz w:val="24"/>
          <w:szCs w:val="24"/>
          <w:highlight w:val="none"/>
          <w14:textFill>
            <w14:solidFill>
              <w14:schemeClr w14:val="tx1"/>
            </w14:solidFill>
          </w14:textFill>
        </w:rPr>
      </w:pPr>
    </w:p>
    <w:p>
      <w:pPr>
        <w:pStyle w:val="163"/>
        <w:rPr>
          <w:rFonts w:hint="eastAsia" w:ascii="仿宋" w:hAnsi="仿宋" w:eastAsia="仿宋" w:cs="仿宋"/>
          <w:color w:val="000000" w:themeColor="text1"/>
          <w:sz w:val="24"/>
          <w:szCs w:val="24"/>
          <w:highlight w:val="none"/>
          <w14:textFill>
            <w14:solidFill>
              <w14:schemeClr w14:val="tx1"/>
            </w14:solidFill>
          </w14:textFill>
        </w:rPr>
      </w:pPr>
    </w:p>
    <w:p>
      <w:pPr>
        <w:pStyle w:val="23"/>
        <w:tabs>
          <w:tab w:val="left" w:pos="5580"/>
        </w:tabs>
        <w:spacing w:line="360" w:lineRule="auto"/>
        <w:ind w:left="1165" w:leftChars="555" w:firstLine="2260" w:firstLineChars="94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签</w:t>
      </w:r>
      <w:r>
        <w:rPr>
          <w:rFonts w:hint="eastAsia" w:ascii="仿宋" w:hAnsi="仿宋" w:eastAsia="仿宋" w:cs="仿宋"/>
          <w:color w:val="000000" w:themeColor="text1"/>
          <w:sz w:val="24"/>
          <w:szCs w:val="24"/>
          <w:highlight w:val="none"/>
          <w14:textFill>
            <w14:solidFill>
              <w14:schemeClr w14:val="tx1"/>
            </w14:solidFill>
          </w14:textFill>
        </w:rPr>
        <w:t>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63"/>
        <w:ind w:firstLine="6000" w:firstLineChars="2500"/>
        <w:rPr>
          <w:rFonts w:hint="eastAsia" w:ascii="仿宋" w:hAnsi="仿宋" w:eastAsia="仿宋" w:cs="仿宋"/>
          <w:color w:val="000000" w:themeColor="text1"/>
          <w:sz w:val="24"/>
          <w:szCs w:val="24"/>
          <w:highlight w:val="none"/>
          <w14:textFill>
            <w14:solidFill>
              <w14:schemeClr w14:val="tx1"/>
            </w14:solidFill>
          </w14:textFill>
        </w:rPr>
      </w:pPr>
    </w:p>
    <w:p>
      <w:pPr>
        <w:pStyle w:val="163"/>
        <w:ind w:firstLine="6000" w:firstLineChars="2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2"/>
        <w:numPr>
          <w:ilvl w:val="0"/>
          <w:numId w:val="0"/>
        </w:numPr>
        <w:spacing w:before="0" w:line="360" w:lineRule="auto"/>
        <w:jc w:val="center"/>
        <w:outlineLvl w:val="0"/>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bookmarkStart w:id="268" w:name="_Toc28288"/>
      <w:bookmarkStart w:id="269" w:name="_Toc12348"/>
      <w:bookmarkStart w:id="270" w:name="_Toc98265629"/>
      <w:bookmarkStart w:id="271" w:name="_Toc17591"/>
      <w:bookmarkStart w:id="272" w:name="_Toc9075"/>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三、商务技术文件</w:t>
      </w:r>
      <w:bookmarkEnd w:id="268"/>
      <w:bookmarkEnd w:id="269"/>
      <w:bookmarkEnd w:id="270"/>
      <w:bookmarkEnd w:id="271"/>
      <w:bookmarkEnd w:id="272"/>
    </w:p>
    <w:p>
      <w:pPr>
        <w:pStyle w:val="121"/>
        <w:jc w:val="both"/>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br w:type="page"/>
      </w:r>
    </w:p>
    <w:p>
      <w:pPr>
        <w:pStyle w:val="121"/>
        <w:jc w:val="both"/>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1.类似项目业绩</w:t>
      </w:r>
    </w:p>
    <w:tbl>
      <w:tblPr>
        <w:tblStyle w:val="38"/>
        <w:tblpPr w:leftFromText="180" w:rightFromText="180" w:vertAnchor="text" w:horzAnchor="page" w:tblpX="1028" w:tblpY="438"/>
        <w:tblOverlap w:val="never"/>
        <w:tblW w:w="0" w:type="auto"/>
        <w:tblInd w:w="0" w:type="dxa"/>
        <w:tblLayout w:type="fixed"/>
        <w:tblCellMar>
          <w:top w:w="0" w:type="dxa"/>
          <w:left w:w="108" w:type="dxa"/>
          <w:bottom w:w="0" w:type="dxa"/>
          <w:right w:w="108" w:type="dxa"/>
        </w:tblCellMar>
      </w:tblPr>
      <w:tblGrid>
        <w:gridCol w:w="712"/>
        <w:gridCol w:w="2106"/>
        <w:gridCol w:w="1068"/>
        <w:gridCol w:w="1293"/>
        <w:gridCol w:w="872"/>
        <w:gridCol w:w="2988"/>
        <w:gridCol w:w="1515"/>
      </w:tblGrid>
      <w:tr>
        <w:tblPrEx>
          <w:tblCellMar>
            <w:top w:w="0" w:type="dxa"/>
            <w:left w:w="108" w:type="dxa"/>
            <w:bottom w:w="0" w:type="dxa"/>
            <w:right w:w="108" w:type="dxa"/>
          </w:tblCellMar>
        </w:tblPrEx>
        <w:trPr>
          <w:cantSplit/>
          <w:trHeight w:val="648" w:hRule="atLeast"/>
        </w:trPr>
        <w:tc>
          <w:tcPr>
            <w:tcW w:w="712"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序号</w:t>
            </w:r>
          </w:p>
        </w:tc>
        <w:tc>
          <w:tcPr>
            <w:tcW w:w="210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项目名称</w:t>
            </w:r>
          </w:p>
        </w:tc>
        <w:tc>
          <w:tcPr>
            <w:tcW w:w="106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项目时间/地点</w:t>
            </w:r>
          </w:p>
        </w:tc>
        <w:tc>
          <w:tcPr>
            <w:tcW w:w="12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项目主要内容</w:t>
            </w:r>
          </w:p>
        </w:tc>
        <w:tc>
          <w:tcPr>
            <w:tcW w:w="87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合同金额</w:t>
            </w:r>
          </w:p>
          <w:p>
            <w:pPr>
              <w:jc w:val="center"/>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（元）</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center"/>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附件</w:t>
            </w:r>
          </w:p>
        </w:tc>
        <w:tc>
          <w:tcPr>
            <w:tcW w:w="151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采购单位联系人及</w:t>
            </w:r>
          </w:p>
          <w:p>
            <w:pPr>
              <w:spacing w:before="50" w:after="120" w:line="400" w:lineRule="exact"/>
              <w:jc w:val="center"/>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联系电话</w:t>
            </w:r>
          </w:p>
        </w:tc>
      </w:tr>
      <w:tr>
        <w:tblPrEx>
          <w:tblCellMar>
            <w:top w:w="0" w:type="dxa"/>
            <w:left w:w="108" w:type="dxa"/>
            <w:bottom w:w="0" w:type="dxa"/>
            <w:right w:w="108" w:type="dxa"/>
          </w:tblCellMar>
        </w:tblPrEx>
        <w:trPr>
          <w:cantSplit/>
          <w:trHeight w:val="803" w:hRule="atLeast"/>
        </w:trPr>
        <w:tc>
          <w:tcPr>
            <w:tcW w:w="712" w:type="dxa"/>
            <w:vMerge w:val="continue"/>
            <w:tcBorders>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21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合同</w:t>
            </w:r>
          </w:p>
        </w:tc>
        <w:tc>
          <w:tcPr>
            <w:tcW w:w="1515" w:type="dxa"/>
            <w:vMerge w:val="continue"/>
            <w:tcBorders>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000000" w:themeColor="text1"/>
                <w:kern w:val="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229" w:hRule="atLeast"/>
        </w:trPr>
        <w:tc>
          <w:tcPr>
            <w:tcW w:w="71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cente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1</w:t>
            </w:r>
          </w:p>
        </w:tc>
        <w:tc>
          <w:tcPr>
            <w:tcW w:w="2106"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71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cente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2</w:t>
            </w:r>
          </w:p>
        </w:tc>
        <w:tc>
          <w:tcPr>
            <w:tcW w:w="2106"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07" w:hRule="atLeast"/>
        </w:trPr>
        <w:tc>
          <w:tcPr>
            <w:tcW w:w="71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cente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w:t>
            </w:r>
          </w:p>
        </w:tc>
        <w:tc>
          <w:tcPr>
            <w:tcW w:w="2106"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84" w:hRule="atLeast"/>
        </w:trPr>
        <w:tc>
          <w:tcPr>
            <w:tcW w:w="71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 </w:t>
            </w: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25" w:hRule="atLeast"/>
        </w:trPr>
        <w:tc>
          <w:tcPr>
            <w:tcW w:w="71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2106"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 </w:t>
            </w:r>
          </w:p>
        </w:tc>
        <w:tc>
          <w:tcPr>
            <w:tcW w:w="106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293"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872"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spacing w:before="50" w:after="120" w:line="400" w:lineRule="exact"/>
              <w:jc w:val="left"/>
              <w:rPr>
                <w:rFonts w:hint="eastAsia" w:ascii="仿宋" w:hAnsi="仿宋" w:eastAsia="仿宋" w:cs="仿宋"/>
                <w:color w:val="000000" w:themeColor="text1"/>
                <w:kern w:val="1"/>
                <w:sz w:val="24"/>
                <w:szCs w:val="24"/>
                <w:highlight w:val="none"/>
                <w14:textFill>
                  <w14:solidFill>
                    <w14:schemeClr w14:val="tx1"/>
                  </w14:solidFill>
                </w14:textFill>
              </w:rPr>
            </w:pPr>
          </w:p>
        </w:tc>
      </w:tr>
    </w:tbl>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lang w:val="en-US" w:eastAsia="zh-CN"/>
          <w14:textFill>
            <w14:solidFill>
              <w14:schemeClr w14:val="tx1"/>
            </w14:solidFill>
          </w14:textFill>
        </w:rPr>
        <w:t>签字或</w:t>
      </w:r>
      <w:r>
        <w:rPr>
          <w:rFonts w:hint="eastAsia" w:ascii="仿宋" w:hAnsi="仿宋" w:eastAsia="仿宋" w:cs="仿宋"/>
          <w:color w:val="000000" w:themeColor="text1"/>
          <w:sz w:val="24"/>
          <w:szCs w:val="24"/>
          <w:highlight w:val="none"/>
          <w14:textFill>
            <w14:solidFill>
              <w14:schemeClr w14:val="tx1"/>
            </w14:solidFill>
          </w14:textFill>
        </w:rPr>
        <w:t>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签发日期</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附：中标通知书或合同原件扫描件并将加盖公章</w:t>
      </w: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21"/>
        <w:jc w:val="both"/>
        <w:outlineLvl w:val="9"/>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pPr>
    </w:p>
    <w:p>
      <w:pPr>
        <w:pStyle w:val="3"/>
        <w:numPr>
          <w:ilvl w:val="2"/>
          <w:numId w:val="0"/>
        </w:numPr>
        <w:ind w:leftChars="0"/>
        <w:jc w:val="left"/>
        <w:outlineLvl w:val="1"/>
        <w:rPr>
          <w:rFonts w:hint="eastAsia" w:ascii="仿宋" w:hAnsi="仿宋" w:eastAsia="仿宋" w:cs="仿宋"/>
          <w:b/>
          <w:bCs w:val="0"/>
          <w:color w:val="000000" w:themeColor="text1"/>
          <w:kern w:val="2"/>
          <w:sz w:val="32"/>
          <w:szCs w:val="32"/>
          <w:highlight w:val="none"/>
          <w:lang w:val="en-US" w:eastAsia="zh-CN"/>
          <w14:textFill>
            <w14:solidFill>
              <w14:schemeClr w14:val="tx1"/>
            </w14:solidFill>
          </w14:textFill>
        </w:rPr>
      </w:pPr>
      <w:bookmarkStart w:id="273" w:name="_Toc2823"/>
      <w:bookmarkStart w:id="274" w:name="_Toc32172"/>
      <w:r>
        <w:rPr>
          <w:rFonts w:hint="eastAsia" w:ascii="仿宋" w:hAnsi="仿宋" w:eastAsia="仿宋" w:cs="仿宋"/>
          <w:b/>
          <w:bCs w:val="0"/>
          <w:color w:val="000000" w:themeColor="text1"/>
          <w:kern w:val="2"/>
          <w:sz w:val="24"/>
          <w:szCs w:val="24"/>
          <w:highlight w:val="none"/>
          <w:lang w:val="en-US" w:eastAsia="zh-CN"/>
          <w14:textFill>
            <w14:solidFill>
              <w14:schemeClr w14:val="tx1"/>
            </w14:solidFill>
          </w14:textFill>
        </w:rPr>
        <w:t>2.商务条款偏离说明表</w:t>
      </w:r>
      <w:bookmarkEnd w:id="273"/>
      <w:bookmarkEnd w:id="274"/>
    </w:p>
    <w:p>
      <w:pPr>
        <w:numPr>
          <w:ilvl w:val="4"/>
          <w:numId w:val="0"/>
        </w:numPr>
        <w:spacing w:before="230" w:beforeLines="0"/>
        <w:ind w:left="3573" w:leftChars="0"/>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商务响应、偏离说明表</w:t>
      </w:r>
      <w:r>
        <w:rPr>
          <w:rFonts w:hint="eastAsia" w:ascii="仿宋" w:hAnsi="仿宋" w:eastAsia="仿宋" w:cs="仿宋"/>
          <w:color w:val="000000" w:themeColor="text1"/>
          <w:highlight w:val="none"/>
          <w14:textFill>
            <w14:solidFill>
              <w14:schemeClr w14:val="tx1"/>
            </w14:solidFill>
          </w14:textFill>
        </w:rPr>
        <w:t xml:space="preserve"> </w:t>
      </w:r>
    </w:p>
    <w:p>
      <w:pPr>
        <w:spacing w:before="140" w:beforeLines="0" w:line="336" w:lineRule="auto"/>
        <w:ind w:right="3103"/>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采购项目编号：</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14:textFill>
            <w14:solidFill>
              <w14:schemeClr w14:val="tx1"/>
            </w14:solidFill>
          </w14:textFill>
        </w:rPr>
        <w:t xml:space="preserve">      采购项目名称：</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2"/>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tbl>
      <w:tblPr>
        <w:tblStyle w:val="38"/>
        <w:tblpPr w:leftFromText="180" w:rightFromText="180" w:vertAnchor="text" w:horzAnchor="page" w:tblpX="1511" w:tblpY="4"/>
        <w:tblOverlap w:val="never"/>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2920"/>
        <w:gridCol w:w="3064"/>
        <w:gridCol w:w="2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565" w:type="dxa"/>
            <w:noWrap w:val="0"/>
            <w:vAlign w:val="top"/>
          </w:tcPr>
          <w:p>
            <w:pPr>
              <w:pStyle w:val="170"/>
              <w:spacing w:line="500" w:lineRule="exact"/>
              <w:ind w:left="107" w:right="-1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序号 </w:t>
            </w:r>
          </w:p>
        </w:tc>
        <w:tc>
          <w:tcPr>
            <w:tcW w:w="2920" w:type="dxa"/>
            <w:noWrap w:val="0"/>
            <w:vAlign w:val="top"/>
          </w:tcPr>
          <w:p>
            <w:pPr>
              <w:pStyle w:val="170"/>
              <w:spacing w:before="11" w:beforeLines="0"/>
              <w:rPr>
                <w:rFonts w:hint="eastAsia" w:ascii="仿宋" w:hAnsi="仿宋" w:eastAsia="仿宋" w:cs="仿宋"/>
                <w:color w:val="000000" w:themeColor="text1"/>
                <w:sz w:val="24"/>
                <w:szCs w:val="24"/>
                <w:highlight w:val="none"/>
                <w14:textFill>
                  <w14:solidFill>
                    <w14:schemeClr w14:val="tx1"/>
                  </w14:solidFill>
                </w14:textFill>
              </w:rPr>
            </w:pPr>
          </w:p>
          <w:p>
            <w:pPr>
              <w:pStyle w:val="170"/>
              <w:ind w:left="23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 xml:space="preserve">要求部分 </w:t>
            </w:r>
          </w:p>
        </w:tc>
        <w:tc>
          <w:tcPr>
            <w:tcW w:w="3064" w:type="dxa"/>
            <w:noWrap w:val="0"/>
            <w:vAlign w:val="top"/>
          </w:tcPr>
          <w:p>
            <w:pPr>
              <w:pStyle w:val="170"/>
              <w:spacing w:line="500" w:lineRule="exact"/>
              <w:ind w:left="730" w:right="585"/>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投标服务响应部分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具体所对应页码）</w:t>
            </w:r>
          </w:p>
        </w:tc>
        <w:tc>
          <w:tcPr>
            <w:tcW w:w="2629" w:type="dxa"/>
            <w:noWrap w:val="0"/>
            <w:vAlign w:val="top"/>
          </w:tcPr>
          <w:p>
            <w:pPr>
              <w:pStyle w:val="170"/>
              <w:spacing w:before="11" w:beforeLines="0"/>
              <w:rPr>
                <w:rFonts w:hint="eastAsia" w:ascii="仿宋" w:hAnsi="仿宋" w:eastAsia="仿宋" w:cs="仿宋"/>
                <w:color w:val="000000" w:themeColor="text1"/>
                <w:sz w:val="24"/>
                <w:szCs w:val="24"/>
                <w:highlight w:val="none"/>
                <w14:textFill>
                  <w14:solidFill>
                    <w14:schemeClr w14:val="tx1"/>
                  </w14:solidFill>
                </w14:textFill>
              </w:rPr>
            </w:pPr>
          </w:p>
          <w:p>
            <w:pPr>
              <w:pStyle w:val="170"/>
              <w:ind w:left="78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偏离说明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noWrap w:val="0"/>
            <w:vAlign w:val="top"/>
          </w:tcPr>
          <w:p>
            <w:pPr>
              <w:pStyle w:val="170"/>
              <w:spacing w:before="245" w:beforeLines="0"/>
              <w:ind w:left="10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 </w:t>
            </w:r>
          </w:p>
        </w:tc>
        <w:tc>
          <w:tcPr>
            <w:tcW w:w="2920" w:type="dxa"/>
            <w:noWrap w:val="0"/>
            <w:vAlign w:val="top"/>
          </w:tcPr>
          <w:p>
            <w:pPr>
              <w:pStyle w:val="170"/>
              <w:spacing w:before="245" w:beforeLines="0"/>
              <w:ind w:left="107"/>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（人员投入</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服务期</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.服务地点.付款方式等</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64" w:type="dxa"/>
            <w:noWrap w:val="0"/>
            <w:vAlign w:val="top"/>
          </w:tcPr>
          <w:p>
            <w:pPr>
              <w:pStyle w:val="170"/>
              <w:spacing w:before="245"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c>
          <w:tcPr>
            <w:tcW w:w="2629" w:type="dxa"/>
            <w:noWrap w:val="0"/>
            <w:vAlign w:val="top"/>
          </w:tcPr>
          <w:p>
            <w:pPr>
              <w:pStyle w:val="170"/>
              <w:spacing w:before="245"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170"/>
              <w:spacing w:before="248" w:beforeLines="0"/>
              <w:ind w:left="10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p>
        </w:tc>
        <w:tc>
          <w:tcPr>
            <w:tcW w:w="2920" w:type="dxa"/>
            <w:noWrap w:val="0"/>
            <w:vAlign w:val="top"/>
          </w:tcPr>
          <w:p>
            <w:pPr>
              <w:pStyle w:val="170"/>
              <w:spacing w:before="248" w:beforeLines="0"/>
              <w:ind w:left="107"/>
              <w:rPr>
                <w:rFonts w:hint="eastAsia" w:ascii="仿宋" w:hAnsi="仿宋" w:eastAsia="仿宋" w:cs="仿宋"/>
                <w:color w:val="000000" w:themeColor="text1"/>
                <w:sz w:val="24"/>
                <w:szCs w:val="24"/>
                <w:highlight w:val="none"/>
                <w14:textFill>
                  <w14:solidFill>
                    <w14:schemeClr w14:val="tx1"/>
                  </w14:solidFill>
                </w14:textFill>
              </w:rPr>
            </w:pPr>
          </w:p>
        </w:tc>
        <w:tc>
          <w:tcPr>
            <w:tcW w:w="3064" w:type="dxa"/>
            <w:noWrap w:val="0"/>
            <w:vAlign w:val="top"/>
          </w:tcPr>
          <w:p>
            <w:pPr>
              <w:pStyle w:val="170"/>
              <w:spacing w:before="248"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c>
          <w:tcPr>
            <w:tcW w:w="2629" w:type="dxa"/>
            <w:noWrap w:val="0"/>
            <w:vAlign w:val="top"/>
          </w:tcPr>
          <w:p>
            <w:pPr>
              <w:pStyle w:val="170"/>
              <w:spacing w:before="248"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noWrap w:val="0"/>
            <w:vAlign w:val="top"/>
          </w:tcPr>
          <w:p>
            <w:pPr>
              <w:pStyle w:val="170"/>
              <w:spacing w:before="245" w:beforeLines="0"/>
              <w:ind w:left="10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 </w:t>
            </w:r>
          </w:p>
        </w:tc>
        <w:tc>
          <w:tcPr>
            <w:tcW w:w="2920" w:type="dxa"/>
            <w:noWrap w:val="0"/>
            <w:vAlign w:val="top"/>
          </w:tcPr>
          <w:p>
            <w:pPr>
              <w:pStyle w:val="170"/>
              <w:spacing w:before="245" w:beforeLines="0"/>
              <w:ind w:left="107"/>
              <w:rPr>
                <w:rFonts w:hint="eastAsia" w:ascii="仿宋" w:hAnsi="仿宋" w:eastAsia="仿宋" w:cs="仿宋"/>
                <w:color w:val="000000" w:themeColor="text1"/>
                <w:sz w:val="24"/>
                <w:szCs w:val="24"/>
                <w:highlight w:val="none"/>
                <w14:textFill>
                  <w14:solidFill>
                    <w14:schemeClr w14:val="tx1"/>
                  </w14:solidFill>
                </w14:textFill>
              </w:rPr>
            </w:pPr>
          </w:p>
        </w:tc>
        <w:tc>
          <w:tcPr>
            <w:tcW w:w="3064" w:type="dxa"/>
            <w:noWrap w:val="0"/>
            <w:vAlign w:val="top"/>
          </w:tcPr>
          <w:p>
            <w:pPr>
              <w:pStyle w:val="170"/>
              <w:spacing w:before="245"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c>
          <w:tcPr>
            <w:tcW w:w="2629" w:type="dxa"/>
            <w:noWrap w:val="0"/>
            <w:vAlign w:val="top"/>
          </w:tcPr>
          <w:p>
            <w:pPr>
              <w:pStyle w:val="170"/>
              <w:spacing w:before="245"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170"/>
              <w:spacing w:before="248" w:beforeLines="0"/>
              <w:ind w:left="10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 </w:t>
            </w:r>
          </w:p>
        </w:tc>
        <w:tc>
          <w:tcPr>
            <w:tcW w:w="2920" w:type="dxa"/>
            <w:noWrap w:val="0"/>
            <w:vAlign w:val="top"/>
          </w:tcPr>
          <w:p>
            <w:pPr>
              <w:pStyle w:val="170"/>
              <w:spacing w:before="248" w:beforeLines="0"/>
              <w:ind w:left="107"/>
              <w:rPr>
                <w:rFonts w:hint="eastAsia" w:ascii="仿宋" w:hAnsi="仿宋" w:eastAsia="仿宋" w:cs="仿宋"/>
                <w:color w:val="000000" w:themeColor="text1"/>
                <w:sz w:val="24"/>
                <w:szCs w:val="24"/>
                <w:highlight w:val="none"/>
                <w14:textFill>
                  <w14:solidFill>
                    <w14:schemeClr w14:val="tx1"/>
                  </w14:solidFill>
                </w14:textFill>
              </w:rPr>
            </w:pPr>
          </w:p>
        </w:tc>
        <w:tc>
          <w:tcPr>
            <w:tcW w:w="3064" w:type="dxa"/>
            <w:noWrap w:val="0"/>
            <w:vAlign w:val="top"/>
          </w:tcPr>
          <w:p>
            <w:pPr>
              <w:pStyle w:val="170"/>
              <w:spacing w:before="248"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c>
          <w:tcPr>
            <w:tcW w:w="2629" w:type="dxa"/>
            <w:noWrap w:val="0"/>
            <w:vAlign w:val="top"/>
          </w:tcPr>
          <w:p>
            <w:pPr>
              <w:pStyle w:val="170"/>
              <w:spacing w:before="248"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170"/>
              <w:spacing w:before="248" w:beforeLines="0"/>
              <w:ind w:left="10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5 </w:t>
            </w:r>
          </w:p>
        </w:tc>
        <w:tc>
          <w:tcPr>
            <w:tcW w:w="2920" w:type="dxa"/>
            <w:noWrap w:val="0"/>
            <w:vAlign w:val="top"/>
          </w:tcPr>
          <w:p>
            <w:pPr>
              <w:pStyle w:val="170"/>
              <w:spacing w:before="245" w:beforeLines="0"/>
              <w:ind w:left="107" w:leftChars="0"/>
              <w:rPr>
                <w:rFonts w:hint="eastAsia" w:ascii="仿宋" w:hAnsi="仿宋" w:eastAsia="仿宋" w:cs="仿宋"/>
                <w:color w:val="000000" w:themeColor="text1"/>
                <w:kern w:val="0"/>
                <w:sz w:val="24"/>
                <w:szCs w:val="24"/>
                <w:highlight w:val="none"/>
                <w:lang w:val="zh-CN" w:eastAsia="zh-CN"/>
                <w14:textFill>
                  <w14:solidFill>
                    <w14:schemeClr w14:val="tx1"/>
                  </w14:solidFill>
                </w14:textFill>
              </w:rPr>
            </w:pPr>
          </w:p>
        </w:tc>
        <w:tc>
          <w:tcPr>
            <w:tcW w:w="3064" w:type="dxa"/>
            <w:noWrap w:val="0"/>
            <w:vAlign w:val="top"/>
          </w:tcPr>
          <w:p>
            <w:pPr>
              <w:pStyle w:val="170"/>
              <w:spacing w:before="248"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c>
          <w:tcPr>
            <w:tcW w:w="2629" w:type="dxa"/>
            <w:noWrap w:val="0"/>
            <w:vAlign w:val="top"/>
          </w:tcPr>
          <w:p>
            <w:pPr>
              <w:pStyle w:val="170"/>
              <w:spacing w:before="248"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noWrap w:val="0"/>
            <w:vAlign w:val="top"/>
          </w:tcPr>
          <w:p>
            <w:pPr>
              <w:pStyle w:val="170"/>
              <w:spacing w:before="248" w:beforeLines="0"/>
              <w:ind w:left="107"/>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2920" w:type="dxa"/>
            <w:noWrap w:val="0"/>
            <w:vAlign w:val="top"/>
          </w:tcPr>
          <w:p>
            <w:pPr>
              <w:pStyle w:val="170"/>
              <w:spacing w:before="248" w:beforeLines="0"/>
              <w:ind w:left="107" w:leftChars="0"/>
              <w:rPr>
                <w:rFonts w:hint="eastAsia" w:ascii="仿宋" w:hAnsi="仿宋" w:eastAsia="仿宋" w:cs="仿宋"/>
                <w:color w:val="000000" w:themeColor="text1"/>
                <w:kern w:val="0"/>
                <w:sz w:val="24"/>
                <w:szCs w:val="24"/>
                <w:highlight w:val="none"/>
                <w:lang w:val="zh-CN" w:eastAsia="zh-CN"/>
                <w14:textFill>
                  <w14:solidFill>
                    <w14:schemeClr w14:val="tx1"/>
                  </w14:solidFill>
                </w14:textFill>
              </w:rPr>
            </w:pPr>
          </w:p>
        </w:tc>
        <w:tc>
          <w:tcPr>
            <w:tcW w:w="3064" w:type="dxa"/>
            <w:noWrap w:val="0"/>
            <w:vAlign w:val="top"/>
          </w:tcPr>
          <w:p>
            <w:pPr>
              <w:pStyle w:val="170"/>
              <w:spacing w:before="248"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c>
          <w:tcPr>
            <w:tcW w:w="2629" w:type="dxa"/>
            <w:noWrap w:val="0"/>
            <w:vAlign w:val="top"/>
          </w:tcPr>
          <w:p>
            <w:pPr>
              <w:pStyle w:val="170"/>
              <w:spacing w:before="248"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noWrap w:val="0"/>
            <w:vAlign w:val="top"/>
          </w:tcPr>
          <w:p>
            <w:pPr>
              <w:pStyle w:val="170"/>
              <w:spacing w:before="247" w:beforeLines="0"/>
              <w:ind w:left="107" w:right="-15"/>
              <w:rPr>
                <w:rFonts w:hint="eastAsia" w:ascii="仿宋" w:hAnsi="仿宋" w:eastAsia="仿宋" w:cs="仿宋"/>
                <w:color w:val="000000" w:themeColor="text1"/>
                <w:sz w:val="24"/>
                <w:szCs w:val="24"/>
                <w:highlight w:val="none"/>
                <w14:textFill>
                  <w14:solidFill>
                    <w14:schemeClr w14:val="tx1"/>
                  </w14:solidFill>
                </w14:textFill>
              </w:rPr>
            </w:pPr>
          </w:p>
        </w:tc>
        <w:tc>
          <w:tcPr>
            <w:tcW w:w="2920" w:type="dxa"/>
            <w:noWrap w:val="0"/>
            <w:vAlign w:val="top"/>
          </w:tcPr>
          <w:p>
            <w:pPr>
              <w:pStyle w:val="170"/>
              <w:spacing w:before="247" w:beforeLines="0"/>
              <w:ind w:left="107"/>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r>
              <w:rPr>
                <w:rFonts w:hint="eastAsia" w:ascii="仿宋" w:hAnsi="仿宋" w:eastAsia="仿宋" w:cs="仿宋"/>
                <w:color w:val="000000" w:themeColor="text1"/>
                <w:w w:val="100"/>
                <w:sz w:val="24"/>
                <w:szCs w:val="24"/>
                <w:highlight w:val="none"/>
                <w:lang w:val="en-US" w:eastAsia="zh-CN"/>
                <w14:textFill>
                  <w14:solidFill>
                    <w14:schemeClr w14:val="tx1"/>
                  </w14:solidFill>
                </w14:textFill>
              </w:rPr>
              <w:t>.....</w:t>
            </w:r>
          </w:p>
        </w:tc>
        <w:tc>
          <w:tcPr>
            <w:tcW w:w="3064" w:type="dxa"/>
            <w:noWrap w:val="0"/>
            <w:vAlign w:val="top"/>
          </w:tcPr>
          <w:p>
            <w:pPr>
              <w:pStyle w:val="170"/>
              <w:spacing w:before="247"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c>
          <w:tcPr>
            <w:tcW w:w="2629" w:type="dxa"/>
            <w:noWrap w:val="0"/>
            <w:vAlign w:val="top"/>
          </w:tcPr>
          <w:p>
            <w:pPr>
              <w:pStyle w:val="170"/>
              <w:spacing w:before="247" w:beforeLines="0"/>
              <w:ind w:left="10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noWrap w:val="0"/>
            <w:vAlign w:val="top"/>
          </w:tcPr>
          <w:p>
            <w:pPr>
              <w:pStyle w:val="170"/>
              <w:spacing w:before="247" w:beforeLines="0"/>
              <w:ind w:left="107" w:right="-15"/>
              <w:rPr>
                <w:rFonts w:hint="eastAsia" w:ascii="仿宋" w:hAnsi="仿宋" w:eastAsia="仿宋" w:cs="仿宋"/>
                <w:color w:val="000000" w:themeColor="text1"/>
                <w:sz w:val="24"/>
                <w:szCs w:val="24"/>
                <w:highlight w:val="none"/>
                <w14:textFill>
                  <w14:solidFill>
                    <w14:schemeClr w14:val="tx1"/>
                  </w14:solidFill>
                </w14:textFill>
              </w:rPr>
            </w:pPr>
          </w:p>
        </w:tc>
        <w:tc>
          <w:tcPr>
            <w:tcW w:w="2920" w:type="dxa"/>
            <w:noWrap w:val="0"/>
            <w:vAlign w:val="top"/>
          </w:tcPr>
          <w:p>
            <w:pPr>
              <w:pStyle w:val="170"/>
              <w:spacing w:before="247" w:beforeLines="0"/>
              <w:ind w:left="107"/>
              <w:rPr>
                <w:rFonts w:hint="eastAsia" w:ascii="仿宋" w:hAnsi="仿宋" w:eastAsia="仿宋" w:cs="仿宋"/>
                <w:color w:val="000000" w:themeColor="text1"/>
                <w:w w:val="100"/>
                <w:sz w:val="24"/>
                <w:szCs w:val="24"/>
                <w:highlight w:val="none"/>
                <w14:textFill>
                  <w14:solidFill>
                    <w14:schemeClr w14:val="tx1"/>
                  </w14:solidFill>
                </w14:textFill>
              </w:rPr>
            </w:pPr>
            <w:r>
              <w:rPr>
                <w:rFonts w:hint="eastAsia" w:ascii="仿宋" w:hAnsi="仿宋" w:eastAsia="仿宋" w:cs="仿宋"/>
                <w:color w:val="000000" w:themeColor="text1"/>
                <w:w w:val="100"/>
                <w:sz w:val="24"/>
                <w:szCs w:val="24"/>
                <w:highlight w:val="none"/>
                <w14:textFill>
                  <w14:solidFill>
                    <w14:schemeClr w14:val="tx1"/>
                  </w14:solidFill>
                </w14:textFill>
              </w:rPr>
              <w:t xml:space="preserve"> </w:t>
            </w:r>
            <w:r>
              <w:rPr>
                <w:rFonts w:hint="eastAsia" w:ascii="仿宋" w:hAnsi="仿宋" w:eastAsia="仿宋" w:cs="仿宋"/>
                <w:color w:val="000000" w:themeColor="text1"/>
                <w:w w:val="100"/>
                <w:sz w:val="24"/>
                <w:szCs w:val="24"/>
                <w:highlight w:val="none"/>
                <w:lang w:val="en-US" w:eastAsia="zh-CN"/>
                <w14:textFill>
                  <w14:solidFill>
                    <w14:schemeClr w14:val="tx1"/>
                  </w14:solidFill>
                </w14:textFill>
              </w:rPr>
              <w:t>.....</w:t>
            </w:r>
          </w:p>
        </w:tc>
        <w:tc>
          <w:tcPr>
            <w:tcW w:w="3064" w:type="dxa"/>
            <w:noWrap w:val="0"/>
            <w:vAlign w:val="top"/>
          </w:tcPr>
          <w:p>
            <w:pPr>
              <w:pStyle w:val="170"/>
              <w:spacing w:before="247" w:beforeLines="0"/>
              <w:ind w:left="104"/>
              <w:rPr>
                <w:rFonts w:hint="eastAsia" w:ascii="仿宋" w:hAnsi="仿宋" w:eastAsia="仿宋" w:cs="仿宋"/>
                <w:color w:val="000000" w:themeColor="text1"/>
                <w:w w:val="100"/>
                <w:sz w:val="24"/>
                <w:szCs w:val="24"/>
                <w:highlight w:val="none"/>
                <w14:textFill>
                  <w14:solidFill>
                    <w14:schemeClr w14:val="tx1"/>
                  </w14:solidFill>
                </w14:textFill>
              </w:rPr>
            </w:pPr>
          </w:p>
        </w:tc>
        <w:tc>
          <w:tcPr>
            <w:tcW w:w="2629" w:type="dxa"/>
            <w:noWrap w:val="0"/>
            <w:vAlign w:val="top"/>
          </w:tcPr>
          <w:p>
            <w:pPr>
              <w:pStyle w:val="170"/>
              <w:spacing w:before="247" w:beforeLines="0"/>
              <w:ind w:left="104"/>
              <w:rPr>
                <w:rFonts w:hint="eastAsia" w:ascii="仿宋" w:hAnsi="仿宋" w:eastAsia="仿宋" w:cs="仿宋"/>
                <w:color w:val="000000" w:themeColor="text1"/>
                <w:w w:val="100"/>
                <w:sz w:val="24"/>
                <w:szCs w:val="24"/>
                <w:highlight w:val="none"/>
                <w14:textFill>
                  <w14:solidFill>
                    <w14:schemeClr w14:val="tx1"/>
                  </w14:solidFill>
                </w14:textFill>
              </w:rPr>
            </w:pPr>
          </w:p>
        </w:tc>
      </w:tr>
    </w:tbl>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144"/>
        <w:spacing w:line="500" w:lineRule="exact"/>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投标人（签章）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44"/>
        <w:spacing w:line="500" w:lineRule="exact"/>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lang w:val="en-US" w:eastAsia="zh-CN"/>
          <w14:textFill>
            <w14:solidFill>
              <w14:schemeClr w14:val="tx1"/>
            </w14:solidFill>
          </w14:textFill>
        </w:rPr>
        <w:t>签字或</w:t>
      </w:r>
      <w:r>
        <w:rPr>
          <w:rFonts w:hint="eastAsia" w:ascii="仿宋" w:hAnsi="仿宋" w:eastAsia="仿宋" w:cs="仿宋"/>
          <w:color w:val="000000" w:themeColor="text1"/>
          <w:sz w:val="24"/>
          <w:szCs w:val="24"/>
          <w:highlight w:val="none"/>
          <w14:textFill>
            <w14:solidFill>
              <w14:schemeClr w14:val="tx1"/>
            </w14:solidFill>
          </w14:textFill>
        </w:rPr>
        <w:t>签章）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155"/>
        <w:spacing w:line="360" w:lineRule="auto"/>
        <w:ind w:right="17" w:firstLine="4320" w:firstLineChars="1800"/>
        <w:jc w:val="both"/>
        <w:rPr>
          <w:rFonts w:hint="eastAsia" w:ascii="仿宋" w:hAnsi="仿宋" w:eastAsia="仿宋" w:cs="仿宋"/>
          <w:color w:val="000000" w:themeColor="text1"/>
          <w:sz w:val="24"/>
          <w:szCs w:val="24"/>
          <w:highlight w:val="none"/>
          <w14:textFill>
            <w14:solidFill>
              <w14:schemeClr w14:val="tx1"/>
            </w14:solidFill>
          </w14:textFill>
        </w:rPr>
        <w:sectPr>
          <w:pgSz w:w="11906" w:h="16838"/>
          <w:pgMar w:top="1440" w:right="1797" w:bottom="1440" w:left="1797" w:header="851" w:footer="992" w:gutter="0"/>
          <w:pgNumType w:fmt="decimal" w:start="1"/>
          <w:cols w:space="720" w:num="1"/>
          <w:titlePg/>
          <w:docGrid w:type="lines" w:linePitch="312" w:charSpace="0"/>
        </w:sect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pPr>
        <w:pStyle w:val="117"/>
        <w:spacing w:line="500" w:lineRule="exact"/>
        <w:outlineLvl w:val="1"/>
        <w:rPr>
          <w:rFonts w:hint="eastAsia" w:ascii="仿宋" w:hAnsi="仿宋" w:eastAsia="仿宋" w:cs="仿宋"/>
          <w:b/>
          <w:color w:val="000000" w:themeColor="text1"/>
          <w:kern w:val="0"/>
          <w:sz w:val="32"/>
          <w:szCs w:val="24"/>
          <w:highlight w:val="none"/>
          <w14:textFill>
            <w14:solidFill>
              <w14:schemeClr w14:val="tx1"/>
            </w14:solidFill>
          </w14:textFill>
        </w:rPr>
      </w:pPr>
      <w:bookmarkStart w:id="275" w:name="_Toc24799"/>
      <w:bookmarkStart w:id="276" w:name="_Toc6993"/>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kern w:val="0"/>
          <w:sz w:val="24"/>
          <w:szCs w:val="24"/>
          <w:highlight w:val="none"/>
          <w14:textFill>
            <w14:solidFill>
              <w14:schemeClr w14:val="tx1"/>
            </w14:solidFill>
          </w14:textFill>
        </w:rPr>
        <w:t>供应商认为有必要提供的</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其他</w:t>
      </w:r>
      <w:r>
        <w:rPr>
          <w:rFonts w:hint="eastAsia" w:ascii="仿宋" w:hAnsi="仿宋" w:eastAsia="仿宋" w:cs="仿宋"/>
          <w:b/>
          <w:color w:val="000000" w:themeColor="text1"/>
          <w:kern w:val="0"/>
          <w:sz w:val="24"/>
          <w:szCs w:val="24"/>
          <w:highlight w:val="none"/>
          <w14:textFill>
            <w14:solidFill>
              <w14:schemeClr w14:val="tx1"/>
            </w14:solidFill>
          </w14:textFill>
        </w:rPr>
        <w:t>声明及文件</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技术</w:t>
      </w:r>
      <w:r>
        <w:rPr>
          <w:rFonts w:hint="eastAsia" w:ascii="仿宋" w:hAnsi="仿宋" w:eastAsia="仿宋" w:cs="仿宋"/>
          <w:b/>
          <w:color w:val="000000" w:themeColor="text1"/>
          <w:kern w:val="0"/>
          <w:sz w:val="24"/>
          <w:szCs w:val="24"/>
          <w:highlight w:val="none"/>
          <w14:textFill>
            <w14:solidFill>
              <w14:schemeClr w14:val="tx1"/>
            </w14:solidFill>
          </w14:textFill>
        </w:rPr>
        <w:t>资料</w:t>
      </w:r>
      <w:bookmarkEnd w:id="275"/>
      <w:bookmarkEnd w:id="276"/>
    </w:p>
    <w:p>
      <w:pPr>
        <w:spacing w:line="360" w:lineRule="auto"/>
        <w:rPr>
          <w:rFonts w:hint="eastAsia" w:ascii="宋体" w:hAnsi="宋体" w:cs="宋体"/>
          <w:b/>
          <w:color w:val="000000" w:themeColor="text1"/>
          <w:kern w:val="0"/>
          <w:sz w:val="36"/>
          <w:szCs w:val="36"/>
          <w:highlight w:val="none"/>
          <w14:textFill>
            <w14:solidFill>
              <w14:schemeClr w14:val="tx1"/>
            </w14:solidFill>
          </w14:textFill>
        </w:rPr>
        <w:sectPr>
          <w:pgSz w:w="11906" w:h="16838"/>
          <w:pgMar w:top="1440" w:right="1797" w:bottom="1440" w:left="1797" w:header="851" w:footer="992" w:gutter="0"/>
          <w:pgNumType w:fmt="decimal"/>
          <w:cols w:space="720" w:num="1"/>
          <w:titlePg/>
          <w:docGrid w:type="lines" w:linePitch="312" w:charSpace="0"/>
        </w:sectPr>
      </w:pPr>
    </w:p>
    <w:p>
      <w:pPr>
        <w:pStyle w:val="33"/>
        <w:autoSpaceDE w:val="0"/>
        <w:spacing w:before="0" w:beforeAutospacing="0" w:after="0" w:afterAutospacing="0" w:line="360" w:lineRule="auto"/>
        <w:outlineLvl w:val="1"/>
        <w:rPr>
          <w:rFonts w:hint="eastAsia" w:ascii="仿宋" w:hAnsi="仿宋" w:eastAsia="仿宋" w:cs="仿宋"/>
          <w:b/>
          <w:color w:val="000000" w:themeColor="text1"/>
          <w:kern w:val="0"/>
          <w:sz w:val="24"/>
          <w:szCs w:val="24"/>
          <w:highlight w:val="none"/>
          <w:lang w:val="en-US" w:eastAsia="zh-CN" w:bidi="ar-SA"/>
          <w14:textFill>
            <w14:solidFill>
              <w14:schemeClr w14:val="tx1"/>
            </w14:solidFill>
          </w14:textFill>
        </w:rPr>
      </w:pPr>
      <w:bookmarkStart w:id="277" w:name="_Toc11123"/>
      <w:bookmarkStart w:id="278" w:name="_Toc85987161"/>
      <w:bookmarkStart w:id="279" w:name="_Toc15966"/>
      <w:bookmarkStart w:id="280" w:name="_Toc11801"/>
      <w:bookmarkStart w:id="281" w:name="_Toc6289"/>
      <w:bookmarkStart w:id="282" w:name="_Toc3573"/>
      <w:r>
        <w:rPr>
          <w:rFonts w:hint="eastAsia" w:ascii="仿宋" w:hAnsi="仿宋" w:eastAsia="仿宋" w:cs="仿宋"/>
          <w:b/>
          <w:color w:val="000000" w:themeColor="text1"/>
          <w:kern w:val="0"/>
          <w:sz w:val="24"/>
          <w:szCs w:val="24"/>
          <w:highlight w:val="none"/>
          <w:lang w:val="en-US" w:eastAsia="zh-CN" w:bidi="ar-SA"/>
          <w14:textFill>
            <w14:solidFill>
              <w14:schemeClr w14:val="tx1"/>
            </w14:solidFill>
          </w14:textFill>
        </w:rPr>
        <w:t>4.商务技术其他评分内容</w:t>
      </w:r>
      <w:bookmarkEnd w:id="277"/>
      <w:bookmarkEnd w:id="278"/>
      <w:bookmarkEnd w:id="279"/>
      <w:bookmarkEnd w:id="280"/>
      <w:bookmarkEnd w:id="281"/>
      <w:bookmarkEnd w:id="282"/>
    </w:p>
    <w:p>
      <w:pPr>
        <w:pStyle w:val="128"/>
        <w:numPr>
          <w:ilvl w:val="0"/>
          <w:numId w:val="0"/>
        </w:numPr>
        <w:adjustRightInd w:val="0"/>
        <w:snapToGrid w:val="0"/>
        <w:spacing w:line="360" w:lineRule="auto"/>
        <w:ind w:left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注：供应商根据“政采云投标客户端”结合采购文件第四部分 评审方法（综合评分法） 商务技术评审要求的内容，自行拟定格式。</w:t>
      </w:r>
    </w:p>
    <w:p>
      <w:pPr>
        <w:topLinePunct/>
        <w:rPr>
          <w:rFonts w:hint="eastAsia" w:ascii="仿宋" w:hAnsi="仿宋" w:eastAsia="仿宋" w:cs="仿宋"/>
          <w:color w:val="000000" w:themeColor="text1"/>
          <w:sz w:val="20"/>
          <w:highlight w:val="none"/>
          <w14:textFill>
            <w14:solidFill>
              <w14:schemeClr w14:val="tx1"/>
            </w14:solidFill>
          </w14:textFill>
        </w:rPr>
      </w:pPr>
    </w:p>
    <w:sectPr>
      <w:headerReference r:id="rId5" w:type="default"/>
      <w:footerReference r:id="rId6" w:type="default"/>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F0E2523-CCC2-4DA9-A91E-6B254AED26CA}"/>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77ECF643-FE9C-4657-9AC5-D8A6D6B0C479}"/>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embedRegular r:id="rId3" w:fontKey="{9609CF28-E9C4-4CF6-94D3-7A7A749090D2}"/>
  </w:font>
  <w:font w:name="方正仿宋_GBK">
    <w:altName w:val="微软雅黑"/>
    <w:panose1 w:val="00000000000000000000"/>
    <w:charset w:val="86"/>
    <w:family w:val="auto"/>
    <w:pitch w:val="default"/>
    <w:sig w:usb0="00000000" w:usb1="00000000" w:usb2="00000000" w:usb3="00000000" w:csb0="00040000" w:csb1="00000000"/>
    <w:embedRegular r:id="rId4" w:fontKey="{BBC8EE57-4597-4B39-A0A9-5473DF510B8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3617C"/>
    <w:multiLevelType w:val="singleLevel"/>
    <w:tmpl w:val="8383617C"/>
    <w:lvl w:ilvl="0" w:tentative="0">
      <w:start w:val="1"/>
      <w:numFmt w:val="decimal"/>
      <w:suff w:val="space"/>
      <w:lvlText w:val="(%1)"/>
      <w:lvlJc w:val="left"/>
    </w:lvl>
  </w:abstractNum>
  <w:abstractNum w:abstractNumId="1">
    <w:nsid w:val="8DA2AD8E"/>
    <w:multiLevelType w:val="singleLevel"/>
    <w:tmpl w:val="8DA2AD8E"/>
    <w:lvl w:ilvl="0" w:tentative="0">
      <w:start w:val="7"/>
      <w:numFmt w:val="decimal"/>
      <w:lvlText w:val="%1."/>
      <w:lvlJc w:val="left"/>
      <w:pPr>
        <w:tabs>
          <w:tab w:val="left" w:pos="312"/>
        </w:tabs>
      </w:pPr>
    </w:lvl>
  </w:abstractNum>
  <w:abstractNum w:abstractNumId="2">
    <w:nsid w:val="8F4DFEB7"/>
    <w:multiLevelType w:val="singleLevel"/>
    <w:tmpl w:val="8F4DFEB7"/>
    <w:lvl w:ilvl="0" w:tentative="0">
      <w:start w:val="1"/>
      <w:numFmt w:val="decimal"/>
      <w:lvlText w:val="%1."/>
      <w:lvlJc w:val="left"/>
      <w:pPr>
        <w:tabs>
          <w:tab w:val="left" w:pos="312"/>
        </w:tabs>
      </w:pPr>
    </w:lvl>
  </w:abstractNum>
  <w:abstractNum w:abstractNumId="3">
    <w:nsid w:val="F9376C86"/>
    <w:multiLevelType w:val="singleLevel"/>
    <w:tmpl w:val="F9376C86"/>
    <w:lvl w:ilvl="0" w:tentative="0">
      <w:start w:val="1"/>
      <w:numFmt w:val="chineseCounting"/>
      <w:suff w:val="nothing"/>
      <w:lvlText w:val="（%1）"/>
      <w:lvlJc w:val="left"/>
      <w:pPr>
        <w:ind w:left="0" w:firstLine="420"/>
      </w:pPr>
      <w:rPr>
        <w:rFonts w:hint="eastAsia"/>
      </w:rPr>
    </w:lvl>
  </w:abstractNum>
  <w:abstractNum w:abstractNumId="4">
    <w:nsid w:val="20D6D4B1"/>
    <w:multiLevelType w:val="singleLevel"/>
    <w:tmpl w:val="20D6D4B1"/>
    <w:lvl w:ilvl="0" w:tentative="0">
      <w:start w:val="1"/>
      <w:numFmt w:val="decimal"/>
      <w:lvlText w:val="%1."/>
      <w:lvlJc w:val="left"/>
      <w:pPr>
        <w:tabs>
          <w:tab w:val="left" w:pos="312"/>
        </w:tabs>
      </w:pPr>
    </w:lvl>
  </w:abstractNum>
  <w:abstractNum w:abstractNumId="5">
    <w:nsid w:val="4F8780AE"/>
    <w:multiLevelType w:val="singleLevel"/>
    <w:tmpl w:val="4F8780AE"/>
    <w:lvl w:ilvl="0" w:tentative="0">
      <w:start w:val="2"/>
      <w:numFmt w:val="decimal"/>
      <w:lvlText w:val="%1."/>
      <w:lvlJc w:val="left"/>
      <w:pPr>
        <w:tabs>
          <w:tab w:val="left" w:pos="312"/>
        </w:tabs>
        <w:ind w:left="960" w:leftChars="0" w:firstLine="0" w:firstLineChars="0"/>
      </w:pPr>
    </w:lvl>
  </w:abstractNum>
  <w:abstractNum w:abstractNumId="6">
    <w:nsid w:val="7D992028"/>
    <w:multiLevelType w:val="multilevel"/>
    <w:tmpl w:val="7D992028"/>
    <w:lvl w:ilvl="0" w:tentative="0">
      <w:start w:val="8"/>
      <w:numFmt w:val="decimal"/>
      <w:suff w:val="nothing"/>
      <w:lvlText w:val="%1、"/>
      <w:lvlJc w:val="left"/>
      <w:pPr>
        <w:ind w:left="0"/>
      </w:p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173"/>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mNiOTI2ODg4M2Y4MWNlMGIxN2RiNGU2N2M0YzEifQ=="/>
  </w:docVars>
  <w:rsids>
    <w:rsidRoot w:val="00172A27"/>
    <w:rsid w:val="000947AC"/>
    <w:rsid w:val="00104D85"/>
    <w:rsid w:val="00105617"/>
    <w:rsid w:val="001722C2"/>
    <w:rsid w:val="00194CDB"/>
    <w:rsid w:val="001A3D24"/>
    <w:rsid w:val="0021363E"/>
    <w:rsid w:val="00224DC9"/>
    <w:rsid w:val="00267844"/>
    <w:rsid w:val="00267F11"/>
    <w:rsid w:val="00277051"/>
    <w:rsid w:val="00281B84"/>
    <w:rsid w:val="00373059"/>
    <w:rsid w:val="003B017E"/>
    <w:rsid w:val="003D4CCE"/>
    <w:rsid w:val="00414F52"/>
    <w:rsid w:val="0044043E"/>
    <w:rsid w:val="004B0D73"/>
    <w:rsid w:val="004F3608"/>
    <w:rsid w:val="005F6E39"/>
    <w:rsid w:val="00622E07"/>
    <w:rsid w:val="006B7A29"/>
    <w:rsid w:val="006D2CC8"/>
    <w:rsid w:val="006E2A62"/>
    <w:rsid w:val="00706D16"/>
    <w:rsid w:val="00734906"/>
    <w:rsid w:val="00744932"/>
    <w:rsid w:val="00764FC6"/>
    <w:rsid w:val="008038C6"/>
    <w:rsid w:val="00834A81"/>
    <w:rsid w:val="008436DB"/>
    <w:rsid w:val="008B42EA"/>
    <w:rsid w:val="008E0F23"/>
    <w:rsid w:val="00940703"/>
    <w:rsid w:val="0096389D"/>
    <w:rsid w:val="009A7B9D"/>
    <w:rsid w:val="009B0F35"/>
    <w:rsid w:val="009D4FD7"/>
    <w:rsid w:val="00A03005"/>
    <w:rsid w:val="00AA76A2"/>
    <w:rsid w:val="00AC298C"/>
    <w:rsid w:val="00B30069"/>
    <w:rsid w:val="00B71F65"/>
    <w:rsid w:val="00B962B2"/>
    <w:rsid w:val="00C31B30"/>
    <w:rsid w:val="00C37630"/>
    <w:rsid w:val="00CC31B9"/>
    <w:rsid w:val="00CD1F61"/>
    <w:rsid w:val="00CF2832"/>
    <w:rsid w:val="00D32695"/>
    <w:rsid w:val="00DC122F"/>
    <w:rsid w:val="00E342B2"/>
    <w:rsid w:val="00E46CF8"/>
    <w:rsid w:val="00E521EB"/>
    <w:rsid w:val="00E6520E"/>
    <w:rsid w:val="00EA36B7"/>
    <w:rsid w:val="00EC73A2"/>
    <w:rsid w:val="00EE6099"/>
    <w:rsid w:val="00EE7FF4"/>
    <w:rsid w:val="00F675C8"/>
    <w:rsid w:val="00FA0436"/>
    <w:rsid w:val="00FD5947"/>
    <w:rsid w:val="00FF481F"/>
    <w:rsid w:val="00FF674F"/>
    <w:rsid w:val="01185068"/>
    <w:rsid w:val="0119677B"/>
    <w:rsid w:val="01543C57"/>
    <w:rsid w:val="016F4726"/>
    <w:rsid w:val="019361DA"/>
    <w:rsid w:val="01A52705"/>
    <w:rsid w:val="01FF0B7F"/>
    <w:rsid w:val="021D20DF"/>
    <w:rsid w:val="02353A89"/>
    <w:rsid w:val="024141DC"/>
    <w:rsid w:val="027265B6"/>
    <w:rsid w:val="027C3466"/>
    <w:rsid w:val="027C49C6"/>
    <w:rsid w:val="0282440C"/>
    <w:rsid w:val="028642E4"/>
    <w:rsid w:val="02BA21E0"/>
    <w:rsid w:val="02BA7AD9"/>
    <w:rsid w:val="02ED7EC0"/>
    <w:rsid w:val="03125B78"/>
    <w:rsid w:val="03247659"/>
    <w:rsid w:val="034F46D6"/>
    <w:rsid w:val="03C36E72"/>
    <w:rsid w:val="03D41080"/>
    <w:rsid w:val="03E36863"/>
    <w:rsid w:val="03EA3541"/>
    <w:rsid w:val="03F241D3"/>
    <w:rsid w:val="03F86B1C"/>
    <w:rsid w:val="042E253E"/>
    <w:rsid w:val="045D2E23"/>
    <w:rsid w:val="046643CE"/>
    <w:rsid w:val="048D643D"/>
    <w:rsid w:val="04910D1F"/>
    <w:rsid w:val="049A5E25"/>
    <w:rsid w:val="049F343C"/>
    <w:rsid w:val="04C422DB"/>
    <w:rsid w:val="04C468F1"/>
    <w:rsid w:val="04D94BA4"/>
    <w:rsid w:val="04E80E83"/>
    <w:rsid w:val="04E96190"/>
    <w:rsid w:val="04EB48D3"/>
    <w:rsid w:val="04ED1825"/>
    <w:rsid w:val="04F163C2"/>
    <w:rsid w:val="05597A8E"/>
    <w:rsid w:val="055E32F7"/>
    <w:rsid w:val="05B11678"/>
    <w:rsid w:val="05B13A99"/>
    <w:rsid w:val="05C313AC"/>
    <w:rsid w:val="05DB5F9E"/>
    <w:rsid w:val="06314567"/>
    <w:rsid w:val="06376AC4"/>
    <w:rsid w:val="063E316F"/>
    <w:rsid w:val="06436049"/>
    <w:rsid w:val="065D35AE"/>
    <w:rsid w:val="06862B05"/>
    <w:rsid w:val="06ED080A"/>
    <w:rsid w:val="07042952"/>
    <w:rsid w:val="07496D55"/>
    <w:rsid w:val="075B5D40"/>
    <w:rsid w:val="075E313A"/>
    <w:rsid w:val="076D332C"/>
    <w:rsid w:val="07E86197"/>
    <w:rsid w:val="07F55606"/>
    <w:rsid w:val="082B7A28"/>
    <w:rsid w:val="08471D6C"/>
    <w:rsid w:val="08506B3A"/>
    <w:rsid w:val="086C7AD9"/>
    <w:rsid w:val="087D1CE6"/>
    <w:rsid w:val="089D4136"/>
    <w:rsid w:val="08C405DE"/>
    <w:rsid w:val="08E458C1"/>
    <w:rsid w:val="08E507D8"/>
    <w:rsid w:val="08F85810"/>
    <w:rsid w:val="090917CB"/>
    <w:rsid w:val="09103ED3"/>
    <w:rsid w:val="093E7A14"/>
    <w:rsid w:val="09440A55"/>
    <w:rsid w:val="095E38C5"/>
    <w:rsid w:val="0981071B"/>
    <w:rsid w:val="09842C00"/>
    <w:rsid w:val="099512B1"/>
    <w:rsid w:val="09986092"/>
    <w:rsid w:val="09AD65FB"/>
    <w:rsid w:val="09CB4812"/>
    <w:rsid w:val="09DC2A3C"/>
    <w:rsid w:val="09F76469"/>
    <w:rsid w:val="09FC6C3A"/>
    <w:rsid w:val="0A053D41"/>
    <w:rsid w:val="0A402FCB"/>
    <w:rsid w:val="0A6C4365"/>
    <w:rsid w:val="0A6E5D8A"/>
    <w:rsid w:val="0A83110A"/>
    <w:rsid w:val="0AA277E2"/>
    <w:rsid w:val="0ABD7A49"/>
    <w:rsid w:val="0AC003C0"/>
    <w:rsid w:val="0AE918B4"/>
    <w:rsid w:val="0B0009AC"/>
    <w:rsid w:val="0B073AE9"/>
    <w:rsid w:val="0B21104E"/>
    <w:rsid w:val="0B28414E"/>
    <w:rsid w:val="0B3A3EBE"/>
    <w:rsid w:val="0B4765DB"/>
    <w:rsid w:val="0B4D2ACB"/>
    <w:rsid w:val="0B7373D0"/>
    <w:rsid w:val="0B901D30"/>
    <w:rsid w:val="0BC316BC"/>
    <w:rsid w:val="0BE65A20"/>
    <w:rsid w:val="0BF45B0C"/>
    <w:rsid w:val="0C39236B"/>
    <w:rsid w:val="0C6531BD"/>
    <w:rsid w:val="0C70165B"/>
    <w:rsid w:val="0C985340"/>
    <w:rsid w:val="0CA5180B"/>
    <w:rsid w:val="0CAC0DEC"/>
    <w:rsid w:val="0CD93263"/>
    <w:rsid w:val="0D3D5EE8"/>
    <w:rsid w:val="0D447276"/>
    <w:rsid w:val="0D6C18FD"/>
    <w:rsid w:val="0D753E58"/>
    <w:rsid w:val="0DE31BB2"/>
    <w:rsid w:val="0DEA202A"/>
    <w:rsid w:val="0DFD2328"/>
    <w:rsid w:val="0DFE4B58"/>
    <w:rsid w:val="0E9602DD"/>
    <w:rsid w:val="0E9E64C9"/>
    <w:rsid w:val="0EA77ABC"/>
    <w:rsid w:val="0ED10695"/>
    <w:rsid w:val="0EF80318"/>
    <w:rsid w:val="0F070785"/>
    <w:rsid w:val="0F5F0397"/>
    <w:rsid w:val="0F655282"/>
    <w:rsid w:val="0F7E7283"/>
    <w:rsid w:val="0F841BAC"/>
    <w:rsid w:val="0FB86C9A"/>
    <w:rsid w:val="0FBB1C0B"/>
    <w:rsid w:val="0FC1070A"/>
    <w:rsid w:val="0FE21D7A"/>
    <w:rsid w:val="0FFA053F"/>
    <w:rsid w:val="101161CE"/>
    <w:rsid w:val="1025513D"/>
    <w:rsid w:val="10262C63"/>
    <w:rsid w:val="10497960"/>
    <w:rsid w:val="104E02BD"/>
    <w:rsid w:val="10606175"/>
    <w:rsid w:val="106707C2"/>
    <w:rsid w:val="10796F83"/>
    <w:rsid w:val="10881228"/>
    <w:rsid w:val="10B244F7"/>
    <w:rsid w:val="10E50428"/>
    <w:rsid w:val="10F62B78"/>
    <w:rsid w:val="110805BA"/>
    <w:rsid w:val="11247628"/>
    <w:rsid w:val="116B713C"/>
    <w:rsid w:val="117F262B"/>
    <w:rsid w:val="118C6B2A"/>
    <w:rsid w:val="11B80A1E"/>
    <w:rsid w:val="11D35A6F"/>
    <w:rsid w:val="11D95ABC"/>
    <w:rsid w:val="12244A5C"/>
    <w:rsid w:val="122B2920"/>
    <w:rsid w:val="12C16C73"/>
    <w:rsid w:val="12E83BC5"/>
    <w:rsid w:val="12EB1FE5"/>
    <w:rsid w:val="12F2507E"/>
    <w:rsid w:val="12FC7CAB"/>
    <w:rsid w:val="130E4C12"/>
    <w:rsid w:val="1351449B"/>
    <w:rsid w:val="135E2714"/>
    <w:rsid w:val="137D2B9A"/>
    <w:rsid w:val="13A2255E"/>
    <w:rsid w:val="13FC00B3"/>
    <w:rsid w:val="14131750"/>
    <w:rsid w:val="14231119"/>
    <w:rsid w:val="14511540"/>
    <w:rsid w:val="14590F1D"/>
    <w:rsid w:val="14AA5DA2"/>
    <w:rsid w:val="14C50C9C"/>
    <w:rsid w:val="153F75BC"/>
    <w:rsid w:val="15581B10"/>
    <w:rsid w:val="156264EB"/>
    <w:rsid w:val="156D66D2"/>
    <w:rsid w:val="15EA64E1"/>
    <w:rsid w:val="1606331B"/>
    <w:rsid w:val="162B4B2F"/>
    <w:rsid w:val="162D2130"/>
    <w:rsid w:val="164218D4"/>
    <w:rsid w:val="166E2C6E"/>
    <w:rsid w:val="16911676"/>
    <w:rsid w:val="16922E00"/>
    <w:rsid w:val="16A24CDB"/>
    <w:rsid w:val="16BF796D"/>
    <w:rsid w:val="16D617FD"/>
    <w:rsid w:val="173C2D6C"/>
    <w:rsid w:val="179606CE"/>
    <w:rsid w:val="17C074F9"/>
    <w:rsid w:val="17DE3E23"/>
    <w:rsid w:val="17EE5BC5"/>
    <w:rsid w:val="181E59C8"/>
    <w:rsid w:val="18371EB1"/>
    <w:rsid w:val="1840063A"/>
    <w:rsid w:val="184F57BC"/>
    <w:rsid w:val="187B502C"/>
    <w:rsid w:val="18D83720"/>
    <w:rsid w:val="18E90CD1"/>
    <w:rsid w:val="18F002B2"/>
    <w:rsid w:val="19460C23"/>
    <w:rsid w:val="195E16BF"/>
    <w:rsid w:val="195E2C04"/>
    <w:rsid w:val="195F3AAA"/>
    <w:rsid w:val="197A1414"/>
    <w:rsid w:val="19DD25E4"/>
    <w:rsid w:val="19F76AFA"/>
    <w:rsid w:val="1A004525"/>
    <w:rsid w:val="1A443A3E"/>
    <w:rsid w:val="1A830C0D"/>
    <w:rsid w:val="1A9058A9"/>
    <w:rsid w:val="1A994325"/>
    <w:rsid w:val="1AC13CB4"/>
    <w:rsid w:val="1AC20B00"/>
    <w:rsid w:val="1AC43474"/>
    <w:rsid w:val="1AD87250"/>
    <w:rsid w:val="1AF55DE9"/>
    <w:rsid w:val="1AFE6CB6"/>
    <w:rsid w:val="1B465797"/>
    <w:rsid w:val="1B5338CA"/>
    <w:rsid w:val="1B6034CD"/>
    <w:rsid w:val="1B7A3007"/>
    <w:rsid w:val="1B972C67"/>
    <w:rsid w:val="1BA07EF4"/>
    <w:rsid w:val="1BA535D6"/>
    <w:rsid w:val="1BBE70BF"/>
    <w:rsid w:val="1BE0460E"/>
    <w:rsid w:val="1C092910"/>
    <w:rsid w:val="1C556DAA"/>
    <w:rsid w:val="1C907DE2"/>
    <w:rsid w:val="1C9B22E3"/>
    <w:rsid w:val="1CC21F65"/>
    <w:rsid w:val="1CCC6940"/>
    <w:rsid w:val="1CD27C09"/>
    <w:rsid w:val="1CDA672B"/>
    <w:rsid w:val="1CFC21FD"/>
    <w:rsid w:val="1D37311B"/>
    <w:rsid w:val="1D385321"/>
    <w:rsid w:val="1D7A1277"/>
    <w:rsid w:val="1D905BC0"/>
    <w:rsid w:val="1DAD6772"/>
    <w:rsid w:val="1DB00010"/>
    <w:rsid w:val="1DDC2BB3"/>
    <w:rsid w:val="1DE06B47"/>
    <w:rsid w:val="1DF12B02"/>
    <w:rsid w:val="1DF27A77"/>
    <w:rsid w:val="1DFE0D7B"/>
    <w:rsid w:val="1E3D76D2"/>
    <w:rsid w:val="1E814BC4"/>
    <w:rsid w:val="1E96142C"/>
    <w:rsid w:val="1EA15D4A"/>
    <w:rsid w:val="1EBD0C36"/>
    <w:rsid w:val="1EC303F7"/>
    <w:rsid w:val="1F913C86"/>
    <w:rsid w:val="1FB47A5D"/>
    <w:rsid w:val="1FD55B0C"/>
    <w:rsid w:val="1FDC7B5B"/>
    <w:rsid w:val="2020147D"/>
    <w:rsid w:val="202B3D2B"/>
    <w:rsid w:val="2063580D"/>
    <w:rsid w:val="206C6470"/>
    <w:rsid w:val="20AD573E"/>
    <w:rsid w:val="20D45751"/>
    <w:rsid w:val="20FF012A"/>
    <w:rsid w:val="20FF5536"/>
    <w:rsid w:val="21130862"/>
    <w:rsid w:val="21153C8F"/>
    <w:rsid w:val="211E2E6B"/>
    <w:rsid w:val="213469E4"/>
    <w:rsid w:val="214C0FD2"/>
    <w:rsid w:val="2152522B"/>
    <w:rsid w:val="218755AB"/>
    <w:rsid w:val="21921F06"/>
    <w:rsid w:val="21F47247"/>
    <w:rsid w:val="220B3A67"/>
    <w:rsid w:val="22162B37"/>
    <w:rsid w:val="22622F5F"/>
    <w:rsid w:val="226A6280"/>
    <w:rsid w:val="229009C2"/>
    <w:rsid w:val="22BE4F7D"/>
    <w:rsid w:val="22BF5FED"/>
    <w:rsid w:val="23065F21"/>
    <w:rsid w:val="230F7587"/>
    <w:rsid w:val="234611FA"/>
    <w:rsid w:val="236906DB"/>
    <w:rsid w:val="2375388E"/>
    <w:rsid w:val="23A94434"/>
    <w:rsid w:val="23BF71FF"/>
    <w:rsid w:val="23C4732A"/>
    <w:rsid w:val="23FC3FAF"/>
    <w:rsid w:val="241E461F"/>
    <w:rsid w:val="241E47FF"/>
    <w:rsid w:val="243B11AA"/>
    <w:rsid w:val="244020ED"/>
    <w:rsid w:val="246102B6"/>
    <w:rsid w:val="24692CEE"/>
    <w:rsid w:val="24C63C4E"/>
    <w:rsid w:val="24D171E9"/>
    <w:rsid w:val="24DF3496"/>
    <w:rsid w:val="24F5112A"/>
    <w:rsid w:val="25394FEC"/>
    <w:rsid w:val="25445C0D"/>
    <w:rsid w:val="255816B9"/>
    <w:rsid w:val="2572463E"/>
    <w:rsid w:val="258C3110"/>
    <w:rsid w:val="25B05051"/>
    <w:rsid w:val="25E11F69"/>
    <w:rsid w:val="26086756"/>
    <w:rsid w:val="260E7FC9"/>
    <w:rsid w:val="261B719A"/>
    <w:rsid w:val="26325A66"/>
    <w:rsid w:val="266F0681"/>
    <w:rsid w:val="26BD5C77"/>
    <w:rsid w:val="26CA2142"/>
    <w:rsid w:val="26F65890"/>
    <w:rsid w:val="271F6E14"/>
    <w:rsid w:val="272678F8"/>
    <w:rsid w:val="2730304F"/>
    <w:rsid w:val="2744731B"/>
    <w:rsid w:val="27672EE0"/>
    <w:rsid w:val="27786EB5"/>
    <w:rsid w:val="27EC60E8"/>
    <w:rsid w:val="281C077C"/>
    <w:rsid w:val="28244B4C"/>
    <w:rsid w:val="28612632"/>
    <w:rsid w:val="289B1FE8"/>
    <w:rsid w:val="289F5722"/>
    <w:rsid w:val="28C74581"/>
    <w:rsid w:val="28D67E9D"/>
    <w:rsid w:val="28FD67FF"/>
    <w:rsid w:val="295757E3"/>
    <w:rsid w:val="29CA2C29"/>
    <w:rsid w:val="2A8A2314"/>
    <w:rsid w:val="2A9A007E"/>
    <w:rsid w:val="2A9C3DF6"/>
    <w:rsid w:val="2AA7433D"/>
    <w:rsid w:val="2ABE0808"/>
    <w:rsid w:val="2ACF3072"/>
    <w:rsid w:val="2AD67330"/>
    <w:rsid w:val="2AE87B4C"/>
    <w:rsid w:val="2AF5750B"/>
    <w:rsid w:val="2B172FC3"/>
    <w:rsid w:val="2B2D4A4E"/>
    <w:rsid w:val="2B801021"/>
    <w:rsid w:val="2BD17ACF"/>
    <w:rsid w:val="2BE23A8A"/>
    <w:rsid w:val="2BEC0D15"/>
    <w:rsid w:val="2C0D7BBA"/>
    <w:rsid w:val="2C2C2F57"/>
    <w:rsid w:val="2C5D3C10"/>
    <w:rsid w:val="2C6D3C9C"/>
    <w:rsid w:val="2C903D61"/>
    <w:rsid w:val="2CBF3900"/>
    <w:rsid w:val="2CC87ED4"/>
    <w:rsid w:val="2CCC41C6"/>
    <w:rsid w:val="2CF9713B"/>
    <w:rsid w:val="2D113FD1"/>
    <w:rsid w:val="2D1C1893"/>
    <w:rsid w:val="2D2500D2"/>
    <w:rsid w:val="2D256324"/>
    <w:rsid w:val="2D5D0887"/>
    <w:rsid w:val="2D8C63A3"/>
    <w:rsid w:val="2DD31305"/>
    <w:rsid w:val="2E2963DE"/>
    <w:rsid w:val="2E6C3ADF"/>
    <w:rsid w:val="2E756E38"/>
    <w:rsid w:val="2E897A6A"/>
    <w:rsid w:val="2EC21951"/>
    <w:rsid w:val="2EC456C9"/>
    <w:rsid w:val="2ED527E6"/>
    <w:rsid w:val="2EDE5BD8"/>
    <w:rsid w:val="2F034DA4"/>
    <w:rsid w:val="2F3E3282"/>
    <w:rsid w:val="2F430CE4"/>
    <w:rsid w:val="2FB67708"/>
    <w:rsid w:val="2FEE50F3"/>
    <w:rsid w:val="30211B7E"/>
    <w:rsid w:val="303564EC"/>
    <w:rsid w:val="306C0C05"/>
    <w:rsid w:val="307C26FF"/>
    <w:rsid w:val="30E16A06"/>
    <w:rsid w:val="30E81B43"/>
    <w:rsid w:val="30F304E8"/>
    <w:rsid w:val="310D77FB"/>
    <w:rsid w:val="311C483E"/>
    <w:rsid w:val="312F7772"/>
    <w:rsid w:val="31327453"/>
    <w:rsid w:val="314564AC"/>
    <w:rsid w:val="315471D8"/>
    <w:rsid w:val="316A6191"/>
    <w:rsid w:val="31771119"/>
    <w:rsid w:val="31A939D7"/>
    <w:rsid w:val="31BD655C"/>
    <w:rsid w:val="31C627E5"/>
    <w:rsid w:val="31EB4A74"/>
    <w:rsid w:val="321B38AD"/>
    <w:rsid w:val="322E7A29"/>
    <w:rsid w:val="32367211"/>
    <w:rsid w:val="32494863"/>
    <w:rsid w:val="327318E0"/>
    <w:rsid w:val="32891103"/>
    <w:rsid w:val="328B4E7C"/>
    <w:rsid w:val="329474BD"/>
    <w:rsid w:val="32B21430"/>
    <w:rsid w:val="32B326ED"/>
    <w:rsid w:val="32C1089D"/>
    <w:rsid w:val="32D82CF2"/>
    <w:rsid w:val="32DD4AEB"/>
    <w:rsid w:val="330E39EA"/>
    <w:rsid w:val="331D35FA"/>
    <w:rsid w:val="331D64F4"/>
    <w:rsid w:val="33615BDC"/>
    <w:rsid w:val="33F622D9"/>
    <w:rsid w:val="34C5219B"/>
    <w:rsid w:val="34C70450"/>
    <w:rsid w:val="34CA1CC7"/>
    <w:rsid w:val="3504793C"/>
    <w:rsid w:val="35725E7F"/>
    <w:rsid w:val="35856323"/>
    <w:rsid w:val="358D2CB9"/>
    <w:rsid w:val="359E5566"/>
    <w:rsid w:val="35C9309D"/>
    <w:rsid w:val="35CB6FA4"/>
    <w:rsid w:val="35CD57AB"/>
    <w:rsid w:val="35E2770D"/>
    <w:rsid w:val="35FA5E74"/>
    <w:rsid w:val="362D624A"/>
    <w:rsid w:val="36421F81"/>
    <w:rsid w:val="36486BE0"/>
    <w:rsid w:val="365731CB"/>
    <w:rsid w:val="367B41CE"/>
    <w:rsid w:val="36937DCD"/>
    <w:rsid w:val="36BB1AA7"/>
    <w:rsid w:val="36C30A4D"/>
    <w:rsid w:val="36C76DBC"/>
    <w:rsid w:val="36DA0180"/>
    <w:rsid w:val="36DB70C1"/>
    <w:rsid w:val="3748158D"/>
    <w:rsid w:val="37607F59"/>
    <w:rsid w:val="37BD7B85"/>
    <w:rsid w:val="385F0634"/>
    <w:rsid w:val="387463B2"/>
    <w:rsid w:val="38862597"/>
    <w:rsid w:val="38B51736"/>
    <w:rsid w:val="38D60011"/>
    <w:rsid w:val="38DC615F"/>
    <w:rsid w:val="38F2234B"/>
    <w:rsid w:val="38F30332"/>
    <w:rsid w:val="391060DB"/>
    <w:rsid w:val="39423DBA"/>
    <w:rsid w:val="394C2E8B"/>
    <w:rsid w:val="3960492B"/>
    <w:rsid w:val="398F0F97"/>
    <w:rsid w:val="39AE06B8"/>
    <w:rsid w:val="3A053765"/>
    <w:rsid w:val="3A0948D8"/>
    <w:rsid w:val="3A0F04FD"/>
    <w:rsid w:val="3A312779"/>
    <w:rsid w:val="3A7461F5"/>
    <w:rsid w:val="3A946897"/>
    <w:rsid w:val="3AE4174E"/>
    <w:rsid w:val="3B801A02"/>
    <w:rsid w:val="3BC36985"/>
    <w:rsid w:val="3BF95755"/>
    <w:rsid w:val="3C067321"/>
    <w:rsid w:val="3C2E6878"/>
    <w:rsid w:val="3C416A35"/>
    <w:rsid w:val="3C480FB8"/>
    <w:rsid w:val="3C722C08"/>
    <w:rsid w:val="3C7B57AA"/>
    <w:rsid w:val="3C90308E"/>
    <w:rsid w:val="3C9B3F0D"/>
    <w:rsid w:val="3CA60B04"/>
    <w:rsid w:val="3CAA00E7"/>
    <w:rsid w:val="3CC86CCC"/>
    <w:rsid w:val="3D0A2E41"/>
    <w:rsid w:val="3D442F30"/>
    <w:rsid w:val="3D6658FE"/>
    <w:rsid w:val="3D671EA5"/>
    <w:rsid w:val="3E43485C"/>
    <w:rsid w:val="3E492577"/>
    <w:rsid w:val="3E762E96"/>
    <w:rsid w:val="3E9C21BE"/>
    <w:rsid w:val="3EB349CE"/>
    <w:rsid w:val="3ED1033B"/>
    <w:rsid w:val="3ED322EF"/>
    <w:rsid w:val="3EEC1A31"/>
    <w:rsid w:val="3EF70B49"/>
    <w:rsid w:val="3F1735F3"/>
    <w:rsid w:val="3F3423F7"/>
    <w:rsid w:val="3F542A99"/>
    <w:rsid w:val="3F6853D5"/>
    <w:rsid w:val="3F7B3080"/>
    <w:rsid w:val="3FA078CF"/>
    <w:rsid w:val="3FDB6D16"/>
    <w:rsid w:val="3FE9596C"/>
    <w:rsid w:val="3FEA0D08"/>
    <w:rsid w:val="3FF102E8"/>
    <w:rsid w:val="401C2F2A"/>
    <w:rsid w:val="403E177F"/>
    <w:rsid w:val="4081166C"/>
    <w:rsid w:val="40A71578"/>
    <w:rsid w:val="40F15E08"/>
    <w:rsid w:val="412A3AB2"/>
    <w:rsid w:val="413466DE"/>
    <w:rsid w:val="414A7CB0"/>
    <w:rsid w:val="417411D1"/>
    <w:rsid w:val="417E5DD1"/>
    <w:rsid w:val="41C757A4"/>
    <w:rsid w:val="41CA2E76"/>
    <w:rsid w:val="41E25F62"/>
    <w:rsid w:val="42042CE1"/>
    <w:rsid w:val="42142ACD"/>
    <w:rsid w:val="423D7815"/>
    <w:rsid w:val="424B0183"/>
    <w:rsid w:val="426D22B5"/>
    <w:rsid w:val="427C7730"/>
    <w:rsid w:val="42A269A1"/>
    <w:rsid w:val="42B23D5F"/>
    <w:rsid w:val="42B50316"/>
    <w:rsid w:val="42D55C9F"/>
    <w:rsid w:val="42EB101F"/>
    <w:rsid w:val="42F97BDF"/>
    <w:rsid w:val="4326474D"/>
    <w:rsid w:val="432B1AFF"/>
    <w:rsid w:val="43397FDC"/>
    <w:rsid w:val="43607C5E"/>
    <w:rsid w:val="43727992"/>
    <w:rsid w:val="438A0837"/>
    <w:rsid w:val="439711A6"/>
    <w:rsid w:val="43F400D7"/>
    <w:rsid w:val="43FF32A2"/>
    <w:rsid w:val="44315157"/>
    <w:rsid w:val="443A1667"/>
    <w:rsid w:val="445F7F16"/>
    <w:rsid w:val="44943BEF"/>
    <w:rsid w:val="44A75419"/>
    <w:rsid w:val="44AD0C81"/>
    <w:rsid w:val="44BD1518"/>
    <w:rsid w:val="44BE7A04"/>
    <w:rsid w:val="44D04970"/>
    <w:rsid w:val="44DD1BBC"/>
    <w:rsid w:val="44E623E5"/>
    <w:rsid w:val="450A53A5"/>
    <w:rsid w:val="45303661"/>
    <w:rsid w:val="453342E4"/>
    <w:rsid w:val="45986557"/>
    <w:rsid w:val="45B72050"/>
    <w:rsid w:val="45BB44F7"/>
    <w:rsid w:val="45DB545A"/>
    <w:rsid w:val="45DC4546"/>
    <w:rsid w:val="4613720A"/>
    <w:rsid w:val="46492C2C"/>
    <w:rsid w:val="464940C2"/>
    <w:rsid w:val="464A7937"/>
    <w:rsid w:val="4689127A"/>
    <w:rsid w:val="46E7293D"/>
    <w:rsid w:val="46EB20EC"/>
    <w:rsid w:val="46F34946"/>
    <w:rsid w:val="471B053A"/>
    <w:rsid w:val="471F2A33"/>
    <w:rsid w:val="472965B9"/>
    <w:rsid w:val="47307948"/>
    <w:rsid w:val="47321912"/>
    <w:rsid w:val="473476FC"/>
    <w:rsid w:val="474D4056"/>
    <w:rsid w:val="47543A10"/>
    <w:rsid w:val="475A643E"/>
    <w:rsid w:val="475F3D89"/>
    <w:rsid w:val="47677934"/>
    <w:rsid w:val="47C32F55"/>
    <w:rsid w:val="47D26C51"/>
    <w:rsid w:val="48122423"/>
    <w:rsid w:val="48254FD3"/>
    <w:rsid w:val="48270189"/>
    <w:rsid w:val="48482A6F"/>
    <w:rsid w:val="48531B40"/>
    <w:rsid w:val="48592ECE"/>
    <w:rsid w:val="48847C21"/>
    <w:rsid w:val="48960ADD"/>
    <w:rsid w:val="48E50630"/>
    <w:rsid w:val="492C16AC"/>
    <w:rsid w:val="494D47E1"/>
    <w:rsid w:val="4950607F"/>
    <w:rsid w:val="49675177"/>
    <w:rsid w:val="496C2ABD"/>
    <w:rsid w:val="49975A5C"/>
    <w:rsid w:val="49A07007"/>
    <w:rsid w:val="49AF70D0"/>
    <w:rsid w:val="49BA2425"/>
    <w:rsid w:val="49E05655"/>
    <w:rsid w:val="49EC224C"/>
    <w:rsid w:val="49F90427"/>
    <w:rsid w:val="49FE3EE7"/>
    <w:rsid w:val="4A0D291F"/>
    <w:rsid w:val="4A8E3303"/>
    <w:rsid w:val="4A9D3546"/>
    <w:rsid w:val="4AAE12AF"/>
    <w:rsid w:val="4B1530DD"/>
    <w:rsid w:val="4B1F6460"/>
    <w:rsid w:val="4B485BA5"/>
    <w:rsid w:val="4B9745A8"/>
    <w:rsid w:val="4B98432F"/>
    <w:rsid w:val="4BA32DDE"/>
    <w:rsid w:val="4BEA27BB"/>
    <w:rsid w:val="4BED317A"/>
    <w:rsid w:val="4BFB6B97"/>
    <w:rsid w:val="4C03299C"/>
    <w:rsid w:val="4C085965"/>
    <w:rsid w:val="4C2075D5"/>
    <w:rsid w:val="4C44475B"/>
    <w:rsid w:val="4C893A09"/>
    <w:rsid w:val="4C9671F1"/>
    <w:rsid w:val="4CAD5597"/>
    <w:rsid w:val="4D001B6A"/>
    <w:rsid w:val="4D043409"/>
    <w:rsid w:val="4D0E24D9"/>
    <w:rsid w:val="4D300541"/>
    <w:rsid w:val="4D365DF5"/>
    <w:rsid w:val="4D615FB0"/>
    <w:rsid w:val="4DA42413"/>
    <w:rsid w:val="4DBB4F17"/>
    <w:rsid w:val="4DCC5ECB"/>
    <w:rsid w:val="4DDE1EAC"/>
    <w:rsid w:val="4DE15298"/>
    <w:rsid w:val="4DF74767"/>
    <w:rsid w:val="4E0B6A19"/>
    <w:rsid w:val="4E355C9D"/>
    <w:rsid w:val="4E6C395B"/>
    <w:rsid w:val="4EA824BA"/>
    <w:rsid w:val="4EAF55F6"/>
    <w:rsid w:val="4EB1136E"/>
    <w:rsid w:val="4ECC264C"/>
    <w:rsid w:val="4ECF2932"/>
    <w:rsid w:val="4ED4505D"/>
    <w:rsid w:val="4EEF2294"/>
    <w:rsid w:val="4EFC3253"/>
    <w:rsid w:val="4F436B5B"/>
    <w:rsid w:val="4F44489B"/>
    <w:rsid w:val="4F7E096B"/>
    <w:rsid w:val="4FC325E3"/>
    <w:rsid w:val="4FF511EB"/>
    <w:rsid w:val="50354221"/>
    <w:rsid w:val="505B3CCF"/>
    <w:rsid w:val="5060304C"/>
    <w:rsid w:val="509F183E"/>
    <w:rsid w:val="50A53155"/>
    <w:rsid w:val="50F73365"/>
    <w:rsid w:val="510A120A"/>
    <w:rsid w:val="511C410B"/>
    <w:rsid w:val="51A044FC"/>
    <w:rsid w:val="51E70CAE"/>
    <w:rsid w:val="51FE2294"/>
    <w:rsid w:val="521A0616"/>
    <w:rsid w:val="521A36CE"/>
    <w:rsid w:val="52585592"/>
    <w:rsid w:val="529A65BD"/>
    <w:rsid w:val="529E1C09"/>
    <w:rsid w:val="52A5743C"/>
    <w:rsid w:val="52B4142D"/>
    <w:rsid w:val="52B93F70"/>
    <w:rsid w:val="530A729F"/>
    <w:rsid w:val="533407C0"/>
    <w:rsid w:val="53360094"/>
    <w:rsid w:val="535B4B6A"/>
    <w:rsid w:val="537B1EC6"/>
    <w:rsid w:val="53A74475"/>
    <w:rsid w:val="53AC7105"/>
    <w:rsid w:val="53BB68E5"/>
    <w:rsid w:val="53CF51EE"/>
    <w:rsid w:val="53E81E61"/>
    <w:rsid w:val="53F26FA6"/>
    <w:rsid w:val="53FD437A"/>
    <w:rsid w:val="54296FFB"/>
    <w:rsid w:val="54346C09"/>
    <w:rsid w:val="5440557B"/>
    <w:rsid w:val="54624EB9"/>
    <w:rsid w:val="54703A7A"/>
    <w:rsid w:val="547075D6"/>
    <w:rsid w:val="54815C87"/>
    <w:rsid w:val="54B36128"/>
    <w:rsid w:val="54C65448"/>
    <w:rsid w:val="54FE2E33"/>
    <w:rsid w:val="551666E9"/>
    <w:rsid w:val="55286102"/>
    <w:rsid w:val="553625CD"/>
    <w:rsid w:val="554A42CB"/>
    <w:rsid w:val="557821EA"/>
    <w:rsid w:val="558C732F"/>
    <w:rsid w:val="55B51AFF"/>
    <w:rsid w:val="55EB0D1D"/>
    <w:rsid w:val="56016475"/>
    <w:rsid w:val="560C0E6C"/>
    <w:rsid w:val="5640122A"/>
    <w:rsid w:val="56440D1A"/>
    <w:rsid w:val="564725B8"/>
    <w:rsid w:val="564C1197"/>
    <w:rsid w:val="56523205"/>
    <w:rsid w:val="56656ACE"/>
    <w:rsid w:val="567608E5"/>
    <w:rsid w:val="56AB0D99"/>
    <w:rsid w:val="56F315B3"/>
    <w:rsid w:val="570C5D6D"/>
    <w:rsid w:val="57434A85"/>
    <w:rsid w:val="57535F1B"/>
    <w:rsid w:val="576C677A"/>
    <w:rsid w:val="57B11829"/>
    <w:rsid w:val="57BC044D"/>
    <w:rsid w:val="57D367F9"/>
    <w:rsid w:val="57DD6098"/>
    <w:rsid w:val="58116455"/>
    <w:rsid w:val="581C36B4"/>
    <w:rsid w:val="583F7EB4"/>
    <w:rsid w:val="58925D15"/>
    <w:rsid w:val="589B29F5"/>
    <w:rsid w:val="58EE31BF"/>
    <w:rsid w:val="59011144"/>
    <w:rsid w:val="59036C6A"/>
    <w:rsid w:val="592941F7"/>
    <w:rsid w:val="593E1EAA"/>
    <w:rsid w:val="595C582C"/>
    <w:rsid w:val="599E6993"/>
    <w:rsid w:val="59AA0910"/>
    <w:rsid w:val="59C01C22"/>
    <w:rsid w:val="59CD1026"/>
    <w:rsid w:val="59E127A1"/>
    <w:rsid w:val="59F854E5"/>
    <w:rsid w:val="59FA62BF"/>
    <w:rsid w:val="5A0D6E37"/>
    <w:rsid w:val="5A252C10"/>
    <w:rsid w:val="5A317807"/>
    <w:rsid w:val="5A3C3FA5"/>
    <w:rsid w:val="5A6C372E"/>
    <w:rsid w:val="5A9009D2"/>
    <w:rsid w:val="5AA24261"/>
    <w:rsid w:val="5B1258EA"/>
    <w:rsid w:val="5B2353A2"/>
    <w:rsid w:val="5B296C21"/>
    <w:rsid w:val="5B3C2907"/>
    <w:rsid w:val="5B3F5F54"/>
    <w:rsid w:val="5B4812AC"/>
    <w:rsid w:val="5B5B3E7C"/>
    <w:rsid w:val="5B5C6B06"/>
    <w:rsid w:val="5B7420A1"/>
    <w:rsid w:val="5B797984"/>
    <w:rsid w:val="5B9919F1"/>
    <w:rsid w:val="5BB10BFF"/>
    <w:rsid w:val="5BB505E5"/>
    <w:rsid w:val="5BC76675"/>
    <w:rsid w:val="5BCE5C7F"/>
    <w:rsid w:val="5BE2746B"/>
    <w:rsid w:val="5C30473B"/>
    <w:rsid w:val="5C435945"/>
    <w:rsid w:val="5C480E38"/>
    <w:rsid w:val="5C5773BA"/>
    <w:rsid w:val="5C955CCD"/>
    <w:rsid w:val="5CB27939"/>
    <w:rsid w:val="5CD10E2D"/>
    <w:rsid w:val="5CE1534A"/>
    <w:rsid w:val="5D052AC9"/>
    <w:rsid w:val="5D3F048D"/>
    <w:rsid w:val="5D521F6E"/>
    <w:rsid w:val="5D972077"/>
    <w:rsid w:val="5DAF2752"/>
    <w:rsid w:val="5DB26EB1"/>
    <w:rsid w:val="5DB770F7"/>
    <w:rsid w:val="5E580E61"/>
    <w:rsid w:val="5E7D126D"/>
    <w:rsid w:val="5E856373"/>
    <w:rsid w:val="5EBB2DD3"/>
    <w:rsid w:val="5EC46F3F"/>
    <w:rsid w:val="5ED30E8D"/>
    <w:rsid w:val="5EEB66F2"/>
    <w:rsid w:val="5F37766E"/>
    <w:rsid w:val="5F64242D"/>
    <w:rsid w:val="5FD362BC"/>
    <w:rsid w:val="5FDA449D"/>
    <w:rsid w:val="600833A2"/>
    <w:rsid w:val="602F71FC"/>
    <w:rsid w:val="60432E2D"/>
    <w:rsid w:val="607E6BFE"/>
    <w:rsid w:val="60820DBC"/>
    <w:rsid w:val="60AA4DA8"/>
    <w:rsid w:val="60DE653D"/>
    <w:rsid w:val="60FB0B6F"/>
    <w:rsid w:val="61073070"/>
    <w:rsid w:val="61181721"/>
    <w:rsid w:val="611F6518"/>
    <w:rsid w:val="614E6EF1"/>
    <w:rsid w:val="616B7AA3"/>
    <w:rsid w:val="617956D2"/>
    <w:rsid w:val="61812296"/>
    <w:rsid w:val="618835DC"/>
    <w:rsid w:val="619A1478"/>
    <w:rsid w:val="61AC5A5D"/>
    <w:rsid w:val="61C86CA3"/>
    <w:rsid w:val="620B1A54"/>
    <w:rsid w:val="62271BA9"/>
    <w:rsid w:val="62343D41"/>
    <w:rsid w:val="624401ED"/>
    <w:rsid w:val="6276506E"/>
    <w:rsid w:val="62854B94"/>
    <w:rsid w:val="62C90F25"/>
    <w:rsid w:val="62DD697E"/>
    <w:rsid w:val="62FB30A8"/>
    <w:rsid w:val="63220635"/>
    <w:rsid w:val="634A37EB"/>
    <w:rsid w:val="63682854"/>
    <w:rsid w:val="640E3B1A"/>
    <w:rsid w:val="64141D09"/>
    <w:rsid w:val="641A3C03"/>
    <w:rsid w:val="64477F7E"/>
    <w:rsid w:val="644D1E9C"/>
    <w:rsid w:val="64607667"/>
    <w:rsid w:val="646F5FD8"/>
    <w:rsid w:val="648D73DE"/>
    <w:rsid w:val="64B2765C"/>
    <w:rsid w:val="64D22373"/>
    <w:rsid w:val="655811BD"/>
    <w:rsid w:val="655F791E"/>
    <w:rsid w:val="65A74E21"/>
    <w:rsid w:val="65BB0D47"/>
    <w:rsid w:val="65D04906"/>
    <w:rsid w:val="661C217F"/>
    <w:rsid w:val="661F70AE"/>
    <w:rsid w:val="66302B58"/>
    <w:rsid w:val="663F14FE"/>
    <w:rsid w:val="664D59C9"/>
    <w:rsid w:val="666F1DE3"/>
    <w:rsid w:val="668A4527"/>
    <w:rsid w:val="66976C44"/>
    <w:rsid w:val="66BB0085"/>
    <w:rsid w:val="66C12B11"/>
    <w:rsid w:val="67040468"/>
    <w:rsid w:val="670A5668"/>
    <w:rsid w:val="670D5152"/>
    <w:rsid w:val="670F2C7E"/>
    <w:rsid w:val="67185FD7"/>
    <w:rsid w:val="67797DF6"/>
    <w:rsid w:val="678A67A9"/>
    <w:rsid w:val="67CF35E0"/>
    <w:rsid w:val="686E4633"/>
    <w:rsid w:val="68961192"/>
    <w:rsid w:val="690F0C92"/>
    <w:rsid w:val="6922313D"/>
    <w:rsid w:val="692F0289"/>
    <w:rsid w:val="694A2FDF"/>
    <w:rsid w:val="694D71BD"/>
    <w:rsid w:val="69525979"/>
    <w:rsid w:val="69856FA1"/>
    <w:rsid w:val="69B61AD7"/>
    <w:rsid w:val="69E91EAC"/>
    <w:rsid w:val="6A10568B"/>
    <w:rsid w:val="6A1D56B2"/>
    <w:rsid w:val="6A701529"/>
    <w:rsid w:val="6A786D8C"/>
    <w:rsid w:val="6A8C2F62"/>
    <w:rsid w:val="6A94006A"/>
    <w:rsid w:val="6B1E75AA"/>
    <w:rsid w:val="6B1E7B31"/>
    <w:rsid w:val="6B64389A"/>
    <w:rsid w:val="6B730B12"/>
    <w:rsid w:val="6BAD622C"/>
    <w:rsid w:val="6BBD5397"/>
    <w:rsid w:val="6BDB75D3"/>
    <w:rsid w:val="6C550679"/>
    <w:rsid w:val="6C5C4BB7"/>
    <w:rsid w:val="6C84785C"/>
    <w:rsid w:val="6CA17EC6"/>
    <w:rsid w:val="6CA711FA"/>
    <w:rsid w:val="6CB779E5"/>
    <w:rsid w:val="6CC12DBA"/>
    <w:rsid w:val="6D050DAB"/>
    <w:rsid w:val="6D141BC5"/>
    <w:rsid w:val="6D262AD0"/>
    <w:rsid w:val="6D266F73"/>
    <w:rsid w:val="6D4A30B3"/>
    <w:rsid w:val="6D576053"/>
    <w:rsid w:val="6D626655"/>
    <w:rsid w:val="6D786EC3"/>
    <w:rsid w:val="6D9C7A54"/>
    <w:rsid w:val="6E0077C5"/>
    <w:rsid w:val="6E050B4C"/>
    <w:rsid w:val="6E0C7F17"/>
    <w:rsid w:val="6E16292A"/>
    <w:rsid w:val="6E5673E4"/>
    <w:rsid w:val="6E612106"/>
    <w:rsid w:val="6E9D5E2F"/>
    <w:rsid w:val="6E9E2E51"/>
    <w:rsid w:val="6E9F35BE"/>
    <w:rsid w:val="6EA63EC8"/>
    <w:rsid w:val="6EB04D47"/>
    <w:rsid w:val="6EB74327"/>
    <w:rsid w:val="6EF235B1"/>
    <w:rsid w:val="6EF72E99"/>
    <w:rsid w:val="6F1E1518"/>
    <w:rsid w:val="6F1F3C7A"/>
    <w:rsid w:val="6F2A2001"/>
    <w:rsid w:val="6F646FCB"/>
    <w:rsid w:val="6F7E4E45"/>
    <w:rsid w:val="6F7F4719"/>
    <w:rsid w:val="6FBC771B"/>
    <w:rsid w:val="6FBD3BBF"/>
    <w:rsid w:val="6FEC1164"/>
    <w:rsid w:val="700C0883"/>
    <w:rsid w:val="702515CA"/>
    <w:rsid w:val="702A0B29"/>
    <w:rsid w:val="706109EE"/>
    <w:rsid w:val="70A95AA7"/>
    <w:rsid w:val="70C23512"/>
    <w:rsid w:val="710D3942"/>
    <w:rsid w:val="71535E5D"/>
    <w:rsid w:val="715F4EDB"/>
    <w:rsid w:val="71850DDA"/>
    <w:rsid w:val="71D806B4"/>
    <w:rsid w:val="71DD21CE"/>
    <w:rsid w:val="71F6737E"/>
    <w:rsid w:val="720C24F1"/>
    <w:rsid w:val="72245AA8"/>
    <w:rsid w:val="72303306"/>
    <w:rsid w:val="723201D8"/>
    <w:rsid w:val="72367E2E"/>
    <w:rsid w:val="7238752D"/>
    <w:rsid w:val="725138BE"/>
    <w:rsid w:val="72923EF5"/>
    <w:rsid w:val="72BD398F"/>
    <w:rsid w:val="72C03324"/>
    <w:rsid w:val="73036137"/>
    <w:rsid w:val="7306762B"/>
    <w:rsid w:val="73090EC9"/>
    <w:rsid w:val="732E7EC8"/>
    <w:rsid w:val="736856FA"/>
    <w:rsid w:val="7375211F"/>
    <w:rsid w:val="7375655F"/>
    <w:rsid w:val="73D634A1"/>
    <w:rsid w:val="73F456D6"/>
    <w:rsid w:val="73F751C6"/>
    <w:rsid w:val="740321D7"/>
    <w:rsid w:val="740A4EF9"/>
    <w:rsid w:val="741E586D"/>
    <w:rsid w:val="74312486"/>
    <w:rsid w:val="744A3547"/>
    <w:rsid w:val="746D7236"/>
    <w:rsid w:val="747F19C5"/>
    <w:rsid w:val="74820F33"/>
    <w:rsid w:val="748A428C"/>
    <w:rsid w:val="748C0ACD"/>
    <w:rsid w:val="749B45CA"/>
    <w:rsid w:val="74B33371"/>
    <w:rsid w:val="74BA691F"/>
    <w:rsid w:val="74CB0B2C"/>
    <w:rsid w:val="750765D7"/>
    <w:rsid w:val="753F2F94"/>
    <w:rsid w:val="75501031"/>
    <w:rsid w:val="75680129"/>
    <w:rsid w:val="75952EE8"/>
    <w:rsid w:val="75954C96"/>
    <w:rsid w:val="75AC3A69"/>
    <w:rsid w:val="75BE5753"/>
    <w:rsid w:val="75CE5715"/>
    <w:rsid w:val="760905A3"/>
    <w:rsid w:val="762751ED"/>
    <w:rsid w:val="76372D8B"/>
    <w:rsid w:val="763E003A"/>
    <w:rsid w:val="764D37C3"/>
    <w:rsid w:val="768865A9"/>
    <w:rsid w:val="76A35191"/>
    <w:rsid w:val="76C515AB"/>
    <w:rsid w:val="76D417EE"/>
    <w:rsid w:val="772B1C7A"/>
    <w:rsid w:val="774B5241"/>
    <w:rsid w:val="7778661E"/>
    <w:rsid w:val="77C81353"/>
    <w:rsid w:val="78280044"/>
    <w:rsid w:val="782F6B0A"/>
    <w:rsid w:val="787E0070"/>
    <w:rsid w:val="78992CEF"/>
    <w:rsid w:val="78A0582D"/>
    <w:rsid w:val="78A43B6E"/>
    <w:rsid w:val="78F71B30"/>
    <w:rsid w:val="790B6FE5"/>
    <w:rsid w:val="7936053E"/>
    <w:rsid w:val="7A1C5986"/>
    <w:rsid w:val="7A28257D"/>
    <w:rsid w:val="7A342CD0"/>
    <w:rsid w:val="7A5E5F9F"/>
    <w:rsid w:val="7A642F2E"/>
    <w:rsid w:val="7A832DBB"/>
    <w:rsid w:val="7A8377B3"/>
    <w:rsid w:val="7A951295"/>
    <w:rsid w:val="7AA53BCD"/>
    <w:rsid w:val="7AA5597C"/>
    <w:rsid w:val="7ADD3367"/>
    <w:rsid w:val="7B1B79EC"/>
    <w:rsid w:val="7B356567"/>
    <w:rsid w:val="7B617B3F"/>
    <w:rsid w:val="7B8C6B3B"/>
    <w:rsid w:val="7BF1074D"/>
    <w:rsid w:val="7C6A6C35"/>
    <w:rsid w:val="7C787B37"/>
    <w:rsid w:val="7C8B6DF3"/>
    <w:rsid w:val="7C9B6C60"/>
    <w:rsid w:val="7CAA54CB"/>
    <w:rsid w:val="7CB15087"/>
    <w:rsid w:val="7CB77BE8"/>
    <w:rsid w:val="7CBF1AF5"/>
    <w:rsid w:val="7CE16DC7"/>
    <w:rsid w:val="7CF46746"/>
    <w:rsid w:val="7D2376F2"/>
    <w:rsid w:val="7D364FB1"/>
    <w:rsid w:val="7D630C48"/>
    <w:rsid w:val="7D787377"/>
    <w:rsid w:val="7DA32088"/>
    <w:rsid w:val="7DF90B2F"/>
    <w:rsid w:val="7DFF1847"/>
    <w:rsid w:val="7E152822"/>
    <w:rsid w:val="7E1D4F9E"/>
    <w:rsid w:val="7E532B0E"/>
    <w:rsid w:val="7E655BB6"/>
    <w:rsid w:val="7E682F48"/>
    <w:rsid w:val="7EA67F14"/>
    <w:rsid w:val="7EAA3560"/>
    <w:rsid w:val="7EB002E0"/>
    <w:rsid w:val="7ED14F91"/>
    <w:rsid w:val="7EDE76AE"/>
    <w:rsid w:val="7F18132D"/>
    <w:rsid w:val="7F2262A6"/>
    <w:rsid w:val="7FBD3767"/>
    <w:rsid w:val="7FCD1EB0"/>
    <w:rsid w:val="7FD0349B"/>
    <w:rsid w:val="7FD11BA4"/>
    <w:rsid w:val="7FDD3E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47"/>
    <w:qFormat/>
    <w:uiPriority w:val="9"/>
    <w:pPr>
      <w:keepNext/>
      <w:keepLines/>
      <w:spacing w:before="340" w:after="330" w:line="578" w:lineRule="auto"/>
      <w:jc w:val="center"/>
      <w:outlineLvl w:val="0"/>
    </w:pPr>
    <w:rPr>
      <w:bCs/>
      <w:kern w:val="44"/>
      <w:sz w:val="44"/>
      <w:szCs w:val="44"/>
    </w:rPr>
  </w:style>
  <w:style w:type="paragraph" w:styleId="3">
    <w:name w:val="heading 2"/>
    <w:basedOn w:val="1"/>
    <w:next w:val="1"/>
    <w:link w:val="48"/>
    <w:qFormat/>
    <w:uiPriority w:val="0"/>
    <w:pPr>
      <w:keepNext/>
      <w:keepLines/>
      <w:spacing w:before="260" w:after="260" w:line="500" w:lineRule="exact"/>
      <w:contextualSpacing/>
      <w:jc w:val="center"/>
      <w:outlineLvl w:val="1"/>
    </w:pPr>
    <w:rPr>
      <w:rFonts w:ascii="宋体" w:hAnsi="宋体" w:eastAsia="宋体"/>
      <w:sz w:val="32"/>
      <w:szCs w:val="28"/>
    </w:rPr>
  </w:style>
  <w:style w:type="paragraph" w:styleId="4">
    <w:name w:val="heading 3"/>
    <w:basedOn w:val="1"/>
    <w:next w:val="1"/>
    <w:link w:val="49"/>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6"/>
    <w:next w:val="1"/>
    <w:link w:val="52"/>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53"/>
    <w:qFormat/>
    <w:uiPriority w:val="0"/>
    <w:pPr>
      <w:tabs>
        <w:tab w:val="left" w:pos="1800"/>
        <w:tab w:val="clear" w:pos="1440"/>
      </w:tabs>
      <w:ind w:left="1276" w:hanging="1276"/>
      <w:outlineLvl w:val="6"/>
    </w:pPr>
  </w:style>
  <w:style w:type="paragraph" w:styleId="9">
    <w:name w:val="heading 8"/>
    <w:basedOn w:val="8"/>
    <w:next w:val="1"/>
    <w:link w:val="54"/>
    <w:qFormat/>
    <w:uiPriority w:val="0"/>
    <w:pPr>
      <w:ind w:left="1418" w:hanging="1418"/>
      <w:outlineLvl w:val="7"/>
    </w:pPr>
  </w:style>
  <w:style w:type="paragraph" w:styleId="10">
    <w:name w:val="heading 9"/>
    <w:basedOn w:val="9"/>
    <w:next w:val="1"/>
    <w:link w:val="55"/>
    <w:qFormat/>
    <w:uiPriority w:val="0"/>
    <w:pPr>
      <w:tabs>
        <w:tab w:val="left" w:pos="2160"/>
        <w:tab w:val="clear" w:pos="1800"/>
      </w:tabs>
      <w:ind w:left="1559" w:hanging="1559"/>
      <w:outlineLvl w:val="8"/>
    </w:p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11">
    <w:name w:val="Normal Indent"/>
    <w:basedOn w:val="1"/>
    <w:next w:val="1"/>
    <w:link w:val="56"/>
    <w:unhideWhenUsed/>
    <w:qFormat/>
    <w:uiPriority w:val="0"/>
    <w:pPr>
      <w:ind w:firstLine="420" w:firstLineChars="200"/>
    </w:pPr>
  </w:style>
  <w:style w:type="paragraph" w:styleId="12">
    <w:name w:val="Document Map"/>
    <w:basedOn w:val="1"/>
    <w:link w:val="57"/>
    <w:qFormat/>
    <w:uiPriority w:val="0"/>
    <w:rPr>
      <w:rFonts w:ascii="宋体"/>
      <w:sz w:val="18"/>
      <w:szCs w:val="18"/>
    </w:rPr>
  </w:style>
  <w:style w:type="paragraph" w:styleId="13">
    <w:name w:val="toa heading"/>
    <w:basedOn w:val="14"/>
    <w:next w:val="1"/>
    <w:qFormat/>
    <w:uiPriority w:val="0"/>
    <w:pPr>
      <w:spacing w:before="120"/>
    </w:pPr>
    <w:rPr>
      <w:rFonts w:ascii="Arial" w:hAnsi="Arial"/>
      <w:sz w:val="24"/>
    </w:rPr>
  </w:style>
  <w:style w:type="paragraph" w:customStyle="1" w:styleId="14">
    <w:name w:val="正文_1_1"/>
    <w:basedOn w:val="15"/>
    <w:qFormat/>
    <w:uiPriority w:val="0"/>
    <w:pPr>
      <w:widowControl w:val="0"/>
      <w:jc w:val="both"/>
    </w:pPr>
    <w:rPr>
      <w:rFonts w:ascii="Calibri" w:hAnsi="Calibri"/>
      <w:kern w:val="2"/>
      <w:sz w:val="21"/>
      <w:szCs w:val="22"/>
      <w:lang w:val="en-US" w:eastAsia="zh-CN" w:bidi="ar-SA"/>
    </w:rPr>
  </w:style>
  <w:style w:type="paragraph" w:customStyle="1" w:styleId="15">
    <w:name w:val="正文_5"/>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引文目录标题_0"/>
    <w:basedOn w:val="15"/>
    <w:next w:val="15"/>
    <w:qFormat/>
    <w:uiPriority w:val="0"/>
    <w:pPr>
      <w:spacing w:before="120"/>
    </w:pPr>
    <w:rPr>
      <w:rFonts w:ascii="Arial" w:hAnsi="Arial"/>
      <w:sz w:val="24"/>
    </w:rPr>
  </w:style>
  <w:style w:type="paragraph" w:styleId="17">
    <w:name w:val="annotation text"/>
    <w:basedOn w:val="1"/>
    <w:link w:val="58"/>
    <w:qFormat/>
    <w:uiPriority w:val="0"/>
    <w:pPr>
      <w:jc w:val="left"/>
    </w:pPr>
  </w:style>
  <w:style w:type="paragraph" w:styleId="18">
    <w:name w:val="Body Text"/>
    <w:basedOn w:val="1"/>
    <w:next w:val="1"/>
    <w:unhideWhenUsed/>
    <w:qFormat/>
    <w:uiPriority w:val="0"/>
    <w:pPr>
      <w:spacing w:after="120"/>
    </w:pPr>
  </w:style>
  <w:style w:type="paragraph" w:styleId="19">
    <w:name w:val="Body Text Indent"/>
    <w:basedOn w:val="1"/>
    <w:next w:val="20"/>
    <w:link w:val="59"/>
    <w:qFormat/>
    <w:uiPriority w:val="0"/>
    <w:pPr>
      <w:ind w:firstLine="830" w:firstLineChars="352"/>
    </w:pPr>
    <w:rPr>
      <w:rFonts w:ascii="仿宋_GB2312" w:eastAsia="仿宋_GB2312"/>
      <w:sz w:val="32"/>
      <w:szCs w:val="20"/>
    </w:rPr>
  </w:style>
  <w:style w:type="paragraph" w:styleId="2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1">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2">
    <w:name w:val="toc 3"/>
    <w:basedOn w:val="1"/>
    <w:next w:val="1"/>
    <w:unhideWhenUsed/>
    <w:qFormat/>
    <w:uiPriority w:val="39"/>
    <w:pPr>
      <w:ind w:left="840" w:leftChars="400"/>
    </w:pPr>
  </w:style>
  <w:style w:type="paragraph" w:styleId="23">
    <w:name w:val="Plain Text"/>
    <w:basedOn w:val="1"/>
    <w:link w:val="60"/>
    <w:qFormat/>
    <w:uiPriority w:val="0"/>
    <w:rPr>
      <w:rFonts w:ascii="宋体" w:hAnsi="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envelope return"/>
    <w:basedOn w:val="1"/>
    <w:qFormat/>
    <w:uiPriority w:val="0"/>
    <w:pPr>
      <w:snapToGrid w:val="0"/>
    </w:pPr>
    <w:rPr>
      <w:rFonts w:ascii="Arial" w:hAnsi="Arial" w:eastAsia="宋体" w:cs="Times New Roman"/>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222"/>
      </w:tabs>
      <w:spacing w:line="440" w:lineRule="exact"/>
      <w:ind w:right="231" w:rightChars="110"/>
    </w:pPr>
    <w:rPr>
      <w:sz w:val="28"/>
    </w:rPr>
  </w:style>
  <w:style w:type="paragraph" w:styleId="30">
    <w:name w:val="footnote text"/>
    <w:basedOn w:val="1"/>
    <w:qFormat/>
    <w:uiPriority w:val="0"/>
    <w:pPr>
      <w:snapToGrid w:val="0"/>
      <w:jc w:val="left"/>
    </w:pPr>
    <w:rPr>
      <w:sz w:val="18"/>
    </w:rPr>
  </w:style>
  <w:style w:type="paragraph" w:styleId="31">
    <w:name w:val="Body Text Indent 3"/>
    <w:basedOn w:val="1"/>
    <w:link w:val="62"/>
    <w:unhideWhenUsed/>
    <w:qFormat/>
    <w:uiPriority w:val="0"/>
    <w:pPr>
      <w:spacing w:after="120"/>
      <w:ind w:left="420" w:leftChars="200"/>
    </w:pPr>
    <w:rPr>
      <w:sz w:val="16"/>
      <w:szCs w:val="16"/>
    </w:rPr>
  </w:style>
  <w:style w:type="paragraph" w:styleId="32">
    <w:name w:val="toc 2"/>
    <w:basedOn w:val="1"/>
    <w:next w:val="1"/>
    <w:qFormat/>
    <w:uiPriority w:val="39"/>
    <w:pPr>
      <w:tabs>
        <w:tab w:val="right" w:leader="dot" w:pos="8222"/>
      </w:tabs>
      <w:ind w:left="420" w:leftChars="200"/>
      <w:jc w:val="left"/>
    </w:pPr>
    <w:rPr>
      <w:sz w:val="28"/>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3"/>
    <w:next w:val="1"/>
    <w:link w:val="63"/>
    <w:qFormat/>
    <w:uiPriority w:val="0"/>
    <w:pPr>
      <w:jc w:val="both"/>
    </w:pPr>
    <w:rPr>
      <w:rFonts w:ascii="宋体"/>
      <w:sz w:val="44"/>
    </w:rPr>
  </w:style>
  <w:style w:type="paragraph" w:styleId="35">
    <w:name w:val="annotation subject"/>
    <w:basedOn w:val="17"/>
    <w:next w:val="17"/>
    <w:link w:val="64"/>
    <w:qFormat/>
    <w:uiPriority w:val="99"/>
    <w:rPr>
      <w:rFonts w:ascii="Times New Roman" w:hAnsi="Times New Roman"/>
      <w:b/>
      <w:sz w:val="28"/>
      <w:szCs w:val="20"/>
    </w:rPr>
  </w:style>
  <w:style w:type="paragraph" w:styleId="36">
    <w:name w:val="Body Text First Indent"/>
    <w:basedOn w:val="18"/>
    <w:unhideWhenUsed/>
    <w:qFormat/>
    <w:uiPriority w:val="0"/>
    <w:pPr>
      <w:ind w:firstLine="420" w:firstLineChars="100"/>
    </w:pPr>
  </w:style>
  <w:style w:type="paragraph" w:styleId="37">
    <w:name w:val="Body Text First Indent 2"/>
    <w:basedOn w:val="19"/>
    <w:next w:val="36"/>
    <w:qFormat/>
    <w:uiPriority w:val="0"/>
    <w:pPr>
      <w:tabs>
        <w:tab w:val="left" w:pos="900"/>
      </w:tabs>
      <w:spacing w:after="120" w:line="240" w:lineRule="auto"/>
      <w:ind w:left="420" w:leftChars="200" w:firstLine="420"/>
    </w:pPr>
    <w:rPr>
      <w:rFonts w:cs="宋体"/>
      <w:sz w:val="21"/>
      <w:szCs w:val="21"/>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表格文字"/>
    <w:basedOn w:val="1"/>
    <w:next w:val="18"/>
    <w:qFormat/>
    <w:uiPriority w:val="0"/>
    <w:pPr>
      <w:spacing w:before="25" w:after="25"/>
      <w:jc w:val="left"/>
    </w:pPr>
    <w:rPr>
      <w:bCs/>
      <w:spacing w:val="10"/>
      <w:kern w:val="0"/>
      <w:sz w:val="24"/>
      <w:szCs w:val="20"/>
    </w:rPr>
  </w:style>
  <w:style w:type="paragraph" w:customStyle="1" w:styleId="46">
    <w:name w:val="Heading2"/>
    <w:basedOn w:val="1"/>
    <w:next w:val="1"/>
    <w:qFormat/>
    <w:uiPriority w:val="0"/>
    <w:pPr>
      <w:bidi w:val="0"/>
      <w:spacing w:before="100" w:beforeAutospacing="1" w:after="100" w:afterAutospacing="1" w:line="240" w:lineRule="auto"/>
      <w:ind w:left="0" w:right="0" w:firstLine="0"/>
      <w:jc w:val="left"/>
      <w:textAlignment w:val="baseline"/>
    </w:pPr>
    <w:rPr>
      <w:rFonts w:ascii="宋体" w:hAnsi="宋体" w:eastAsia="宋体"/>
      <w:color w:val="000000"/>
      <w:kern w:val="0"/>
      <w:position w:val="0"/>
      <w:sz w:val="36"/>
      <w:szCs w:val="36"/>
      <w:lang w:val="en-US" w:eastAsia="zh-CN"/>
    </w:rPr>
  </w:style>
  <w:style w:type="character" w:customStyle="1" w:styleId="47">
    <w:name w:val="标题 1 Char"/>
    <w:link w:val="2"/>
    <w:qFormat/>
    <w:uiPriority w:val="9"/>
    <w:rPr>
      <w:rFonts w:ascii="Calibri" w:hAnsi="Calibri"/>
      <w:b/>
      <w:bCs/>
      <w:kern w:val="44"/>
      <w:sz w:val="44"/>
      <w:szCs w:val="44"/>
    </w:rPr>
  </w:style>
  <w:style w:type="character" w:customStyle="1" w:styleId="48">
    <w:name w:val="标题 2 Char"/>
    <w:link w:val="3"/>
    <w:qFormat/>
    <w:uiPriority w:val="0"/>
    <w:rPr>
      <w:rFonts w:ascii="宋体" w:hAnsi="宋体" w:eastAsia="宋体"/>
      <w:b/>
      <w:kern w:val="2"/>
      <w:sz w:val="32"/>
      <w:szCs w:val="28"/>
    </w:rPr>
  </w:style>
  <w:style w:type="character" w:customStyle="1" w:styleId="49">
    <w:name w:val="标题 3 Char"/>
    <w:link w:val="4"/>
    <w:qFormat/>
    <w:uiPriority w:val="0"/>
    <w:rPr>
      <w:rFonts w:ascii="仿宋_GB2312" w:hAnsi="宋体" w:eastAsia="宋体"/>
      <w:b/>
      <w:kern w:val="2"/>
      <w:sz w:val="32"/>
      <w:szCs w:val="32"/>
    </w:rPr>
  </w:style>
  <w:style w:type="character" w:customStyle="1" w:styleId="50">
    <w:name w:val="标题 4 Char"/>
    <w:link w:val="5"/>
    <w:qFormat/>
    <w:uiPriority w:val="0"/>
    <w:rPr>
      <w:rFonts w:ascii="Arial" w:hAnsi="Arial" w:eastAsia="黑体"/>
      <w:b/>
      <w:bCs/>
      <w:kern w:val="2"/>
      <w:sz w:val="28"/>
      <w:szCs w:val="28"/>
    </w:rPr>
  </w:style>
  <w:style w:type="character" w:customStyle="1" w:styleId="51">
    <w:name w:val="标题 5 Char"/>
    <w:link w:val="6"/>
    <w:qFormat/>
    <w:uiPriority w:val="0"/>
    <w:rPr>
      <w:rFonts w:ascii="Calibri" w:hAnsi="Calibri"/>
      <w:b/>
      <w:bCs/>
      <w:kern w:val="2"/>
      <w:sz w:val="28"/>
      <w:szCs w:val="28"/>
    </w:rPr>
  </w:style>
  <w:style w:type="character" w:customStyle="1" w:styleId="52">
    <w:name w:val="标题 6 Char"/>
    <w:link w:val="7"/>
    <w:qFormat/>
    <w:uiPriority w:val="0"/>
    <w:rPr>
      <w:b/>
      <w:bCs/>
      <w:kern w:val="2"/>
      <w:sz w:val="30"/>
      <w:szCs w:val="18"/>
    </w:rPr>
  </w:style>
  <w:style w:type="character" w:customStyle="1" w:styleId="53">
    <w:name w:val="标题 7 Char"/>
    <w:link w:val="8"/>
    <w:qFormat/>
    <w:uiPriority w:val="0"/>
    <w:rPr>
      <w:b/>
      <w:bCs/>
      <w:kern w:val="2"/>
      <w:sz w:val="30"/>
      <w:szCs w:val="18"/>
    </w:rPr>
  </w:style>
  <w:style w:type="character" w:customStyle="1" w:styleId="54">
    <w:name w:val="标题 8 Char"/>
    <w:link w:val="9"/>
    <w:qFormat/>
    <w:uiPriority w:val="0"/>
    <w:rPr>
      <w:b/>
      <w:bCs/>
      <w:kern w:val="2"/>
      <w:sz w:val="30"/>
      <w:szCs w:val="18"/>
    </w:rPr>
  </w:style>
  <w:style w:type="character" w:customStyle="1" w:styleId="55">
    <w:name w:val="标题 9 Char"/>
    <w:link w:val="10"/>
    <w:qFormat/>
    <w:uiPriority w:val="0"/>
    <w:rPr>
      <w:b/>
      <w:bCs/>
      <w:kern w:val="2"/>
      <w:sz w:val="30"/>
      <w:szCs w:val="18"/>
    </w:rPr>
  </w:style>
  <w:style w:type="character" w:customStyle="1" w:styleId="56">
    <w:name w:val="正文缩进 Char"/>
    <w:link w:val="11"/>
    <w:qFormat/>
    <w:uiPriority w:val="0"/>
    <w:rPr>
      <w:rFonts w:ascii="Calibri" w:hAnsi="Calibri" w:eastAsia="宋体"/>
      <w:kern w:val="2"/>
      <w:sz w:val="21"/>
      <w:szCs w:val="22"/>
      <w:lang w:val="en-US" w:eastAsia="zh-CN" w:bidi="ar-SA"/>
    </w:rPr>
  </w:style>
  <w:style w:type="character" w:customStyle="1" w:styleId="57">
    <w:name w:val="文档结构图 Char"/>
    <w:link w:val="12"/>
    <w:qFormat/>
    <w:uiPriority w:val="0"/>
    <w:rPr>
      <w:rFonts w:ascii="宋体" w:hAnsi="Calibri"/>
      <w:kern w:val="2"/>
      <w:sz w:val="18"/>
      <w:szCs w:val="18"/>
    </w:rPr>
  </w:style>
  <w:style w:type="character" w:customStyle="1" w:styleId="58">
    <w:name w:val="批注文字 Char"/>
    <w:link w:val="17"/>
    <w:qFormat/>
    <w:uiPriority w:val="0"/>
    <w:rPr>
      <w:rFonts w:ascii="Calibri" w:hAnsi="Calibri"/>
      <w:kern w:val="2"/>
      <w:sz w:val="21"/>
      <w:szCs w:val="22"/>
    </w:rPr>
  </w:style>
  <w:style w:type="character" w:customStyle="1" w:styleId="59">
    <w:name w:val="正文文本缩进 Char"/>
    <w:link w:val="19"/>
    <w:qFormat/>
    <w:uiPriority w:val="0"/>
    <w:rPr>
      <w:rFonts w:ascii="仿宋_GB2312" w:hAnsi="Calibri" w:eastAsia="仿宋_GB2312"/>
      <w:kern w:val="2"/>
      <w:sz w:val="32"/>
    </w:rPr>
  </w:style>
  <w:style w:type="character" w:customStyle="1" w:styleId="60">
    <w:name w:val="纯文本 Char1"/>
    <w:link w:val="23"/>
    <w:qFormat/>
    <w:locked/>
    <w:uiPriority w:val="0"/>
    <w:rPr>
      <w:rFonts w:ascii="宋体" w:hAnsi="Courier New" w:eastAsia="宋体" w:cs="Courier New"/>
      <w:kern w:val="2"/>
      <w:sz w:val="21"/>
      <w:szCs w:val="21"/>
    </w:rPr>
  </w:style>
  <w:style w:type="character" w:customStyle="1" w:styleId="61">
    <w:name w:val="页眉 Char"/>
    <w:link w:val="28"/>
    <w:qFormat/>
    <w:uiPriority w:val="99"/>
    <w:rPr>
      <w:rFonts w:ascii="Calibri" w:hAnsi="Calibri" w:eastAsia="宋体" w:cs="Times New Roman"/>
      <w:kern w:val="2"/>
      <w:sz w:val="18"/>
      <w:szCs w:val="18"/>
    </w:rPr>
  </w:style>
  <w:style w:type="character" w:customStyle="1" w:styleId="62">
    <w:name w:val="正文文本缩进 3 Char"/>
    <w:link w:val="31"/>
    <w:semiHidden/>
    <w:qFormat/>
    <w:uiPriority w:val="0"/>
    <w:rPr>
      <w:rFonts w:ascii="Calibri" w:hAnsi="Calibri"/>
      <w:kern w:val="2"/>
      <w:sz w:val="16"/>
      <w:szCs w:val="16"/>
    </w:rPr>
  </w:style>
  <w:style w:type="character" w:customStyle="1" w:styleId="63">
    <w:name w:val="标题 Char"/>
    <w:link w:val="34"/>
    <w:qFormat/>
    <w:uiPriority w:val="0"/>
    <w:rPr>
      <w:rFonts w:ascii="宋体" w:hAnsi="宋体" w:eastAsia="宋体"/>
      <w:b/>
      <w:kern w:val="2"/>
      <w:sz w:val="44"/>
      <w:szCs w:val="28"/>
    </w:rPr>
  </w:style>
  <w:style w:type="character" w:customStyle="1" w:styleId="64">
    <w:name w:val="批注主题 Char"/>
    <w:link w:val="35"/>
    <w:qFormat/>
    <w:uiPriority w:val="99"/>
    <w:rPr>
      <w:b/>
      <w:kern w:val="2"/>
      <w:sz w:val="28"/>
    </w:rPr>
  </w:style>
  <w:style w:type="paragraph" w:customStyle="1" w:styleId="65">
    <w:name w:val="Normal_0"/>
    <w:qFormat/>
    <w:uiPriority w:val="0"/>
    <w:rPr>
      <w:rFonts w:ascii="Times New Roman" w:hAnsi="Times New Roman" w:eastAsia="Times New Roman" w:cs="Times New Roman"/>
      <w:sz w:val="24"/>
      <w:szCs w:val="24"/>
      <w:lang w:bidi="ar-SA"/>
    </w:rPr>
  </w:style>
  <w:style w:type="character" w:customStyle="1" w:styleId="66">
    <w:name w:val="普通文字 Char Char2"/>
    <w:qFormat/>
    <w:uiPriority w:val="0"/>
    <w:rPr>
      <w:rFonts w:ascii="宋体" w:hAnsi="Courier New" w:cs="Courier New"/>
      <w:kern w:val="2"/>
      <w:sz w:val="21"/>
      <w:szCs w:val="21"/>
    </w:rPr>
  </w:style>
  <w:style w:type="character" w:customStyle="1" w:styleId="67">
    <w:name w:val="纯文本 Char"/>
    <w:qFormat/>
    <w:uiPriority w:val="0"/>
    <w:rPr>
      <w:rFonts w:ascii="宋体" w:hAnsi="Courier New" w:cs="Courier New"/>
      <w:sz w:val="22"/>
      <w:szCs w:val="21"/>
      <w:lang w:eastAsia="en-US" w:bidi="en-US"/>
    </w:rPr>
  </w:style>
  <w:style w:type="character" w:customStyle="1" w:styleId="68">
    <w:name w:val="正文文本 Char"/>
    <w:link w:val="69"/>
    <w:semiHidden/>
    <w:qFormat/>
    <w:uiPriority w:val="0"/>
    <w:rPr>
      <w:rFonts w:ascii="Calibri" w:hAnsi="Calibri" w:eastAsia="宋体" w:cs="Times New Roman"/>
    </w:rPr>
  </w:style>
  <w:style w:type="paragraph" w:customStyle="1" w:styleId="69">
    <w:name w:val="正文文本_1"/>
    <w:basedOn w:val="70"/>
    <w:link w:val="68"/>
    <w:unhideWhenUsed/>
    <w:qFormat/>
    <w:uiPriority w:val="0"/>
    <w:pPr>
      <w:spacing w:after="120"/>
    </w:pPr>
    <w:rPr>
      <w:rFonts w:ascii="Calibri" w:hAnsi="Calibri" w:eastAsia="宋体" w:cs="Times New Roman"/>
    </w:rPr>
  </w:style>
  <w:style w:type="paragraph" w:customStyle="1" w:styleId="7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超链接_0"/>
    <w:qFormat/>
    <w:uiPriority w:val="0"/>
    <w:rPr>
      <w:color w:val="0000FF"/>
      <w:u w:val="single"/>
    </w:rPr>
  </w:style>
  <w:style w:type="character" w:customStyle="1" w:styleId="73">
    <w:name w:val="2册标题2 Char"/>
    <w:link w:val="74"/>
    <w:qFormat/>
    <w:uiPriority w:val="0"/>
    <w:rPr>
      <w:rFonts w:ascii="Arial" w:hAnsi="Arial" w:eastAsia="黑体"/>
      <w:kern w:val="2"/>
      <w:sz w:val="30"/>
    </w:rPr>
  </w:style>
  <w:style w:type="paragraph" w:customStyle="1" w:styleId="74">
    <w:name w:val="2册标题2"/>
    <w:basedOn w:val="1"/>
    <w:next w:val="1"/>
    <w:link w:val="73"/>
    <w:qFormat/>
    <w:uiPriority w:val="0"/>
    <w:pPr>
      <w:spacing w:beforeLines="50" w:afterLines="50" w:line="300" w:lineRule="auto"/>
      <w:outlineLvl w:val="1"/>
    </w:pPr>
    <w:rPr>
      <w:rFonts w:ascii="Arial" w:hAnsi="Arial" w:eastAsia="黑体"/>
      <w:sz w:val="30"/>
      <w:szCs w:val="20"/>
    </w:rPr>
  </w:style>
  <w:style w:type="character" w:customStyle="1" w:styleId="75">
    <w:name w:val="正文缩进 Char_0"/>
    <w:link w:val="76"/>
    <w:qFormat/>
    <w:uiPriority w:val="0"/>
    <w:rPr>
      <w:rFonts w:ascii="Calibri" w:hAnsi="Calibri" w:eastAsia="宋体" w:cs="Times New Roman"/>
    </w:rPr>
  </w:style>
  <w:style w:type="paragraph" w:customStyle="1" w:styleId="76">
    <w:name w:val="正文缩进_1"/>
    <w:basedOn w:val="77"/>
    <w:link w:val="75"/>
    <w:unhideWhenUsed/>
    <w:qFormat/>
    <w:uiPriority w:val="0"/>
    <w:pPr>
      <w:ind w:firstLine="420" w:firstLineChars="200"/>
    </w:pPr>
    <w:rPr>
      <w:rFonts w:ascii="Calibri" w:hAnsi="Calibri"/>
    </w:rPr>
  </w:style>
  <w:style w:type="paragraph" w:customStyle="1" w:styleId="77">
    <w:name w:val="正文_4"/>
    <w:basedOn w:val="15"/>
    <w:next w:val="78"/>
    <w:qFormat/>
    <w:uiPriority w:val="0"/>
    <w:pPr>
      <w:widowControl w:val="0"/>
      <w:jc w:val="both"/>
    </w:pPr>
    <w:rPr>
      <w:kern w:val="2"/>
      <w:sz w:val="21"/>
      <w:szCs w:val="24"/>
      <w:lang w:val="en-US" w:eastAsia="zh-CN" w:bidi="ar-SA"/>
    </w:rPr>
  </w:style>
  <w:style w:type="paragraph" w:customStyle="1" w:styleId="78">
    <w:name w:val="正文首行缩进_0"/>
    <w:basedOn w:val="69"/>
    <w:unhideWhenUsed/>
    <w:qFormat/>
    <w:uiPriority w:val="99"/>
    <w:pPr>
      <w:ind w:firstLine="420" w:firstLineChars="100"/>
    </w:pPr>
    <w:rPr>
      <w:szCs w:val="22"/>
    </w:rPr>
  </w:style>
  <w:style w:type="paragraph" w:customStyle="1" w:styleId="79">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批注主题 Char1"/>
    <w:qFormat/>
    <w:uiPriority w:val="0"/>
    <w:rPr>
      <w:rFonts w:ascii="Calibri" w:hAnsi="Calibri"/>
      <w:b/>
      <w:bCs/>
      <w:kern w:val="2"/>
      <w:sz w:val="21"/>
      <w:szCs w:val="22"/>
    </w:rPr>
  </w:style>
  <w:style w:type="character" w:customStyle="1" w:styleId="81">
    <w:name w:val="正文缩进 Char_1"/>
    <w:link w:val="82"/>
    <w:qFormat/>
    <w:uiPriority w:val="0"/>
    <w:rPr>
      <w:rFonts w:ascii="Calibri" w:hAnsi="Calibri" w:eastAsia="宋体" w:cs="Times New Roman"/>
    </w:rPr>
  </w:style>
  <w:style w:type="paragraph" w:customStyle="1" w:styleId="82">
    <w:name w:val="正文缩进_2"/>
    <w:basedOn w:val="83"/>
    <w:link w:val="81"/>
    <w:unhideWhenUsed/>
    <w:qFormat/>
    <w:uiPriority w:val="0"/>
    <w:pPr>
      <w:ind w:firstLine="420" w:firstLineChars="200"/>
    </w:pPr>
    <w:rPr>
      <w:rFonts w:ascii="Calibri" w:hAnsi="Calibri" w:eastAsia="宋体"/>
    </w:rPr>
  </w:style>
  <w:style w:type="paragraph" w:customStyle="1" w:styleId="83">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15"/>
    <w:qFormat/>
    <w:uiPriority w:val="0"/>
    <w:rPr>
      <w:rFonts w:hint="default" w:ascii="Calibri" w:hAnsi="Calibri"/>
      <w:color w:val="0000FF"/>
      <w:u w:val="single"/>
    </w:rPr>
  </w:style>
  <w:style w:type="character" w:customStyle="1" w:styleId="85">
    <w:name w:val="case31"/>
    <w:qFormat/>
    <w:uiPriority w:val="0"/>
    <w:rPr>
      <w:rFonts w:hint="default"/>
      <w:spacing w:val="390"/>
      <w:sz w:val="21"/>
      <w:szCs w:val="21"/>
    </w:rPr>
  </w:style>
  <w:style w:type="character" w:customStyle="1" w:styleId="86">
    <w:name w:val="需求样式 Char"/>
    <w:link w:val="87"/>
    <w:qFormat/>
    <w:uiPriority w:val="0"/>
    <w:rPr>
      <w:b/>
      <w:bCs/>
      <w:kern w:val="44"/>
      <w:sz w:val="32"/>
      <w:szCs w:val="28"/>
    </w:rPr>
  </w:style>
  <w:style w:type="paragraph" w:customStyle="1" w:styleId="87">
    <w:name w:val="需求样式"/>
    <w:basedOn w:val="2"/>
    <w:link w:val="86"/>
    <w:qFormat/>
    <w:uiPriority w:val="0"/>
    <w:pPr>
      <w:spacing w:before="120" w:after="120" w:line="360" w:lineRule="auto"/>
      <w:ind w:left="425" w:hanging="425"/>
    </w:pPr>
    <w:rPr>
      <w:rFonts w:ascii="Times New Roman" w:hAnsi="Times New Roman"/>
      <w:sz w:val="32"/>
      <w:szCs w:val="28"/>
    </w:rPr>
  </w:style>
  <w:style w:type="character" w:customStyle="1" w:styleId="88">
    <w:name w:val="NormalCharacter"/>
    <w:qFormat/>
    <w:uiPriority w:val="0"/>
    <w:rPr>
      <w:rFonts w:ascii="Calibri" w:hAnsi="Calibri"/>
      <w:kern w:val="2"/>
      <w:sz w:val="21"/>
      <w:szCs w:val="22"/>
      <w:lang w:val="en-US" w:eastAsia="zh-CN" w:bidi="ar-SA"/>
    </w:rPr>
  </w:style>
  <w:style w:type="paragraph" w:customStyle="1" w:styleId="8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Normal_17"/>
    <w:qFormat/>
    <w:uiPriority w:val="0"/>
    <w:rPr>
      <w:rFonts w:ascii="黑体" w:hAnsi="黑体" w:eastAsia="黑体" w:cs="Times New Roman"/>
      <w:b/>
      <w:sz w:val="32"/>
      <w:szCs w:val="24"/>
      <w:lang w:bidi="ar-SA"/>
    </w:rPr>
  </w:style>
  <w:style w:type="paragraph" w:customStyle="1" w:styleId="91">
    <w:name w:val="索引 11"/>
    <w:basedOn w:val="1"/>
    <w:next w:val="1"/>
    <w:qFormat/>
    <w:uiPriority w:val="0"/>
    <w:pPr>
      <w:spacing w:line="360" w:lineRule="auto"/>
    </w:pPr>
    <w:rPr>
      <w:rFonts w:ascii="仿宋_GB2312" w:eastAsia="仿宋_GB2312"/>
      <w:sz w:val="24"/>
      <w:szCs w:val="20"/>
    </w:rPr>
  </w:style>
  <w:style w:type="paragraph" w:customStyle="1" w:styleId="92">
    <w:name w:val="Normal_13"/>
    <w:qFormat/>
    <w:uiPriority w:val="0"/>
    <w:rPr>
      <w:rFonts w:ascii="黑体" w:hAnsi="黑体" w:eastAsia="黑体" w:cs="Times New Roman"/>
      <w:b/>
      <w:sz w:val="32"/>
      <w:szCs w:val="24"/>
      <w:lang w:bidi="ar-SA"/>
    </w:rPr>
  </w:style>
  <w:style w:type="paragraph" w:customStyle="1" w:styleId="93">
    <w:name w:val="正文_0_1"/>
    <w:qFormat/>
    <w:uiPriority w:val="0"/>
    <w:pPr>
      <w:widowControl w:val="0"/>
      <w:jc w:val="both"/>
    </w:pPr>
    <w:rPr>
      <w:rFonts w:ascii="Calibri" w:hAnsi="Calibri" w:eastAsia="宋体" w:cs="Times New Roman"/>
      <w:lang w:val="en-US" w:eastAsia="zh-CN" w:bidi="ar-SA"/>
    </w:rPr>
  </w:style>
  <w:style w:type="paragraph" w:customStyle="1" w:styleId="94">
    <w:name w:val="Normal_4"/>
    <w:qFormat/>
    <w:uiPriority w:val="0"/>
    <w:rPr>
      <w:rFonts w:ascii="黑体" w:hAnsi="黑体" w:eastAsia="黑体" w:cs="Times New Roman"/>
      <w:b/>
      <w:sz w:val="32"/>
      <w:szCs w:val="24"/>
      <w:lang w:bidi="ar-SA"/>
    </w:rPr>
  </w:style>
  <w:style w:type="paragraph" w:customStyle="1" w:styleId="95">
    <w:name w:val="Normal_14"/>
    <w:qFormat/>
    <w:uiPriority w:val="0"/>
    <w:rPr>
      <w:rFonts w:ascii="黑体" w:hAnsi="黑体" w:eastAsia="黑体" w:cs="Times New Roman"/>
      <w:b/>
      <w:sz w:val="32"/>
      <w:szCs w:val="24"/>
      <w:lang w:bidi="ar-SA"/>
    </w:rPr>
  </w:style>
  <w:style w:type="paragraph" w:customStyle="1" w:styleId="96">
    <w:name w:val="_Style 91"/>
    <w:basedOn w:val="2"/>
    <w:next w:val="1"/>
    <w:qFormat/>
    <w:uiPriority w:val="39"/>
    <w:pPr>
      <w:widowControl/>
      <w:adjustRightInd/>
      <w:snapToGrid/>
      <w:spacing w:before="480" w:after="0" w:line="276" w:lineRule="auto"/>
      <w:ind w:left="0" w:leftChars="0"/>
      <w:jc w:val="left"/>
      <w:outlineLvl w:val="9"/>
    </w:pPr>
    <w:rPr>
      <w:rFonts w:ascii="Cambria" w:hAnsi="Cambria" w:eastAsia="宋体" w:cs="Times New Roman"/>
      <w:color w:val="365F91"/>
      <w:kern w:val="0"/>
      <w:sz w:val="28"/>
      <w:szCs w:val="28"/>
    </w:rPr>
  </w:style>
  <w:style w:type="paragraph" w:customStyle="1" w:styleId="9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0_1_0"/>
    <w:qFormat/>
    <w:uiPriority w:val="0"/>
    <w:pPr>
      <w:widowControl w:val="0"/>
      <w:jc w:val="both"/>
    </w:pPr>
    <w:rPr>
      <w:rFonts w:ascii="Calibri" w:hAnsi="Calibri" w:eastAsia="宋体" w:cs="Times New Roman"/>
      <w:lang w:val="en-US" w:eastAsia="zh-CN" w:bidi="ar-SA"/>
    </w:rPr>
  </w:style>
  <w:style w:type="paragraph" w:customStyle="1" w:styleId="9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0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普通(网站)_0"/>
    <w:basedOn w:val="10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正文_1"/>
    <w:basedOn w:val="103"/>
    <w:next w:val="103"/>
    <w:qFormat/>
    <w:uiPriority w:val="0"/>
    <w:rPr>
      <w:rFonts w:ascii="Calibri" w:hAnsi="Calibri"/>
    </w:rPr>
  </w:style>
  <w:style w:type="paragraph" w:customStyle="1" w:styleId="103">
    <w:name w:val="正文_2"/>
    <w:basedOn w:val="77"/>
    <w:next w:val="69"/>
    <w:qFormat/>
    <w:uiPriority w:val="0"/>
    <w:rPr>
      <w:rFonts w:ascii="Calibri" w:hAnsi="Calibri" w:cs="宋体"/>
      <w:szCs w:val="21"/>
    </w:rPr>
  </w:style>
  <w:style w:type="paragraph" w:customStyle="1" w:styleId="104">
    <w:name w:val="正文_1_0"/>
    <w:basedOn w:val="14"/>
    <w:next w:val="105"/>
    <w:qFormat/>
    <w:uiPriority w:val="0"/>
    <w:rPr>
      <w:rFonts w:ascii="Calibri" w:hAnsi="Calibri" w:cs="宋体"/>
      <w:szCs w:val="21"/>
    </w:rPr>
  </w:style>
  <w:style w:type="paragraph" w:customStyle="1" w:styleId="105">
    <w:name w:val="正文首行缩进1"/>
    <w:basedOn w:val="106"/>
    <w:unhideWhenUsed/>
    <w:qFormat/>
    <w:uiPriority w:val="99"/>
    <w:pPr>
      <w:ind w:firstLine="420" w:firstLineChars="100"/>
    </w:pPr>
    <w:rPr>
      <w:szCs w:val="22"/>
    </w:rPr>
  </w:style>
  <w:style w:type="paragraph" w:customStyle="1" w:styleId="106">
    <w:name w:val="正文文本_0_0"/>
    <w:basedOn w:val="107"/>
    <w:qFormat/>
    <w:uiPriority w:val="0"/>
    <w:pPr>
      <w:spacing w:after="120"/>
    </w:pPr>
    <w:rPr>
      <w:rFonts w:ascii="Calibri" w:hAnsi="Calibri"/>
      <w:kern w:val="0"/>
      <w:sz w:val="20"/>
    </w:rPr>
  </w:style>
  <w:style w:type="paragraph" w:customStyle="1" w:styleId="107">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Normal_6"/>
    <w:qFormat/>
    <w:uiPriority w:val="0"/>
    <w:pPr>
      <w:widowControl w:val="0"/>
      <w:jc w:val="both"/>
    </w:pPr>
    <w:rPr>
      <w:rFonts w:ascii="Times New Roman" w:hAnsi="Times New Roman" w:eastAsia="宋体" w:cs="Times New Roman"/>
      <w:kern w:val="2"/>
      <w:sz w:val="21"/>
      <w:szCs w:val="24"/>
      <w:lang w:bidi="ar-SA"/>
    </w:rPr>
  </w:style>
  <w:style w:type="paragraph" w:customStyle="1" w:styleId="109">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纯文本_0"/>
    <w:basedOn w:val="111"/>
    <w:qFormat/>
    <w:uiPriority w:val="0"/>
    <w:rPr>
      <w:rFonts w:ascii="宋体" w:hAnsi="Courier New"/>
    </w:rPr>
  </w:style>
  <w:style w:type="paragraph" w:customStyle="1" w:styleId="111">
    <w:name w:val="正文_2_0"/>
    <w:basedOn w:val="103"/>
    <w:next w:val="16"/>
    <w:qFormat/>
    <w:uiPriority w:val="0"/>
    <w:rPr>
      <w:rFonts w:ascii="Calibri" w:hAnsi="Calibri" w:cs="宋体"/>
      <w:szCs w:val="21"/>
    </w:rPr>
  </w:style>
  <w:style w:type="paragraph" w:customStyle="1" w:styleId="112">
    <w:name w:val="Normal_15"/>
    <w:qFormat/>
    <w:uiPriority w:val="0"/>
    <w:rPr>
      <w:rFonts w:ascii="黑体" w:hAnsi="黑体" w:eastAsia="黑体" w:cs="Times New Roman"/>
      <w:b/>
      <w:sz w:val="32"/>
      <w:szCs w:val="24"/>
      <w:lang w:bidi="ar-SA"/>
    </w:rPr>
  </w:style>
  <w:style w:type="paragraph" w:customStyle="1" w:styleId="113">
    <w:name w:val="正文_0_3"/>
    <w:basedOn w:val="77"/>
    <w:qFormat/>
    <w:uiPriority w:val="0"/>
    <w:rPr>
      <w:rFonts w:ascii="Calibri" w:hAnsi="Calibri" w:cs="宋体"/>
      <w:szCs w:val="21"/>
    </w:rPr>
  </w:style>
  <w:style w:type="paragraph" w:customStyle="1" w:styleId="114">
    <w:name w:val="Normal_16"/>
    <w:qFormat/>
    <w:uiPriority w:val="0"/>
    <w:rPr>
      <w:rFonts w:ascii="黑体" w:hAnsi="黑体" w:eastAsia="黑体" w:cs="Times New Roman"/>
      <w:b/>
      <w:sz w:val="32"/>
      <w:szCs w:val="24"/>
      <w:lang w:bidi="ar-SA"/>
    </w:rPr>
  </w:style>
  <w:style w:type="paragraph" w:customStyle="1" w:styleId="115">
    <w:name w:val="标题 2_1"/>
    <w:basedOn w:val="15"/>
    <w:next w:val="15"/>
    <w:qFormat/>
    <w:uiPriority w:val="9"/>
    <w:pPr>
      <w:keepNext/>
      <w:keepLines/>
      <w:spacing w:before="260" w:after="260" w:line="500" w:lineRule="exact"/>
      <w:contextualSpacing/>
      <w:jc w:val="center"/>
      <w:outlineLvl w:val="1"/>
    </w:pPr>
    <w:rPr>
      <w:rFonts w:ascii="宋体" w:hAnsi="宋体" w:cs="宋体"/>
      <w:sz w:val="32"/>
      <w:szCs w:val="32"/>
    </w:rPr>
  </w:style>
  <w:style w:type="paragraph" w:customStyle="1" w:styleId="116">
    <w:name w:val="Normal_9"/>
    <w:qFormat/>
    <w:uiPriority w:val="0"/>
    <w:rPr>
      <w:rFonts w:ascii="黑体" w:hAnsi="黑体" w:eastAsia="黑体" w:cs="Times New Roman"/>
      <w:b/>
      <w:sz w:val="32"/>
      <w:szCs w:val="24"/>
      <w:lang w:bidi="ar-SA"/>
    </w:rPr>
  </w:style>
  <w:style w:type="paragraph" w:customStyle="1" w:styleId="117">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8">
    <w:name w:val="Normal_22"/>
    <w:qFormat/>
    <w:uiPriority w:val="0"/>
    <w:rPr>
      <w:rFonts w:ascii="Times New Roman" w:hAnsi="Times New Roman" w:eastAsia="Times New Roman" w:cs="Times New Roman"/>
      <w:sz w:val="24"/>
      <w:szCs w:val="24"/>
      <w:lang w:bidi="ar-SA"/>
    </w:rPr>
  </w:style>
  <w:style w:type="paragraph" w:customStyle="1" w:styleId="119">
    <w:name w:val="Normal_10"/>
    <w:qFormat/>
    <w:uiPriority w:val="0"/>
    <w:rPr>
      <w:rFonts w:ascii="黑体" w:hAnsi="黑体" w:eastAsia="黑体" w:cs="Times New Roman"/>
      <w:b/>
      <w:sz w:val="32"/>
      <w:szCs w:val="24"/>
      <w:lang w:bidi="ar-SA"/>
    </w:rPr>
  </w:style>
  <w:style w:type="paragraph" w:customStyle="1" w:styleId="120">
    <w:name w:val="Normal_21"/>
    <w:qFormat/>
    <w:uiPriority w:val="0"/>
    <w:rPr>
      <w:rFonts w:ascii="黑体" w:hAnsi="黑体" w:eastAsia="黑体" w:cs="Times New Roman"/>
      <w:b/>
      <w:sz w:val="32"/>
      <w:szCs w:val="24"/>
      <w:lang w:bidi="ar-SA"/>
    </w:rPr>
  </w:style>
  <w:style w:type="paragraph" w:customStyle="1" w:styleId="121">
    <w:name w:val="Normal_2"/>
    <w:qFormat/>
    <w:uiPriority w:val="0"/>
    <w:rPr>
      <w:rFonts w:ascii="黑体" w:hAnsi="黑体" w:eastAsia="黑体" w:cs="Times New Roman"/>
      <w:b/>
      <w:sz w:val="32"/>
      <w:szCs w:val="24"/>
      <w:lang w:bidi="ar-SA"/>
    </w:rPr>
  </w:style>
  <w:style w:type="paragraph" w:customStyle="1" w:styleId="122">
    <w:name w:val="Normal_19"/>
    <w:qFormat/>
    <w:uiPriority w:val="0"/>
    <w:rPr>
      <w:rFonts w:ascii="黑体" w:hAnsi="黑体" w:eastAsia="黑体" w:cs="Times New Roman"/>
      <w:b/>
      <w:sz w:val="32"/>
      <w:szCs w:val="24"/>
      <w:lang w:bidi="ar-SA"/>
    </w:rPr>
  </w:style>
  <w:style w:type="paragraph" w:customStyle="1" w:styleId="1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4">
    <w:name w:val="Normal_11"/>
    <w:qFormat/>
    <w:uiPriority w:val="0"/>
    <w:rPr>
      <w:rFonts w:ascii="黑体" w:hAnsi="黑体" w:eastAsia="黑体" w:cs="Times New Roman"/>
      <w:b/>
      <w:sz w:val="32"/>
      <w:szCs w:val="24"/>
      <w:lang w:bidi="ar-SA"/>
    </w:rPr>
  </w:style>
  <w:style w:type="paragraph" w:customStyle="1" w:styleId="125">
    <w:name w:val="UserStyle_15"/>
    <w:qFormat/>
    <w:uiPriority w:val="0"/>
    <w:pPr>
      <w:textAlignment w:val="baseline"/>
    </w:pPr>
    <w:rPr>
      <w:rFonts w:ascii="Times New Roman" w:hAnsi="Times New Roman" w:eastAsia="Times New Roman" w:cs="Times New Roman"/>
      <w:sz w:val="24"/>
      <w:szCs w:val="24"/>
      <w:lang w:val="en-US" w:eastAsia="zh-CN" w:bidi="ar-SA"/>
    </w:rPr>
  </w:style>
  <w:style w:type="paragraph" w:customStyle="1" w:styleId="126">
    <w:name w:val="Normal_3"/>
    <w:qFormat/>
    <w:uiPriority w:val="0"/>
    <w:rPr>
      <w:rFonts w:ascii="黑体" w:hAnsi="黑体" w:eastAsia="黑体" w:cs="Times New Roman"/>
      <w:b/>
      <w:sz w:val="32"/>
      <w:szCs w:val="24"/>
      <w:lang w:bidi="ar-SA"/>
    </w:rPr>
  </w:style>
  <w:style w:type="paragraph" w:customStyle="1" w:styleId="127">
    <w:name w:val="Normal_12"/>
    <w:qFormat/>
    <w:uiPriority w:val="0"/>
    <w:rPr>
      <w:rFonts w:ascii="黑体" w:hAnsi="黑体" w:eastAsia="黑体" w:cs="Times New Roman"/>
      <w:b/>
      <w:sz w:val="32"/>
      <w:szCs w:val="24"/>
      <w:lang w:bidi="ar-SA"/>
    </w:rPr>
  </w:style>
  <w:style w:type="paragraph" w:customStyle="1" w:styleId="12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Normal_18"/>
    <w:qFormat/>
    <w:uiPriority w:val="0"/>
    <w:rPr>
      <w:rFonts w:ascii="黑体" w:hAnsi="黑体" w:eastAsia="黑体" w:cs="Times New Roman"/>
      <w:b/>
      <w:sz w:val="32"/>
      <w:szCs w:val="24"/>
      <w:lang w:bidi="ar-SA"/>
    </w:rPr>
  </w:style>
  <w:style w:type="paragraph" w:customStyle="1" w:styleId="130">
    <w:name w:val="标题 2_0"/>
    <w:basedOn w:val="77"/>
    <w:next w:val="111"/>
    <w:qFormat/>
    <w:uiPriority w:val="0"/>
    <w:pPr>
      <w:keepNext/>
      <w:keepLines/>
      <w:adjustRightInd w:val="0"/>
      <w:snapToGrid w:val="0"/>
      <w:spacing w:before="260" w:after="260" w:line="500" w:lineRule="exact"/>
      <w:ind w:left="-88" w:leftChars="-42"/>
      <w:contextualSpacing/>
      <w:jc w:val="center"/>
      <w:outlineLvl w:val="1"/>
    </w:pPr>
    <w:rPr>
      <w:rFonts w:ascii="宋体" w:hAnsi="宋体" w:cs="宋体"/>
      <w:b/>
      <w:bCs/>
      <w:sz w:val="32"/>
      <w:szCs w:val="32"/>
    </w:rPr>
  </w:style>
  <w:style w:type="paragraph" w:customStyle="1" w:styleId="131">
    <w:name w:val="Normal_0_0"/>
    <w:qFormat/>
    <w:uiPriority w:val="0"/>
    <w:rPr>
      <w:rFonts w:ascii="黑体" w:hAnsi="黑体" w:eastAsia="黑体" w:cs="Times New Roman"/>
      <w:b/>
      <w:sz w:val="32"/>
      <w:szCs w:val="24"/>
      <w:lang w:bidi="ar-SA"/>
    </w:rPr>
  </w:style>
  <w:style w:type="paragraph" w:customStyle="1" w:styleId="132">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6">
    <w:name w:val="纯文本1"/>
    <w:basedOn w:val="1"/>
    <w:qFormat/>
    <w:uiPriority w:val="0"/>
    <w:rPr>
      <w:sz w:val="24"/>
      <w:szCs w:val="20"/>
    </w:rPr>
  </w:style>
  <w:style w:type="paragraph" w:customStyle="1" w:styleId="137">
    <w:name w:val="列出段落1"/>
    <w:basedOn w:val="1"/>
    <w:qFormat/>
    <w:uiPriority w:val="34"/>
    <w:pPr>
      <w:ind w:firstLine="420" w:firstLineChars="200"/>
    </w:pPr>
  </w:style>
  <w:style w:type="paragraph" w:customStyle="1" w:styleId="138">
    <w:name w:val="Normal_7"/>
    <w:qFormat/>
    <w:uiPriority w:val="0"/>
    <w:rPr>
      <w:rFonts w:ascii="黑体" w:hAnsi="黑体" w:eastAsia="黑体" w:cs="Times New Roman"/>
      <w:b/>
      <w:sz w:val="32"/>
      <w:szCs w:val="24"/>
      <w:lang w:bidi="ar-SA"/>
    </w:rPr>
  </w:style>
  <w:style w:type="paragraph" w:customStyle="1" w:styleId="139">
    <w:name w:val="修订1"/>
    <w:semiHidden/>
    <w:qFormat/>
    <w:uiPriority w:val="99"/>
    <w:rPr>
      <w:rFonts w:ascii="Calibri" w:hAnsi="Calibri" w:eastAsia="宋体" w:cs="Times New Roman"/>
      <w:kern w:val="2"/>
      <w:sz w:val="21"/>
      <w:szCs w:val="22"/>
      <w:lang w:val="en-US" w:eastAsia="zh-CN" w:bidi="ar-SA"/>
    </w:rPr>
  </w:style>
  <w:style w:type="paragraph" w:customStyle="1" w:styleId="140">
    <w:name w:val="正文_2_0_0"/>
    <w:basedOn w:val="97"/>
    <w:next w:val="141"/>
    <w:qFormat/>
    <w:uiPriority w:val="0"/>
    <w:pPr>
      <w:widowControl w:val="0"/>
      <w:jc w:val="both"/>
    </w:pPr>
    <w:rPr>
      <w:kern w:val="2"/>
      <w:sz w:val="21"/>
      <w:szCs w:val="22"/>
      <w:lang w:val="en-US" w:eastAsia="zh-CN" w:bidi="ar-SA"/>
    </w:rPr>
  </w:style>
  <w:style w:type="paragraph" w:customStyle="1" w:styleId="141">
    <w:name w:val="正文1_0"/>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2">
    <w:name w:val="正文文本_0"/>
    <w:basedOn w:val="143"/>
    <w:semiHidden/>
    <w:qFormat/>
    <w:uiPriority w:val="0"/>
    <w:pPr>
      <w:spacing w:before="100" w:beforeAutospacing="1" w:after="120"/>
    </w:pPr>
  </w:style>
  <w:style w:type="paragraph" w:customStyle="1" w:styleId="143">
    <w:name w:val="正文_3"/>
    <w:basedOn w:val="10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5">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6">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UserStyle_20"/>
    <w:qFormat/>
    <w:uiPriority w:val="0"/>
    <w:pPr>
      <w:textAlignment w:val="baseline"/>
    </w:pPr>
    <w:rPr>
      <w:rFonts w:ascii="黑体" w:hAnsi="黑体" w:eastAsia="黑体" w:cs="Times New Roman"/>
      <w:b/>
      <w:sz w:val="32"/>
      <w:szCs w:val="24"/>
      <w:lang w:val="en-US" w:eastAsia="zh-CN" w:bidi="ar-SA"/>
    </w:rPr>
  </w:style>
  <w:style w:type="paragraph" w:customStyle="1" w:styleId="148">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49">
    <w:name w:val="正文缩进_0"/>
    <w:basedOn w:val="103"/>
    <w:semiHidden/>
    <w:qFormat/>
    <w:uiPriority w:val="0"/>
    <w:pPr>
      <w:ind w:firstLine="420" w:firstLineChars="200"/>
    </w:pPr>
  </w:style>
  <w:style w:type="paragraph" w:customStyle="1" w:styleId="150">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customStyle="1" w:styleId="151">
    <w:name w:val="fs-4-first-line-indent-2"/>
    <w:basedOn w:val="15"/>
    <w:qFormat/>
    <w:uiPriority w:val="0"/>
    <w:pPr>
      <w:widowControl/>
      <w:ind w:firstLine="480"/>
      <w:jc w:val="left"/>
    </w:pPr>
    <w:rPr>
      <w:rFonts w:ascii="华文仿宋" w:hAnsi="华文仿宋" w:eastAsia="华文仿宋" w:cs="宋体"/>
      <w:kern w:val="0"/>
      <w:szCs w:val="21"/>
    </w:rPr>
  </w:style>
  <w:style w:type="paragraph" w:customStyle="1" w:styleId="152">
    <w:name w:val="Normal_8"/>
    <w:qFormat/>
    <w:uiPriority w:val="0"/>
    <w:rPr>
      <w:rFonts w:ascii="黑体" w:hAnsi="黑体" w:eastAsia="黑体" w:cs="Times New Roman"/>
      <w:b/>
      <w:sz w:val="32"/>
      <w:szCs w:val="24"/>
      <w:lang w:bidi="ar-SA"/>
    </w:rPr>
  </w:style>
  <w:style w:type="paragraph" w:customStyle="1" w:styleId="153">
    <w:name w:val="TOC 标题2"/>
    <w:basedOn w:val="2"/>
    <w:next w:val="1"/>
    <w:unhideWhenUsed/>
    <w:qFormat/>
    <w:uiPriority w:val="39"/>
    <w:pPr>
      <w:widowControl/>
      <w:spacing w:before="240" w:after="0" w:line="259" w:lineRule="auto"/>
      <w:jc w:val="left"/>
      <w:outlineLvl w:val="9"/>
    </w:pPr>
    <w:rPr>
      <w:rFonts w:ascii="Cambria" w:hAnsi="Cambria" w:eastAsia="宋体" w:cs="Times New Roman"/>
      <w:b/>
      <w:bCs w:val="0"/>
      <w:color w:val="365F91"/>
      <w:kern w:val="0"/>
      <w:sz w:val="32"/>
      <w:szCs w:val="32"/>
    </w:rPr>
  </w:style>
  <w:style w:type="paragraph" w:customStyle="1" w:styleId="154">
    <w:name w:val="Normal_20"/>
    <w:qFormat/>
    <w:uiPriority w:val="0"/>
    <w:rPr>
      <w:rFonts w:ascii="黑体" w:hAnsi="黑体" w:eastAsia="黑体" w:cs="Times New Roman"/>
      <w:b/>
      <w:sz w:val="32"/>
      <w:szCs w:val="24"/>
      <w:lang w:bidi="ar-SA"/>
    </w:rPr>
  </w:style>
  <w:style w:type="paragraph" w:customStyle="1" w:styleId="155">
    <w:name w:val="正文_13"/>
    <w:qFormat/>
    <w:uiPriority w:val="0"/>
    <w:pPr>
      <w:widowControl w:val="0"/>
      <w:jc w:val="both"/>
    </w:pPr>
    <w:rPr>
      <w:rFonts w:ascii="Calibri" w:hAnsi="Calibri" w:eastAsia="宋体" w:cs="Times New Roman"/>
      <w:kern w:val="2"/>
      <w:sz w:val="21"/>
      <w:szCs w:val="22"/>
      <w:lang w:val="en-US" w:eastAsia="zh-CN" w:bidi="ar-SA"/>
    </w:rPr>
  </w:style>
  <w:style w:type="paragraph" w:styleId="156">
    <w:name w:val="List Paragraph"/>
    <w:basedOn w:val="1"/>
    <w:qFormat/>
    <w:uiPriority w:val="99"/>
    <w:pPr>
      <w:ind w:firstLine="420" w:firstLineChars="200"/>
    </w:pPr>
  </w:style>
  <w:style w:type="paragraph" w:customStyle="1" w:styleId="157">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_1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59">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Normal_5"/>
    <w:qFormat/>
    <w:uiPriority w:val="0"/>
    <w:rPr>
      <w:rFonts w:ascii="黑体" w:hAnsi="黑体" w:eastAsia="黑体" w:cs="Times New Roman"/>
      <w:b/>
      <w:sz w:val="32"/>
      <w:szCs w:val="24"/>
      <w:lang w:bidi="ar-SA"/>
    </w:rPr>
  </w:style>
  <w:style w:type="paragraph" w:customStyle="1" w:styleId="161">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63">
    <w:name w:val="正文_7"/>
    <w:qFormat/>
    <w:uiPriority w:val="0"/>
    <w:pPr>
      <w:widowControl w:val="0"/>
      <w:jc w:val="both"/>
    </w:pPr>
    <w:rPr>
      <w:rFonts w:ascii="Calibri" w:hAnsi="Calibri" w:eastAsia="宋体" w:cs="Times New Roman"/>
      <w:kern w:val="2"/>
      <w:sz w:val="21"/>
      <w:szCs w:val="22"/>
      <w:lang w:val="en-US" w:eastAsia="zh-CN" w:bidi="ar-SA"/>
    </w:rPr>
  </w:style>
  <w:style w:type="paragraph" w:styleId="164">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65">
    <w:name w:val="Normal"/>
    <w:next w:val="166"/>
    <w:qFormat/>
    <w:uiPriority w:val="0"/>
    <w:pPr>
      <w:jc w:val="both"/>
    </w:pPr>
    <w:rPr>
      <w:rFonts w:ascii="Calibri" w:hAnsi="Calibri" w:eastAsia="宋体" w:cs="宋体"/>
      <w:kern w:val="2"/>
      <w:sz w:val="21"/>
      <w:szCs w:val="21"/>
      <w:lang w:val="en-US" w:eastAsia="zh-CN" w:bidi="ar-SA"/>
    </w:rPr>
  </w:style>
  <w:style w:type="paragraph" w:customStyle="1" w:styleId="166">
    <w:name w:val="Footnote Text"/>
    <w:basedOn w:val="165"/>
    <w:qFormat/>
    <w:uiPriority w:val="0"/>
    <w:pPr>
      <w:snapToGrid w:val="0"/>
      <w:jc w:val="left"/>
    </w:pPr>
    <w:rPr>
      <w:sz w:val="18"/>
      <w:szCs w:val="18"/>
    </w:rPr>
  </w:style>
  <w:style w:type="paragraph" w:customStyle="1" w:styleId="167">
    <w:name w:val="Normal_1"/>
    <w:qFormat/>
    <w:uiPriority w:val="0"/>
    <w:rPr>
      <w:rFonts w:ascii="黑体" w:hAnsi="黑体" w:eastAsia="黑体" w:cs="Times New Roman"/>
      <w:b/>
      <w:sz w:val="32"/>
      <w:szCs w:val="24"/>
      <w:lang w:bidi="ar-SA"/>
    </w:rPr>
  </w:style>
  <w:style w:type="paragraph" w:customStyle="1" w:styleId="168">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169">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Table Paragraph"/>
    <w:basedOn w:val="104"/>
    <w:qFormat/>
    <w:uiPriority w:val="0"/>
    <w:rPr>
      <w:rFonts w:ascii="宋体" w:hAnsi="宋体" w:cs="Times New Roman"/>
      <w:lang w:bidi="ar-SA"/>
    </w:rPr>
  </w:style>
  <w:style w:type="paragraph" w:customStyle="1" w:styleId="171">
    <w:name w:val="正文缩进_1_0"/>
    <w:basedOn w:val="77"/>
    <w:qFormat/>
    <w:uiPriority w:val="0"/>
    <w:pPr>
      <w:ind w:firstLine="420" w:firstLineChars="200"/>
    </w:pPr>
    <w:rPr>
      <w:rFonts w:ascii="Calibri" w:hAnsi="Calibri"/>
      <w:kern w:val="0"/>
      <w:sz w:val="20"/>
      <w:szCs w:val="20"/>
    </w:rPr>
  </w:style>
  <w:style w:type="character" w:customStyle="1" w:styleId="172">
    <w:name w:val="font31"/>
    <w:qFormat/>
    <w:uiPriority w:val="0"/>
    <w:rPr>
      <w:rFonts w:hint="default" w:ascii="仿宋_GB2312" w:eastAsia="仿宋_GB2312" w:cs="仿宋_GB2312"/>
      <w:color w:val="000000"/>
      <w:sz w:val="22"/>
      <w:szCs w:val="22"/>
      <w:u w:val="none"/>
    </w:rPr>
  </w:style>
  <w:style w:type="paragraph" w:customStyle="1" w:styleId="173">
    <w:name w:val="标题 3_1"/>
    <w:basedOn w:val="104"/>
    <w:next w:val="104"/>
    <w:qFormat/>
    <w:uiPriority w:val="0"/>
    <w:pPr>
      <w:keepNext/>
      <w:keepLines/>
      <w:numPr>
        <w:ilvl w:val="2"/>
        <w:numId w:val="1"/>
      </w:numPr>
      <w:adjustRightInd w:val="0"/>
      <w:spacing w:before="260" w:after="260" w:line="416" w:lineRule="atLeast"/>
      <w:jc w:val="left"/>
      <w:textAlignment w:val="baseline"/>
      <w:outlineLvl w:val="2"/>
    </w:pPr>
    <w:rPr>
      <w:rFonts w:ascii="Calibri" w:hAnsi="Calibri"/>
      <w:b/>
      <w:bCs/>
      <w:kern w:val="0"/>
      <w:sz w:val="32"/>
      <w:szCs w:val="32"/>
    </w:rPr>
  </w:style>
  <w:style w:type="paragraph" w:customStyle="1" w:styleId="174">
    <w:name w:val="列表 2_0"/>
    <w:basedOn w:val="104"/>
    <w:qFormat/>
    <w:uiPriority w:val="0"/>
    <w:pPr>
      <w:ind w:left="100" w:leftChars="200" w:hanging="200" w:hangingChars="200"/>
    </w:pPr>
    <w:rPr>
      <w:rFonts w:ascii="Calibri" w:hAnsi="Calibri"/>
    </w:rPr>
  </w:style>
  <w:style w:type="paragraph" w:customStyle="1" w:styleId="175">
    <w:name w:val="4正文"/>
    <w:basedOn w:val="1"/>
    <w:qFormat/>
    <w:uiPriority w:val="0"/>
    <w:pPr>
      <w:widowControl/>
      <w:snapToGrid w:val="0"/>
      <w:spacing w:line="360" w:lineRule="auto"/>
      <w:ind w:firstLine="200" w:firstLineChars="200"/>
      <w:jc w:val="left"/>
    </w:pPr>
    <w:rPr>
      <w:rFonts w:eastAsia="仿宋"/>
      <w:kern w:val="0"/>
      <w:sz w:val="28"/>
    </w:rPr>
  </w:style>
  <w:style w:type="paragraph" w:customStyle="1" w:styleId="17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7">
    <w:name w:val="日期_0"/>
    <w:basedOn w:val="15"/>
    <w:next w:val="143"/>
    <w:unhideWhenUsed/>
    <w:qFormat/>
    <w:uiPriority w:val="0"/>
    <w:pPr>
      <w:adjustRightInd w:val="0"/>
      <w:spacing w:line="360" w:lineRule="atLeast"/>
    </w:pPr>
    <w:rPr>
      <w:rFonts w:ascii="宋体"/>
      <w:kern w:val="0"/>
      <w:sz w:val="24"/>
      <w:szCs w:val="20"/>
    </w:rPr>
  </w:style>
  <w:style w:type="paragraph" w:customStyle="1" w:styleId="17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9">
    <w:name w:val="日期_1"/>
    <w:basedOn w:val="157"/>
    <w:next w:val="157"/>
    <w:qFormat/>
    <w:uiPriority w:val="0"/>
    <w:pPr>
      <w:ind w:left="100" w:leftChars="2500"/>
    </w:pPr>
    <w:rPr>
      <w:rFonts w:ascii="Times New Roman" w:hAnsi="Times New Roman"/>
      <w:szCs w:val="24"/>
    </w:rPr>
  </w:style>
  <w:style w:type="paragraph" w:customStyle="1" w:styleId="180">
    <w:name w:val="正文_4_0_0"/>
    <w:basedOn w:val="181"/>
    <w:qFormat/>
    <w:uiPriority w:val="0"/>
    <w:rPr>
      <w:rFonts w:ascii="Calibri" w:hAnsi="Calibri" w:eastAsia="宋体" w:cs="Calibri"/>
      <w:szCs w:val="21"/>
    </w:rPr>
  </w:style>
  <w:style w:type="paragraph" w:customStyle="1" w:styleId="1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Heading 5"/>
    <w:basedOn w:val="183"/>
    <w:qFormat/>
    <w:uiPriority w:val="0"/>
    <w:pPr>
      <w:spacing w:before="26" w:after="100" w:afterAutospacing="1"/>
      <w:ind w:left="157"/>
      <w:jc w:val="left"/>
      <w:outlineLvl w:val="5"/>
    </w:pPr>
    <w:rPr>
      <w:rFonts w:ascii="宋体" w:hAnsi="宋体" w:eastAsia="宋体" w:cs="宋体"/>
      <w:b/>
      <w:bCs/>
      <w:kern w:val="0"/>
      <w:sz w:val="24"/>
      <w:szCs w:val="24"/>
    </w:rPr>
  </w:style>
  <w:style w:type="paragraph" w:customStyle="1" w:styleId="183">
    <w:name w:val="正文_4_0_0_0"/>
    <w:basedOn w:val="181"/>
    <w:qFormat/>
    <w:uiPriority w:val="0"/>
    <w:rPr>
      <w:rFonts w:ascii="Calibri" w:hAnsi="Calibri" w:eastAsia="宋体" w:cs="Calibri"/>
      <w:szCs w:val="21"/>
    </w:rPr>
  </w:style>
  <w:style w:type="paragraph" w:customStyle="1" w:styleId="184">
    <w:name w:val="Heading 7"/>
    <w:basedOn w:val="183"/>
    <w:qFormat/>
    <w:uiPriority w:val="0"/>
    <w:pPr>
      <w:spacing w:before="35" w:after="100" w:afterAutospacing="1"/>
      <w:ind w:left="157"/>
      <w:jc w:val="left"/>
      <w:outlineLvl w:val="7"/>
    </w:pPr>
    <w:rPr>
      <w:rFonts w:ascii="宋体" w:hAnsi="宋体" w:eastAsia="宋体" w:cs="宋体"/>
      <w:b/>
      <w:bCs/>
      <w:kern w:val="0"/>
    </w:rPr>
  </w:style>
  <w:style w:type="paragraph" w:customStyle="1" w:styleId="185">
    <w:name w:val="正文_3_0_0"/>
    <w:next w:val="1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正文文本缩进_1"/>
    <w:basedOn w:val="169"/>
    <w:unhideWhenUsed/>
    <w:qFormat/>
    <w:uiPriority w:val="99"/>
    <w:pPr>
      <w:spacing w:after="120"/>
      <w:ind w:left="420" w:leftChars="200"/>
    </w:pPr>
    <w:rPr>
      <w:rFonts w:ascii="Calibri" w:hAnsi="Calibri" w:eastAsia="宋体"/>
    </w:rPr>
  </w:style>
  <w:style w:type="character" w:customStyle="1" w:styleId="187">
    <w:name w:val="font01"/>
    <w:basedOn w:val="40"/>
    <w:qFormat/>
    <w:uiPriority w:val="0"/>
    <w:rPr>
      <w:rFonts w:hint="eastAsia" w:ascii="宋体" w:hAnsi="宋体" w:eastAsia="宋体" w:cs="宋体"/>
      <w:color w:val="000000"/>
      <w:sz w:val="24"/>
      <w:szCs w:val="24"/>
      <w:u w:val="none"/>
    </w:rPr>
  </w:style>
  <w:style w:type="paragraph" w:customStyle="1" w:styleId="188">
    <w:name w:val="正文文本缩进_0"/>
    <w:basedOn w:val="189"/>
    <w:unhideWhenUsed/>
    <w:qFormat/>
    <w:uiPriority w:val="0"/>
    <w:pPr>
      <w:spacing w:line="360" w:lineRule="auto"/>
      <w:ind w:firstLine="570"/>
    </w:pPr>
    <w:rPr>
      <w:rFonts w:ascii="宋体" w:hAnsi="宋体" w:eastAsia="宋体" w:cs="Times New Roman"/>
      <w:i/>
      <w:iCs/>
      <w:sz w:val="28"/>
      <w:szCs w:val="20"/>
    </w:rPr>
  </w:style>
  <w:style w:type="paragraph" w:customStyle="1" w:styleId="189">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BodyText1I2"/>
    <w:basedOn w:val="191"/>
    <w:qFormat/>
    <w:uiPriority w:val="0"/>
    <w:pPr>
      <w:spacing w:after="120" w:line="240" w:lineRule="auto"/>
      <w:ind w:left="420" w:leftChars="200" w:firstLine="420" w:firstLineChars="200"/>
      <w:jc w:val="both"/>
      <w:textAlignment w:val="baseline"/>
    </w:pPr>
  </w:style>
  <w:style w:type="paragraph" w:customStyle="1" w:styleId="191">
    <w:name w:val="BodyTextIndent"/>
    <w:basedOn w:val="1"/>
    <w:qFormat/>
    <w:uiPriority w:val="0"/>
    <w:pPr>
      <w:spacing w:after="120" w:line="240" w:lineRule="auto"/>
      <w:ind w:left="420" w:leftChars="200"/>
      <w:jc w:val="both"/>
      <w:textAlignment w:val="baseline"/>
    </w:pPr>
  </w:style>
  <w:style w:type="paragraph" w:customStyle="1" w:styleId="192">
    <w:name w:val="标题 3_0_0"/>
    <w:basedOn w:val="144"/>
    <w:next w:val="144"/>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193">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普通(网站)_1"/>
    <w:basedOn w:val="15"/>
    <w:qFormat/>
    <w:uiPriority w:val="0"/>
    <w:pPr>
      <w:widowControl/>
      <w:spacing w:before="100" w:beforeAutospacing="1" w:after="100" w:afterAutospacing="1"/>
      <w:jc w:val="left"/>
    </w:pPr>
    <w:rPr>
      <w:rFonts w:ascii="宋体" w:hAnsi="宋体"/>
      <w:kern w:val="0"/>
      <w:sz w:val="24"/>
    </w:rPr>
  </w:style>
  <w:style w:type="paragraph" w:customStyle="1" w:styleId="195">
    <w:name w:val="Heading 3"/>
    <w:basedOn w:val="157"/>
    <w:qFormat/>
    <w:uiPriority w:val="1"/>
    <w:pPr>
      <w:ind w:left="118"/>
      <w:jc w:val="left"/>
      <w:outlineLvl w:val="3"/>
    </w:pPr>
    <w:rPr>
      <w:rFonts w:ascii="宋体" w:hAnsi="宋体"/>
      <w:b/>
      <w:bCs/>
      <w:kern w:val="0"/>
      <w:sz w:val="24"/>
      <w:szCs w:val="24"/>
      <w:lang w:eastAsia="en-US"/>
    </w:rPr>
  </w:style>
  <w:style w:type="table" w:customStyle="1" w:styleId="196">
    <w:name w:val="Table Normal"/>
    <w:basedOn w:val="38"/>
    <w:semiHidden/>
    <w:unhideWhenUsed/>
    <w:qFormat/>
    <w:uiPriority w:val="0"/>
    <w:tblPr>
      <w:tblCellMar>
        <w:top w:w="0" w:type="dxa"/>
        <w:left w:w="0" w:type="dxa"/>
        <w:bottom w:w="0" w:type="dxa"/>
        <w:right w:w="0" w:type="dxa"/>
      </w:tblCellMar>
    </w:tblPr>
  </w:style>
  <w:style w:type="character" w:customStyle="1" w:styleId="197">
    <w:name w:val="font41"/>
    <w:qFormat/>
    <w:uiPriority w:val="0"/>
    <w:rPr>
      <w:rFonts w:hint="default" w:ascii="Times New Roman" w:hAnsi="Times New Roman" w:cs="Times New Roman"/>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50200</Words>
  <Characters>52615</Characters>
  <Lines>1</Lines>
  <Paragraphs>1</Paragraphs>
  <TotalTime>81</TotalTime>
  <ScaleCrop>false</ScaleCrop>
  <LinksUpToDate>false</LinksUpToDate>
  <CharactersWithSpaces>54681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2022-05-31T05:30:00Z</dcterms:created>
  <dc:creator>微软用户</dc:creator>
  <cp:lastModifiedBy>　溺</cp:lastModifiedBy>
  <cp:lastPrinted>2022-07-22T02:58:00Z</cp:lastPrinted>
  <dcterms:modified xsi:type="dcterms:W3CDTF">2023-07-19T04:50:11Z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1ABA6EC9CC4C43B88CD102F4548A3994</vt:lpwstr>
  </property>
</Properties>
</file>