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tabs>
          <w:tab w:val="left" w:pos="0"/>
          <w:tab w:val="left" w:pos="316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sz w:val="18"/>
          <w:szCs w:val="18"/>
        </w:rPr>
      </w:pPr>
      <w:bookmarkStart w:id="0" w:name="_Toc35393789"/>
      <w:bookmarkStart w:id="1" w:name="_Toc28359001"/>
      <w:r>
        <w:rPr>
          <w:rFonts w:hint="eastAsia" w:ascii="宋体" w:hAnsi="宋体" w:eastAsia="宋体" w:cs="宋体"/>
          <w:sz w:val="18"/>
          <w:szCs w:val="18"/>
          <w:lang w:eastAsia="zh-CN"/>
        </w:rPr>
        <w:t>叶城县农业产业发展（林果业提质增效）项目</w:t>
      </w:r>
      <w:r>
        <w:rPr>
          <w:rFonts w:hint="eastAsia" w:ascii="宋体" w:hAnsi="宋体" w:cs="宋体"/>
          <w:sz w:val="18"/>
          <w:szCs w:val="18"/>
          <w:lang w:eastAsia="zh-CN"/>
        </w:rPr>
        <w:t>公开</w:t>
      </w:r>
      <w:r>
        <w:rPr>
          <w:rFonts w:hint="eastAsia" w:ascii="宋体" w:hAnsi="宋体" w:eastAsia="宋体" w:cs="宋体"/>
          <w:sz w:val="18"/>
          <w:szCs w:val="18"/>
        </w:rPr>
        <w:t>招标公告</w:t>
      </w:r>
      <w:bookmarkEnd w:id="0"/>
      <w:bookmarkEnd w:id="1"/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b/>
          <w:color w:val="auto"/>
          <w:sz w:val="18"/>
          <w:szCs w:val="18"/>
        </w:rPr>
      </w:pP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项目概况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eastAsia="zh-CN"/>
        </w:rPr>
        <w:t>叶城县农业产业发展（林果业提质增效）项目</w:t>
      </w: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招标项目的潜在投标人应在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喀什市恒昌三期70-3-6室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eastAsia="zh-CN"/>
        </w:rPr>
        <w:t>或</w:t>
      </w:r>
      <w:r>
        <w:rPr>
          <w:rFonts w:hint="eastAsia" w:ascii="宋体" w:hAnsi="宋体" w:cs="宋体"/>
          <w:color w:val="auto"/>
          <w:sz w:val="18"/>
          <w:szCs w:val="18"/>
          <w:u w:val="single"/>
          <w:lang w:eastAsia="zh-CN"/>
        </w:rPr>
        <w:t>邮箱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获取招标文件，并于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20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auto"/>
          <w:sz w:val="18"/>
          <w:szCs w:val="18"/>
          <w:u w:val="single"/>
        </w:rPr>
        <w:t>年</w:t>
      </w:r>
      <w:r>
        <w:rPr>
          <w:rFonts w:hint="eastAsia" w:ascii="宋体" w:hAnsi="宋体" w:cs="宋体"/>
          <w:bCs/>
          <w:color w:val="auto"/>
          <w:sz w:val="18"/>
          <w:szCs w:val="1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z w:val="18"/>
          <w:szCs w:val="18"/>
          <w:u w:val="single"/>
        </w:rPr>
        <w:t>月</w:t>
      </w:r>
      <w:r>
        <w:rPr>
          <w:rFonts w:hint="eastAsia" w:ascii="宋体" w:hAnsi="宋体" w:cs="宋体"/>
          <w:bCs/>
          <w:color w:val="auto"/>
          <w:sz w:val="18"/>
          <w:szCs w:val="1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auto"/>
          <w:sz w:val="18"/>
          <w:szCs w:val="18"/>
          <w:u w:val="single"/>
        </w:rPr>
        <w:t>日1</w:t>
      </w:r>
      <w:r>
        <w:rPr>
          <w:rFonts w:hint="eastAsia" w:ascii="宋体" w:hAnsi="宋体" w:cs="宋体"/>
          <w:bCs/>
          <w:color w:val="auto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18"/>
          <w:szCs w:val="18"/>
          <w:u w:val="single"/>
        </w:rPr>
        <w:t>点</w:t>
      </w:r>
      <w:r>
        <w:rPr>
          <w:rFonts w:hint="eastAsia" w:ascii="宋体" w:hAnsi="宋体" w:cs="宋体"/>
          <w:bCs/>
          <w:color w:val="auto"/>
          <w:sz w:val="18"/>
          <w:szCs w:val="1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18"/>
          <w:szCs w:val="18"/>
          <w:u w:val="single"/>
        </w:rPr>
        <w:t>0分（</w:t>
      </w:r>
      <w:r>
        <w:rPr>
          <w:rFonts w:hint="eastAsia" w:ascii="宋体" w:hAnsi="宋体" w:eastAsia="宋体" w:cs="宋体"/>
          <w:bCs/>
          <w:color w:val="auto"/>
          <w:sz w:val="18"/>
          <w:szCs w:val="18"/>
        </w:rPr>
        <w:t>北京时间）前递交投标文件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。</w:t>
      </w:r>
    </w:p>
    <w:p>
      <w:pPr>
        <w:numPr>
          <w:ilvl w:val="0"/>
          <w:numId w:val="0"/>
        </w:numPr>
        <w:bidi w:val="0"/>
        <w:spacing w:line="240" w:lineRule="auto"/>
        <w:ind w:leftChars="0"/>
        <w:rPr>
          <w:rFonts w:hint="eastAsia" w:ascii="宋体" w:hAnsi="宋体" w:eastAsia="宋体" w:cs="宋体"/>
          <w:b/>
          <w:bCs/>
          <w:color w:val="auto"/>
          <w:sz w:val="18"/>
          <w:szCs w:val="18"/>
        </w:rPr>
      </w:pPr>
      <w:bookmarkStart w:id="2" w:name="_Toc28359002"/>
      <w:bookmarkStart w:id="3" w:name="_Toc28359079"/>
      <w:bookmarkStart w:id="4" w:name="_Toc35393621"/>
      <w:bookmarkStart w:id="5" w:name="_Toc35393790"/>
      <w:bookmarkStart w:id="6" w:name="_Hlk24379207"/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>项目基本情况</w:t>
      </w:r>
      <w:bookmarkEnd w:id="2"/>
      <w:bookmarkEnd w:id="3"/>
      <w:bookmarkEnd w:id="4"/>
      <w:bookmarkEnd w:id="5"/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项目编号：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XJXS202201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项目名称：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叶城县农业产业发展（林果业提质增效）项目</w:t>
      </w:r>
    </w:p>
    <w:bookmarkEnd w:id="6"/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采购方式：公开招标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预算金额（元）：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885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0000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最高限价（元）：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750000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,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4500000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,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750000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,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1500000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,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1350000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采购需求：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>标项一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标项名称: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采购阿维·除虫脲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数量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：一批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预算金额（元）: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750000</w:t>
      </w:r>
      <w:bookmarkStart w:id="15" w:name="_GoBack"/>
      <w:bookmarkEnd w:id="15"/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简要规格描述或项目基本概况介绍、用途：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详见招标文件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>标项二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标项名称: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梨李小混合迷向（高效）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数量: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一批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预算金额（元）: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4500000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简要规格描述或项目基本概况介绍、用途：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详见招标文件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>标项三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标项名称: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装配式水泥移动房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数量: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500平方米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预算金额（元）: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750000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  简要规格描述或项目基本概况介绍、用途：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详见招标文件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。</w:t>
      </w:r>
    </w:p>
    <w:p>
      <w:pPr>
        <w:spacing w:line="240" w:lineRule="auto"/>
        <w:rPr>
          <w:rFonts w:hint="eastAsia" w:ascii="宋体" w:hAnsi="宋体" w:cs="宋体"/>
          <w:b/>
          <w:bCs/>
          <w:color w:val="auto"/>
          <w:sz w:val="18"/>
          <w:szCs w:val="15"/>
        </w:rPr>
      </w:pPr>
      <w:r>
        <w:rPr>
          <w:rFonts w:hint="eastAsia" w:ascii="宋体" w:hAnsi="宋体" w:cs="宋体"/>
          <w:b/>
          <w:bCs/>
          <w:color w:val="auto"/>
          <w:sz w:val="18"/>
          <w:szCs w:val="15"/>
        </w:rPr>
        <w:t>标项</w:t>
      </w:r>
      <w:r>
        <w:rPr>
          <w:rFonts w:hint="eastAsia" w:ascii="宋体" w:hAnsi="宋体" w:cs="宋体"/>
          <w:b/>
          <w:bCs/>
          <w:color w:val="auto"/>
          <w:sz w:val="18"/>
          <w:szCs w:val="15"/>
          <w:lang w:eastAsia="zh-CN"/>
        </w:rPr>
        <w:t>四</w:t>
      </w:r>
    </w:p>
    <w:p>
      <w:pPr>
        <w:spacing w:line="240" w:lineRule="auto"/>
        <w:ind w:firstLine="360" w:firstLineChars="200"/>
        <w:rPr>
          <w:rFonts w:hint="eastAsia" w:ascii="宋体" w:hAnsi="宋体" w:cs="宋体"/>
          <w:color w:val="auto"/>
          <w:sz w:val="18"/>
          <w:szCs w:val="15"/>
        </w:rPr>
      </w:pPr>
      <w:r>
        <w:rPr>
          <w:rFonts w:hint="eastAsia" w:ascii="宋体" w:hAnsi="宋体" w:cs="宋体"/>
          <w:color w:val="auto"/>
          <w:sz w:val="18"/>
          <w:szCs w:val="15"/>
        </w:rPr>
        <w:t>标项名称:飞机防治服务</w:t>
      </w:r>
    </w:p>
    <w:p>
      <w:pPr>
        <w:spacing w:line="240" w:lineRule="auto"/>
        <w:ind w:firstLine="360" w:firstLineChars="200"/>
        <w:rPr>
          <w:rFonts w:hint="eastAsia" w:ascii="宋体" w:hAnsi="宋体" w:cs="宋体"/>
          <w:color w:val="auto"/>
          <w:sz w:val="18"/>
          <w:szCs w:val="15"/>
        </w:rPr>
      </w:pPr>
      <w:r>
        <w:rPr>
          <w:rFonts w:hint="eastAsia" w:ascii="宋体" w:hAnsi="宋体" w:cs="宋体"/>
          <w:color w:val="auto"/>
          <w:sz w:val="18"/>
          <w:szCs w:val="15"/>
        </w:rPr>
        <w:t>数量：一批</w:t>
      </w:r>
    </w:p>
    <w:p>
      <w:pPr>
        <w:spacing w:line="240" w:lineRule="auto"/>
        <w:ind w:firstLine="360" w:firstLineChars="200"/>
        <w:rPr>
          <w:rFonts w:hint="eastAsia" w:ascii="宋体" w:hAnsi="宋体" w:cs="宋体"/>
          <w:color w:val="auto"/>
          <w:sz w:val="18"/>
          <w:szCs w:val="15"/>
        </w:rPr>
      </w:pPr>
      <w:r>
        <w:rPr>
          <w:rFonts w:hint="eastAsia" w:ascii="宋体" w:hAnsi="宋体" w:cs="宋体"/>
          <w:color w:val="auto"/>
          <w:sz w:val="18"/>
          <w:szCs w:val="15"/>
        </w:rPr>
        <w:t>预算金额（元）:1500000</w:t>
      </w:r>
    </w:p>
    <w:p>
      <w:pPr>
        <w:spacing w:line="240" w:lineRule="auto"/>
        <w:ind w:firstLine="360" w:firstLineChars="200"/>
        <w:rPr>
          <w:rFonts w:hint="eastAsia" w:ascii="宋体" w:hAnsi="宋体" w:cs="宋体"/>
          <w:color w:val="auto"/>
          <w:sz w:val="18"/>
          <w:szCs w:val="15"/>
        </w:rPr>
      </w:pPr>
      <w:r>
        <w:rPr>
          <w:rFonts w:hint="eastAsia" w:ascii="宋体" w:hAnsi="宋体" w:cs="宋体"/>
          <w:color w:val="auto"/>
          <w:sz w:val="18"/>
          <w:szCs w:val="15"/>
        </w:rPr>
        <w:t>简要规格描述或项目基本概况介绍、用途：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详见招标文件</w:t>
      </w:r>
      <w:r>
        <w:rPr>
          <w:rFonts w:hint="eastAsia" w:ascii="宋体" w:hAnsi="宋体" w:cs="宋体"/>
          <w:color w:val="auto"/>
          <w:sz w:val="18"/>
          <w:szCs w:val="15"/>
        </w:rPr>
        <w:t>。</w:t>
      </w:r>
    </w:p>
    <w:p>
      <w:pPr>
        <w:spacing w:line="240" w:lineRule="auto"/>
        <w:rPr>
          <w:rFonts w:hint="eastAsia" w:ascii="宋体" w:hAnsi="宋体" w:cs="宋体"/>
          <w:b/>
          <w:bCs/>
          <w:color w:val="auto"/>
          <w:sz w:val="18"/>
          <w:szCs w:val="15"/>
        </w:rPr>
      </w:pPr>
      <w:r>
        <w:rPr>
          <w:rFonts w:hint="eastAsia" w:ascii="宋体" w:hAnsi="宋体" w:cs="宋体"/>
          <w:b/>
          <w:bCs/>
          <w:color w:val="auto"/>
          <w:sz w:val="18"/>
          <w:szCs w:val="15"/>
        </w:rPr>
        <w:t>标项</w:t>
      </w:r>
      <w:r>
        <w:rPr>
          <w:rFonts w:hint="eastAsia" w:ascii="宋体" w:hAnsi="宋体" w:cs="宋体"/>
          <w:b/>
          <w:bCs/>
          <w:color w:val="auto"/>
          <w:sz w:val="18"/>
          <w:szCs w:val="15"/>
          <w:lang w:eastAsia="zh-CN"/>
        </w:rPr>
        <w:t>五</w:t>
      </w:r>
    </w:p>
    <w:p>
      <w:pPr>
        <w:spacing w:line="240" w:lineRule="auto"/>
        <w:ind w:firstLine="360" w:firstLineChars="200"/>
        <w:rPr>
          <w:rFonts w:hint="eastAsia" w:ascii="宋体" w:hAnsi="宋体" w:cs="宋体"/>
          <w:color w:val="auto"/>
          <w:sz w:val="18"/>
          <w:szCs w:val="15"/>
        </w:rPr>
      </w:pPr>
      <w:r>
        <w:rPr>
          <w:rFonts w:hint="eastAsia" w:ascii="宋体" w:hAnsi="宋体" w:cs="宋体"/>
          <w:color w:val="auto"/>
          <w:sz w:val="18"/>
          <w:szCs w:val="15"/>
        </w:rPr>
        <w:t>标项名称:种质资源圃技术服务</w:t>
      </w:r>
    </w:p>
    <w:p>
      <w:pPr>
        <w:spacing w:line="240" w:lineRule="auto"/>
        <w:ind w:firstLine="360" w:firstLineChars="200"/>
        <w:rPr>
          <w:rFonts w:hint="eastAsia" w:ascii="宋体" w:hAnsi="宋体" w:cs="宋体"/>
          <w:color w:val="auto"/>
          <w:sz w:val="18"/>
          <w:szCs w:val="15"/>
        </w:rPr>
      </w:pPr>
      <w:r>
        <w:rPr>
          <w:rFonts w:hint="eastAsia" w:ascii="宋体" w:hAnsi="宋体" w:cs="宋体"/>
          <w:color w:val="auto"/>
          <w:sz w:val="18"/>
          <w:szCs w:val="15"/>
        </w:rPr>
        <w:t>数量:一批</w:t>
      </w:r>
    </w:p>
    <w:p>
      <w:pPr>
        <w:spacing w:line="240" w:lineRule="auto"/>
        <w:ind w:firstLine="360" w:firstLineChars="200"/>
        <w:rPr>
          <w:rFonts w:hint="eastAsia" w:ascii="宋体" w:hAnsi="宋体" w:cs="宋体"/>
          <w:color w:val="auto"/>
          <w:sz w:val="18"/>
          <w:szCs w:val="15"/>
        </w:rPr>
      </w:pPr>
      <w:r>
        <w:rPr>
          <w:rFonts w:hint="eastAsia" w:ascii="宋体" w:hAnsi="宋体" w:cs="宋体"/>
          <w:color w:val="auto"/>
          <w:sz w:val="18"/>
          <w:szCs w:val="15"/>
        </w:rPr>
        <w:t>预算金额（元）:1350000</w:t>
      </w:r>
    </w:p>
    <w:p>
      <w:pPr>
        <w:spacing w:line="240" w:lineRule="auto"/>
        <w:ind w:firstLine="360" w:firstLineChars="200"/>
        <w:rPr>
          <w:rFonts w:hint="eastAsia" w:ascii="宋体" w:hAnsi="宋体" w:cs="宋体"/>
          <w:color w:val="auto"/>
          <w:sz w:val="18"/>
          <w:szCs w:val="15"/>
        </w:rPr>
      </w:pPr>
      <w:r>
        <w:rPr>
          <w:rFonts w:hint="eastAsia" w:ascii="宋体" w:hAnsi="宋体" w:cs="宋体"/>
          <w:color w:val="auto"/>
          <w:sz w:val="18"/>
          <w:szCs w:val="15"/>
        </w:rPr>
        <w:t>简要规格描述或项目基本概况介绍、用途：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详见招标文件</w:t>
      </w:r>
      <w:r>
        <w:rPr>
          <w:rFonts w:hint="eastAsia" w:ascii="宋体" w:hAnsi="宋体" w:cs="宋体"/>
          <w:color w:val="auto"/>
          <w:sz w:val="18"/>
          <w:szCs w:val="15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合同履约期限：标项 1、2、3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4、5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，详见招标文件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本项目（否）接受联合体投标。</w:t>
      </w:r>
    </w:p>
    <w:p>
      <w:pPr>
        <w:bidi w:val="0"/>
        <w:spacing w:line="240" w:lineRule="auto"/>
        <w:rPr>
          <w:rFonts w:hint="eastAsia" w:ascii="宋体" w:hAnsi="宋体" w:eastAsia="宋体" w:cs="宋体"/>
          <w:b/>
          <w:bCs/>
          <w:color w:val="auto"/>
          <w:sz w:val="18"/>
          <w:szCs w:val="18"/>
        </w:rPr>
      </w:pPr>
      <w:bookmarkStart w:id="7" w:name="_Toc35393622"/>
      <w:bookmarkStart w:id="8" w:name="_Toc35393791"/>
      <w:bookmarkStart w:id="9" w:name="_Toc28359080"/>
      <w:bookmarkStart w:id="10" w:name="_Toc28359003"/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>二、申请人的资格要求：</w:t>
      </w:r>
      <w:bookmarkEnd w:id="7"/>
      <w:bookmarkEnd w:id="8"/>
      <w:bookmarkEnd w:id="9"/>
      <w:bookmarkEnd w:id="10"/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bookmarkStart w:id="11" w:name="_Toc35393792"/>
      <w:bookmarkStart w:id="12" w:name="_Toc28359081"/>
      <w:bookmarkStart w:id="13" w:name="_Toc28359004"/>
      <w:bookmarkStart w:id="14" w:name="_Toc35393623"/>
      <w:r>
        <w:rPr>
          <w:rFonts w:hint="eastAsia" w:ascii="宋体" w:hAnsi="宋体" w:eastAsia="宋体" w:cs="宋体"/>
          <w:color w:val="auto"/>
          <w:sz w:val="18"/>
          <w:szCs w:val="18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2.落实政府采购政策需满足的资格要求：/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3.本项目的特定资格要求：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具有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合格的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三证合一企业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营业执照；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2）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投标需提供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身份证明及身份证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原件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，授权委托人投标需提供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身份证明、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授权委托书及身份证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原件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；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361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eastAsia="zh-CN"/>
        </w:rPr>
        <w:t>标项一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投标人必须具有有效的《农药登记许可证》、《农药生产许可证》或者农药生产批准文件、《农药经营许可证》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；</w:t>
      </w:r>
      <w:r>
        <w:rPr>
          <w:rFonts w:hint="eastAsia" w:ascii="宋体" w:hAnsi="宋体" w:cs="宋体"/>
          <w:b/>
          <w:bCs/>
          <w:color w:val="auto"/>
          <w:sz w:val="18"/>
          <w:szCs w:val="18"/>
          <w:lang w:eastAsia="zh-CN"/>
        </w:rPr>
        <w:t>标项二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人须具有《农药经营许可证》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；</w:t>
      </w:r>
      <w:r>
        <w:rPr>
          <w:rFonts w:hint="eastAsia" w:ascii="宋体" w:hAnsi="宋体" w:cs="宋体"/>
          <w:b/>
          <w:bCs/>
          <w:color w:val="auto"/>
          <w:sz w:val="18"/>
          <w:szCs w:val="18"/>
          <w:lang w:eastAsia="zh-CN"/>
        </w:rPr>
        <w:t>标项四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投标人航空公司投标需拥有3架且载药量为600公斤及以上的直升机（以适航证、国籍登记证、电台执照发给人为准）；林业有害生物防治公司需提供与一家同时拥有3架且载药量为600公斤及以上的直升机航空公司签订的租机合同（需提供租机航空公司通用航空企业经营许可证，商业非运输航空运营人运行合格证，3架航空器的适航证、国籍登记证、电台执照），需提供租赁时间超过2022年10月租机合同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）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提供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近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个月被授权委托人及投标单位的社保缴费凭证及个人明细表；新公司提供自成立到今的社保缴费凭证及个人明细表；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5）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具有税务局开具依法缴纳近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个月税收证明的良好记录；新公司提供自成立到今的税收证明；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6）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提供20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年或20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年经审计的财务报表（新成立公司需提供银行资信证明）；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left="420" w:left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7）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投标单位（供应商）提供针对本次项目《反商业贿赂承诺书》原件；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8）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参加本次政府采购活动前三年内，在经营活动中没有重大违法记录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未被列入“信用中国”网站、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中国政府采购网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信用记录失信被执行人、重大税收违法案件当事人名单、政府采购严重违法失信行为记录名单的投标人，国家企业公示信息系统查询诚信记录如有严重行政处罚信息、重大严重失信记录不得参加本项目；（提供查询结果并加盖公章）。</w:t>
      </w:r>
    </w:p>
    <w:p>
      <w:pPr>
        <w:bidi w:val="0"/>
        <w:spacing w:line="240" w:lineRule="auto"/>
        <w:rPr>
          <w:rFonts w:hint="eastAsia" w:ascii="宋体" w:hAnsi="宋体" w:eastAsia="宋体" w:cs="宋体"/>
          <w:b/>
          <w:bCs/>
          <w:color w:val="auto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>三、获取招标文件</w:t>
      </w:r>
      <w:bookmarkEnd w:id="11"/>
      <w:bookmarkEnd w:id="12"/>
      <w:bookmarkEnd w:id="13"/>
      <w:bookmarkEnd w:id="14"/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时间：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年</w:t>
      </w:r>
      <w:r>
        <w:rPr>
          <w:rFonts w:hint="eastAsia" w:ascii="宋体" w:hAnsi="宋体" w:cs="宋体"/>
          <w:color w:val="auto"/>
          <w:sz w:val="18"/>
          <w:szCs w:val="1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月</w:t>
      </w:r>
      <w:r>
        <w:rPr>
          <w:rFonts w:hint="eastAsia" w:ascii="宋体" w:hAnsi="宋体" w:cs="宋体"/>
          <w:color w:val="auto"/>
          <w:sz w:val="18"/>
          <w:szCs w:val="1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至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年</w:t>
      </w:r>
      <w:r>
        <w:rPr>
          <w:rFonts w:hint="eastAsia" w:ascii="宋体" w:hAnsi="宋体" w:cs="宋体"/>
          <w:color w:val="auto"/>
          <w:sz w:val="18"/>
          <w:szCs w:val="1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18"/>
          <w:szCs w:val="1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日</w:t>
      </w:r>
      <w:r>
        <w:rPr>
          <w:rFonts w:hint="eastAsia" w:ascii="宋体" w:hAnsi="宋体" w:eastAsia="宋体" w:cs="宋体"/>
          <w:iCs/>
          <w:color w:val="auto"/>
          <w:sz w:val="18"/>
          <w:szCs w:val="18"/>
          <w:u w:val="single"/>
        </w:rPr>
        <w:t>，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每天上午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10:30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至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13:00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，下午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16:30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至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>19:00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（北京时间，法定节假日除外）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地点：喀什市恒昌三期70-3-6室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或邮箱获取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360" w:firstLineChars="200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方式：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线下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，邮箱获取【请申请人将资格证明文件加盖公章以PDF文件（包括项目名称、项目编号、联系人、联系方式等）的格式发送至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784799347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@qq.com，资料不全的申请将被拒绝】</w:t>
      </w:r>
    </w:p>
    <w:p>
      <w:pPr>
        <w:bidi w:val="0"/>
        <w:spacing w:line="240" w:lineRule="auto"/>
        <w:rPr>
          <w:rFonts w:hint="eastAsia" w:ascii="宋体" w:hAnsi="宋体" w:eastAsia="宋体" w:cs="宋体"/>
          <w:b/>
          <w:bCs/>
          <w:color w:val="auto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>四、响应文件提交</w:t>
      </w:r>
    </w:p>
    <w:p>
      <w:pPr>
        <w:bidi w:val="0"/>
        <w:spacing w:line="240" w:lineRule="auto"/>
        <w:ind w:firstLine="180" w:firstLineChars="100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截止时间：2022年6月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日 1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0（北京时间）</w:t>
      </w:r>
    </w:p>
    <w:p>
      <w:pPr>
        <w:bidi w:val="0"/>
        <w:spacing w:line="240" w:lineRule="auto"/>
        <w:ind w:firstLine="180" w:firstLineChars="100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地点：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叶城县行政综合服务中心（叶城县工业园区纬三路）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 </w:t>
      </w:r>
    </w:p>
    <w:p>
      <w:pPr>
        <w:bidi w:val="0"/>
        <w:spacing w:line="240" w:lineRule="auto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>五、响应文件开启 </w:t>
      </w:r>
    </w:p>
    <w:p>
      <w:pPr>
        <w:bidi w:val="0"/>
        <w:spacing w:line="240" w:lineRule="auto"/>
        <w:ind w:firstLine="180" w:firstLineChars="10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开启时间：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2022年6月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日 1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（北京时间）</w:t>
      </w:r>
    </w:p>
    <w:p>
      <w:pPr>
        <w:bidi w:val="0"/>
        <w:spacing w:line="240" w:lineRule="auto"/>
        <w:ind w:firstLine="180" w:firstLineChars="10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地点：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叶城县行政综合服务中心（叶城县工业园区纬三路）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 </w:t>
      </w:r>
    </w:p>
    <w:p>
      <w:pPr>
        <w:bidi w:val="0"/>
        <w:spacing w:line="240" w:lineRule="auto"/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18"/>
          <w:szCs w:val="18"/>
          <w:lang w:val="en-US" w:eastAsia="zh-CN" w:bidi="ar-SA"/>
        </w:rPr>
        <w:t>六、公告期限 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自本公告发布之日起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个工作日。</w:t>
      </w:r>
    </w:p>
    <w:p>
      <w:pPr>
        <w:bidi w:val="0"/>
        <w:spacing w:line="240" w:lineRule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>七、其他补充事宜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 </w:t>
      </w:r>
    </w:p>
    <w:p>
      <w:pPr>
        <w:bidi w:val="0"/>
        <w:spacing w:line="240" w:lineRule="auto"/>
        <w:ind w:firstLine="180" w:firstLineChars="10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无  </w:t>
      </w:r>
    </w:p>
    <w:p>
      <w:pPr>
        <w:bidi w:val="0"/>
        <w:spacing w:line="240" w:lineRule="auto"/>
        <w:rPr>
          <w:rFonts w:hint="eastAsia" w:ascii="宋体" w:hAnsi="宋体" w:eastAsia="宋体" w:cs="宋体"/>
          <w:b/>
          <w:bCs/>
          <w:color w:val="auto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>八、凡对本次招标提出询问，请按以下方式联系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1.采购人信息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联 系 人：叶城县核桃产业化发展中心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联系地址：叶城县团结东路10号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联系电话：15214957285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2.采购代理机构信息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名 称：新疆西尚信息咨询有限公司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地 址：喀什市恒昌三期70号楼3单元6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A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联系方式：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18299638118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3.项目联系方式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项目联系人：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蒋敏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80" w:firstLineChars="100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电 话：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18299638118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1F0486"/>
    <w:multiLevelType w:val="singleLevel"/>
    <w:tmpl w:val="CC1F0486"/>
    <w:lvl w:ilvl="0" w:tentative="0">
      <w:start w:val="3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0BC5"/>
    <w:rsid w:val="000F3A58"/>
    <w:rsid w:val="00116AEF"/>
    <w:rsid w:val="00321E64"/>
    <w:rsid w:val="004E5F73"/>
    <w:rsid w:val="00633049"/>
    <w:rsid w:val="006F4BFB"/>
    <w:rsid w:val="007479FF"/>
    <w:rsid w:val="00760BC5"/>
    <w:rsid w:val="008B3EF6"/>
    <w:rsid w:val="00CF4863"/>
    <w:rsid w:val="00D324DB"/>
    <w:rsid w:val="00D954B9"/>
    <w:rsid w:val="00DA7A02"/>
    <w:rsid w:val="00F13961"/>
    <w:rsid w:val="08633906"/>
    <w:rsid w:val="09D30D96"/>
    <w:rsid w:val="09DE2696"/>
    <w:rsid w:val="1B54703C"/>
    <w:rsid w:val="1CFC12F1"/>
    <w:rsid w:val="1F62727B"/>
    <w:rsid w:val="226D1B31"/>
    <w:rsid w:val="22A31387"/>
    <w:rsid w:val="34042C31"/>
    <w:rsid w:val="38B060EA"/>
    <w:rsid w:val="3BF4001B"/>
    <w:rsid w:val="431F461D"/>
    <w:rsid w:val="4A9604C3"/>
    <w:rsid w:val="4C505D51"/>
    <w:rsid w:val="5E3D1A31"/>
    <w:rsid w:val="602F7B2E"/>
    <w:rsid w:val="76B33E71"/>
    <w:rsid w:val="7BC25AAF"/>
    <w:rsid w:val="7BD5403F"/>
    <w:rsid w:val="7D8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宋体"/>
      <w:sz w:val="18"/>
      <w:szCs w:val="18"/>
    </w:rPr>
  </w:style>
  <w:style w:type="paragraph" w:styleId="5">
    <w:name w:val="Plain Text"/>
    <w:basedOn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标题 1 Char"/>
    <w:basedOn w:val="1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0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10"/>
    <w:link w:val="5"/>
    <w:qFormat/>
    <w:uiPriority w:val="0"/>
    <w:rPr>
      <w:rFonts w:ascii="宋体" w:hAnsi="Courier New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qFormat/>
    <w:uiPriority w:val="0"/>
    <w:rPr>
      <w:rFonts w:ascii="宋体" w:hAnsi="Courier New"/>
    </w:rPr>
  </w:style>
  <w:style w:type="character" w:customStyle="1" w:styleId="17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1466</Words>
  <Characters>1645</Characters>
  <Lines>7</Lines>
  <Paragraphs>2</Paragraphs>
  <TotalTime>33</TotalTime>
  <ScaleCrop>false</ScaleCrop>
  <LinksUpToDate>false</LinksUpToDate>
  <CharactersWithSpaces>1697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2020-07-10T10:21:00Z</dcterms:created>
  <dc:creator>Administrator</dc:creator>
  <cp:lastModifiedBy>゛简单的幸福，奢侈不来</cp:lastModifiedBy>
  <dcterms:modified xsi:type="dcterms:W3CDTF">2022-06-02T04:29:38Z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1446D3A9B51E4189A1DBE3A81E561335</vt:lpwstr>
  </property>
</Properties>
</file>