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both"/>
        <w:rPr>
          <w:rFonts w:hint="eastAsia" w:ascii="宋体" w:hAnsi="宋体" w:eastAsia="宋体" w:cs="宋体"/>
          <w:b/>
          <w:i w:val="0"/>
          <w:iCs w:val="0"/>
          <w:color w:val="auto"/>
          <w:sz w:val="52"/>
          <w:szCs w:val="52"/>
        </w:rPr>
      </w:pPr>
    </w:p>
    <w:p>
      <w:pPr>
        <w:spacing w:line="240" w:lineRule="atLeast"/>
        <w:jc w:val="center"/>
        <w:rPr>
          <w:rFonts w:hint="eastAsia" w:ascii="宋体" w:hAnsi="宋体" w:eastAsia="宋体" w:cs="宋体"/>
          <w:b/>
          <w:bCs w:val="0"/>
          <w:i w:val="0"/>
          <w:iCs w:val="0"/>
          <w:color w:val="auto"/>
          <w:sz w:val="52"/>
          <w:szCs w:val="52"/>
        </w:rPr>
      </w:pPr>
      <w:r>
        <w:rPr>
          <w:rFonts w:hint="eastAsia" w:ascii="宋体" w:hAnsi="宋体" w:eastAsia="宋体" w:cs="宋体"/>
          <w:b/>
          <w:bCs w:val="0"/>
          <w:i w:val="0"/>
          <w:iCs w:val="0"/>
          <w:color w:val="auto"/>
          <w:sz w:val="52"/>
          <w:szCs w:val="52"/>
        </w:rPr>
        <w:t>服务类政府采购公开招标文件</w:t>
      </w:r>
    </w:p>
    <w:p>
      <w:pPr>
        <w:spacing w:line="240" w:lineRule="atLeast"/>
        <w:jc w:val="center"/>
        <w:rPr>
          <w:rFonts w:hint="default" w:ascii="宋体" w:hAnsi="宋体" w:eastAsia="宋体" w:cs="宋体"/>
          <w:b/>
          <w:i w:val="0"/>
          <w:iCs w:val="0"/>
          <w:color w:val="auto"/>
          <w:sz w:val="32"/>
          <w:szCs w:val="32"/>
          <w:lang w:val="en-US" w:eastAsia="zh-CN"/>
        </w:rPr>
      </w:pPr>
      <w:r>
        <w:rPr>
          <w:rFonts w:hint="eastAsia" w:ascii="宋体" w:hAnsi="宋体" w:eastAsia="宋体" w:cs="宋体"/>
          <w:b/>
          <w:i w:val="0"/>
          <w:iCs w:val="0"/>
          <w:color w:val="auto"/>
          <w:sz w:val="32"/>
          <w:szCs w:val="32"/>
          <w:lang w:eastAsia="zh-CN"/>
        </w:rPr>
        <w:t>招标编号：</w:t>
      </w:r>
      <w:r>
        <w:rPr>
          <w:rFonts w:hint="eastAsia" w:ascii="宋体" w:hAnsi="宋体" w:cs="宋体"/>
          <w:b/>
          <w:i w:val="0"/>
          <w:iCs w:val="0"/>
          <w:color w:val="auto"/>
          <w:sz w:val="32"/>
          <w:szCs w:val="32"/>
          <w:lang w:val="en-US" w:eastAsia="zh-CN"/>
        </w:rPr>
        <w:t>CQYL-2023-Z(Q)-049</w:t>
      </w:r>
    </w:p>
    <w:p>
      <w:pPr>
        <w:spacing w:line="240" w:lineRule="atLeast"/>
        <w:ind w:left="1079" w:leftChars="257" w:hanging="540"/>
        <w:jc w:val="center"/>
        <w:rPr>
          <w:rFonts w:hint="eastAsia" w:ascii="宋体" w:hAnsi="宋体" w:eastAsia="宋体" w:cs="宋体"/>
          <w:b/>
          <w:i w:val="0"/>
          <w:iCs w:val="0"/>
          <w:color w:val="auto"/>
          <w:sz w:val="28"/>
        </w:rPr>
      </w:pPr>
    </w:p>
    <w:p>
      <w:pPr>
        <w:pStyle w:val="24"/>
        <w:rPr>
          <w:rFonts w:hint="eastAsia" w:ascii="宋体" w:hAnsi="宋体" w:eastAsia="宋体" w:cs="宋体"/>
          <w:b/>
          <w:i w:val="0"/>
          <w:iCs w:val="0"/>
          <w:color w:val="auto"/>
          <w:sz w:val="28"/>
        </w:rPr>
      </w:pPr>
    </w:p>
    <w:p>
      <w:pPr>
        <w:pStyle w:val="24"/>
        <w:rPr>
          <w:rFonts w:hint="eastAsia" w:ascii="宋体" w:hAnsi="宋体" w:eastAsia="宋体" w:cs="宋体"/>
          <w:b/>
          <w:i w:val="0"/>
          <w:iCs w:val="0"/>
          <w:color w:val="auto"/>
          <w:sz w:val="28"/>
        </w:rPr>
      </w:pPr>
    </w:p>
    <w:p>
      <w:pPr>
        <w:spacing w:line="240" w:lineRule="atLeast"/>
        <w:jc w:val="center"/>
        <w:rPr>
          <w:rFonts w:hint="eastAsia" w:ascii="宋体" w:hAnsi="宋体" w:eastAsia="宋体" w:cs="宋体"/>
          <w:b/>
          <w:i w:val="0"/>
          <w:iCs w:val="0"/>
          <w:color w:val="auto"/>
          <w:sz w:val="48"/>
          <w:szCs w:val="48"/>
        </w:rPr>
      </w:pPr>
      <w:r>
        <w:rPr>
          <w:rFonts w:hint="eastAsia" w:ascii="宋体" w:hAnsi="宋体" w:eastAsia="宋体" w:cs="宋体"/>
          <w:b/>
          <w:i w:val="0"/>
          <w:iCs w:val="0"/>
          <w:color w:val="auto"/>
          <w:sz w:val="48"/>
          <w:szCs w:val="48"/>
        </w:rPr>
        <w:t>第一册</w:t>
      </w:r>
    </w:p>
    <w:p>
      <w:pPr>
        <w:spacing w:line="240" w:lineRule="atLeast"/>
        <w:ind w:left="1079" w:leftChars="257" w:hanging="540"/>
        <w:jc w:val="center"/>
        <w:rPr>
          <w:rFonts w:hint="eastAsia" w:ascii="宋体" w:hAnsi="宋体" w:eastAsia="宋体" w:cs="宋体"/>
          <w:b/>
          <w:i w:val="0"/>
          <w:iCs w:val="0"/>
          <w:color w:val="auto"/>
          <w:sz w:val="52"/>
        </w:rPr>
      </w:pPr>
    </w:p>
    <w:p>
      <w:pPr>
        <w:spacing w:line="240" w:lineRule="atLeast"/>
        <w:ind w:left="1079" w:leftChars="257" w:hanging="540"/>
        <w:jc w:val="center"/>
        <w:rPr>
          <w:rFonts w:hint="eastAsia" w:ascii="宋体" w:hAnsi="宋体" w:eastAsia="宋体" w:cs="宋体"/>
          <w:b/>
          <w:i w:val="0"/>
          <w:iCs w:val="0"/>
          <w:color w:val="auto"/>
          <w:sz w:val="52"/>
        </w:rPr>
      </w:pPr>
    </w:p>
    <w:p>
      <w:pPr>
        <w:spacing w:line="240" w:lineRule="atLeast"/>
        <w:jc w:val="both"/>
        <w:rPr>
          <w:rFonts w:hint="eastAsia" w:ascii="宋体" w:hAnsi="宋体" w:eastAsia="宋体" w:cs="宋体"/>
          <w:b/>
          <w:i w:val="0"/>
          <w:iCs w:val="0"/>
          <w:color w:val="auto"/>
          <w:sz w:val="5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b/>
          <w:bCs/>
          <w:i w:val="0"/>
          <w:iCs w:val="0"/>
          <w:color w:val="auto"/>
          <w:sz w:val="30"/>
          <w:szCs w:val="30"/>
          <w:lang w:val="en-US" w:eastAsia="zh-CN"/>
        </w:rPr>
      </w:pPr>
      <w:r>
        <w:rPr>
          <w:rFonts w:hint="eastAsia" w:ascii="宋体" w:hAnsi="宋体" w:eastAsia="宋体" w:cs="宋体"/>
          <w:b/>
          <w:bCs/>
          <w:i w:val="0"/>
          <w:iCs w:val="0"/>
          <w:color w:val="auto"/>
          <w:sz w:val="30"/>
          <w:szCs w:val="30"/>
          <w:lang w:eastAsia="zh-CN"/>
        </w:rPr>
        <w:t>项目</w:t>
      </w:r>
      <w:r>
        <w:rPr>
          <w:rFonts w:hint="eastAsia" w:ascii="宋体" w:hAnsi="宋体" w:eastAsia="宋体" w:cs="宋体"/>
          <w:b/>
          <w:bCs/>
          <w:i w:val="0"/>
          <w:iCs w:val="0"/>
          <w:color w:val="auto"/>
          <w:sz w:val="30"/>
          <w:szCs w:val="30"/>
          <w:lang w:val="en-US" w:eastAsia="zh-CN"/>
        </w:rPr>
        <w:t>名称：</w:t>
      </w:r>
      <w:r>
        <w:rPr>
          <w:rFonts w:hint="eastAsia" w:ascii="宋体" w:hAnsi="宋体" w:cs="宋体"/>
          <w:b/>
          <w:bCs/>
          <w:i w:val="0"/>
          <w:iCs w:val="0"/>
          <w:color w:val="auto"/>
          <w:sz w:val="30"/>
          <w:szCs w:val="30"/>
          <w:lang w:val="en-US" w:eastAsia="zh-CN"/>
        </w:rPr>
        <w:t>《“两霍两伊”一体化发展战略规划》采购项目</w:t>
      </w:r>
    </w:p>
    <w:p>
      <w:pPr>
        <w:keepNext w:val="0"/>
        <w:keepLines w:val="0"/>
        <w:pageBreakBefore w:val="0"/>
        <w:widowControl w:val="0"/>
        <w:kinsoku/>
        <w:wordWrap/>
        <w:overflowPunct/>
        <w:topLinePunct w:val="0"/>
        <w:autoSpaceDE/>
        <w:autoSpaceDN/>
        <w:bidi w:val="0"/>
        <w:adjustRightInd/>
        <w:snapToGrid/>
        <w:spacing w:line="1100" w:lineRule="exact"/>
        <w:textAlignment w:val="auto"/>
        <w:rPr>
          <w:rFonts w:hint="eastAsia" w:ascii="宋体" w:hAnsi="宋体" w:eastAsia="宋体" w:cs="宋体"/>
          <w:b/>
          <w:bCs/>
          <w:i w:val="0"/>
          <w:iCs w:val="0"/>
          <w:color w:val="auto"/>
          <w:sz w:val="30"/>
          <w:szCs w:val="30"/>
          <w:lang w:val="en-US" w:eastAsia="zh-CN"/>
        </w:rPr>
      </w:pPr>
      <w:r>
        <w:rPr>
          <w:rFonts w:hint="eastAsia" w:ascii="宋体" w:hAnsi="宋体" w:eastAsia="宋体" w:cs="宋体"/>
          <w:b/>
          <w:bCs/>
          <w:i w:val="0"/>
          <w:iCs w:val="0"/>
          <w:color w:val="auto"/>
          <w:sz w:val="30"/>
          <w:szCs w:val="30"/>
          <w:lang w:eastAsia="zh-CN"/>
        </w:rPr>
        <w:t>采</w:t>
      </w:r>
      <w:r>
        <w:rPr>
          <w:rFonts w:hint="eastAsia" w:ascii="宋体" w:hAnsi="宋体" w:eastAsia="宋体" w:cs="宋体"/>
          <w:b/>
          <w:bCs/>
          <w:i w:val="0"/>
          <w:iCs w:val="0"/>
          <w:color w:val="auto"/>
          <w:sz w:val="30"/>
          <w:szCs w:val="30"/>
          <w:lang w:val="en-US" w:eastAsia="zh-CN"/>
        </w:rPr>
        <w:t xml:space="preserve"> </w:t>
      </w:r>
      <w:r>
        <w:rPr>
          <w:rFonts w:hint="eastAsia" w:ascii="宋体" w:hAnsi="宋体" w:eastAsia="宋体" w:cs="宋体"/>
          <w:b/>
          <w:bCs/>
          <w:i w:val="0"/>
          <w:iCs w:val="0"/>
          <w:color w:val="auto"/>
          <w:sz w:val="30"/>
          <w:szCs w:val="30"/>
          <w:lang w:eastAsia="zh-CN"/>
        </w:rPr>
        <w:t>购</w:t>
      </w:r>
      <w:r>
        <w:rPr>
          <w:rFonts w:hint="eastAsia" w:ascii="宋体" w:hAnsi="宋体" w:eastAsia="宋体" w:cs="宋体"/>
          <w:b/>
          <w:bCs/>
          <w:i w:val="0"/>
          <w:iCs w:val="0"/>
          <w:color w:val="auto"/>
          <w:sz w:val="30"/>
          <w:szCs w:val="30"/>
          <w:lang w:val="en-US" w:eastAsia="zh-CN"/>
        </w:rPr>
        <w:t xml:space="preserve"> </w:t>
      </w:r>
      <w:r>
        <w:rPr>
          <w:rFonts w:hint="eastAsia" w:ascii="宋体" w:hAnsi="宋体" w:eastAsia="宋体" w:cs="宋体"/>
          <w:b/>
          <w:bCs/>
          <w:i w:val="0"/>
          <w:iCs w:val="0"/>
          <w:color w:val="auto"/>
          <w:sz w:val="30"/>
          <w:szCs w:val="30"/>
          <w:lang w:eastAsia="zh-CN"/>
        </w:rPr>
        <w:t>人</w:t>
      </w:r>
      <w:r>
        <w:rPr>
          <w:rFonts w:hint="eastAsia" w:ascii="宋体" w:hAnsi="宋体" w:eastAsia="宋体" w:cs="宋体"/>
          <w:b/>
          <w:bCs/>
          <w:i w:val="0"/>
          <w:iCs w:val="0"/>
          <w:color w:val="auto"/>
          <w:sz w:val="30"/>
          <w:szCs w:val="30"/>
        </w:rPr>
        <w:t>：</w:t>
      </w:r>
      <w:r>
        <w:rPr>
          <w:rFonts w:hint="eastAsia" w:ascii="宋体" w:hAnsi="宋体" w:cs="宋体"/>
          <w:b/>
          <w:bCs/>
          <w:i w:val="0"/>
          <w:iCs w:val="0"/>
          <w:color w:val="auto"/>
          <w:sz w:val="30"/>
          <w:szCs w:val="30"/>
          <w:lang w:eastAsia="zh-CN"/>
        </w:rPr>
        <w:t>伊犁哈萨克自治州发展和改革委员会</w:t>
      </w:r>
    </w:p>
    <w:p>
      <w:pPr>
        <w:keepNext w:val="0"/>
        <w:keepLines w:val="0"/>
        <w:pageBreakBefore w:val="0"/>
        <w:widowControl w:val="0"/>
        <w:kinsoku/>
        <w:wordWrap/>
        <w:overflowPunct/>
        <w:topLinePunct w:val="0"/>
        <w:autoSpaceDE/>
        <w:autoSpaceDN/>
        <w:bidi w:val="0"/>
        <w:adjustRightInd/>
        <w:snapToGrid/>
        <w:spacing w:line="1100" w:lineRule="exact"/>
        <w:textAlignment w:val="auto"/>
        <w:rPr>
          <w:rFonts w:hint="eastAsia" w:ascii="宋体" w:hAnsi="宋体" w:cs="宋体"/>
          <w:b/>
          <w:bCs/>
          <w:i w:val="0"/>
          <w:iCs w:val="0"/>
          <w:color w:val="auto"/>
          <w:sz w:val="30"/>
          <w:szCs w:val="30"/>
          <w:lang w:val="zh-CN"/>
        </w:rPr>
      </w:pPr>
      <w:r>
        <w:rPr>
          <w:rFonts w:hint="eastAsia" w:ascii="宋体" w:hAnsi="宋体" w:eastAsia="宋体" w:cs="宋体"/>
          <w:b/>
          <w:bCs/>
          <w:i w:val="0"/>
          <w:iCs w:val="0"/>
          <w:color w:val="auto"/>
          <w:sz w:val="30"/>
          <w:szCs w:val="30"/>
        </w:rPr>
        <w:t>采购代理机构：</w:t>
      </w:r>
      <w:r>
        <w:rPr>
          <w:rFonts w:hint="eastAsia" w:ascii="宋体" w:hAnsi="宋体" w:eastAsia="宋体" w:cs="宋体"/>
          <w:b/>
          <w:bCs/>
          <w:i w:val="0"/>
          <w:iCs w:val="0"/>
          <w:color w:val="auto"/>
          <w:sz w:val="30"/>
          <w:szCs w:val="30"/>
          <w:lang w:val="zh-CN" w:eastAsia="zh-CN"/>
        </w:rPr>
        <w:t>新疆春秋工程项目管理</w:t>
      </w:r>
      <w:r>
        <w:rPr>
          <w:rFonts w:hint="eastAsia" w:ascii="宋体" w:hAnsi="宋体" w:cs="宋体"/>
          <w:b/>
          <w:bCs/>
          <w:i w:val="0"/>
          <w:iCs w:val="0"/>
          <w:color w:val="auto"/>
          <w:sz w:val="30"/>
          <w:szCs w:val="30"/>
          <w:lang w:val="zh-CN" w:eastAsia="zh-CN"/>
        </w:rPr>
        <w:t>集团有限公司</w:t>
      </w:r>
    </w:p>
    <w:p>
      <w:pPr>
        <w:keepNext w:val="0"/>
        <w:keepLines w:val="0"/>
        <w:pageBreakBefore w:val="0"/>
        <w:widowControl w:val="0"/>
        <w:kinsoku/>
        <w:wordWrap/>
        <w:overflowPunct/>
        <w:topLinePunct w:val="0"/>
        <w:autoSpaceDE/>
        <w:autoSpaceDN/>
        <w:bidi w:val="0"/>
        <w:adjustRightInd/>
        <w:snapToGrid/>
        <w:spacing w:line="1100" w:lineRule="exact"/>
        <w:textAlignment w:val="auto"/>
        <w:rPr>
          <w:rFonts w:hint="eastAsia" w:ascii="宋体" w:hAnsi="宋体" w:eastAsia="宋体" w:cs="宋体"/>
          <w:b/>
          <w:bCs/>
          <w:i w:val="0"/>
          <w:iCs w:val="0"/>
          <w:color w:val="auto"/>
          <w:sz w:val="30"/>
          <w:szCs w:val="30"/>
          <w:u w:val="none"/>
        </w:rPr>
      </w:pPr>
      <w:r>
        <w:rPr>
          <w:rFonts w:hint="eastAsia" w:ascii="宋体" w:hAnsi="宋体" w:eastAsia="宋体" w:cs="宋体"/>
          <w:b/>
          <w:bCs/>
          <w:i w:val="0"/>
          <w:iCs w:val="0"/>
          <w:color w:val="auto"/>
          <w:sz w:val="30"/>
          <w:szCs w:val="30"/>
        </w:rPr>
        <w:t xml:space="preserve">日 </w:t>
      </w:r>
      <w:r>
        <w:rPr>
          <w:rFonts w:hint="eastAsia" w:ascii="宋体" w:hAnsi="宋体" w:eastAsia="宋体" w:cs="宋体"/>
          <w:b/>
          <w:bCs/>
          <w:i w:val="0"/>
          <w:iCs w:val="0"/>
          <w:color w:val="auto"/>
          <w:sz w:val="30"/>
          <w:szCs w:val="30"/>
          <w:lang w:val="en-US" w:eastAsia="zh-CN"/>
        </w:rPr>
        <w:t xml:space="preserve">       </w:t>
      </w:r>
      <w:r>
        <w:rPr>
          <w:rFonts w:hint="eastAsia" w:ascii="宋体" w:hAnsi="宋体" w:eastAsia="宋体" w:cs="宋体"/>
          <w:b/>
          <w:bCs/>
          <w:i w:val="0"/>
          <w:iCs w:val="0"/>
          <w:color w:val="auto"/>
          <w:sz w:val="30"/>
          <w:szCs w:val="30"/>
        </w:rPr>
        <w:t>期：</w:t>
      </w:r>
      <w:r>
        <w:rPr>
          <w:rFonts w:hint="eastAsia" w:ascii="宋体" w:hAnsi="宋体" w:eastAsia="宋体" w:cs="宋体"/>
          <w:b/>
          <w:bCs/>
          <w:i w:val="0"/>
          <w:iCs w:val="0"/>
          <w:color w:val="auto"/>
          <w:sz w:val="30"/>
          <w:szCs w:val="30"/>
          <w:u w:val="none"/>
          <w:lang w:val="en-US" w:eastAsia="zh-CN"/>
        </w:rPr>
        <w:t>2023</w:t>
      </w:r>
      <w:r>
        <w:rPr>
          <w:rFonts w:hint="eastAsia" w:ascii="宋体" w:hAnsi="宋体" w:eastAsia="宋体" w:cs="宋体"/>
          <w:b/>
          <w:bCs/>
          <w:i w:val="0"/>
          <w:iCs w:val="0"/>
          <w:color w:val="auto"/>
          <w:sz w:val="30"/>
          <w:szCs w:val="30"/>
          <w:u w:val="none"/>
        </w:rPr>
        <w:t>年</w:t>
      </w:r>
      <w:r>
        <w:rPr>
          <w:rFonts w:hint="eastAsia" w:ascii="宋体" w:hAnsi="宋体" w:cs="宋体"/>
          <w:b/>
          <w:bCs/>
          <w:i w:val="0"/>
          <w:iCs w:val="0"/>
          <w:color w:val="auto"/>
          <w:sz w:val="30"/>
          <w:szCs w:val="30"/>
          <w:u w:val="none"/>
          <w:lang w:val="en-US" w:eastAsia="zh-CN"/>
        </w:rPr>
        <w:t>10</w:t>
      </w:r>
      <w:r>
        <w:rPr>
          <w:rFonts w:hint="eastAsia" w:ascii="宋体" w:hAnsi="宋体" w:eastAsia="宋体" w:cs="宋体"/>
          <w:b/>
          <w:bCs/>
          <w:i w:val="0"/>
          <w:iCs w:val="0"/>
          <w:color w:val="auto"/>
          <w:sz w:val="30"/>
          <w:szCs w:val="30"/>
          <w:u w:val="none"/>
        </w:rPr>
        <w:t xml:space="preserve">月 </w:t>
      </w:r>
    </w:p>
    <w:p>
      <w:pPr>
        <w:pStyle w:val="24"/>
        <w:rPr>
          <w:rFonts w:hint="eastAsia" w:ascii="宋体" w:hAnsi="宋体" w:eastAsia="宋体" w:cs="宋体"/>
          <w:b/>
          <w:bCs/>
          <w:i w:val="0"/>
          <w:iCs w:val="0"/>
          <w:color w:val="auto"/>
          <w:sz w:val="30"/>
          <w:szCs w:val="30"/>
          <w:u w:val="none"/>
        </w:rPr>
      </w:pPr>
    </w:p>
    <w:p>
      <w:pPr>
        <w:pStyle w:val="24"/>
        <w:rPr>
          <w:rFonts w:hint="eastAsia" w:ascii="宋体" w:hAnsi="宋体" w:eastAsia="宋体" w:cs="宋体"/>
          <w:b/>
          <w:bCs/>
          <w:i w:val="0"/>
          <w:iCs w:val="0"/>
          <w:color w:val="auto"/>
          <w:sz w:val="30"/>
          <w:szCs w:val="30"/>
          <w:u w:val="none"/>
        </w:rPr>
      </w:pPr>
    </w:p>
    <w:p>
      <w:pPr>
        <w:spacing w:line="240" w:lineRule="atLeast"/>
        <w:ind w:left="1079" w:leftChars="257" w:hanging="540"/>
        <w:jc w:val="center"/>
        <w:rPr>
          <w:rFonts w:hint="eastAsia" w:ascii="宋体" w:hAnsi="宋体" w:eastAsia="宋体" w:cs="宋体"/>
          <w:b/>
          <w:i w:val="0"/>
          <w:iCs w:val="0"/>
          <w:color w:val="auto"/>
          <w:sz w:val="32"/>
        </w:rPr>
      </w:pPr>
      <w:r>
        <w:rPr>
          <w:rFonts w:hint="eastAsia" w:ascii="宋体" w:hAnsi="宋体" w:eastAsia="宋体" w:cs="宋体"/>
          <w:b/>
          <w:i w:val="0"/>
          <w:iCs w:val="0"/>
          <w:color w:val="auto"/>
          <w:sz w:val="52"/>
        </w:rPr>
        <w:br w:type="page"/>
      </w:r>
      <w:r>
        <w:rPr>
          <w:rFonts w:hint="eastAsia" w:ascii="宋体" w:hAnsi="宋体" w:eastAsia="宋体" w:cs="宋体"/>
          <w:b/>
          <w:i w:val="0"/>
          <w:iCs w:val="0"/>
          <w:color w:val="auto"/>
          <w:sz w:val="32"/>
        </w:rPr>
        <w:t>目  录</w:t>
      </w:r>
    </w:p>
    <w:p>
      <w:pPr>
        <w:pStyle w:val="21"/>
        <w:tabs>
          <w:tab w:val="right" w:leader="dot" w:pos="8312"/>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TOC \o "1-3" \h \z \u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_Toc9228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lang w:val="en-US"/>
        </w:rPr>
        <w:t xml:space="preserve">第1章 </w:t>
      </w:r>
      <w:r>
        <w:rPr>
          <w:rFonts w:hint="eastAsia" w:ascii="宋体" w:hAnsi="宋体" w:eastAsia="宋体" w:cs="宋体"/>
          <w:i w:val="0"/>
          <w:iCs w:val="0"/>
          <w:color w:val="auto"/>
        </w:rPr>
        <w:t xml:space="preserve">  投标人须知</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_Toc9228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7"/>
        <w:tabs>
          <w:tab w:val="right" w:leader="dot" w:pos="8312"/>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_Toc9485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一   总  则</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_Toc9485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
        <w:tabs>
          <w:tab w:val="right" w:leader="dot" w:pos="8312"/>
          <w:tab w:val="clear" w:pos="1260"/>
          <w:tab w:val="clear" w:pos="8630"/>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_Toc12013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1</w:t>
      </w:r>
      <w:r>
        <w:rPr>
          <w:rFonts w:hint="eastAsia" w:ascii="宋体" w:hAnsi="宋体" w:eastAsia="宋体" w:cs="宋体"/>
          <w:i w:val="0"/>
          <w:iCs w:val="0"/>
          <w:color w:val="auto"/>
          <w:lang w:eastAsia="zh-CN"/>
        </w:rPr>
        <w:t>.</w:t>
      </w:r>
      <w:r>
        <w:rPr>
          <w:rFonts w:hint="eastAsia" w:ascii="宋体" w:hAnsi="宋体" w:eastAsia="宋体" w:cs="宋体"/>
          <w:i w:val="0"/>
          <w:iCs w:val="0"/>
          <w:color w:val="auto"/>
        </w:rPr>
        <w:t>采购人、采购代理机构及投标人</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_Toc12013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
        <w:tabs>
          <w:tab w:val="right" w:leader="dot" w:pos="8312"/>
          <w:tab w:val="clear" w:pos="1260"/>
          <w:tab w:val="clear" w:pos="8630"/>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_Toc2643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2</w:t>
      </w:r>
      <w:r>
        <w:rPr>
          <w:rFonts w:hint="eastAsia" w:ascii="宋体" w:hAnsi="宋体" w:eastAsia="宋体" w:cs="宋体"/>
          <w:i w:val="0"/>
          <w:iCs w:val="0"/>
          <w:color w:val="auto"/>
          <w:lang w:eastAsia="zh-CN"/>
        </w:rPr>
        <w:t>.</w:t>
      </w:r>
      <w:r>
        <w:rPr>
          <w:rFonts w:hint="eastAsia" w:ascii="宋体" w:hAnsi="宋体" w:eastAsia="宋体" w:cs="宋体"/>
          <w:i w:val="0"/>
          <w:iCs w:val="0"/>
          <w:color w:val="auto"/>
        </w:rPr>
        <w:t>资金来源</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_Toc2643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2</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
        <w:tabs>
          <w:tab w:val="right" w:leader="dot" w:pos="8312"/>
          <w:tab w:val="clear" w:pos="1260"/>
          <w:tab w:val="clear" w:pos="8630"/>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_Toc28166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3</w:t>
      </w:r>
      <w:r>
        <w:rPr>
          <w:rFonts w:hint="eastAsia" w:ascii="宋体" w:hAnsi="宋体" w:eastAsia="宋体" w:cs="宋体"/>
          <w:i w:val="0"/>
          <w:iCs w:val="0"/>
          <w:color w:val="auto"/>
          <w:lang w:eastAsia="zh-CN"/>
        </w:rPr>
        <w:t>.</w:t>
      </w:r>
      <w:r>
        <w:rPr>
          <w:rFonts w:hint="eastAsia" w:ascii="宋体" w:hAnsi="宋体" w:eastAsia="宋体" w:cs="宋体"/>
          <w:i w:val="0"/>
          <w:iCs w:val="0"/>
          <w:color w:val="auto"/>
        </w:rPr>
        <w:t>投标费用</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_Toc28166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2</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
        <w:tabs>
          <w:tab w:val="right" w:leader="dot" w:pos="8312"/>
          <w:tab w:val="clear" w:pos="1260"/>
          <w:tab w:val="clear" w:pos="8630"/>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_Toc32365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4</w:t>
      </w:r>
      <w:r>
        <w:rPr>
          <w:rFonts w:hint="eastAsia" w:ascii="宋体" w:hAnsi="宋体" w:eastAsia="宋体" w:cs="宋体"/>
          <w:i w:val="0"/>
          <w:iCs w:val="0"/>
          <w:color w:val="auto"/>
          <w:lang w:eastAsia="zh-CN"/>
        </w:rPr>
        <w:t>.</w:t>
      </w:r>
      <w:r>
        <w:rPr>
          <w:rFonts w:hint="eastAsia" w:ascii="宋体" w:hAnsi="宋体" w:eastAsia="宋体" w:cs="宋体"/>
          <w:i w:val="0"/>
          <w:iCs w:val="0"/>
          <w:color w:val="auto"/>
        </w:rPr>
        <w:t>适用法律</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_Toc32365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2</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7"/>
        <w:tabs>
          <w:tab w:val="right" w:leader="dot" w:pos="8312"/>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_Toc809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二   招标文件</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_Toc809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3</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
        <w:tabs>
          <w:tab w:val="right" w:leader="dot" w:pos="8312"/>
          <w:tab w:val="clear" w:pos="1260"/>
          <w:tab w:val="clear" w:pos="8630"/>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_Toc22990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5</w:t>
      </w:r>
      <w:r>
        <w:rPr>
          <w:rFonts w:hint="eastAsia" w:ascii="宋体" w:hAnsi="宋体" w:eastAsia="宋体" w:cs="宋体"/>
          <w:i w:val="0"/>
          <w:iCs w:val="0"/>
          <w:color w:val="auto"/>
          <w:lang w:eastAsia="zh-CN"/>
        </w:rPr>
        <w:t>.</w:t>
      </w:r>
      <w:r>
        <w:rPr>
          <w:rFonts w:hint="eastAsia" w:ascii="宋体" w:hAnsi="宋体" w:eastAsia="宋体" w:cs="宋体"/>
          <w:i w:val="0"/>
          <w:iCs w:val="0"/>
          <w:color w:val="auto"/>
        </w:rPr>
        <w:t>招标文件构成</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_Toc22990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3</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
        <w:tabs>
          <w:tab w:val="right" w:leader="dot" w:pos="8312"/>
          <w:tab w:val="clear" w:pos="1260"/>
          <w:tab w:val="clear" w:pos="8630"/>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_Toc21314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6</w:t>
      </w:r>
      <w:r>
        <w:rPr>
          <w:rFonts w:hint="eastAsia" w:ascii="宋体" w:hAnsi="宋体" w:eastAsia="宋体" w:cs="宋体"/>
          <w:i w:val="0"/>
          <w:iCs w:val="0"/>
          <w:color w:val="auto"/>
          <w:lang w:eastAsia="zh-CN"/>
        </w:rPr>
        <w:t>.</w:t>
      </w:r>
      <w:r>
        <w:rPr>
          <w:rFonts w:hint="eastAsia" w:ascii="宋体" w:hAnsi="宋体" w:eastAsia="宋体" w:cs="宋体"/>
          <w:i w:val="0"/>
          <w:iCs w:val="0"/>
          <w:color w:val="auto"/>
        </w:rPr>
        <w:t>招标文件的澄清与修改</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_Toc21314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3</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
        <w:tabs>
          <w:tab w:val="right" w:leader="dot" w:pos="8312"/>
          <w:tab w:val="clear" w:pos="1260"/>
          <w:tab w:val="clear" w:pos="8630"/>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_Toc10994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7</w:t>
      </w:r>
      <w:r>
        <w:rPr>
          <w:rFonts w:hint="eastAsia" w:ascii="宋体" w:hAnsi="宋体" w:eastAsia="宋体" w:cs="宋体"/>
          <w:i w:val="0"/>
          <w:iCs w:val="0"/>
          <w:color w:val="auto"/>
          <w:lang w:eastAsia="zh-CN"/>
        </w:rPr>
        <w:t>.</w:t>
      </w:r>
      <w:r>
        <w:rPr>
          <w:rFonts w:hint="eastAsia" w:ascii="宋体" w:hAnsi="宋体" w:eastAsia="宋体" w:cs="宋体"/>
          <w:i w:val="0"/>
          <w:iCs w:val="0"/>
          <w:color w:val="auto"/>
        </w:rPr>
        <w:t>投标截止时间的顺延</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_Toc10994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3</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7"/>
        <w:tabs>
          <w:tab w:val="right" w:leader="dot" w:pos="8312"/>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_Toc25389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三   投标文件的编制</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_Toc25389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4</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
        <w:tabs>
          <w:tab w:val="right" w:pos="3600"/>
          <w:tab w:val="right" w:leader="dot" w:pos="8312"/>
          <w:tab w:val="clear" w:pos="1260"/>
          <w:tab w:val="clear" w:pos="8630"/>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_Toc6728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8.</w:t>
      </w:r>
      <w:r>
        <w:rPr>
          <w:rFonts w:hint="eastAsia" w:ascii="宋体" w:hAnsi="宋体" w:eastAsia="宋体" w:cs="宋体"/>
          <w:i w:val="0"/>
          <w:iCs w:val="0"/>
          <w:color w:val="auto"/>
        </w:rPr>
        <w:tab/>
      </w:r>
      <w:r>
        <w:rPr>
          <w:rFonts w:hint="eastAsia" w:ascii="宋体" w:hAnsi="宋体" w:eastAsia="宋体" w:cs="宋体"/>
          <w:i w:val="0"/>
          <w:iCs w:val="0"/>
          <w:color w:val="auto"/>
        </w:rPr>
        <w:t>投标范围及投标文件中标准和计量单位的使用</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_Toc6728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4</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
        <w:tabs>
          <w:tab w:val="right" w:leader="dot" w:pos="8312"/>
          <w:tab w:val="clear" w:pos="1260"/>
          <w:tab w:val="clear" w:pos="8630"/>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_Toc15487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9.投标文件构成</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_Toc15487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4</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
        <w:tabs>
          <w:tab w:val="right" w:pos="3600"/>
          <w:tab w:val="right" w:leader="dot" w:pos="8312"/>
          <w:tab w:val="clear" w:pos="1260"/>
          <w:tab w:val="clear" w:pos="8630"/>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_Toc2671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10.</w:t>
      </w:r>
      <w:r>
        <w:rPr>
          <w:rFonts w:hint="eastAsia" w:ascii="宋体" w:hAnsi="宋体" w:eastAsia="宋体" w:cs="宋体"/>
          <w:i w:val="0"/>
          <w:iCs w:val="0"/>
          <w:color w:val="auto"/>
        </w:rPr>
        <w:tab/>
      </w:r>
      <w:r>
        <w:rPr>
          <w:rFonts w:hint="eastAsia" w:ascii="宋体" w:hAnsi="宋体" w:eastAsia="宋体" w:cs="宋体"/>
          <w:i w:val="0"/>
          <w:iCs w:val="0"/>
          <w:color w:val="auto"/>
        </w:rPr>
        <w:t>证明投标标的的合格性和符合招标文件规定的响应文件</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_Toc2671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4</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
        <w:tabs>
          <w:tab w:val="right" w:leader="dot" w:pos="8312"/>
          <w:tab w:val="clear" w:pos="1260"/>
          <w:tab w:val="clear" w:pos="8630"/>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_Toc8529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11</w:t>
      </w:r>
      <w:r>
        <w:rPr>
          <w:rFonts w:hint="eastAsia" w:ascii="宋体" w:hAnsi="宋体" w:eastAsia="宋体" w:cs="宋体"/>
          <w:i w:val="0"/>
          <w:iCs w:val="0"/>
          <w:color w:val="auto"/>
          <w:lang w:eastAsia="zh-CN"/>
        </w:rPr>
        <w:t>.</w:t>
      </w:r>
      <w:r>
        <w:rPr>
          <w:rFonts w:hint="eastAsia" w:ascii="宋体" w:hAnsi="宋体" w:eastAsia="宋体" w:cs="宋体"/>
          <w:i w:val="0"/>
          <w:iCs w:val="0"/>
          <w:color w:val="auto"/>
        </w:rPr>
        <w:t>投标报价</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_Toc8529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4</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
        <w:tabs>
          <w:tab w:val="right" w:leader="dot" w:pos="8312"/>
          <w:tab w:val="clear" w:pos="1260"/>
          <w:tab w:val="clear" w:pos="8630"/>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_Toc16199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12</w:t>
      </w:r>
      <w:r>
        <w:rPr>
          <w:rFonts w:hint="eastAsia" w:ascii="宋体" w:hAnsi="宋体" w:eastAsia="宋体" w:cs="宋体"/>
          <w:i w:val="0"/>
          <w:iCs w:val="0"/>
          <w:color w:val="auto"/>
          <w:lang w:eastAsia="zh-CN"/>
        </w:rPr>
        <w:t>.</w:t>
      </w:r>
      <w:r>
        <w:rPr>
          <w:rFonts w:hint="eastAsia" w:ascii="宋体" w:hAnsi="宋体" w:eastAsia="宋体" w:cs="宋体"/>
          <w:i w:val="0"/>
          <w:iCs w:val="0"/>
          <w:color w:val="auto"/>
        </w:rPr>
        <w:t>投标保证金</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_Toc16199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5</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
        <w:tabs>
          <w:tab w:val="right" w:leader="dot" w:pos="8312"/>
          <w:tab w:val="clear" w:pos="1260"/>
          <w:tab w:val="clear" w:pos="8630"/>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_Toc20355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13</w:t>
      </w:r>
      <w:r>
        <w:rPr>
          <w:rFonts w:hint="eastAsia" w:ascii="宋体" w:hAnsi="宋体" w:eastAsia="宋体" w:cs="宋体"/>
          <w:i w:val="0"/>
          <w:iCs w:val="0"/>
          <w:color w:val="auto"/>
          <w:lang w:eastAsia="zh-CN"/>
        </w:rPr>
        <w:t>.</w:t>
      </w:r>
      <w:r>
        <w:rPr>
          <w:rFonts w:hint="eastAsia" w:ascii="宋体" w:hAnsi="宋体" w:eastAsia="宋体" w:cs="宋体"/>
          <w:i w:val="0"/>
          <w:iCs w:val="0"/>
          <w:color w:val="auto"/>
        </w:rPr>
        <w:t>投标有效期</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_Toc20355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6</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
        <w:tabs>
          <w:tab w:val="right" w:leader="dot" w:pos="8312"/>
          <w:tab w:val="clear" w:pos="1260"/>
          <w:tab w:val="clear" w:pos="8630"/>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_Toc27303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14</w:t>
      </w:r>
      <w:r>
        <w:rPr>
          <w:rFonts w:hint="eastAsia" w:ascii="宋体" w:hAnsi="宋体" w:eastAsia="宋体" w:cs="宋体"/>
          <w:i w:val="0"/>
          <w:iCs w:val="0"/>
          <w:color w:val="auto"/>
          <w:lang w:eastAsia="zh-CN"/>
        </w:rPr>
        <w:t>.</w:t>
      </w:r>
      <w:r>
        <w:rPr>
          <w:rFonts w:hint="eastAsia" w:ascii="宋体" w:hAnsi="宋体" w:eastAsia="宋体" w:cs="宋体"/>
          <w:i w:val="0"/>
          <w:iCs w:val="0"/>
          <w:color w:val="auto"/>
        </w:rPr>
        <w:t>投标文件的签署及规定</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_Toc27303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6</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7"/>
        <w:tabs>
          <w:tab w:val="right" w:leader="dot" w:pos="8312"/>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_Toc22303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四   投标文件的递交</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_Toc22303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7</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
        <w:tabs>
          <w:tab w:val="right" w:leader="dot" w:pos="8312"/>
          <w:tab w:val="clear" w:pos="1260"/>
          <w:tab w:val="clear" w:pos="8630"/>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_Toc13247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15</w:t>
      </w:r>
      <w:r>
        <w:rPr>
          <w:rFonts w:hint="eastAsia" w:ascii="宋体" w:hAnsi="宋体" w:eastAsia="宋体" w:cs="宋体"/>
          <w:i w:val="0"/>
          <w:iCs w:val="0"/>
          <w:color w:val="auto"/>
          <w:lang w:eastAsia="zh-CN"/>
        </w:rPr>
        <w:t>.</w:t>
      </w:r>
      <w:r>
        <w:rPr>
          <w:rFonts w:hint="eastAsia" w:ascii="宋体" w:hAnsi="宋体" w:eastAsia="宋体" w:cs="宋体"/>
          <w:i w:val="0"/>
          <w:iCs w:val="0"/>
          <w:color w:val="auto"/>
        </w:rPr>
        <w:t>投标文件的密封和标记</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_Toc13247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7</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
        <w:tabs>
          <w:tab w:val="right" w:leader="dot" w:pos="8312"/>
          <w:tab w:val="clear" w:pos="1260"/>
          <w:tab w:val="clear" w:pos="8630"/>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_Toc25787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16</w:t>
      </w:r>
      <w:r>
        <w:rPr>
          <w:rFonts w:hint="eastAsia" w:ascii="宋体" w:hAnsi="宋体" w:eastAsia="宋体" w:cs="宋体"/>
          <w:i w:val="0"/>
          <w:iCs w:val="0"/>
          <w:color w:val="auto"/>
          <w:lang w:eastAsia="zh-CN"/>
        </w:rPr>
        <w:t>.</w:t>
      </w:r>
      <w:r>
        <w:rPr>
          <w:rFonts w:hint="eastAsia" w:ascii="宋体" w:hAnsi="宋体" w:eastAsia="宋体" w:cs="宋体"/>
          <w:i w:val="0"/>
          <w:iCs w:val="0"/>
          <w:color w:val="auto"/>
        </w:rPr>
        <w:t>投标截止</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_Toc25787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7</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
        <w:tabs>
          <w:tab w:val="right" w:leader="dot" w:pos="8312"/>
          <w:tab w:val="clear" w:pos="1260"/>
          <w:tab w:val="clear" w:pos="8630"/>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_Toc13921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17</w:t>
      </w:r>
      <w:r>
        <w:rPr>
          <w:rFonts w:hint="eastAsia" w:ascii="宋体" w:hAnsi="宋体" w:eastAsia="宋体" w:cs="宋体"/>
          <w:i w:val="0"/>
          <w:iCs w:val="0"/>
          <w:color w:val="auto"/>
          <w:lang w:eastAsia="zh-CN"/>
        </w:rPr>
        <w:t>.</w:t>
      </w:r>
      <w:r>
        <w:rPr>
          <w:rFonts w:hint="eastAsia" w:ascii="宋体" w:hAnsi="宋体" w:eastAsia="宋体" w:cs="宋体"/>
          <w:i w:val="0"/>
          <w:iCs w:val="0"/>
          <w:color w:val="auto"/>
        </w:rPr>
        <w:t>投标文件的接收、修改与撤回</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_Toc13921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7</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7"/>
        <w:tabs>
          <w:tab w:val="right" w:leader="dot" w:pos="8312"/>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_Toc10257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五   开标及评标</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_Toc10257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8</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
        <w:tabs>
          <w:tab w:val="right" w:leader="dot" w:pos="8312"/>
          <w:tab w:val="clear" w:pos="1260"/>
          <w:tab w:val="clear" w:pos="8630"/>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_Toc8653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18</w:t>
      </w:r>
      <w:r>
        <w:rPr>
          <w:rFonts w:hint="eastAsia" w:ascii="宋体" w:hAnsi="宋体" w:eastAsia="宋体" w:cs="宋体"/>
          <w:i w:val="0"/>
          <w:iCs w:val="0"/>
          <w:color w:val="auto"/>
          <w:lang w:eastAsia="zh-CN"/>
        </w:rPr>
        <w:t>.</w:t>
      </w:r>
      <w:r>
        <w:rPr>
          <w:rFonts w:hint="eastAsia" w:ascii="宋体" w:hAnsi="宋体" w:eastAsia="宋体" w:cs="宋体"/>
          <w:i w:val="0"/>
          <w:iCs w:val="0"/>
          <w:color w:val="auto"/>
        </w:rPr>
        <w:t>开标</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_Toc8653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8</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
        <w:tabs>
          <w:tab w:val="right" w:leader="dot" w:pos="8312"/>
          <w:tab w:val="clear" w:pos="1260"/>
          <w:tab w:val="clear" w:pos="8630"/>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_Toc34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19</w:t>
      </w:r>
      <w:r>
        <w:rPr>
          <w:rFonts w:hint="eastAsia" w:ascii="宋体" w:hAnsi="宋体" w:eastAsia="宋体" w:cs="宋体"/>
          <w:i w:val="0"/>
          <w:iCs w:val="0"/>
          <w:color w:val="auto"/>
          <w:lang w:eastAsia="zh-CN"/>
        </w:rPr>
        <w:t>.</w:t>
      </w:r>
      <w:r>
        <w:rPr>
          <w:rFonts w:hint="eastAsia" w:ascii="宋体" w:hAnsi="宋体" w:eastAsia="宋体" w:cs="宋体"/>
          <w:i w:val="0"/>
          <w:iCs w:val="0"/>
          <w:color w:val="auto"/>
        </w:rPr>
        <w:t>资格审查及组建评标委员会</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_Toc34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8</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
        <w:tabs>
          <w:tab w:val="right" w:leader="dot" w:pos="8312"/>
          <w:tab w:val="clear" w:pos="1260"/>
          <w:tab w:val="clear" w:pos="8630"/>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_Toc6842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20</w:t>
      </w:r>
      <w:r>
        <w:rPr>
          <w:rFonts w:hint="eastAsia" w:ascii="宋体" w:hAnsi="宋体" w:eastAsia="宋体" w:cs="宋体"/>
          <w:i w:val="0"/>
          <w:iCs w:val="0"/>
          <w:color w:val="auto"/>
          <w:lang w:eastAsia="zh-CN"/>
        </w:rPr>
        <w:t>.</w:t>
      </w:r>
      <w:r>
        <w:rPr>
          <w:rFonts w:hint="eastAsia" w:ascii="宋体" w:hAnsi="宋体" w:eastAsia="宋体" w:cs="宋体"/>
          <w:i w:val="0"/>
          <w:iCs w:val="0"/>
          <w:color w:val="auto"/>
        </w:rPr>
        <w:t>投标文件的符合性审查与澄清</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_Toc6842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9</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
        <w:tabs>
          <w:tab w:val="right" w:leader="dot" w:pos="8312"/>
          <w:tab w:val="clear" w:pos="1260"/>
          <w:tab w:val="clear" w:pos="8630"/>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_Toc8603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21</w:t>
      </w:r>
      <w:r>
        <w:rPr>
          <w:rFonts w:hint="eastAsia" w:ascii="宋体" w:hAnsi="宋体" w:eastAsia="宋体" w:cs="宋体"/>
          <w:i w:val="0"/>
          <w:iCs w:val="0"/>
          <w:color w:val="auto"/>
          <w:lang w:eastAsia="zh-CN"/>
        </w:rPr>
        <w:t>.</w:t>
      </w:r>
      <w:r>
        <w:rPr>
          <w:rFonts w:hint="eastAsia" w:ascii="宋体" w:hAnsi="宋体" w:eastAsia="宋体" w:cs="宋体"/>
          <w:i w:val="0"/>
          <w:iCs w:val="0"/>
          <w:color w:val="auto"/>
        </w:rPr>
        <w:t>投标偏离</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_Toc8603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10</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
        <w:tabs>
          <w:tab w:val="right" w:leader="dot" w:pos="8312"/>
          <w:tab w:val="clear" w:pos="1260"/>
          <w:tab w:val="clear" w:pos="8630"/>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_Toc25255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22</w:t>
      </w:r>
      <w:r>
        <w:rPr>
          <w:rFonts w:hint="eastAsia" w:ascii="宋体" w:hAnsi="宋体" w:eastAsia="宋体" w:cs="宋体"/>
          <w:i w:val="0"/>
          <w:iCs w:val="0"/>
          <w:color w:val="auto"/>
          <w:lang w:eastAsia="zh-CN"/>
        </w:rPr>
        <w:t>.</w:t>
      </w:r>
      <w:r>
        <w:rPr>
          <w:rFonts w:hint="eastAsia" w:ascii="宋体" w:hAnsi="宋体" w:eastAsia="宋体" w:cs="宋体"/>
          <w:i w:val="0"/>
          <w:iCs w:val="0"/>
          <w:color w:val="auto"/>
        </w:rPr>
        <w:t>投标无效</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_Toc25255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10</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
        <w:tabs>
          <w:tab w:val="right" w:leader="dot" w:pos="8312"/>
          <w:tab w:val="clear" w:pos="1260"/>
          <w:tab w:val="clear" w:pos="8630"/>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_Toc20835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23</w:t>
      </w:r>
      <w:r>
        <w:rPr>
          <w:rFonts w:hint="eastAsia" w:ascii="宋体" w:hAnsi="宋体" w:eastAsia="宋体" w:cs="宋体"/>
          <w:i w:val="0"/>
          <w:iCs w:val="0"/>
          <w:color w:val="auto"/>
          <w:lang w:eastAsia="zh-CN"/>
        </w:rPr>
        <w:t>.</w:t>
      </w:r>
      <w:r>
        <w:rPr>
          <w:rFonts w:hint="eastAsia" w:ascii="宋体" w:hAnsi="宋体" w:eastAsia="宋体" w:cs="宋体"/>
          <w:i w:val="0"/>
          <w:iCs w:val="0"/>
          <w:color w:val="auto"/>
        </w:rPr>
        <w:t>比较与评价</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_Toc20835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11</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
        <w:tabs>
          <w:tab w:val="right" w:leader="dot" w:pos="8312"/>
          <w:tab w:val="clear" w:pos="1260"/>
          <w:tab w:val="clear" w:pos="8630"/>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_Toc5823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24</w:t>
      </w:r>
      <w:r>
        <w:rPr>
          <w:rFonts w:hint="eastAsia" w:ascii="宋体" w:hAnsi="宋体" w:eastAsia="宋体" w:cs="宋体"/>
          <w:i w:val="0"/>
          <w:iCs w:val="0"/>
          <w:color w:val="auto"/>
          <w:lang w:eastAsia="zh-CN"/>
        </w:rPr>
        <w:t>.</w:t>
      </w:r>
      <w:r>
        <w:rPr>
          <w:rFonts w:hint="eastAsia" w:ascii="宋体" w:hAnsi="宋体" w:eastAsia="宋体" w:cs="宋体"/>
          <w:i w:val="0"/>
          <w:iCs w:val="0"/>
          <w:color w:val="auto"/>
        </w:rPr>
        <w:t>废标</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_Toc5823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11</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
        <w:tabs>
          <w:tab w:val="right" w:leader="dot" w:pos="8312"/>
          <w:tab w:val="clear" w:pos="1260"/>
          <w:tab w:val="clear" w:pos="8630"/>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_Toc23660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25</w:t>
      </w:r>
      <w:r>
        <w:rPr>
          <w:rFonts w:hint="eastAsia" w:ascii="宋体" w:hAnsi="宋体" w:eastAsia="宋体" w:cs="宋体"/>
          <w:i w:val="0"/>
          <w:iCs w:val="0"/>
          <w:color w:val="auto"/>
          <w:lang w:eastAsia="zh-CN"/>
        </w:rPr>
        <w:t>.</w:t>
      </w:r>
      <w:r>
        <w:rPr>
          <w:rFonts w:hint="eastAsia" w:ascii="宋体" w:hAnsi="宋体" w:eastAsia="宋体" w:cs="宋体"/>
          <w:i w:val="0"/>
          <w:iCs w:val="0"/>
          <w:color w:val="auto"/>
        </w:rPr>
        <w:t>保密原则</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_Toc23660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11</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7"/>
        <w:tabs>
          <w:tab w:val="right" w:leader="dot" w:pos="8312"/>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_Toc10964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六   确定中标</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_Toc10964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12</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
        <w:tabs>
          <w:tab w:val="right" w:leader="dot" w:pos="8312"/>
          <w:tab w:val="clear" w:pos="1260"/>
          <w:tab w:val="clear" w:pos="8630"/>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_Toc32578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26</w:t>
      </w:r>
      <w:r>
        <w:rPr>
          <w:rFonts w:hint="eastAsia" w:ascii="宋体" w:hAnsi="宋体" w:eastAsia="宋体" w:cs="宋体"/>
          <w:i w:val="0"/>
          <w:iCs w:val="0"/>
          <w:color w:val="auto"/>
          <w:lang w:eastAsia="zh-CN"/>
        </w:rPr>
        <w:t>.</w:t>
      </w:r>
      <w:r>
        <w:rPr>
          <w:rFonts w:hint="eastAsia" w:ascii="宋体" w:hAnsi="宋体" w:eastAsia="宋体" w:cs="宋体"/>
          <w:i w:val="0"/>
          <w:iCs w:val="0"/>
          <w:color w:val="auto"/>
        </w:rPr>
        <w:t>中标候选人的确定原则及标准</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_Toc32578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12</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
        <w:tabs>
          <w:tab w:val="right" w:leader="dot" w:pos="8312"/>
          <w:tab w:val="clear" w:pos="1260"/>
          <w:tab w:val="clear" w:pos="8630"/>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_Toc10555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27</w:t>
      </w:r>
      <w:r>
        <w:rPr>
          <w:rFonts w:hint="eastAsia" w:ascii="宋体" w:hAnsi="宋体" w:eastAsia="宋体" w:cs="宋体"/>
          <w:i w:val="0"/>
          <w:iCs w:val="0"/>
          <w:color w:val="auto"/>
          <w:lang w:eastAsia="zh-CN"/>
        </w:rPr>
        <w:t>.</w:t>
      </w:r>
      <w:r>
        <w:rPr>
          <w:rFonts w:hint="eastAsia" w:ascii="宋体" w:hAnsi="宋体" w:eastAsia="宋体" w:cs="宋体"/>
          <w:i w:val="0"/>
          <w:iCs w:val="0"/>
          <w:color w:val="auto"/>
        </w:rPr>
        <w:t>确定中标候选人和中标人</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_Toc10555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12</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
        <w:tabs>
          <w:tab w:val="right" w:leader="dot" w:pos="8312"/>
          <w:tab w:val="clear" w:pos="1260"/>
          <w:tab w:val="clear" w:pos="8630"/>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_Toc17138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28</w:t>
      </w:r>
      <w:r>
        <w:rPr>
          <w:rFonts w:hint="eastAsia" w:ascii="宋体" w:hAnsi="宋体" w:eastAsia="宋体" w:cs="宋体"/>
          <w:i w:val="0"/>
          <w:iCs w:val="0"/>
          <w:color w:val="auto"/>
          <w:lang w:eastAsia="zh-CN"/>
        </w:rPr>
        <w:t>.</w:t>
      </w:r>
      <w:r>
        <w:rPr>
          <w:rFonts w:hint="eastAsia" w:ascii="宋体" w:hAnsi="宋体" w:eastAsia="宋体" w:cs="宋体"/>
          <w:i w:val="0"/>
          <w:iCs w:val="0"/>
          <w:color w:val="auto"/>
        </w:rPr>
        <w:t>采购任务取消</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_Toc17138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12</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
        <w:tabs>
          <w:tab w:val="right" w:leader="dot" w:pos="8312"/>
          <w:tab w:val="clear" w:pos="1260"/>
          <w:tab w:val="clear" w:pos="8630"/>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_Toc18072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29</w:t>
      </w:r>
      <w:r>
        <w:rPr>
          <w:rFonts w:hint="eastAsia" w:ascii="宋体" w:hAnsi="宋体" w:eastAsia="宋体" w:cs="宋体"/>
          <w:i w:val="0"/>
          <w:iCs w:val="0"/>
          <w:color w:val="auto"/>
          <w:lang w:eastAsia="zh-CN"/>
        </w:rPr>
        <w:t>.</w:t>
      </w:r>
      <w:r>
        <w:rPr>
          <w:rFonts w:hint="eastAsia" w:ascii="宋体" w:hAnsi="宋体" w:eastAsia="宋体" w:cs="宋体"/>
          <w:i w:val="0"/>
          <w:iCs w:val="0"/>
          <w:color w:val="auto"/>
        </w:rPr>
        <w:t>中标通知书和招标结果通知书</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_Toc18072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12</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
        <w:tabs>
          <w:tab w:val="right" w:leader="dot" w:pos="8312"/>
          <w:tab w:val="clear" w:pos="1260"/>
          <w:tab w:val="clear" w:pos="8630"/>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_Toc16952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30.签订合同</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_Toc16952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12</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
        <w:tabs>
          <w:tab w:val="right" w:leader="dot" w:pos="8312"/>
          <w:tab w:val="clear" w:pos="1260"/>
          <w:tab w:val="clear" w:pos="8630"/>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_Toc4302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31</w:t>
      </w:r>
      <w:r>
        <w:rPr>
          <w:rFonts w:hint="eastAsia" w:ascii="宋体" w:hAnsi="宋体" w:eastAsia="宋体" w:cs="宋体"/>
          <w:i w:val="0"/>
          <w:iCs w:val="0"/>
          <w:color w:val="auto"/>
          <w:lang w:eastAsia="zh-CN"/>
        </w:rPr>
        <w:t>.</w:t>
      </w:r>
      <w:r>
        <w:rPr>
          <w:rFonts w:hint="eastAsia" w:ascii="宋体" w:hAnsi="宋体" w:eastAsia="宋体" w:cs="宋体"/>
          <w:i w:val="0"/>
          <w:iCs w:val="0"/>
          <w:color w:val="auto"/>
        </w:rPr>
        <w:t>履约保证金</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_Toc4302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13</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
        <w:tabs>
          <w:tab w:val="right" w:leader="dot" w:pos="8312"/>
          <w:tab w:val="clear" w:pos="1260"/>
          <w:tab w:val="clear" w:pos="8630"/>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_Toc8476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32.中标服务费</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_Toc8476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13</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
        <w:tabs>
          <w:tab w:val="right" w:leader="dot" w:pos="8312"/>
          <w:tab w:val="clear" w:pos="1260"/>
          <w:tab w:val="clear" w:pos="8630"/>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_Toc31411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33.政府采购信用担保</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_Toc31411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13</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
        <w:tabs>
          <w:tab w:val="right" w:leader="dot" w:pos="8312"/>
          <w:tab w:val="clear" w:pos="1260"/>
          <w:tab w:val="clear" w:pos="8630"/>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_Toc4701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34.廉洁自律规定</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_Toc4701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13</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
        <w:tabs>
          <w:tab w:val="right" w:leader="dot" w:pos="8312"/>
          <w:tab w:val="clear" w:pos="1260"/>
          <w:tab w:val="clear" w:pos="8630"/>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_Toc21055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35.人员回避</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_Toc21055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14</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
        <w:tabs>
          <w:tab w:val="right" w:leader="dot" w:pos="8312"/>
          <w:tab w:val="clear" w:pos="1260"/>
          <w:tab w:val="clear" w:pos="8630"/>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_Toc24931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36.质疑与接收</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_Toc24931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14</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7"/>
        <w:tabs>
          <w:tab w:val="right" w:leader="dot" w:pos="8312"/>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_Toc23883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szCs w:val="24"/>
        </w:rPr>
        <w:t>附件1：履约保证金保函（格式）</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_Toc23883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15</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7"/>
        <w:tabs>
          <w:tab w:val="right" w:leader="dot" w:pos="8312"/>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_Toc27788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szCs w:val="24"/>
        </w:rPr>
        <w:t>附件2：履约担保函格式</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_Toc27788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16</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7"/>
        <w:tabs>
          <w:tab w:val="right" w:leader="dot" w:pos="8312"/>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_Toc30995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szCs w:val="24"/>
        </w:rPr>
        <w:t>（采用政府采购信用担保形式时使用）</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_Toc30995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16</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1"/>
        <w:tabs>
          <w:tab w:val="right" w:leader="dot" w:pos="8312"/>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_Toc6923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lang w:val="en-US"/>
        </w:rPr>
        <w:t xml:space="preserve">第2章 </w:t>
      </w:r>
      <w:r>
        <w:rPr>
          <w:rFonts w:hint="eastAsia" w:ascii="宋体" w:hAnsi="宋体" w:eastAsia="宋体" w:cs="宋体"/>
          <w:i w:val="0"/>
          <w:iCs w:val="0"/>
          <w:color w:val="auto"/>
        </w:rPr>
        <w:t>投标文件格式</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_Toc6923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19</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7"/>
        <w:tabs>
          <w:tab w:val="right" w:leader="dot" w:pos="8312"/>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_Toc15142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第一部分 开标一览表及资格证明文件</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_Toc15142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20</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7"/>
        <w:tabs>
          <w:tab w:val="right" w:leader="dot" w:pos="8312"/>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_Toc29377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1  开标一览表（投标文件格式一）</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_Toc29377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21</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7"/>
        <w:tabs>
          <w:tab w:val="right" w:leader="dot" w:pos="8312"/>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_Toc18015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2  法人或者非法人组织的营业执照等证明文件或自然人的身份证明</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_Toc18015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22</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7"/>
        <w:tabs>
          <w:tab w:val="right" w:leader="dot" w:pos="8312"/>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_Toc21926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3  法定代表人授权书(投标文件格式二，自然人投标的无需提供)</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_Toc21926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23</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7"/>
        <w:tabs>
          <w:tab w:val="right" w:leader="dot" w:pos="8312"/>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_Toc23836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kern w:val="0"/>
        </w:rPr>
        <w:t>4  具有良好的商业信誉和健全的财务会计制度的证明文件</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_Toc23836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24</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7"/>
        <w:tabs>
          <w:tab w:val="right" w:leader="dot" w:pos="8312"/>
        </w:tabs>
        <w:rPr>
          <w:rFonts w:hint="eastAsia" w:ascii="宋体" w:hAnsi="宋体" w:eastAsia="宋体" w:cs="宋体"/>
          <w:i w:val="0"/>
          <w:iCs w:val="0"/>
          <w:color w:val="auto"/>
          <w:lang w:val="en-US" w:eastAsia="zh-CN"/>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_Toc27589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5  社会保障资金的缴纳记录</w:t>
      </w:r>
      <w:r>
        <w:rPr>
          <w:rFonts w:hint="eastAsia" w:ascii="宋体" w:hAnsi="宋体" w:eastAsia="宋体" w:cs="宋体"/>
          <w:i w:val="0"/>
          <w:iCs w:val="0"/>
          <w:color w:val="auto"/>
        </w:rPr>
        <w:tab/>
      </w:r>
      <w:r>
        <w:rPr>
          <w:rFonts w:hint="eastAsia" w:ascii="宋体" w:hAnsi="宋体" w:cs="宋体"/>
          <w:i w:val="0"/>
          <w:iCs w:val="0"/>
          <w:color w:val="auto"/>
          <w:lang w:val="en-US" w:eastAsia="zh-CN"/>
        </w:rPr>
        <w:t>2</w:t>
      </w:r>
      <w:r>
        <w:rPr>
          <w:rFonts w:hint="eastAsia" w:ascii="宋体" w:hAnsi="宋体" w:eastAsia="宋体" w:cs="宋体"/>
          <w:i w:val="0"/>
          <w:iCs w:val="0"/>
          <w:color w:val="auto"/>
          <w:kern w:val="0"/>
          <w:szCs w:val="21"/>
        </w:rPr>
        <w:fldChar w:fldCharType="end"/>
      </w:r>
      <w:r>
        <w:rPr>
          <w:rFonts w:hint="eastAsia" w:ascii="宋体" w:hAnsi="宋体" w:cs="宋体"/>
          <w:i w:val="0"/>
          <w:iCs w:val="0"/>
          <w:color w:val="auto"/>
          <w:kern w:val="0"/>
          <w:szCs w:val="21"/>
          <w:lang w:val="en-US" w:eastAsia="zh-CN"/>
        </w:rPr>
        <w:t>0</w:t>
      </w:r>
    </w:p>
    <w:p>
      <w:pPr>
        <w:pStyle w:val="27"/>
        <w:tabs>
          <w:tab w:val="right" w:leader="dot" w:pos="8312"/>
        </w:tabs>
        <w:rPr>
          <w:rFonts w:hint="eastAsia" w:ascii="宋体" w:hAnsi="宋体" w:eastAsia="宋体" w:cs="宋体"/>
          <w:i w:val="0"/>
          <w:iCs w:val="0"/>
          <w:color w:val="auto"/>
          <w:kern w:val="0"/>
          <w:szCs w:val="21"/>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_Toc16858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6  参加政府采购活动前3年内在经营活动中没有重大违法记录的书面声明</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_Toc16858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26</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ind w:firstLine="420" w:firstLineChars="200"/>
        <w:rPr>
          <w:rFonts w:hint="default" w:ascii="宋体" w:hAnsi="宋体" w:eastAsia="宋体" w:cs="宋体"/>
          <w:i w:val="0"/>
          <w:iCs w:val="0"/>
          <w:color w:val="auto"/>
          <w:kern w:val="0"/>
          <w:sz w:val="21"/>
          <w:szCs w:val="21"/>
          <w:lang w:val="en-US" w:eastAsia="zh-CN" w:bidi="ar-SA"/>
        </w:rPr>
      </w:pPr>
      <w:r>
        <w:rPr>
          <w:rFonts w:hint="eastAsia" w:ascii="宋体" w:hAnsi="宋体" w:eastAsia="宋体" w:cs="宋体"/>
          <w:i w:val="0"/>
          <w:iCs w:val="0"/>
          <w:color w:val="auto"/>
          <w:kern w:val="0"/>
          <w:szCs w:val="21"/>
          <w:lang w:val="en-US" w:eastAsia="zh-CN"/>
        </w:rPr>
        <w:t>7  拟派的项目负责人相关证件</w:t>
      </w:r>
      <w:r>
        <w:rPr>
          <w:rFonts w:hint="default" w:ascii="Arial" w:hAnsi="Arial" w:eastAsia="宋体" w:cs="Arial"/>
          <w:i w:val="0"/>
          <w:iCs w:val="0"/>
          <w:color w:val="auto"/>
          <w:kern w:val="0"/>
          <w:szCs w:val="21"/>
          <w:lang w:val="en-US" w:eastAsia="zh-CN"/>
        </w:rPr>
        <w:t>…………………………………………………………</w:t>
      </w:r>
      <w:r>
        <w:rPr>
          <w:rFonts w:hint="eastAsia" w:ascii="宋体" w:hAnsi="宋体" w:eastAsia="宋体" w:cs="宋体"/>
          <w:i w:val="0"/>
          <w:iCs w:val="0"/>
          <w:color w:val="auto"/>
          <w:kern w:val="0"/>
          <w:szCs w:val="21"/>
          <w:lang w:val="en-US" w:eastAsia="zh-CN"/>
        </w:rPr>
        <w:t>.</w:t>
      </w:r>
      <w:r>
        <w:rPr>
          <w:rFonts w:hint="eastAsia" w:ascii="宋体" w:hAnsi="宋体" w:eastAsia="宋体" w:cs="宋体"/>
          <w:i w:val="0"/>
          <w:iCs w:val="0"/>
          <w:color w:val="auto"/>
          <w:kern w:val="0"/>
          <w:sz w:val="21"/>
          <w:szCs w:val="21"/>
          <w:lang w:val="en-US" w:eastAsia="zh-CN" w:bidi="ar-SA"/>
        </w:rPr>
        <w:t>22</w:t>
      </w:r>
    </w:p>
    <w:p>
      <w:pPr>
        <w:ind w:firstLine="420" w:firstLineChars="200"/>
        <w:rPr>
          <w:rFonts w:hint="default" w:ascii="宋体" w:hAnsi="宋体" w:eastAsia="宋体" w:cs="宋体"/>
          <w:i w:val="0"/>
          <w:iCs w:val="0"/>
          <w:color w:val="auto"/>
          <w:kern w:val="0"/>
          <w:sz w:val="21"/>
          <w:szCs w:val="21"/>
          <w:lang w:val="en-US" w:eastAsia="zh-CN" w:bidi="ar-SA"/>
        </w:rPr>
      </w:pPr>
      <w:r>
        <w:rPr>
          <w:rFonts w:hint="eastAsia" w:ascii="宋体" w:hAnsi="宋体" w:eastAsia="宋体" w:cs="宋体"/>
          <w:i w:val="0"/>
          <w:iCs w:val="0"/>
          <w:color w:val="auto"/>
          <w:kern w:val="0"/>
          <w:szCs w:val="21"/>
          <w:lang w:val="en-US" w:eastAsia="zh-CN"/>
        </w:rPr>
        <w:t>8  凡拟参加本次招标项目的投标人，参加采购活动前三年内，在经营活动中没有重大违法记录(受行政主管部门的处罚不能参加投标)，供应商须提供“中国政府采购网”（http://www.ccgp.gov.cn）及信用中国（www.creditchina.gov.cn）无违法违规行为的查询结果纪录（提供查询结果网页截图并加盖供应商公章）</w:t>
      </w:r>
      <w:r>
        <w:rPr>
          <w:rFonts w:hint="default" w:ascii="Arial" w:hAnsi="Arial" w:eastAsia="宋体" w:cs="Arial"/>
          <w:i w:val="0"/>
          <w:iCs w:val="0"/>
          <w:color w:val="auto"/>
          <w:kern w:val="0"/>
          <w:szCs w:val="21"/>
          <w:lang w:val="en-US" w:eastAsia="zh-CN"/>
        </w:rPr>
        <w:t>………………………………</w:t>
      </w:r>
      <w:r>
        <w:rPr>
          <w:rFonts w:hint="eastAsia" w:ascii="宋体" w:hAnsi="宋体" w:eastAsia="宋体" w:cs="宋体"/>
          <w:i w:val="0"/>
          <w:iCs w:val="0"/>
          <w:color w:val="auto"/>
          <w:kern w:val="0"/>
          <w:sz w:val="21"/>
          <w:szCs w:val="21"/>
          <w:lang w:val="en-US" w:eastAsia="zh-CN" w:bidi="ar-SA"/>
        </w:rPr>
        <w:t>23</w:t>
      </w:r>
    </w:p>
    <w:p>
      <w:pPr>
        <w:pStyle w:val="27"/>
        <w:tabs>
          <w:tab w:val="right" w:leader="dot" w:pos="8312"/>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_Toc9691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lang w:val="en-US" w:eastAsia="zh-CN"/>
        </w:rPr>
        <w:t>9</w:t>
      </w:r>
      <w:r>
        <w:rPr>
          <w:rFonts w:hint="eastAsia" w:ascii="宋体" w:hAnsi="宋体" w:eastAsia="宋体" w:cs="宋体"/>
          <w:i w:val="0"/>
          <w:iCs w:val="0"/>
          <w:color w:val="auto"/>
        </w:rPr>
        <w:t xml:space="preserve">  投标人须知资料表要求的其他资格证明文件</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_Toc9691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30</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7"/>
        <w:tabs>
          <w:tab w:val="right" w:leader="dot" w:pos="8312"/>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_Toc16844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第二部分  商务及技术文件</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_Toc16844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31</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7"/>
        <w:tabs>
          <w:tab w:val="right" w:leader="dot" w:pos="8312"/>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_Toc26126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1   投标书（投标文件格式三）</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_Toc26126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32</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7"/>
        <w:tabs>
          <w:tab w:val="right" w:leader="dot" w:pos="8312"/>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_Toc24886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2   投标保证金缴纳凭证复印件或投标担保函</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_Toc24886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34</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7"/>
        <w:tabs>
          <w:tab w:val="right" w:leader="dot" w:pos="8312"/>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_Toc1893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3   投标分项报价表（投标文件格式五）</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_Toc1893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36</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7"/>
        <w:tabs>
          <w:tab w:val="right" w:leader="dot" w:pos="8312"/>
        </w:tabs>
        <w:rPr>
          <w:rFonts w:hint="eastAsia" w:ascii="宋体" w:hAnsi="宋体" w:eastAsia="宋体" w:cs="宋体"/>
          <w:i w:val="0"/>
          <w:iCs w:val="0"/>
          <w:color w:val="auto"/>
          <w:lang w:val="en-US" w:eastAsia="zh-CN"/>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_Toc8079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4   商务条款偏离表（投标文件格式六）</w:t>
      </w:r>
      <w:r>
        <w:rPr>
          <w:rFonts w:hint="eastAsia" w:ascii="宋体" w:hAnsi="宋体" w:eastAsia="宋体" w:cs="宋体"/>
          <w:i w:val="0"/>
          <w:iCs w:val="0"/>
          <w:color w:val="auto"/>
        </w:rPr>
        <w:tab/>
      </w:r>
      <w:r>
        <w:rPr>
          <w:rFonts w:hint="eastAsia" w:ascii="宋体" w:hAnsi="宋体" w:cs="宋体"/>
          <w:i w:val="0"/>
          <w:iCs w:val="0"/>
          <w:color w:val="auto"/>
          <w:lang w:val="en-US" w:eastAsia="zh-CN"/>
        </w:rPr>
        <w:t>3</w:t>
      </w:r>
      <w:r>
        <w:rPr>
          <w:rFonts w:hint="eastAsia" w:ascii="宋体" w:hAnsi="宋体" w:eastAsia="宋体" w:cs="宋体"/>
          <w:i w:val="0"/>
          <w:iCs w:val="0"/>
          <w:color w:val="auto"/>
          <w:kern w:val="0"/>
          <w:szCs w:val="21"/>
        </w:rPr>
        <w:fldChar w:fldCharType="end"/>
      </w:r>
      <w:r>
        <w:rPr>
          <w:rFonts w:hint="eastAsia" w:ascii="宋体" w:hAnsi="宋体" w:cs="宋体"/>
          <w:i w:val="0"/>
          <w:iCs w:val="0"/>
          <w:color w:val="auto"/>
          <w:kern w:val="0"/>
          <w:szCs w:val="21"/>
          <w:lang w:val="en-US" w:eastAsia="zh-CN"/>
        </w:rPr>
        <w:t>0</w:t>
      </w:r>
    </w:p>
    <w:p>
      <w:pPr>
        <w:pStyle w:val="27"/>
        <w:tabs>
          <w:tab w:val="right" w:leader="dot" w:pos="8312"/>
        </w:tabs>
        <w:rPr>
          <w:rFonts w:hint="eastAsia" w:ascii="宋体" w:hAnsi="宋体" w:eastAsia="宋体" w:cs="宋体"/>
          <w:i w:val="0"/>
          <w:iCs w:val="0"/>
          <w:color w:val="auto"/>
          <w:lang w:val="en-US" w:eastAsia="zh-CN"/>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_Toc480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5-1  投标人企业（单位）类型声明函（投标文件格式七）</w:t>
      </w:r>
      <w:r>
        <w:rPr>
          <w:rFonts w:hint="eastAsia" w:ascii="宋体" w:hAnsi="宋体" w:eastAsia="宋体" w:cs="宋体"/>
          <w:i w:val="0"/>
          <w:iCs w:val="0"/>
          <w:color w:val="auto"/>
        </w:rPr>
        <w:tab/>
      </w:r>
      <w:r>
        <w:rPr>
          <w:rFonts w:hint="eastAsia" w:ascii="宋体" w:hAnsi="宋体" w:cs="宋体"/>
          <w:i w:val="0"/>
          <w:iCs w:val="0"/>
          <w:color w:val="auto"/>
          <w:lang w:val="en-US" w:eastAsia="zh-CN"/>
        </w:rPr>
        <w:t>3</w:t>
      </w:r>
      <w:r>
        <w:rPr>
          <w:rFonts w:hint="eastAsia" w:ascii="宋体" w:hAnsi="宋体" w:eastAsia="宋体" w:cs="宋体"/>
          <w:i w:val="0"/>
          <w:iCs w:val="0"/>
          <w:color w:val="auto"/>
          <w:kern w:val="0"/>
          <w:szCs w:val="21"/>
        </w:rPr>
        <w:fldChar w:fldCharType="end"/>
      </w:r>
      <w:r>
        <w:rPr>
          <w:rFonts w:hint="eastAsia" w:ascii="宋体" w:hAnsi="宋体" w:cs="宋体"/>
          <w:i w:val="0"/>
          <w:iCs w:val="0"/>
          <w:color w:val="auto"/>
          <w:kern w:val="0"/>
          <w:szCs w:val="21"/>
          <w:lang w:val="en-US" w:eastAsia="zh-CN"/>
        </w:rPr>
        <w:t>1</w:t>
      </w:r>
    </w:p>
    <w:p>
      <w:pPr>
        <w:pStyle w:val="27"/>
        <w:tabs>
          <w:tab w:val="right" w:leader="dot" w:pos="8312"/>
        </w:tabs>
        <w:rPr>
          <w:rFonts w:hint="eastAsia" w:ascii="宋体" w:hAnsi="宋体" w:eastAsia="宋体" w:cs="宋体"/>
          <w:i w:val="0"/>
          <w:iCs w:val="0"/>
          <w:color w:val="auto"/>
          <w:lang w:val="en-US" w:eastAsia="zh-CN"/>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_Toc14769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5-2   制造商企业（单位）类型声明函（投标文件格式八）</w:t>
      </w:r>
      <w:r>
        <w:rPr>
          <w:rFonts w:hint="eastAsia" w:ascii="宋体" w:hAnsi="宋体" w:eastAsia="宋体" w:cs="宋体"/>
          <w:i w:val="0"/>
          <w:iCs w:val="0"/>
          <w:color w:val="auto"/>
        </w:rPr>
        <w:tab/>
      </w:r>
      <w:r>
        <w:rPr>
          <w:rFonts w:hint="eastAsia" w:ascii="宋体" w:hAnsi="宋体" w:cs="宋体"/>
          <w:i w:val="0"/>
          <w:iCs w:val="0"/>
          <w:color w:val="auto"/>
          <w:lang w:val="en-US" w:eastAsia="zh-CN"/>
        </w:rPr>
        <w:t>3</w:t>
      </w:r>
      <w:r>
        <w:rPr>
          <w:rFonts w:hint="eastAsia" w:ascii="宋体" w:hAnsi="宋体" w:eastAsia="宋体" w:cs="宋体"/>
          <w:i w:val="0"/>
          <w:iCs w:val="0"/>
          <w:color w:val="auto"/>
          <w:kern w:val="0"/>
          <w:szCs w:val="21"/>
        </w:rPr>
        <w:fldChar w:fldCharType="end"/>
      </w:r>
      <w:r>
        <w:rPr>
          <w:rFonts w:hint="eastAsia" w:ascii="宋体" w:hAnsi="宋体" w:cs="宋体"/>
          <w:i w:val="0"/>
          <w:iCs w:val="0"/>
          <w:color w:val="auto"/>
          <w:kern w:val="0"/>
          <w:szCs w:val="21"/>
          <w:lang w:val="en-US" w:eastAsia="zh-CN"/>
        </w:rPr>
        <w:t>2</w:t>
      </w:r>
    </w:p>
    <w:p>
      <w:pPr>
        <w:pStyle w:val="27"/>
        <w:tabs>
          <w:tab w:val="right" w:leader="dot" w:pos="8312"/>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_Toc6238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6   投标人关联单位的说明</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_Toc6238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39</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7"/>
        <w:tabs>
          <w:tab w:val="right" w:leader="dot" w:pos="8312"/>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_Toc17066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rPr>
        <w:t>7   投标文件还应包括投标人须知第10条的所有响应文件</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_Toc17066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40</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1"/>
        <w:tabs>
          <w:tab w:val="right" w:leader="dot" w:pos="8312"/>
        </w:tabs>
        <w:rPr>
          <w:rFonts w:hint="default" w:ascii="宋体" w:hAnsi="宋体" w:eastAsia="宋体" w:cs="宋体"/>
          <w:i w:val="0"/>
          <w:iCs w:val="0"/>
          <w:color w:val="auto"/>
          <w:lang w:val="en-US" w:eastAsia="zh-CN"/>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_Toc9913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lang w:val="en-US"/>
        </w:rPr>
        <w:t xml:space="preserve">第3章 </w:t>
      </w:r>
      <w:r>
        <w:rPr>
          <w:rFonts w:hint="eastAsia" w:ascii="宋体" w:hAnsi="宋体" w:eastAsia="宋体" w:cs="宋体"/>
          <w:i w:val="0"/>
          <w:iCs w:val="0"/>
          <w:color w:val="auto"/>
          <w:lang w:eastAsia="zh-CN"/>
        </w:rPr>
        <w:t>招标公告</w:t>
      </w:r>
      <w:r>
        <w:rPr>
          <w:rFonts w:hint="eastAsia" w:ascii="宋体" w:hAnsi="宋体" w:eastAsia="宋体" w:cs="宋体"/>
          <w:i w:val="0"/>
          <w:iCs w:val="0"/>
          <w:color w:val="auto"/>
        </w:rPr>
        <w:tab/>
      </w:r>
      <w:r>
        <w:rPr>
          <w:rFonts w:hint="eastAsia" w:ascii="宋体" w:hAnsi="宋体" w:eastAsia="宋体" w:cs="宋体"/>
          <w:i w:val="0"/>
          <w:iCs w:val="0"/>
          <w:color w:val="auto"/>
          <w:kern w:val="0"/>
          <w:szCs w:val="21"/>
        </w:rPr>
        <w:fldChar w:fldCharType="end"/>
      </w:r>
      <w:r>
        <w:rPr>
          <w:rFonts w:hint="eastAsia" w:ascii="宋体" w:hAnsi="宋体" w:eastAsia="宋体" w:cs="宋体"/>
          <w:i w:val="0"/>
          <w:iCs w:val="0"/>
          <w:color w:val="auto"/>
          <w:kern w:val="0"/>
          <w:szCs w:val="21"/>
          <w:lang w:val="en-US" w:eastAsia="zh-CN"/>
        </w:rPr>
        <w:t>36</w:t>
      </w:r>
    </w:p>
    <w:p>
      <w:pPr>
        <w:pStyle w:val="21"/>
        <w:tabs>
          <w:tab w:val="right" w:leader="dot" w:pos="8312"/>
        </w:tabs>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_Toc28647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szCs w:val="32"/>
          <w:lang w:val="en-US"/>
        </w:rPr>
        <w:t xml:space="preserve">第4章 </w:t>
      </w:r>
      <w:r>
        <w:rPr>
          <w:rFonts w:hint="eastAsia" w:ascii="宋体" w:hAnsi="宋体" w:eastAsia="宋体" w:cs="宋体"/>
          <w:i w:val="0"/>
          <w:iCs w:val="0"/>
          <w:color w:val="auto"/>
        </w:rPr>
        <w:t>投标人须知资料表</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_Toc28647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45</w:t>
      </w:r>
      <w:r>
        <w:rPr>
          <w:rFonts w:hint="eastAsia" w:ascii="宋体" w:hAnsi="宋体" w:eastAsia="宋体" w:cs="宋体"/>
          <w:i w:val="0"/>
          <w:iCs w:val="0"/>
          <w:color w:val="auto"/>
        </w:rPr>
        <w:fldChar w:fldCharType="end"/>
      </w:r>
      <w:r>
        <w:rPr>
          <w:rFonts w:hint="eastAsia" w:ascii="宋体" w:hAnsi="宋体" w:eastAsia="宋体" w:cs="宋体"/>
          <w:i w:val="0"/>
          <w:iCs w:val="0"/>
          <w:color w:val="auto"/>
          <w:kern w:val="0"/>
          <w:szCs w:val="21"/>
        </w:rPr>
        <w:fldChar w:fldCharType="end"/>
      </w:r>
    </w:p>
    <w:p>
      <w:pPr>
        <w:pStyle w:val="21"/>
        <w:tabs>
          <w:tab w:val="right" w:leader="dot" w:pos="8312"/>
        </w:tabs>
        <w:rPr>
          <w:rFonts w:hint="eastAsia" w:ascii="宋体" w:hAnsi="宋体" w:eastAsia="宋体" w:cs="宋体"/>
          <w:i w:val="0"/>
          <w:iCs w:val="0"/>
          <w:color w:val="auto"/>
          <w:lang w:val="en-US" w:eastAsia="zh-CN"/>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_Toc7112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lang w:val="en-US"/>
        </w:rPr>
        <w:t xml:space="preserve">第5章 </w:t>
      </w:r>
      <w:r>
        <w:rPr>
          <w:rFonts w:hint="eastAsia" w:ascii="宋体" w:hAnsi="宋体" w:eastAsia="宋体" w:cs="宋体"/>
          <w:i w:val="0"/>
          <w:iCs w:val="0"/>
          <w:color w:val="auto"/>
        </w:rPr>
        <w:t>服务需求</w:t>
      </w:r>
      <w:r>
        <w:rPr>
          <w:rFonts w:hint="eastAsia" w:ascii="宋体" w:hAnsi="宋体" w:eastAsia="宋体" w:cs="宋体"/>
          <w:i w:val="0"/>
          <w:iCs w:val="0"/>
          <w:color w:val="auto"/>
        </w:rPr>
        <w:tab/>
      </w:r>
      <w:r>
        <w:rPr>
          <w:rFonts w:hint="eastAsia" w:ascii="宋体" w:hAnsi="宋体" w:cs="宋体"/>
          <w:i w:val="0"/>
          <w:iCs w:val="0"/>
          <w:color w:val="auto"/>
          <w:lang w:val="en-US" w:eastAsia="zh-CN"/>
        </w:rPr>
        <w:t>4</w:t>
      </w:r>
      <w:r>
        <w:rPr>
          <w:rFonts w:hint="eastAsia" w:ascii="宋体" w:hAnsi="宋体" w:eastAsia="宋体" w:cs="宋体"/>
          <w:i w:val="0"/>
          <w:iCs w:val="0"/>
          <w:color w:val="auto"/>
          <w:kern w:val="0"/>
          <w:szCs w:val="21"/>
        </w:rPr>
        <w:fldChar w:fldCharType="end"/>
      </w:r>
      <w:r>
        <w:rPr>
          <w:rFonts w:hint="eastAsia" w:ascii="宋体" w:hAnsi="宋体" w:cs="宋体"/>
          <w:i w:val="0"/>
          <w:iCs w:val="0"/>
          <w:color w:val="auto"/>
          <w:kern w:val="0"/>
          <w:szCs w:val="21"/>
          <w:lang w:val="en-US" w:eastAsia="zh-CN"/>
        </w:rPr>
        <w:t>1</w:t>
      </w:r>
    </w:p>
    <w:p>
      <w:pPr>
        <w:pStyle w:val="21"/>
        <w:tabs>
          <w:tab w:val="right" w:leader="dot" w:pos="8312"/>
        </w:tabs>
        <w:rPr>
          <w:rFonts w:hint="eastAsia" w:ascii="宋体" w:hAnsi="宋体" w:eastAsia="宋体" w:cs="宋体"/>
          <w:i w:val="0"/>
          <w:iCs w:val="0"/>
          <w:color w:val="auto"/>
          <w:lang w:val="en-US" w:eastAsia="zh-CN"/>
        </w:r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_Toc10220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lang w:val="en-US"/>
        </w:rPr>
        <w:t xml:space="preserve">第6章 </w:t>
      </w:r>
      <w:r>
        <w:rPr>
          <w:rFonts w:hint="eastAsia" w:ascii="宋体" w:hAnsi="宋体" w:eastAsia="宋体" w:cs="宋体"/>
          <w:i w:val="0"/>
          <w:iCs w:val="0"/>
          <w:color w:val="auto"/>
        </w:rPr>
        <w:t>评标方法和标准</w:t>
      </w:r>
      <w:r>
        <w:rPr>
          <w:rFonts w:hint="eastAsia" w:ascii="宋体" w:hAnsi="宋体" w:eastAsia="宋体" w:cs="宋体"/>
          <w:i w:val="0"/>
          <w:iCs w:val="0"/>
          <w:color w:val="auto"/>
        </w:rPr>
        <w:tab/>
      </w:r>
      <w:r>
        <w:rPr>
          <w:rFonts w:hint="eastAsia" w:ascii="宋体" w:hAnsi="宋体" w:cs="宋体"/>
          <w:i w:val="0"/>
          <w:iCs w:val="0"/>
          <w:color w:val="auto"/>
          <w:lang w:val="en-US" w:eastAsia="zh-CN"/>
        </w:rPr>
        <w:t>4</w:t>
      </w:r>
      <w:r>
        <w:rPr>
          <w:rFonts w:hint="eastAsia" w:ascii="宋体" w:hAnsi="宋体" w:eastAsia="宋体" w:cs="宋体"/>
          <w:i w:val="0"/>
          <w:iCs w:val="0"/>
          <w:color w:val="auto"/>
          <w:kern w:val="0"/>
          <w:szCs w:val="21"/>
        </w:rPr>
        <w:fldChar w:fldCharType="end"/>
      </w:r>
      <w:r>
        <w:rPr>
          <w:rFonts w:hint="eastAsia" w:ascii="宋体" w:hAnsi="宋体" w:cs="宋体"/>
          <w:i w:val="0"/>
          <w:iCs w:val="0"/>
          <w:color w:val="auto"/>
          <w:kern w:val="0"/>
          <w:szCs w:val="21"/>
          <w:lang w:val="en-US" w:eastAsia="zh-CN"/>
        </w:rPr>
        <w:t>2</w:t>
      </w:r>
    </w:p>
    <w:p>
      <w:pPr>
        <w:pStyle w:val="21"/>
        <w:tabs>
          <w:tab w:val="right" w:leader="dot" w:pos="8312"/>
        </w:tabs>
        <w:rPr>
          <w:rFonts w:hint="eastAsia" w:ascii="宋体" w:hAnsi="宋体" w:eastAsia="宋体" w:cs="宋体"/>
          <w:i w:val="0"/>
          <w:iCs w:val="0"/>
          <w:color w:val="auto"/>
        </w:rPr>
        <w:sectPr>
          <w:footerReference r:id="rId3" w:type="default"/>
          <w:pgSz w:w="11906" w:h="16838"/>
          <w:pgMar w:top="1440" w:right="1797" w:bottom="1440" w:left="1797" w:header="851" w:footer="992" w:gutter="0"/>
          <w:pgNumType w:start="1"/>
          <w:cols w:space="720" w:num="1"/>
          <w:docGrid w:type="linesAndChars" w:linePitch="312" w:charSpace="0"/>
        </w:sectPr>
      </w:pPr>
      <w:r>
        <w:rPr>
          <w:rFonts w:hint="eastAsia" w:ascii="宋体" w:hAnsi="宋体" w:eastAsia="宋体" w:cs="宋体"/>
          <w:i w:val="0"/>
          <w:iCs w:val="0"/>
          <w:color w:val="auto"/>
          <w:kern w:val="0"/>
          <w:szCs w:val="21"/>
        </w:rPr>
        <w:fldChar w:fldCharType="begin"/>
      </w:r>
      <w:r>
        <w:rPr>
          <w:rFonts w:hint="eastAsia" w:ascii="宋体" w:hAnsi="宋体" w:eastAsia="宋体" w:cs="宋体"/>
          <w:i w:val="0"/>
          <w:iCs w:val="0"/>
          <w:color w:val="auto"/>
          <w:kern w:val="0"/>
          <w:szCs w:val="21"/>
        </w:rPr>
        <w:instrText xml:space="preserve"> HYPERLINK \l _Toc23018 </w:instrText>
      </w:r>
      <w:r>
        <w:rPr>
          <w:rFonts w:hint="eastAsia" w:ascii="宋体" w:hAnsi="宋体" w:eastAsia="宋体" w:cs="宋体"/>
          <w:i w:val="0"/>
          <w:iCs w:val="0"/>
          <w:color w:val="auto"/>
          <w:kern w:val="0"/>
          <w:szCs w:val="21"/>
        </w:rPr>
        <w:fldChar w:fldCharType="separate"/>
      </w:r>
      <w:r>
        <w:rPr>
          <w:rFonts w:hint="eastAsia" w:ascii="宋体" w:hAnsi="宋体" w:eastAsia="宋体" w:cs="宋体"/>
          <w:i w:val="0"/>
          <w:iCs w:val="0"/>
          <w:color w:val="auto"/>
          <w:lang w:val="en-US"/>
        </w:rPr>
        <w:t xml:space="preserve">第7章 </w:t>
      </w:r>
      <w:r>
        <w:rPr>
          <w:rFonts w:hint="eastAsia" w:ascii="宋体" w:hAnsi="宋体" w:eastAsia="宋体" w:cs="宋体"/>
          <w:i w:val="0"/>
          <w:iCs w:val="0"/>
          <w:color w:val="auto"/>
        </w:rPr>
        <w:t>政府采购合同</w:t>
      </w:r>
      <w:r>
        <w:rPr>
          <w:rFonts w:hint="eastAsia" w:ascii="宋体" w:hAnsi="宋体" w:eastAsia="宋体" w:cs="宋体"/>
          <w:i w:val="0"/>
          <w:iCs w:val="0"/>
          <w:color w:val="auto"/>
          <w:lang w:val="en-US" w:eastAsia="zh-CN"/>
        </w:rPr>
        <w:t>标准文本</w:t>
      </w:r>
      <w:r>
        <w:rPr>
          <w:rFonts w:hint="eastAsia" w:ascii="宋体" w:hAnsi="宋体" w:eastAsia="宋体" w:cs="宋体"/>
          <w:i w:val="0"/>
          <w:iCs w:val="0"/>
          <w:color w:val="auto"/>
        </w:rPr>
        <w:tab/>
      </w:r>
      <w:r>
        <w:rPr>
          <w:rFonts w:hint="eastAsia" w:ascii="宋体" w:hAnsi="宋体" w:cs="宋体"/>
          <w:i w:val="0"/>
          <w:iCs w:val="0"/>
          <w:color w:val="auto"/>
          <w:lang w:val="en-US" w:eastAsia="zh-CN"/>
        </w:rPr>
        <w:t>5</w:t>
      </w:r>
      <w:r>
        <w:rPr>
          <w:rFonts w:hint="eastAsia" w:ascii="宋体" w:hAnsi="宋体" w:eastAsia="宋体" w:cs="宋体"/>
          <w:i w:val="0"/>
          <w:iCs w:val="0"/>
          <w:color w:val="auto"/>
          <w:kern w:val="0"/>
          <w:szCs w:val="21"/>
        </w:rPr>
        <w:fldChar w:fldCharType="end"/>
      </w:r>
      <w:r>
        <w:rPr>
          <w:rFonts w:hint="eastAsia" w:ascii="宋体" w:hAnsi="宋体" w:cs="宋体"/>
          <w:i w:val="0"/>
          <w:iCs w:val="0"/>
          <w:color w:val="auto"/>
          <w:kern w:val="0"/>
          <w:szCs w:val="21"/>
          <w:lang w:val="en-US" w:eastAsia="zh-CN"/>
        </w:rPr>
        <w:t>4</w:t>
      </w:r>
    </w:p>
    <w:p>
      <w:pPr>
        <w:rPr>
          <w:rFonts w:hint="eastAsia" w:ascii="宋体" w:hAnsi="宋体" w:eastAsia="宋体" w:cs="宋体"/>
          <w:i w:val="0"/>
          <w:iCs w:val="0"/>
          <w:color w:val="auto"/>
        </w:rPr>
      </w:pPr>
    </w:p>
    <w:p>
      <w:pPr>
        <w:pStyle w:val="3"/>
        <w:numPr>
          <w:ilvl w:val="0"/>
          <w:numId w:val="1"/>
        </w:numPr>
        <w:tabs>
          <w:tab w:val="left" w:pos="0"/>
          <w:tab w:val="clear" w:pos="3134"/>
        </w:tabs>
        <w:spacing w:before="0" w:after="0" w:line="240" w:lineRule="atLeast"/>
        <w:ind w:hanging="3134"/>
        <w:rPr>
          <w:rFonts w:hint="eastAsia" w:ascii="宋体" w:hAnsi="宋体" w:eastAsia="宋体" w:cs="宋体"/>
          <w:i w:val="0"/>
          <w:iCs w:val="0"/>
          <w:color w:val="auto"/>
        </w:rPr>
      </w:pPr>
      <w:r>
        <w:rPr>
          <w:rFonts w:hint="eastAsia" w:ascii="宋体" w:hAnsi="宋体" w:eastAsia="宋体" w:cs="宋体"/>
          <w:i w:val="0"/>
          <w:iCs w:val="0"/>
          <w:color w:val="auto"/>
          <w:kern w:val="0"/>
          <w:szCs w:val="21"/>
        </w:rPr>
        <w:fldChar w:fldCharType="end"/>
      </w:r>
      <w:bookmarkStart w:id="0" w:name="_Toc216582804"/>
      <w:bookmarkStart w:id="1" w:name="_Toc9228"/>
      <w:r>
        <w:rPr>
          <w:rFonts w:hint="eastAsia" w:ascii="宋体" w:hAnsi="宋体" w:eastAsia="宋体" w:cs="宋体"/>
          <w:i w:val="0"/>
          <w:iCs w:val="0"/>
          <w:color w:val="auto"/>
        </w:rPr>
        <w:t xml:space="preserve">  </w:t>
      </w:r>
      <w:bookmarkStart w:id="2" w:name="_Toc518923059"/>
      <w:r>
        <w:rPr>
          <w:rFonts w:hint="eastAsia" w:ascii="宋体" w:hAnsi="宋体" w:eastAsia="宋体" w:cs="宋体"/>
          <w:i w:val="0"/>
          <w:iCs w:val="0"/>
          <w:color w:val="auto"/>
        </w:rPr>
        <w:t>投标人须知</w:t>
      </w:r>
      <w:bookmarkEnd w:id="0"/>
      <w:bookmarkEnd w:id="1"/>
      <w:bookmarkEnd w:id="2"/>
    </w:p>
    <w:p>
      <w:pPr>
        <w:pStyle w:val="4"/>
        <w:spacing w:before="0" w:line="240" w:lineRule="atLeast"/>
        <w:jc w:val="center"/>
        <w:rPr>
          <w:rFonts w:hint="eastAsia" w:ascii="宋体" w:hAnsi="宋体" w:eastAsia="宋体" w:cs="宋体"/>
          <w:i w:val="0"/>
          <w:iCs w:val="0"/>
          <w:color w:val="auto"/>
        </w:rPr>
      </w:pPr>
      <w:bookmarkStart w:id="3" w:name="_Toc9485"/>
      <w:bookmarkStart w:id="4" w:name="_Toc518923060"/>
      <w:r>
        <w:rPr>
          <w:rFonts w:hint="eastAsia" w:ascii="宋体" w:hAnsi="宋体" w:eastAsia="宋体" w:cs="宋体"/>
          <w:i w:val="0"/>
          <w:iCs w:val="0"/>
          <w:color w:val="auto"/>
          <w:sz w:val="28"/>
          <w:lang w:val="en-US" w:eastAsia="zh-CN"/>
        </w:rPr>
        <w:t>一、</w:t>
      </w:r>
      <w:r>
        <w:rPr>
          <w:rFonts w:hint="eastAsia" w:ascii="宋体" w:hAnsi="宋体" w:eastAsia="宋体" w:cs="宋体"/>
          <w:i w:val="0"/>
          <w:iCs w:val="0"/>
          <w:color w:val="auto"/>
          <w:sz w:val="28"/>
        </w:rPr>
        <w:t>总  则</w:t>
      </w:r>
      <w:bookmarkEnd w:id="3"/>
      <w:bookmarkEnd w:id="4"/>
    </w:p>
    <w:p>
      <w:pPr>
        <w:pStyle w:val="6"/>
        <w:spacing w:before="0" w:after="0" w:line="240" w:lineRule="atLeast"/>
        <w:rPr>
          <w:rFonts w:hint="eastAsia" w:ascii="宋体" w:hAnsi="宋体" w:eastAsia="宋体" w:cs="宋体"/>
          <w:i w:val="0"/>
          <w:iCs w:val="0"/>
          <w:color w:val="auto"/>
          <w:u w:val="none"/>
        </w:rPr>
      </w:pPr>
      <w:bookmarkStart w:id="5" w:name="_Toc520356144"/>
      <w:bookmarkStart w:id="6" w:name="_Toc518923061"/>
      <w:bookmarkStart w:id="7" w:name="_Toc12013"/>
      <w:r>
        <w:rPr>
          <w:rFonts w:hint="eastAsia" w:ascii="宋体" w:hAnsi="宋体" w:eastAsia="宋体" w:cs="宋体"/>
          <w:i w:val="0"/>
          <w:iCs w:val="0"/>
          <w:color w:val="auto"/>
          <w:u w:val="none"/>
        </w:rPr>
        <w:t>1</w:t>
      </w:r>
      <w:r>
        <w:rPr>
          <w:rFonts w:hint="eastAsia" w:ascii="宋体" w:hAnsi="宋体" w:eastAsia="宋体" w:cs="宋体"/>
          <w:i w:val="0"/>
          <w:iCs w:val="0"/>
          <w:color w:val="auto"/>
          <w:u w:val="none"/>
          <w:lang w:eastAsia="zh-CN"/>
        </w:rPr>
        <w:t>.</w:t>
      </w:r>
      <w:r>
        <w:rPr>
          <w:rFonts w:hint="eastAsia" w:ascii="宋体" w:hAnsi="宋体" w:eastAsia="宋体" w:cs="宋体"/>
          <w:i w:val="0"/>
          <w:iCs w:val="0"/>
          <w:color w:val="auto"/>
          <w:u w:val="none"/>
        </w:rPr>
        <w:t>采购人、采购代理机构及</w:t>
      </w:r>
      <w:bookmarkEnd w:id="5"/>
      <w:r>
        <w:rPr>
          <w:rFonts w:hint="eastAsia" w:ascii="宋体" w:hAnsi="宋体" w:eastAsia="宋体" w:cs="宋体"/>
          <w:i w:val="0"/>
          <w:iCs w:val="0"/>
          <w:color w:val="auto"/>
          <w:u w:val="none"/>
        </w:rPr>
        <w:t>投标人</w:t>
      </w:r>
      <w:bookmarkEnd w:id="6"/>
      <w:bookmarkEnd w:id="7"/>
    </w:p>
    <w:p>
      <w:pPr>
        <w:rPr>
          <w:rFonts w:hint="eastAsia"/>
          <w:color w:val="auto"/>
        </w:rPr>
      </w:pPr>
    </w:p>
    <w:p>
      <w:pPr>
        <w:numPr>
          <w:ilvl w:val="0"/>
          <w:numId w:val="0"/>
        </w:numPr>
        <w:tabs>
          <w:tab w:val="left" w:pos="0"/>
        </w:tabs>
        <w:spacing w:line="360" w:lineRule="auto"/>
        <w:ind w:left="2" w:leftChars="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lang w:val="en-US" w:eastAsia="zh-CN"/>
        </w:rPr>
        <w:t>1.1</w:t>
      </w:r>
      <w:r>
        <w:rPr>
          <w:rFonts w:hint="eastAsia" w:ascii="宋体" w:hAnsi="宋体" w:eastAsia="宋体" w:cs="宋体"/>
          <w:i w:val="0"/>
          <w:iCs w:val="0"/>
          <w:color w:val="auto"/>
          <w:sz w:val="24"/>
        </w:rPr>
        <w:t>采购人：是指依法开展政府采购活动的国家机关、事业单位、团体组织。本项目的采购人见</w:t>
      </w:r>
      <w:r>
        <w:rPr>
          <w:rFonts w:hint="eastAsia" w:ascii="宋体" w:hAnsi="宋体" w:eastAsia="宋体" w:cs="宋体"/>
          <w:i w:val="0"/>
          <w:iCs w:val="0"/>
          <w:color w:val="auto"/>
          <w:sz w:val="24"/>
          <w:u w:val="single"/>
        </w:rPr>
        <w:t>投标人须知资料表</w:t>
      </w:r>
      <w:r>
        <w:rPr>
          <w:rFonts w:hint="eastAsia" w:ascii="宋体" w:hAnsi="宋体" w:eastAsia="宋体" w:cs="宋体"/>
          <w:i w:val="0"/>
          <w:iCs w:val="0"/>
          <w:color w:val="auto"/>
          <w:sz w:val="24"/>
        </w:rPr>
        <w:t>。</w:t>
      </w:r>
    </w:p>
    <w:p>
      <w:pPr>
        <w:numPr>
          <w:ilvl w:val="0"/>
          <w:numId w:val="0"/>
        </w:numPr>
        <w:tabs>
          <w:tab w:val="left" w:pos="0"/>
        </w:tabs>
        <w:spacing w:line="360" w:lineRule="auto"/>
        <w:ind w:left="2" w:leftChars="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lang w:val="en-US" w:eastAsia="zh-CN"/>
        </w:rPr>
        <w:t>1.2</w:t>
      </w:r>
      <w:r>
        <w:rPr>
          <w:rFonts w:hint="eastAsia" w:ascii="宋体" w:hAnsi="宋体" w:eastAsia="宋体" w:cs="宋体"/>
          <w:i w:val="0"/>
          <w:iCs w:val="0"/>
          <w:color w:val="auto"/>
          <w:sz w:val="24"/>
        </w:rPr>
        <w:t>采购代理机构：是指集中采购机构或从事采购代理业务的社会中介机构。本项目的采购代理机构见</w:t>
      </w:r>
      <w:r>
        <w:rPr>
          <w:rFonts w:hint="eastAsia" w:ascii="宋体" w:hAnsi="宋体" w:eastAsia="宋体" w:cs="宋体"/>
          <w:i w:val="0"/>
          <w:iCs w:val="0"/>
          <w:color w:val="auto"/>
          <w:sz w:val="24"/>
          <w:u w:val="single"/>
        </w:rPr>
        <w:t>投标人须知资料表</w:t>
      </w:r>
      <w:r>
        <w:rPr>
          <w:rFonts w:hint="eastAsia" w:ascii="宋体" w:hAnsi="宋体" w:eastAsia="宋体" w:cs="宋体"/>
          <w:i w:val="0"/>
          <w:iCs w:val="0"/>
          <w:color w:val="auto"/>
          <w:sz w:val="24"/>
        </w:rPr>
        <w:t>。</w:t>
      </w:r>
    </w:p>
    <w:p>
      <w:pPr>
        <w:numPr>
          <w:ilvl w:val="0"/>
          <w:numId w:val="0"/>
        </w:numPr>
        <w:tabs>
          <w:tab w:val="left" w:pos="0"/>
        </w:tabs>
        <w:spacing w:line="360" w:lineRule="auto"/>
        <w:ind w:left="2" w:leftChars="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lang w:val="en-US" w:eastAsia="zh-CN"/>
        </w:rPr>
        <w:t>1.3</w:t>
      </w:r>
      <w:r>
        <w:rPr>
          <w:rFonts w:hint="eastAsia" w:ascii="宋体" w:hAnsi="宋体" w:eastAsia="宋体" w:cs="宋体"/>
          <w:i w:val="0"/>
          <w:iCs w:val="0"/>
          <w:color w:val="auto"/>
          <w:sz w:val="24"/>
        </w:rPr>
        <w:t>投标人：是指向采购人提供货物、工程或者服务的法人、非法人组织或者自然人。本项目的投标人须满足以下条件：</w:t>
      </w:r>
    </w:p>
    <w:p>
      <w:pPr>
        <w:spacing w:line="360" w:lineRule="auto"/>
        <w:ind w:left="842" w:leftChars="228" w:hanging="364" w:hangingChars="152"/>
        <w:rPr>
          <w:rFonts w:hint="eastAsia" w:ascii="宋体" w:hAnsi="宋体" w:eastAsia="宋体" w:cs="宋体"/>
          <w:i w:val="0"/>
          <w:iCs w:val="0"/>
          <w:color w:val="auto"/>
          <w:sz w:val="24"/>
        </w:rPr>
      </w:pPr>
      <w:r>
        <w:rPr>
          <w:rFonts w:hint="eastAsia" w:ascii="宋体" w:hAnsi="宋体" w:eastAsia="宋体" w:cs="宋体"/>
          <w:i w:val="0"/>
          <w:iCs w:val="0"/>
          <w:color w:val="auto"/>
          <w:sz w:val="24"/>
        </w:rPr>
        <w:t>1.3.1在中华人民共和国境内注册，能够独立承担民事责任，有生产或供</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应能力的本国供应商。</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1.3.2具备《中华人民共和国政府采购法》第二十二条关于供应商条件的</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规定，遵守本项目采购人本级和上级财政部门政府采购的有关规定。</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1.3.3以采购代理机构认可的方式获得了本项目的招标文件。</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1.3.4符合</w:t>
      </w:r>
      <w:r>
        <w:rPr>
          <w:rFonts w:hint="eastAsia" w:ascii="宋体" w:hAnsi="宋体" w:eastAsia="宋体" w:cs="宋体"/>
          <w:i w:val="0"/>
          <w:iCs w:val="0"/>
          <w:color w:val="auto"/>
          <w:sz w:val="24"/>
          <w:u w:val="single"/>
        </w:rPr>
        <w:t>投标人须知资料表</w:t>
      </w:r>
      <w:r>
        <w:rPr>
          <w:rFonts w:hint="eastAsia" w:ascii="宋体" w:hAnsi="宋体" w:eastAsia="宋体" w:cs="宋体"/>
          <w:i w:val="0"/>
          <w:iCs w:val="0"/>
          <w:color w:val="auto"/>
          <w:sz w:val="24"/>
        </w:rPr>
        <w:t>中规定的其他要求。</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1.3.5若</w:t>
      </w:r>
      <w:r>
        <w:rPr>
          <w:rFonts w:hint="eastAsia" w:ascii="宋体" w:hAnsi="宋体" w:eastAsia="宋体" w:cs="宋体"/>
          <w:i w:val="0"/>
          <w:iCs w:val="0"/>
          <w:color w:val="auto"/>
          <w:sz w:val="24"/>
          <w:u w:val="single"/>
        </w:rPr>
        <w:t>投标人须知资料表</w:t>
      </w:r>
      <w:r>
        <w:rPr>
          <w:rFonts w:hint="eastAsia" w:ascii="宋体" w:hAnsi="宋体" w:eastAsia="宋体" w:cs="宋体"/>
          <w:i w:val="0"/>
          <w:iCs w:val="0"/>
          <w:color w:val="auto"/>
          <w:sz w:val="24"/>
        </w:rPr>
        <w:t>中写明专门面向中小企业采购的，如投标人为</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非中小企业，其投标将被认定为投标无效。</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1.4如</w:t>
      </w:r>
      <w:r>
        <w:rPr>
          <w:rFonts w:hint="eastAsia" w:ascii="宋体" w:hAnsi="宋体" w:eastAsia="宋体" w:cs="宋体"/>
          <w:i w:val="0"/>
          <w:iCs w:val="0"/>
          <w:color w:val="auto"/>
          <w:sz w:val="24"/>
          <w:u w:val="single"/>
        </w:rPr>
        <w:t>投标人须知资料表</w:t>
      </w:r>
      <w:r>
        <w:rPr>
          <w:rFonts w:hint="eastAsia" w:ascii="宋体" w:hAnsi="宋体" w:eastAsia="宋体" w:cs="宋体"/>
          <w:i w:val="0"/>
          <w:iCs w:val="0"/>
          <w:color w:val="auto"/>
          <w:sz w:val="24"/>
        </w:rPr>
        <w:t>中允许联合体投标，对联合体规定如下：</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1.4.1两个以上供应商可以组成一个投标联合体，以一个投标人的身份投</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标。</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1.4.2联合体各方均应符合《中华人民共和国政府采购法》第二十二条规</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定的条件。</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1.4.3采购人根据采购项目对投标人的特殊要求，联合体中至少应当有一</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方符合相关规定。</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1.4.4联合体各方应签订共同投标协议，明确约定联合体各方承担的工作</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和相应的责任，并将共同投标协议连同投标文件一并提交招标采购单位。</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1.4.5大中型企业、其他自然人、法人或者非法人组织与小型、微型企业</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组成联合体共同参加投标，共同投标协议中应写明小型、微型企业的协议合同金额占到共同投标协议投标总金额的比例。</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1.4.6联合体中有同类资质的供应商按照联合体分工承担相同工作的，按</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照资质等级较低的供应商确定资质等级。</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1.4.7以联合体形式参加政府采购活动的，联合体各方不得再单独参加或</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者与其他供应商另外组成联合体参加本项目投标，否则相关投标将被认定为投标无效。</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1.4.8对联合体投标的其他资格要求见</w:t>
      </w:r>
      <w:r>
        <w:rPr>
          <w:rFonts w:hint="eastAsia" w:ascii="宋体" w:hAnsi="宋体" w:eastAsia="宋体" w:cs="宋体"/>
          <w:i w:val="0"/>
          <w:iCs w:val="0"/>
          <w:color w:val="auto"/>
          <w:sz w:val="24"/>
          <w:u w:val="single"/>
        </w:rPr>
        <w:t>投标人须知资料表</w:t>
      </w:r>
      <w:r>
        <w:rPr>
          <w:rFonts w:hint="eastAsia" w:ascii="宋体" w:hAnsi="宋体" w:eastAsia="宋体" w:cs="宋体"/>
          <w:i w:val="0"/>
          <w:iCs w:val="0"/>
          <w:color w:val="auto"/>
          <w:sz w:val="24"/>
        </w:rPr>
        <w:t>。</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1.5单位负责人为同一人或者存在直接控股、管理关系的不同供应商，其</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相关投标将被认定为投标无效。</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1.6为本项目提供过整体设计、规范编制或者项目管理、监理、检测等服</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务的供应商，不得再参加本项目上述服务以外的其他采购活动。否则其投标将被认定为投标无效。</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1.7投标人在投标过程中不得向采购人提供或给予影响其正常决策行为的</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任何有价值物品或服务。一经发现，其投标将被认定为投标无效。</w:t>
      </w:r>
    </w:p>
    <w:p>
      <w:pPr>
        <w:pStyle w:val="6"/>
        <w:spacing w:before="0" w:after="0" w:line="360" w:lineRule="auto"/>
        <w:rPr>
          <w:rFonts w:hint="eastAsia" w:ascii="宋体" w:hAnsi="宋体" w:eastAsia="宋体" w:cs="宋体"/>
          <w:i w:val="0"/>
          <w:iCs w:val="0"/>
          <w:color w:val="auto"/>
          <w:u w:val="none"/>
        </w:rPr>
      </w:pPr>
      <w:bookmarkStart w:id="8" w:name="_Toc518923062"/>
      <w:bookmarkStart w:id="9" w:name="_Toc2643"/>
      <w:r>
        <w:rPr>
          <w:rFonts w:hint="eastAsia" w:ascii="宋体" w:hAnsi="宋体" w:eastAsia="宋体" w:cs="宋体"/>
          <w:i w:val="0"/>
          <w:iCs w:val="0"/>
          <w:color w:val="auto"/>
          <w:u w:val="none"/>
        </w:rPr>
        <w:t>2</w:t>
      </w:r>
      <w:r>
        <w:rPr>
          <w:rFonts w:hint="eastAsia" w:ascii="宋体" w:hAnsi="宋体" w:eastAsia="宋体" w:cs="宋体"/>
          <w:i w:val="0"/>
          <w:iCs w:val="0"/>
          <w:color w:val="auto"/>
          <w:u w:val="none"/>
          <w:lang w:eastAsia="zh-CN"/>
        </w:rPr>
        <w:t>.</w:t>
      </w:r>
      <w:r>
        <w:rPr>
          <w:rFonts w:hint="eastAsia" w:ascii="宋体" w:hAnsi="宋体" w:eastAsia="宋体" w:cs="宋体"/>
          <w:i w:val="0"/>
          <w:iCs w:val="0"/>
          <w:color w:val="auto"/>
          <w:u w:val="none"/>
        </w:rPr>
        <w:t>资金来源</w:t>
      </w:r>
      <w:bookmarkEnd w:id="8"/>
      <w:bookmarkEnd w:id="9"/>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2.1本项目的采购人已获得足以支付本次招标后所签订的合同项下的资金</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（包括财政性资金和本项目采购中无法与财政性资金分割的非财政性资金）。</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2.2项目预算金额和分项或分包最高限价</w:t>
      </w:r>
      <w:r>
        <w:rPr>
          <w:rFonts w:hint="eastAsia" w:ascii="宋体" w:hAnsi="宋体" w:eastAsia="宋体" w:cs="宋体"/>
          <w:i w:val="0"/>
          <w:iCs w:val="0"/>
          <w:color w:val="auto"/>
          <w:sz w:val="24"/>
          <w:u w:val="single"/>
        </w:rPr>
        <w:t>见投标人须知资料表</w:t>
      </w:r>
      <w:r>
        <w:rPr>
          <w:rFonts w:hint="eastAsia" w:ascii="宋体" w:hAnsi="宋体" w:eastAsia="宋体" w:cs="宋体"/>
          <w:i w:val="0"/>
          <w:iCs w:val="0"/>
          <w:color w:val="auto"/>
          <w:sz w:val="24"/>
        </w:rPr>
        <w:t>。</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2.3投标人报价超过招标文件规定的预算金额或者分项、分包最高限价的，</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其投标将被认定为投标无效。</w:t>
      </w:r>
    </w:p>
    <w:p>
      <w:pPr>
        <w:pStyle w:val="6"/>
        <w:spacing w:before="0" w:after="0" w:line="360" w:lineRule="auto"/>
        <w:rPr>
          <w:rFonts w:hint="eastAsia" w:ascii="宋体" w:hAnsi="宋体" w:eastAsia="宋体" w:cs="宋体"/>
          <w:i w:val="0"/>
          <w:iCs w:val="0"/>
          <w:color w:val="auto"/>
          <w:u w:val="none"/>
        </w:rPr>
      </w:pPr>
      <w:bookmarkStart w:id="10" w:name="_Toc518923063"/>
      <w:bookmarkStart w:id="11" w:name="_Toc28166"/>
      <w:bookmarkStart w:id="12" w:name="_Toc520356145"/>
      <w:r>
        <w:rPr>
          <w:rFonts w:hint="eastAsia" w:ascii="宋体" w:hAnsi="宋体" w:eastAsia="宋体" w:cs="宋体"/>
          <w:i w:val="0"/>
          <w:iCs w:val="0"/>
          <w:color w:val="auto"/>
          <w:u w:val="none"/>
        </w:rPr>
        <w:t>3</w:t>
      </w:r>
      <w:r>
        <w:rPr>
          <w:rFonts w:hint="eastAsia" w:ascii="宋体" w:hAnsi="宋体" w:eastAsia="宋体" w:cs="宋体"/>
          <w:i w:val="0"/>
          <w:iCs w:val="0"/>
          <w:color w:val="auto"/>
          <w:u w:val="none"/>
          <w:lang w:eastAsia="zh-CN"/>
        </w:rPr>
        <w:t>.</w:t>
      </w:r>
      <w:r>
        <w:rPr>
          <w:rFonts w:hint="eastAsia" w:ascii="宋体" w:hAnsi="宋体" w:eastAsia="宋体" w:cs="宋体"/>
          <w:i w:val="0"/>
          <w:iCs w:val="0"/>
          <w:color w:val="auto"/>
          <w:u w:val="none"/>
        </w:rPr>
        <w:t>投标费用</w:t>
      </w:r>
      <w:bookmarkEnd w:id="10"/>
      <w:bookmarkEnd w:id="11"/>
      <w:bookmarkEnd w:id="12"/>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不论投标的结果如何，投标人应承担所有与准备和参加投标有关的费用。</w:t>
      </w:r>
    </w:p>
    <w:p>
      <w:pPr>
        <w:pStyle w:val="6"/>
        <w:spacing w:before="0" w:after="0" w:line="360" w:lineRule="auto"/>
        <w:rPr>
          <w:rFonts w:hint="eastAsia" w:ascii="宋体" w:hAnsi="宋体" w:eastAsia="宋体" w:cs="宋体"/>
          <w:i w:val="0"/>
          <w:iCs w:val="0"/>
          <w:color w:val="auto"/>
          <w:u w:val="none"/>
        </w:rPr>
      </w:pPr>
      <w:bookmarkStart w:id="13" w:name="_Toc32365"/>
      <w:bookmarkStart w:id="14" w:name="_Toc518923064"/>
      <w:r>
        <w:rPr>
          <w:rFonts w:hint="eastAsia" w:ascii="宋体" w:hAnsi="宋体" w:eastAsia="宋体" w:cs="宋体"/>
          <w:i w:val="0"/>
          <w:iCs w:val="0"/>
          <w:color w:val="auto"/>
          <w:u w:val="none"/>
        </w:rPr>
        <w:t>4</w:t>
      </w:r>
      <w:r>
        <w:rPr>
          <w:rFonts w:hint="eastAsia" w:ascii="宋体" w:hAnsi="宋体" w:eastAsia="宋体" w:cs="宋体"/>
          <w:i w:val="0"/>
          <w:iCs w:val="0"/>
          <w:color w:val="auto"/>
          <w:u w:val="none"/>
          <w:lang w:eastAsia="zh-CN"/>
        </w:rPr>
        <w:t>.</w:t>
      </w:r>
      <w:r>
        <w:rPr>
          <w:rFonts w:hint="eastAsia" w:ascii="宋体" w:hAnsi="宋体" w:eastAsia="宋体" w:cs="宋体"/>
          <w:i w:val="0"/>
          <w:iCs w:val="0"/>
          <w:color w:val="auto"/>
          <w:u w:val="none"/>
        </w:rPr>
        <w:t>适用法律</w:t>
      </w:r>
      <w:bookmarkEnd w:id="13"/>
      <w:bookmarkEnd w:id="14"/>
    </w:p>
    <w:p>
      <w:pPr>
        <w:spacing w:line="360" w:lineRule="auto"/>
        <w:ind w:left="900" w:hanging="900" w:hangingChars="375"/>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   </w:t>
      </w:r>
      <w:r>
        <w:rPr>
          <w:rFonts w:hint="eastAsia" w:ascii="宋体" w:hAnsi="宋体" w:eastAsia="宋体" w:cs="宋体"/>
          <w:i w:val="0"/>
          <w:iCs w:val="0"/>
          <w:color w:val="auto"/>
          <w:sz w:val="24"/>
          <w:lang w:val="en-US" w:eastAsia="zh-CN"/>
        </w:rPr>
        <w:t xml:space="preserve"> </w:t>
      </w:r>
      <w:r>
        <w:rPr>
          <w:rFonts w:hint="eastAsia" w:ascii="宋体" w:hAnsi="宋体" w:eastAsia="宋体" w:cs="宋体"/>
          <w:i w:val="0"/>
          <w:iCs w:val="0"/>
          <w:color w:val="auto"/>
          <w:sz w:val="24"/>
        </w:rPr>
        <w:t>本项目采购人、采购代理机构、投标人、评标委员会的相关行为均受《中</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华人民共和国政府采购法》、《中华人民共和国政府采购法实施条例》及本项目本级和上级财政部门政府采购有关规定的约束，其权利受到上述法律法规的保护。</w:t>
      </w:r>
    </w:p>
    <w:p>
      <w:pPr>
        <w:spacing w:line="360" w:lineRule="auto"/>
        <w:rPr>
          <w:rFonts w:hint="eastAsia" w:ascii="宋体" w:hAnsi="宋体" w:eastAsia="宋体" w:cs="宋体"/>
          <w:i w:val="0"/>
          <w:iCs w:val="0"/>
          <w:color w:val="auto"/>
          <w:sz w:val="24"/>
        </w:rPr>
      </w:pPr>
    </w:p>
    <w:p>
      <w:pPr>
        <w:pStyle w:val="4"/>
        <w:spacing w:before="0" w:line="360" w:lineRule="auto"/>
        <w:jc w:val="center"/>
        <w:rPr>
          <w:rFonts w:hint="eastAsia" w:ascii="宋体" w:hAnsi="宋体" w:eastAsia="宋体" w:cs="宋体"/>
          <w:i w:val="0"/>
          <w:iCs w:val="0"/>
          <w:color w:val="auto"/>
        </w:rPr>
      </w:pPr>
      <w:bookmarkStart w:id="15" w:name="_Toc216582806"/>
      <w:bookmarkStart w:id="16" w:name="_Toc520356146"/>
      <w:bookmarkStart w:id="17" w:name="_Toc809"/>
      <w:bookmarkStart w:id="18" w:name="_Toc518923065"/>
      <w:r>
        <w:rPr>
          <w:rFonts w:hint="eastAsia" w:ascii="宋体" w:hAnsi="宋体" w:eastAsia="宋体" w:cs="宋体"/>
          <w:i w:val="0"/>
          <w:iCs w:val="0"/>
          <w:color w:val="auto"/>
          <w:sz w:val="28"/>
        </w:rPr>
        <w:t>二</w:t>
      </w:r>
      <w:r>
        <w:rPr>
          <w:rFonts w:hint="eastAsia" w:ascii="宋体" w:hAnsi="宋体" w:eastAsia="宋体" w:cs="宋体"/>
          <w:i w:val="0"/>
          <w:iCs w:val="0"/>
          <w:color w:val="auto"/>
          <w:sz w:val="28"/>
          <w:lang w:eastAsia="zh-CN"/>
        </w:rPr>
        <w:t>、</w:t>
      </w:r>
      <w:r>
        <w:rPr>
          <w:rFonts w:hint="eastAsia" w:ascii="宋体" w:hAnsi="宋体" w:eastAsia="宋体" w:cs="宋体"/>
          <w:i w:val="0"/>
          <w:iCs w:val="0"/>
          <w:color w:val="auto"/>
          <w:sz w:val="28"/>
        </w:rPr>
        <w:t>招标文件</w:t>
      </w:r>
      <w:bookmarkEnd w:id="15"/>
      <w:bookmarkEnd w:id="16"/>
      <w:bookmarkEnd w:id="17"/>
      <w:bookmarkEnd w:id="18"/>
    </w:p>
    <w:p>
      <w:pPr>
        <w:pStyle w:val="6"/>
        <w:spacing w:before="0" w:after="0" w:line="360" w:lineRule="auto"/>
        <w:rPr>
          <w:rFonts w:hint="eastAsia" w:ascii="宋体" w:hAnsi="宋体" w:eastAsia="宋体" w:cs="宋体"/>
          <w:i w:val="0"/>
          <w:iCs w:val="0"/>
          <w:color w:val="auto"/>
          <w:u w:val="none"/>
        </w:rPr>
      </w:pPr>
      <w:bookmarkStart w:id="19" w:name="_Toc22990"/>
      <w:bookmarkStart w:id="20" w:name="_Toc518923066"/>
      <w:bookmarkStart w:id="21" w:name="_Toc520356147"/>
      <w:r>
        <w:rPr>
          <w:rFonts w:hint="eastAsia" w:ascii="宋体" w:hAnsi="宋体" w:eastAsia="宋体" w:cs="宋体"/>
          <w:i w:val="0"/>
          <w:iCs w:val="0"/>
          <w:color w:val="auto"/>
          <w:u w:val="none"/>
        </w:rPr>
        <w:t>5</w:t>
      </w:r>
      <w:r>
        <w:rPr>
          <w:rFonts w:hint="eastAsia" w:ascii="宋体" w:hAnsi="宋体" w:eastAsia="宋体" w:cs="宋体"/>
          <w:i w:val="0"/>
          <w:iCs w:val="0"/>
          <w:color w:val="auto"/>
          <w:u w:val="none"/>
          <w:lang w:eastAsia="zh-CN"/>
        </w:rPr>
        <w:t>.</w:t>
      </w:r>
      <w:r>
        <w:rPr>
          <w:rFonts w:hint="eastAsia" w:ascii="宋体" w:hAnsi="宋体" w:eastAsia="宋体" w:cs="宋体"/>
          <w:i w:val="0"/>
          <w:iCs w:val="0"/>
          <w:color w:val="auto"/>
          <w:u w:val="none"/>
        </w:rPr>
        <w:t>招标文件构成</w:t>
      </w:r>
      <w:bookmarkEnd w:id="19"/>
      <w:bookmarkEnd w:id="20"/>
      <w:bookmarkEnd w:id="21"/>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5.1招标文件分为三册共7章，内容如下：</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第一册</w:t>
      </w:r>
    </w:p>
    <w:p>
      <w:pPr>
        <w:numPr>
          <w:ilvl w:val="0"/>
          <w:numId w:val="0"/>
        </w:numPr>
        <w:tabs>
          <w:tab w:val="left" w:pos="0"/>
        </w:tabs>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lang w:val="en-US" w:eastAsia="zh-CN"/>
        </w:rPr>
        <w:t>第1章、</w:t>
      </w:r>
      <w:r>
        <w:rPr>
          <w:rFonts w:hint="eastAsia" w:ascii="宋体" w:hAnsi="宋体" w:eastAsia="宋体" w:cs="宋体"/>
          <w:i w:val="0"/>
          <w:iCs w:val="0"/>
          <w:color w:val="auto"/>
          <w:sz w:val="24"/>
        </w:rPr>
        <w:t>投标人须知</w:t>
      </w:r>
    </w:p>
    <w:p>
      <w:pPr>
        <w:numPr>
          <w:ilvl w:val="0"/>
          <w:numId w:val="0"/>
        </w:num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lang w:val="en-US" w:eastAsia="zh-CN"/>
        </w:rPr>
        <w:t>第2章、</w:t>
      </w:r>
      <w:r>
        <w:rPr>
          <w:rFonts w:hint="eastAsia" w:ascii="宋体" w:hAnsi="宋体" w:eastAsia="宋体" w:cs="宋体"/>
          <w:i w:val="0"/>
          <w:iCs w:val="0"/>
          <w:color w:val="auto"/>
          <w:sz w:val="24"/>
        </w:rPr>
        <w:t>投标文件格式</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第二册</w:t>
      </w:r>
    </w:p>
    <w:p>
      <w:pPr>
        <w:numPr>
          <w:ilvl w:val="0"/>
          <w:numId w:val="0"/>
        </w:num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lang w:val="en-US" w:eastAsia="zh-CN"/>
        </w:rPr>
        <w:t>第1章、</w:t>
      </w:r>
      <w:r>
        <w:rPr>
          <w:rFonts w:hint="eastAsia" w:ascii="宋体" w:hAnsi="宋体" w:eastAsia="宋体" w:cs="宋体"/>
          <w:i w:val="0"/>
          <w:iCs w:val="0"/>
          <w:color w:val="auto"/>
          <w:sz w:val="24"/>
        </w:rPr>
        <w:t>投标邀请</w:t>
      </w:r>
    </w:p>
    <w:p>
      <w:pPr>
        <w:numPr>
          <w:ilvl w:val="0"/>
          <w:numId w:val="0"/>
        </w:num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lang w:val="en-US" w:eastAsia="zh-CN"/>
        </w:rPr>
        <w:t>第2章、</w:t>
      </w:r>
      <w:r>
        <w:rPr>
          <w:rFonts w:hint="eastAsia" w:ascii="宋体" w:hAnsi="宋体" w:eastAsia="宋体" w:cs="宋体"/>
          <w:i w:val="0"/>
          <w:iCs w:val="0"/>
          <w:color w:val="auto"/>
          <w:sz w:val="24"/>
        </w:rPr>
        <w:t>投标人须知资料表</w:t>
      </w:r>
    </w:p>
    <w:p>
      <w:pPr>
        <w:numPr>
          <w:ilvl w:val="0"/>
          <w:numId w:val="0"/>
        </w:num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lang w:val="en-US" w:eastAsia="zh-CN"/>
        </w:rPr>
        <w:t>第3章、</w:t>
      </w:r>
      <w:r>
        <w:rPr>
          <w:rFonts w:hint="eastAsia" w:ascii="宋体" w:hAnsi="宋体" w:eastAsia="宋体" w:cs="宋体"/>
          <w:i w:val="0"/>
          <w:iCs w:val="0"/>
          <w:color w:val="auto"/>
          <w:sz w:val="24"/>
        </w:rPr>
        <w:t>服务需求</w:t>
      </w:r>
    </w:p>
    <w:p>
      <w:pPr>
        <w:numPr>
          <w:ilvl w:val="0"/>
          <w:numId w:val="0"/>
        </w:num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lang w:val="en-US" w:eastAsia="zh-CN"/>
        </w:rPr>
        <w:t>第4章、</w:t>
      </w:r>
      <w:r>
        <w:rPr>
          <w:rFonts w:hint="eastAsia" w:ascii="宋体" w:hAnsi="宋体" w:eastAsia="宋体" w:cs="宋体"/>
          <w:i w:val="0"/>
          <w:iCs w:val="0"/>
          <w:color w:val="auto"/>
          <w:sz w:val="24"/>
        </w:rPr>
        <w:t>评标方法和标准</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第三册</w:t>
      </w:r>
    </w:p>
    <w:p>
      <w:pPr>
        <w:numPr>
          <w:ilvl w:val="0"/>
          <w:numId w:val="0"/>
        </w:num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lang w:val="en-US" w:eastAsia="zh-CN"/>
        </w:rPr>
        <w:t>第1章、</w:t>
      </w:r>
      <w:r>
        <w:rPr>
          <w:rFonts w:hint="eastAsia" w:ascii="宋体" w:hAnsi="宋体" w:eastAsia="宋体" w:cs="宋体"/>
          <w:i w:val="0"/>
          <w:iCs w:val="0"/>
          <w:color w:val="auto"/>
          <w:sz w:val="24"/>
        </w:rPr>
        <w:t>政府采购合同格式</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5.2如本文件的前后内容不一致，以最后描述为准。</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5.3投标人应认真阅读招标文件所有的事项、格式、条款和技术规范等。</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如投标人没有按照招标文件要求提交全部资料，或者投标文件没有对招标文件在各方面都做出实质性响应，可能导致其投标被认定为投标无效。</w:t>
      </w:r>
    </w:p>
    <w:p>
      <w:pPr>
        <w:pStyle w:val="6"/>
        <w:spacing w:before="0" w:after="0" w:line="360" w:lineRule="auto"/>
        <w:rPr>
          <w:rFonts w:hint="eastAsia" w:ascii="宋体" w:hAnsi="宋体" w:eastAsia="宋体" w:cs="宋体"/>
          <w:b w:val="0"/>
          <w:i w:val="0"/>
          <w:iCs w:val="0"/>
          <w:color w:val="auto"/>
          <w:u w:val="none"/>
        </w:rPr>
      </w:pPr>
      <w:bookmarkStart w:id="22" w:name="_Toc520356148"/>
      <w:bookmarkStart w:id="23" w:name="_Toc21314"/>
      <w:bookmarkStart w:id="24" w:name="_Toc518923067"/>
      <w:r>
        <w:rPr>
          <w:rFonts w:hint="eastAsia" w:ascii="宋体" w:hAnsi="宋体" w:eastAsia="宋体" w:cs="宋体"/>
          <w:i w:val="0"/>
          <w:iCs w:val="0"/>
          <w:color w:val="auto"/>
          <w:u w:val="none"/>
        </w:rPr>
        <w:t>6</w:t>
      </w:r>
      <w:r>
        <w:rPr>
          <w:rFonts w:hint="eastAsia" w:ascii="宋体" w:hAnsi="宋体" w:eastAsia="宋体" w:cs="宋体"/>
          <w:i w:val="0"/>
          <w:iCs w:val="0"/>
          <w:color w:val="auto"/>
          <w:u w:val="none"/>
          <w:lang w:eastAsia="zh-CN"/>
        </w:rPr>
        <w:t>.</w:t>
      </w:r>
      <w:r>
        <w:rPr>
          <w:rFonts w:hint="eastAsia" w:ascii="宋体" w:hAnsi="宋体" w:eastAsia="宋体" w:cs="宋体"/>
          <w:i w:val="0"/>
          <w:iCs w:val="0"/>
          <w:color w:val="auto"/>
          <w:u w:val="none"/>
        </w:rPr>
        <w:t>招标文件的澄清</w:t>
      </w:r>
      <w:bookmarkEnd w:id="22"/>
      <w:r>
        <w:rPr>
          <w:rFonts w:hint="eastAsia" w:ascii="宋体" w:hAnsi="宋体" w:eastAsia="宋体" w:cs="宋体"/>
          <w:i w:val="0"/>
          <w:iCs w:val="0"/>
          <w:color w:val="auto"/>
          <w:u w:val="none"/>
        </w:rPr>
        <w:t>与修改</w:t>
      </w:r>
      <w:bookmarkEnd w:id="23"/>
      <w:bookmarkEnd w:id="24"/>
    </w:p>
    <w:p>
      <w:pPr>
        <w:pStyle w:val="8"/>
        <w:spacing w:line="360" w:lineRule="auto"/>
        <w:ind w:left="838" w:leftChars="228" w:hanging="360" w:hangingChars="150"/>
        <w:rPr>
          <w:rFonts w:hint="eastAsia" w:ascii="宋体" w:hAnsi="宋体" w:eastAsia="宋体" w:cs="宋体"/>
          <w:i w:val="0"/>
          <w:iCs w:val="0"/>
          <w:color w:val="auto"/>
          <w:szCs w:val="24"/>
        </w:rPr>
      </w:pPr>
      <w:r>
        <w:rPr>
          <w:rFonts w:hint="eastAsia" w:ascii="宋体" w:hAnsi="宋体" w:eastAsia="宋体" w:cs="宋体"/>
          <w:i w:val="0"/>
          <w:iCs w:val="0"/>
          <w:color w:val="auto"/>
          <w:szCs w:val="24"/>
        </w:rPr>
        <w:t>6.1为了保证对招标文件的澄清和修改满足法律的时限要求，任何要求对招</w:t>
      </w:r>
    </w:p>
    <w:p>
      <w:pPr>
        <w:pStyle w:val="8"/>
        <w:spacing w:line="360" w:lineRule="auto"/>
        <w:ind w:left="0" w:leftChars="0" w:firstLine="0" w:firstLineChars="0"/>
        <w:rPr>
          <w:rFonts w:hint="eastAsia" w:ascii="宋体" w:hAnsi="宋体" w:eastAsia="宋体" w:cs="宋体"/>
          <w:i w:val="0"/>
          <w:iCs w:val="0"/>
          <w:color w:val="auto"/>
          <w:szCs w:val="24"/>
        </w:rPr>
      </w:pPr>
      <w:r>
        <w:rPr>
          <w:rFonts w:hint="eastAsia" w:ascii="宋体" w:hAnsi="宋体" w:eastAsia="宋体" w:cs="宋体"/>
          <w:i w:val="0"/>
          <w:iCs w:val="0"/>
          <w:color w:val="auto"/>
          <w:szCs w:val="24"/>
        </w:rPr>
        <w:t>标文件进行澄清的投标人，均应在投标截止期十五日前，以书面形式将澄清要求通知采购人或采购代理机构。</w:t>
      </w:r>
    </w:p>
    <w:p>
      <w:pPr>
        <w:pStyle w:val="8"/>
        <w:spacing w:line="360" w:lineRule="auto"/>
        <w:ind w:left="838" w:leftChars="228" w:hanging="360" w:hangingChars="150"/>
        <w:rPr>
          <w:rFonts w:hint="eastAsia" w:ascii="宋体" w:hAnsi="宋体" w:eastAsia="宋体" w:cs="宋体"/>
          <w:i w:val="0"/>
          <w:iCs w:val="0"/>
          <w:color w:val="auto"/>
          <w:szCs w:val="24"/>
        </w:rPr>
      </w:pPr>
      <w:bookmarkStart w:id="25" w:name="_Ref467378678"/>
      <w:bookmarkStart w:id="26" w:name="_Toc520356149"/>
      <w:r>
        <w:rPr>
          <w:rFonts w:hint="eastAsia" w:ascii="宋体" w:hAnsi="宋体" w:eastAsia="宋体" w:cs="宋体"/>
          <w:i w:val="0"/>
          <w:iCs w:val="0"/>
          <w:color w:val="auto"/>
          <w:szCs w:val="24"/>
        </w:rPr>
        <w:t>6.2采购人可主动地或在解答投标人提出的澄清问题时对招标文件澄清或修</w:t>
      </w:r>
    </w:p>
    <w:p>
      <w:pPr>
        <w:pStyle w:val="8"/>
        <w:spacing w:line="360" w:lineRule="auto"/>
        <w:ind w:left="0" w:leftChars="0" w:firstLine="0" w:firstLineChars="0"/>
        <w:rPr>
          <w:rFonts w:hint="eastAsia" w:ascii="宋体" w:hAnsi="宋体" w:eastAsia="宋体" w:cs="宋体"/>
          <w:i w:val="0"/>
          <w:iCs w:val="0"/>
          <w:color w:val="auto"/>
          <w:szCs w:val="24"/>
        </w:rPr>
      </w:pPr>
      <w:r>
        <w:rPr>
          <w:rFonts w:hint="eastAsia" w:ascii="宋体" w:hAnsi="宋体" w:eastAsia="宋体" w:cs="宋体"/>
          <w:i w:val="0"/>
          <w:iCs w:val="0"/>
          <w:color w:val="auto"/>
          <w:szCs w:val="24"/>
        </w:rPr>
        <w:t>改。采购代理机构将以发布澄清（更正）公告的方式，澄清或修改招标文件，澄清或修改内容作为招标文件的组成部分。</w:t>
      </w:r>
    </w:p>
    <w:p>
      <w:pPr>
        <w:pStyle w:val="8"/>
        <w:spacing w:line="360" w:lineRule="auto"/>
        <w:ind w:left="838" w:leftChars="228" w:hanging="360" w:hangingChars="150"/>
        <w:rPr>
          <w:rFonts w:hint="eastAsia" w:ascii="宋体" w:hAnsi="宋体" w:eastAsia="宋体" w:cs="宋体"/>
          <w:i w:val="0"/>
          <w:iCs w:val="0"/>
          <w:color w:val="auto"/>
          <w:szCs w:val="24"/>
        </w:rPr>
      </w:pPr>
      <w:r>
        <w:rPr>
          <w:rFonts w:hint="eastAsia" w:ascii="宋体" w:hAnsi="宋体" w:eastAsia="宋体" w:cs="宋体"/>
          <w:i w:val="0"/>
          <w:iCs w:val="0"/>
          <w:color w:val="auto"/>
          <w:szCs w:val="24"/>
        </w:rPr>
        <w:t>6.3澄清或者修改的内容可能影响投标文件编制的，采购代理机构将以书面</w:t>
      </w:r>
    </w:p>
    <w:p>
      <w:pPr>
        <w:pStyle w:val="8"/>
        <w:spacing w:line="360" w:lineRule="auto"/>
        <w:ind w:left="0" w:leftChars="0" w:firstLine="0" w:firstLineChars="0"/>
        <w:rPr>
          <w:rFonts w:hint="eastAsia" w:ascii="宋体" w:hAnsi="宋体" w:eastAsia="宋体" w:cs="宋体"/>
          <w:i w:val="0"/>
          <w:iCs w:val="0"/>
          <w:color w:val="auto"/>
          <w:szCs w:val="24"/>
        </w:rPr>
      </w:pPr>
      <w:r>
        <w:rPr>
          <w:rFonts w:hint="eastAsia" w:ascii="宋体" w:hAnsi="宋体" w:eastAsia="宋体" w:cs="宋体"/>
          <w:i w:val="0"/>
          <w:iCs w:val="0"/>
          <w:color w:val="auto"/>
          <w:szCs w:val="24"/>
        </w:rPr>
        <w:t>形式通知所有购买招标文件的潜在投标人，并对其具有约束力。投标人在收到上述通知后，应及时向采购代理机构回函确认。</w:t>
      </w:r>
    </w:p>
    <w:p>
      <w:pPr>
        <w:pStyle w:val="6"/>
        <w:tabs>
          <w:tab w:val="left" w:pos="900"/>
        </w:tabs>
        <w:spacing w:before="0" w:after="0" w:line="360" w:lineRule="auto"/>
        <w:rPr>
          <w:rFonts w:hint="eastAsia" w:ascii="宋体" w:hAnsi="宋体" w:eastAsia="宋体" w:cs="宋体"/>
          <w:i w:val="0"/>
          <w:iCs w:val="0"/>
          <w:color w:val="auto"/>
          <w:u w:val="none"/>
        </w:rPr>
      </w:pPr>
      <w:bookmarkStart w:id="27" w:name="_Toc10994"/>
      <w:bookmarkStart w:id="28" w:name="_Toc518923068"/>
      <w:r>
        <w:rPr>
          <w:rFonts w:hint="eastAsia" w:ascii="宋体" w:hAnsi="宋体" w:eastAsia="宋体" w:cs="宋体"/>
          <w:i w:val="0"/>
          <w:iCs w:val="0"/>
          <w:color w:val="auto"/>
          <w:u w:val="none"/>
        </w:rPr>
        <w:t>7</w:t>
      </w:r>
      <w:bookmarkEnd w:id="25"/>
      <w:bookmarkEnd w:id="26"/>
      <w:r>
        <w:rPr>
          <w:rFonts w:hint="eastAsia" w:ascii="宋体" w:hAnsi="宋体" w:eastAsia="宋体" w:cs="宋体"/>
          <w:i w:val="0"/>
          <w:iCs w:val="0"/>
          <w:color w:val="auto"/>
          <w:u w:val="none"/>
          <w:lang w:eastAsia="zh-CN"/>
        </w:rPr>
        <w:t>.</w:t>
      </w:r>
      <w:r>
        <w:rPr>
          <w:rFonts w:hint="eastAsia" w:ascii="宋体" w:hAnsi="宋体" w:eastAsia="宋体" w:cs="宋体"/>
          <w:i w:val="0"/>
          <w:iCs w:val="0"/>
          <w:color w:val="auto"/>
          <w:u w:val="none"/>
        </w:rPr>
        <w:t>投标截止时间的顺延</w:t>
      </w:r>
      <w:bookmarkEnd w:id="27"/>
      <w:bookmarkEnd w:id="28"/>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为使投标人准备投标时有足够的时间对招标文件的澄清或者修改部分进行</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研究，采购人将依法决定是否顺延投标截止时间。</w:t>
      </w:r>
    </w:p>
    <w:p>
      <w:pPr>
        <w:spacing w:line="360" w:lineRule="auto"/>
        <w:ind w:left="900" w:hanging="900" w:hangingChars="375"/>
        <w:rPr>
          <w:rFonts w:hint="eastAsia" w:ascii="宋体" w:hAnsi="宋体" w:eastAsia="宋体" w:cs="宋体"/>
          <w:i w:val="0"/>
          <w:iCs w:val="0"/>
          <w:color w:val="auto"/>
          <w:sz w:val="24"/>
        </w:rPr>
      </w:pPr>
    </w:p>
    <w:p>
      <w:pPr>
        <w:pStyle w:val="4"/>
        <w:tabs>
          <w:tab w:val="left" w:pos="900"/>
        </w:tabs>
        <w:spacing w:before="0" w:line="360" w:lineRule="auto"/>
        <w:ind w:left="1079" w:leftChars="257" w:hanging="540"/>
        <w:rPr>
          <w:rFonts w:hint="eastAsia" w:ascii="宋体" w:hAnsi="宋体" w:eastAsia="宋体" w:cs="宋体"/>
          <w:i w:val="0"/>
          <w:iCs w:val="0"/>
          <w:color w:val="auto"/>
          <w:sz w:val="28"/>
        </w:rPr>
      </w:pPr>
      <w:bookmarkStart w:id="29" w:name="_Toc516367020"/>
      <w:bookmarkStart w:id="30" w:name="_Toc520356150"/>
      <w:bookmarkStart w:id="31" w:name="_Toc216582807"/>
      <w:bookmarkStart w:id="32" w:name="_Toc25389"/>
      <w:bookmarkStart w:id="33" w:name="_Toc518923069"/>
      <w:r>
        <w:rPr>
          <w:rFonts w:hint="eastAsia" w:ascii="宋体" w:hAnsi="宋体" w:eastAsia="宋体" w:cs="宋体"/>
          <w:i w:val="0"/>
          <w:iCs w:val="0"/>
          <w:color w:val="auto"/>
          <w:sz w:val="28"/>
        </w:rPr>
        <w:t>三</w:t>
      </w:r>
      <w:r>
        <w:rPr>
          <w:rFonts w:hint="eastAsia" w:ascii="宋体" w:hAnsi="宋体" w:eastAsia="宋体" w:cs="宋体"/>
          <w:i w:val="0"/>
          <w:iCs w:val="0"/>
          <w:color w:val="auto"/>
          <w:sz w:val="28"/>
          <w:lang w:eastAsia="zh-CN"/>
        </w:rPr>
        <w:t>、</w:t>
      </w:r>
      <w:r>
        <w:rPr>
          <w:rFonts w:hint="eastAsia" w:ascii="宋体" w:hAnsi="宋体" w:eastAsia="宋体" w:cs="宋体"/>
          <w:i w:val="0"/>
          <w:iCs w:val="0"/>
          <w:color w:val="auto"/>
          <w:sz w:val="28"/>
        </w:rPr>
        <w:t>投标文件</w:t>
      </w:r>
      <w:bookmarkEnd w:id="29"/>
      <w:r>
        <w:rPr>
          <w:rFonts w:hint="eastAsia" w:ascii="宋体" w:hAnsi="宋体" w:eastAsia="宋体" w:cs="宋体"/>
          <w:i w:val="0"/>
          <w:iCs w:val="0"/>
          <w:color w:val="auto"/>
          <w:sz w:val="28"/>
        </w:rPr>
        <w:t>的编制</w:t>
      </w:r>
      <w:bookmarkEnd w:id="30"/>
      <w:bookmarkEnd w:id="31"/>
      <w:bookmarkEnd w:id="32"/>
      <w:bookmarkEnd w:id="33"/>
    </w:p>
    <w:p>
      <w:pPr>
        <w:pStyle w:val="8"/>
        <w:spacing w:line="360" w:lineRule="auto"/>
        <w:rPr>
          <w:rFonts w:hint="eastAsia" w:ascii="宋体" w:hAnsi="宋体" w:eastAsia="宋体" w:cs="宋体"/>
          <w:i w:val="0"/>
          <w:iCs w:val="0"/>
          <w:color w:val="auto"/>
        </w:rPr>
      </w:pPr>
    </w:p>
    <w:p>
      <w:pPr>
        <w:pStyle w:val="6"/>
        <w:tabs>
          <w:tab w:val="left" w:pos="900"/>
        </w:tabs>
        <w:spacing w:before="0" w:after="0" w:line="360" w:lineRule="auto"/>
        <w:rPr>
          <w:rFonts w:hint="eastAsia" w:ascii="宋体" w:hAnsi="宋体" w:eastAsia="宋体" w:cs="宋体"/>
          <w:i w:val="0"/>
          <w:iCs w:val="0"/>
          <w:color w:val="auto"/>
          <w:u w:val="none"/>
        </w:rPr>
      </w:pPr>
      <w:bookmarkStart w:id="34" w:name="_Toc516367021"/>
      <w:bookmarkStart w:id="35" w:name="_Toc6728"/>
      <w:bookmarkStart w:id="36" w:name="_Toc520356151"/>
      <w:bookmarkStart w:id="37" w:name="_Toc518923070"/>
      <w:r>
        <w:rPr>
          <w:rFonts w:hint="eastAsia" w:ascii="宋体" w:hAnsi="宋体" w:eastAsia="宋体" w:cs="宋体"/>
          <w:i w:val="0"/>
          <w:iCs w:val="0"/>
          <w:color w:val="auto"/>
          <w:u w:val="none"/>
        </w:rPr>
        <w:t>8.投标范围及投标文件中标准和计量单位的使用</w:t>
      </w:r>
      <w:bookmarkEnd w:id="34"/>
      <w:bookmarkEnd w:id="35"/>
      <w:bookmarkEnd w:id="36"/>
      <w:bookmarkEnd w:id="37"/>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8.1项目有分包的，投标人可对招标文件其中一个或几个分包进行投标，</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除非在</w:t>
      </w:r>
      <w:r>
        <w:rPr>
          <w:rFonts w:hint="eastAsia" w:ascii="宋体" w:hAnsi="宋体" w:eastAsia="宋体" w:cs="宋体"/>
          <w:i w:val="0"/>
          <w:iCs w:val="0"/>
          <w:color w:val="auto"/>
          <w:sz w:val="24"/>
          <w:u w:val="single"/>
        </w:rPr>
        <w:t>投标人须知资料表</w:t>
      </w:r>
      <w:r>
        <w:rPr>
          <w:rFonts w:hint="eastAsia" w:ascii="宋体" w:hAnsi="宋体" w:eastAsia="宋体" w:cs="宋体"/>
          <w:i w:val="0"/>
          <w:iCs w:val="0"/>
          <w:color w:val="auto"/>
          <w:sz w:val="24"/>
        </w:rPr>
        <w:t>中另有规定。</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8.2投标人应当对所投分包招标文件中“服务需求”所列的所有服务内容</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进行投标，如仅响应分包中的部分内容，其投标将被认定为投标无效。</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8.3无论招标文件第5章服务需求中是否要求，投标人所投服务均应符合</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国家强制性标准。</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8.4除招标文件中有特殊要求外，投标文件中所使用的计量单位，应采用</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中华人民共和国法定计量单位。</w:t>
      </w:r>
    </w:p>
    <w:p>
      <w:pPr>
        <w:pStyle w:val="6"/>
        <w:tabs>
          <w:tab w:val="left" w:pos="900"/>
        </w:tabs>
        <w:spacing w:before="0" w:after="0" w:line="360" w:lineRule="auto"/>
        <w:rPr>
          <w:rFonts w:hint="eastAsia" w:ascii="宋体" w:hAnsi="宋体" w:eastAsia="宋体" w:cs="宋体"/>
          <w:i w:val="0"/>
          <w:iCs w:val="0"/>
          <w:color w:val="auto"/>
          <w:u w:val="none"/>
        </w:rPr>
      </w:pPr>
      <w:bookmarkStart w:id="38" w:name="_Ref467306676"/>
      <w:bookmarkStart w:id="39" w:name="_Toc516367022"/>
      <w:bookmarkStart w:id="40" w:name="_Ref467306195"/>
      <w:bookmarkStart w:id="41" w:name="_Toc518923071"/>
      <w:bookmarkStart w:id="42" w:name="_Toc15487"/>
      <w:bookmarkStart w:id="43" w:name="_Toc520356152"/>
      <w:r>
        <w:rPr>
          <w:rFonts w:hint="eastAsia" w:ascii="宋体" w:hAnsi="宋体" w:eastAsia="宋体" w:cs="宋体"/>
          <w:i w:val="0"/>
          <w:iCs w:val="0"/>
          <w:color w:val="auto"/>
          <w:u w:val="none"/>
        </w:rPr>
        <w:t>9.投标文件</w:t>
      </w:r>
      <w:bookmarkEnd w:id="38"/>
      <w:bookmarkEnd w:id="39"/>
      <w:bookmarkEnd w:id="40"/>
      <w:r>
        <w:rPr>
          <w:rFonts w:hint="eastAsia" w:ascii="宋体" w:hAnsi="宋体" w:eastAsia="宋体" w:cs="宋体"/>
          <w:i w:val="0"/>
          <w:iCs w:val="0"/>
          <w:color w:val="auto"/>
          <w:u w:val="none"/>
        </w:rPr>
        <w:t>构成</w:t>
      </w:r>
      <w:bookmarkEnd w:id="41"/>
      <w:bookmarkEnd w:id="42"/>
      <w:bookmarkEnd w:id="43"/>
    </w:p>
    <w:p>
      <w:pPr>
        <w:tabs>
          <w:tab w:val="left" w:pos="900"/>
          <w:tab w:val="left" w:pos="5580"/>
        </w:tabs>
        <w:spacing w:line="360" w:lineRule="auto"/>
        <w:ind w:left="958" w:leftChars="228" w:hanging="480" w:hangingChars="200"/>
        <w:jc w:val="left"/>
        <w:rPr>
          <w:rFonts w:hint="eastAsia" w:ascii="宋体" w:hAnsi="宋体" w:eastAsia="宋体" w:cs="宋体"/>
          <w:i w:val="0"/>
          <w:iCs w:val="0"/>
          <w:color w:val="auto"/>
          <w:sz w:val="24"/>
        </w:rPr>
      </w:pPr>
      <w:bookmarkStart w:id="44" w:name="_Ref467052588"/>
      <w:r>
        <w:rPr>
          <w:rFonts w:hint="eastAsia" w:ascii="宋体" w:hAnsi="宋体" w:eastAsia="宋体" w:cs="宋体"/>
          <w:i w:val="0"/>
          <w:iCs w:val="0"/>
          <w:color w:val="auto"/>
          <w:sz w:val="24"/>
        </w:rPr>
        <w:t>9.1投标人应完整地按招标文件提供的投标文件格式及要求编写投标文件，</w:t>
      </w:r>
    </w:p>
    <w:p>
      <w:pPr>
        <w:tabs>
          <w:tab w:val="left" w:pos="900"/>
          <w:tab w:val="left" w:pos="5580"/>
        </w:tabs>
        <w:spacing w:line="360" w:lineRule="auto"/>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投标文件应包括</w:t>
      </w:r>
      <w:bookmarkEnd w:id="44"/>
      <w:r>
        <w:rPr>
          <w:rFonts w:hint="eastAsia" w:ascii="宋体" w:hAnsi="宋体" w:eastAsia="宋体" w:cs="宋体"/>
          <w:i w:val="0"/>
          <w:iCs w:val="0"/>
          <w:color w:val="auto"/>
          <w:sz w:val="24"/>
        </w:rPr>
        <w:t>“开标一览表及资格证明文件”和“商务及技术文件”两部分。</w:t>
      </w:r>
    </w:p>
    <w:p>
      <w:pPr>
        <w:tabs>
          <w:tab w:val="left" w:pos="900"/>
          <w:tab w:val="left" w:pos="5580"/>
        </w:tabs>
        <w:spacing w:line="360" w:lineRule="auto"/>
        <w:ind w:left="960" w:hanging="960" w:hangingChars="4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两部分单独装订成册，分别密封递交。投标人应承担封装失误产生的任何后果。</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9.2上述文件应按照招标文件规定的格式填写、签署和盖章。</w:t>
      </w:r>
    </w:p>
    <w:p>
      <w:pPr>
        <w:pStyle w:val="6"/>
        <w:tabs>
          <w:tab w:val="left" w:pos="900"/>
        </w:tabs>
        <w:spacing w:before="0" w:after="0" w:line="360" w:lineRule="auto"/>
        <w:rPr>
          <w:rFonts w:hint="eastAsia" w:ascii="宋体" w:hAnsi="宋体" w:eastAsia="宋体" w:cs="宋体"/>
          <w:i w:val="0"/>
          <w:iCs w:val="0"/>
          <w:color w:val="auto"/>
          <w:u w:val="none"/>
        </w:rPr>
      </w:pPr>
      <w:bookmarkStart w:id="45" w:name="_Toc2671"/>
      <w:bookmarkStart w:id="46" w:name="_Toc518923072"/>
      <w:bookmarkStart w:id="47" w:name="_Toc516367023"/>
      <w:bookmarkStart w:id="48" w:name="_Toc508185920"/>
      <w:bookmarkStart w:id="49" w:name="_Toc520356153"/>
      <w:bookmarkStart w:id="50" w:name="_Toc520356155"/>
      <w:r>
        <w:rPr>
          <w:rFonts w:hint="eastAsia" w:ascii="宋体" w:hAnsi="宋体" w:eastAsia="宋体" w:cs="宋体"/>
          <w:i w:val="0"/>
          <w:iCs w:val="0"/>
          <w:color w:val="auto"/>
          <w:u w:val="none"/>
        </w:rPr>
        <w:t>10.证明投标标的的合格性和符合招标文件规定的响应文件</w:t>
      </w:r>
      <w:bookmarkEnd w:id="45"/>
      <w:bookmarkEnd w:id="46"/>
      <w:bookmarkEnd w:id="47"/>
      <w:bookmarkEnd w:id="48"/>
      <w:bookmarkEnd w:id="49"/>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10.1投标人应提交证明文件，证明其投标内容符合招标文件规定。该证明</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文件是投标文件的一部分。</w:t>
      </w:r>
    </w:p>
    <w:p>
      <w:pPr>
        <w:spacing w:line="360" w:lineRule="auto"/>
        <w:ind w:left="898" w:leftChars="228" w:hanging="420" w:hangingChars="175"/>
        <w:rPr>
          <w:rFonts w:hint="eastAsia" w:ascii="宋体" w:hAnsi="宋体" w:eastAsia="宋体" w:cs="宋体"/>
          <w:i w:val="0"/>
          <w:iCs w:val="0"/>
          <w:color w:val="auto"/>
          <w:sz w:val="24"/>
        </w:rPr>
      </w:pPr>
      <w:bookmarkStart w:id="51" w:name="_Ref467306244"/>
      <w:r>
        <w:rPr>
          <w:rFonts w:hint="eastAsia" w:ascii="宋体" w:hAnsi="宋体" w:eastAsia="宋体" w:cs="宋体"/>
          <w:i w:val="0"/>
          <w:iCs w:val="0"/>
          <w:color w:val="auto"/>
          <w:sz w:val="24"/>
        </w:rPr>
        <w:t>10.2上款所述的证明文件，可以是文字资料、图纸和数据</w:t>
      </w:r>
      <w:bookmarkEnd w:id="51"/>
      <w:r>
        <w:rPr>
          <w:rFonts w:hint="eastAsia" w:ascii="宋体" w:hAnsi="宋体" w:eastAsia="宋体" w:cs="宋体"/>
          <w:i w:val="0"/>
          <w:iCs w:val="0"/>
          <w:color w:val="auto"/>
          <w:sz w:val="24"/>
        </w:rPr>
        <w:t>。</w:t>
      </w:r>
    </w:p>
    <w:p>
      <w:pPr>
        <w:pStyle w:val="6"/>
        <w:spacing w:before="0" w:after="0" w:line="360" w:lineRule="auto"/>
        <w:rPr>
          <w:rFonts w:hint="eastAsia" w:ascii="宋体" w:hAnsi="宋体" w:eastAsia="宋体" w:cs="宋体"/>
          <w:i w:val="0"/>
          <w:iCs w:val="0"/>
          <w:color w:val="auto"/>
          <w:u w:val="none"/>
        </w:rPr>
      </w:pPr>
      <w:bookmarkStart w:id="52" w:name="_Toc8529"/>
      <w:bookmarkStart w:id="53" w:name="_Toc518923073"/>
      <w:r>
        <w:rPr>
          <w:rFonts w:hint="eastAsia" w:ascii="宋体" w:hAnsi="宋体" w:eastAsia="宋体" w:cs="宋体"/>
          <w:i w:val="0"/>
          <w:iCs w:val="0"/>
          <w:color w:val="auto"/>
          <w:u w:val="none"/>
        </w:rPr>
        <w:t>11</w:t>
      </w:r>
      <w:r>
        <w:rPr>
          <w:rFonts w:hint="eastAsia" w:ascii="宋体" w:hAnsi="宋体" w:eastAsia="宋体" w:cs="宋体"/>
          <w:i w:val="0"/>
          <w:iCs w:val="0"/>
          <w:color w:val="auto"/>
          <w:u w:val="none"/>
          <w:lang w:eastAsia="zh-CN"/>
        </w:rPr>
        <w:t>.</w:t>
      </w:r>
      <w:r>
        <w:rPr>
          <w:rFonts w:hint="eastAsia" w:ascii="宋体" w:hAnsi="宋体" w:eastAsia="宋体" w:cs="宋体"/>
          <w:i w:val="0"/>
          <w:iCs w:val="0"/>
          <w:color w:val="auto"/>
          <w:u w:val="none"/>
        </w:rPr>
        <w:t>投标报价</w:t>
      </w:r>
      <w:bookmarkEnd w:id="50"/>
      <w:bookmarkEnd w:id="52"/>
      <w:bookmarkEnd w:id="53"/>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11.1所有投标均以人民币报价。投标人的投标报价应遵守《中华人民共和</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国价格法》。同时，根据《中华人民共和国政府采购法》第二条的规定，为保证公平竞争，如有主体投标标的的赠与行为，其投标将被认定为投标无效。</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11.2投标人应在投标分项报价表上标明分项服务的价格（如适用）和总价，</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并由法定代表人或其委托代理人签署。</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11.3采购人不接受具有附加条件的报价。</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11.4投标人所报的各分项投标报价在合同履行过程中是固定不变的，不得</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以任何理由予以变更。任何包含价格调整要求的投标，将被认定为投标无效。</w:t>
      </w:r>
    </w:p>
    <w:p>
      <w:pPr>
        <w:pStyle w:val="6"/>
        <w:spacing w:before="0" w:after="0" w:line="360" w:lineRule="auto"/>
        <w:rPr>
          <w:rFonts w:hint="eastAsia" w:ascii="宋体" w:hAnsi="宋体" w:eastAsia="宋体" w:cs="宋体"/>
          <w:i w:val="0"/>
          <w:iCs w:val="0"/>
          <w:color w:val="auto"/>
          <w:u w:val="none"/>
        </w:rPr>
      </w:pPr>
      <w:bookmarkStart w:id="54" w:name="_Toc16199"/>
      <w:bookmarkStart w:id="55" w:name="_Toc518923074"/>
      <w:bookmarkStart w:id="56" w:name="_Toc520356156"/>
      <w:bookmarkStart w:id="57" w:name="_Ref467306513"/>
      <w:r>
        <w:rPr>
          <w:rFonts w:hint="eastAsia" w:ascii="宋体" w:hAnsi="宋体" w:eastAsia="宋体" w:cs="宋体"/>
          <w:i w:val="0"/>
          <w:iCs w:val="0"/>
          <w:color w:val="auto"/>
          <w:u w:val="none"/>
        </w:rPr>
        <w:t>12</w:t>
      </w:r>
      <w:r>
        <w:rPr>
          <w:rFonts w:hint="eastAsia" w:ascii="宋体" w:hAnsi="宋体" w:eastAsia="宋体" w:cs="宋体"/>
          <w:i w:val="0"/>
          <w:iCs w:val="0"/>
          <w:color w:val="auto"/>
          <w:u w:val="none"/>
          <w:lang w:eastAsia="zh-CN"/>
        </w:rPr>
        <w:t>.</w:t>
      </w:r>
      <w:r>
        <w:rPr>
          <w:rFonts w:hint="eastAsia" w:ascii="宋体" w:hAnsi="宋体" w:eastAsia="宋体" w:cs="宋体"/>
          <w:i w:val="0"/>
          <w:iCs w:val="0"/>
          <w:color w:val="auto"/>
          <w:u w:val="none"/>
        </w:rPr>
        <w:t>投标保证金</w:t>
      </w:r>
      <w:bookmarkEnd w:id="54"/>
      <w:bookmarkEnd w:id="55"/>
      <w:bookmarkEnd w:id="56"/>
      <w:bookmarkEnd w:id="57"/>
    </w:p>
    <w:p>
      <w:pPr>
        <w:spacing w:line="360" w:lineRule="auto"/>
        <w:ind w:left="898" w:leftChars="228" w:hanging="420" w:hangingChars="175"/>
        <w:rPr>
          <w:rFonts w:hint="eastAsia" w:ascii="宋体" w:hAnsi="宋体" w:eastAsia="宋体" w:cs="宋体"/>
          <w:i w:val="0"/>
          <w:iCs w:val="0"/>
          <w:color w:val="auto"/>
          <w:sz w:val="24"/>
        </w:rPr>
      </w:pPr>
      <w:bookmarkStart w:id="58" w:name="_Ref467306302"/>
      <w:r>
        <w:rPr>
          <w:rFonts w:hint="eastAsia" w:ascii="宋体" w:hAnsi="宋体" w:eastAsia="宋体" w:cs="宋体"/>
          <w:i w:val="0"/>
          <w:iCs w:val="0"/>
          <w:color w:val="auto"/>
          <w:sz w:val="24"/>
        </w:rPr>
        <w:t>12.1投标人应提交</w:t>
      </w:r>
      <w:r>
        <w:rPr>
          <w:rFonts w:hint="eastAsia" w:ascii="宋体" w:hAnsi="宋体" w:eastAsia="宋体" w:cs="宋体"/>
          <w:i w:val="0"/>
          <w:iCs w:val="0"/>
          <w:color w:val="auto"/>
          <w:sz w:val="24"/>
          <w:u w:val="single"/>
        </w:rPr>
        <w:t>投标人须知资料表</w:t>
      </w:r>
      <w:r>
        <w:rPr>
          <w:rFonts w:hint="eastAsia" w:ascii="宋体" w:hAnsi="宋体" w:eastAsia="宋体" w:cs="宋体"/>
          <w:i w:val="0"/>
          <w:iCs w:val="0"/>
          <w:color w:val="auto"/>
          <w:sz w:val="24"/>
        </w:rPr>
        <w:t>中规定的投标保证金</w:t>
      </w:r>
      <w:bookmarkEnd w:id="58"/>
      <w:r>
        <w:rPr>
          <w:rFonts w:hint="eastAsia" w:ascii="宋体" w:hAnsi="宋体" w:eastAsia="宋体" w:cs="宋体"/>
          <w:i w:val="0"/>
          <w:iCs w:val="0"/>
          <w:color w:val="auto"/>
          <w:sz w:val="24"/>
        </w:rPr>
        <w:t>，并作为其投标</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的一部分。</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12.2投标人存在下列情形的，投标保证金不予退还：</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（1）在投标有效期内，撤销投标的；</w:t>
      </w:r>
    </w:p>
    <w:p>
      <w:pPr>
        <w:pStyle w:val="14"/>
        <w:tabs>
          <w:tab w:val="left" w:pos="2240"/>
        </w:tabs>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（2）中标后不按本须知第30条的规定与采购人签订合同的；</w:t>
      </w:r>
    </w:p>
    <w:p>
      <w:pPr>
        <w:pStyle w:val="14"/>
        <w:tabs>
          <w:tab w:val="left" w:pos="2240"/>
        </w:tabs>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（3）中标后不按本须知第31条的规定提交履约保证金的；</w:t>
      </w:r>
    </w:p>
    <w:p>
      <w:pPr>
        <w:pStyle w:val="14"/>
        <w:tabs>
          <w:tab w:val="left" w:pos="2240"/>
        </w:tabs>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（4）中标后不按本须知第32条的规定缴纳中标服务费的；</w:t>
      </w:r>
    </w:p>
    <w:p>
      <w:pPr>
        <w:pStyle w:val="14"/>
        <w:tabs>
          <w:tab w:val="left" w:pos="2240"/>
        </w:tabs>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（5）存在其他违法违规行为的。</w:t>
      </w:r>
    </w:p>
    <w:p>
      <w:pPr>
        <w:spacing w:line="360" w:lineRule="auto"/>
        <w:ind w:left="898" w:leftChars="228" w:hanging="420" w:hangingChars="175"/>
        <w:rPr>
          <w:rFonts w:hint="eastAsia" w:ascii="宋体" w:hAnsi="宋体" w:eastAsia="宋体" w:cs="宋体"/>
          <w:i w:val="0"/>
          <w:iCs w:val="0"/>
          <w:color w:val="auto"/>
          <w:sz w:val="24"/>
        </w:rPr>
      </w:pPr>
      <w:bookmarkStart w:id="59" w:name="_Ref467306336"/>
      <w:r>
        <w:rPr>
          <w:rFonts w:hint="eastAsia" w:ascii="宋体" w:hAnsi="宋体" w:eastAsia="宋体" w:cs="宋体"/>
          <w:i w:val="0"/>
          <w:iCs w:val="0"/>
          <w:color w:val="auto"/>
          <w:sz w:val="24"/>
        </w:rPr>
        <w:t>12.3</w:t>
      </w:r>
      <w:bookmarkEnd w:id="59"/>
      <w:r>
        <w:rPr>
          <w:rFonts w:hint="eastAsia" w:ascii="宋体" w:hAnsi="宋体" w:eastAsia="宋体" w:cs="宋体"/>
          <w:i w:val="0"/>
          <w:iCs w:val="0"/>
          <w:color w:val="auto"/>
          <w:sz w:val="24"/>
        </w:rPr>
        <w:t>政府采购信用担保试点范围内的项目，接受符合财政部门规定的政府</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采购投标担保函原件。</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12.4投标人未按本须知第12.1和12.3条规定提交投标保证金的，其投标</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将被认定为</w:t>
      </w:r>
      <w:r>
        <w:rPr>
          <w:rFonts w:hint="eastAsia" w:ascii="宋体" w:hAnsi="宋体" w:eastAsia="宋体" w:cs="宋体"/>
          <w:b/>
          <w:i w:val="0"/>
          <w:iCs w:val="0"/>
          <w:color w:val="auto"/>
          <w:sz w:val="24"/>
        </w:rPr>
        <w:t>投标无效</w:t>
      </w:r>
      <w:r>
        <w:rPr>
          <w:rFonts w:hint="eastAsia" w:ascii="宋体" w:hAnsi="宋体" w:eastAsia="宋体" w:cs="宋体"/>
          <w:i w:val="0"/>
          <w:iCs w:val="0"/>
          <w:color w:val="auto"/>
          <w:sz w:val="24"/>
        </w:rPr>
        <w:t>。</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12.4.1采用电汇形式的，一般可以实时入账；</w:t>
      </w:r>
    </w:p>
    <w:p>
      <w:pPr>
        <w:spacing w:line="360" w:lineRule="auto"/>
        <w:ind w:left="958" w:leftChars="228"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12.4.2采用支票形式的，投标人则应充分考虑支票入账时间，以确保投标</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12.5联合体投标的，可以由联合体中的一方或者共同提交投标保证金。以</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一方名义提交投标保证金的，对联合体各方均具有约束力。</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12.6</w:t>
      </w:r>
      <w:r>
        <w:rPr>
          <w:rFonts w:hint="eastAsia" w:ascii="宋体" w:hAnsi="宋体" w:eastAsia="宋体" w:cs="宋体"/>
          <w:b/>
          <w:i w:val="0"/>
          <w:iCs w:val="0"/>
          <w:color w:val="auto"/>
          <w:sz w:val="24"/>
        </w:rPr>
        <w:t>投标保证金的退还</w:t>
      </w:r>
    </w:p>
    <w:p>
      <w:pPr>
        <w:spacing w:line="360" w:lineRule="auto"/>
        <w:ind w:left="1018" w:leftChars="228" w:hanging="540" w:hangingChars="225"/>
        <w:rPr>
          <w:rFonts w:hint="eastAsia" w:ascii="宋体" w:hAnsi="宋体" w:eastAsia="宋体" w:cs="宋体"/>
          <w:i w:val="0"/>
          <w:iCs w:val="0"/>
          <w:color w:val="auto"/>
          <w:sz w:val="24"/>
        </w:rPr>
      </w:pPr>
      <w:r>
        <w:rPr>
          <w:rFonts w:hint="eastAsia" w:ascii="宋体" w:hAnsi="宋体" w:eastAsia="宋体" w:cs="宋体"/>
          <w:i w:val="0"/>
          <w:iCs w:val="0"/>
          <w:color w:val="auto"/>
          <w:sz w:val="24"/>
        </w:rPr>
        <w:t>12.6.1中标人应在与采购人签订合同之日起5个工作日内，及时联系保证</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金收受机构办理投标保证金无息退还手续。</w:t>
      </w:r>
    </w:p>
    <w:p>
      <w:pPr>
        <w:spacing w:line="360" w:lineRule="auto"/>
        <w:ind w:left="1018" w:leftChars="228" w:hanging="540" w:hangingChars="225"/>
        <w:rPr>
          <w:rFonts w:hint="eastAsia" w:ascii="宋体" w:hAnsi="宋体" w:eastAsia="宋体" w:cs="宋体"/>
          <w:i w:val="0"/>
          <w:iCs w:val="0"/>
          <w:color w:val="auto"/>
          <w:sz w:val="24"/>
        </w:rPr>
      </w:pPr>
      <w:r>
        <w:rPr>
          <w:rFonts w:hint="eastAsia" w:ascii="宋体" w:hAnsi="宋体" w:eastAsia="宋体" w:cs="宋体"/>
          <w:i w:val="0"/>
          <w:iCs w:val="0"/>
          <w:color w:val="auto"/>
          <w:sz w:val="24"/>
        </w:rPr>
        <w:t>12.6.2未中标投标人的投标保证金将在中标通知书发出之日暨中标结果公</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告公布之日起5个工作日内无息退还。投标人及时联系保证金收受机构办理退还投标保证金手续。</w:t>
      </w:r>
      <w:bookmarkStart w:id="60" w:name="_Toc518923075"/>
    </w:p>
    <w:p>
      <w:pPr>
        <w:spacing w:line="360" w:lineRule="auto"/>
        <w:ind w:left="1018" w:leftChars="228" w:hanging="540" w:hangingChars="225"/>
        <w:rPr>
          <w:rFonts w:hint="eastAsia" w:ascii="宋体" w:hAnsi="宋体" w:eastAsia="宋体" w:cs="宋体"/>
          <w:i w:val="0"/>
          <w:iCs w:val="0"/>
          <w:color w:val="auto"/>
          <w:sz w:val="24"/>
        </w:rPr>
      </w:pPr>
      <w:r>
        <w:rPr>
          <w:rFonts w:hint="eastAsia" w:ascii="宋体" w:hAnsi="宋体" w:eastAsia="宋体" w:cs="宋体"/>
          <w:i w:val="0"/>
          <w:iCs w:val="0"/>
          <w:color w:val="auto"/>
          <w:sz w:val="24"/>
        </w:rPr>
        <w:t>12.6.3  政府采购投标担保函不予退回。</w:t>
      </w:r>
      <w:bookmarkEnd w:id="60"/>
    </w:p>
    <w:p>
      <w:pPr>
        <w:spacing w:line="360" w:lineRule="auto"/>
        <w:ind w:left="958" w:leftChars="228"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12.7因投标人自身原因导致无法及时退还的，采购人或采购代理机构将不</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承担相应责任。</w:t>
      </w:r>
    </w:p>
    <w:p>
      <w:pPr>
        <w:pStyle w:val="6"/>
        <w:spacing w:before="0" w:after="0" w:line="360" w:lineRule="auto"/>
        <w:rPr>
          <w:rFonts w:hint="eastAsia" w:ascii="宋体" w:hAnsi="宋体" w:eastAsia="宋体" w:cs="宋体"/>
          <w:i w:val="0"/>
          <w:iCs w:val="0"/>
          <w:color w:val="auto"/>
          <w:u w:val="none"/>
        </w:rPr>
      </w:pPr>
      <w:bookmarkStart w:id="61" w:name="_Toc20355"/>
      <w:bookmarkStart w:id="62" w:name="_Toc520356157"/>
      <w:bookmarkStart w:id="63" w:name="_Toc518923076"/>
      <w:r>
        <w:rPr>
          <w:rFonts w:hint="eastAsia" w:ascii="宋体" w:hAnsi="宋体" w:eastAsia="宋体" w:cs="宋体"/>
          <w:i w:val="0"/>
          <w:iCs w:val="0"/>
          <w:color w:val="auto"/>
          <w:u w:val="none"/>
        </w:rPr>
        <w:t>13</w:t>
      </w:r>
      <w:r>
        <w:rPr>
          <w:rFonts w:hint="eastAsia" w:ascii="宋体" w:hAnsi="宋体" w:eastAsia="宋体" w:cs="宋体"/>
          <w:i w:val="0"/>
          <w:iCs w:val="0"/>
          <w:color w:val="auto"/>
          <w:u w:val="none"/>
          <w:lang w:eastAsia="zh-CN"/>
        </w:rPr>
        <w:t>.</w:t>
      </w:r>
      <w:r>
        <w:rPr>
          <w:rFonts w:hint="eastAsia" w:ascii="宋体" w:hAnsi="宋体" w:eastAsia="宋体" w:cs="宋体"/>
          <w:i w:val="0"/>
          <w:iCs w:val="0"/>
          <w:color w:val="auto"/>
          <w:u w:val="none"/>
        </w:rPr>
        <w:t>投标有效期</w:t>
      </w:r>
      <w:bookmarkEnd w:id="61"/>
      <w:bookmarkEnd w:id="62"/>
      <w:bookmarkEnd w:id="63"/>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13.1投标应在</w:t>
      </w:r>
      <w:r>
        <w:rPr>
          <w:rFonts w:hint="eastAsia" w:ascii="宋体" w:hAnsi="宋体" w:eastAsia="宋体" w:cs="宋体"/>
          <w:i w:val="0"/>
          <w:iCs w:val="0"/>
          <w:color w:val="auto"/>
          <w:sz w:val="24"/>
          <w:u w:val="single"/>
        </w:rPr>
        <w:t>投标人须知资料表</w:t>
      </w:r>
      <w:r>
        <w:rPr>
          <w:rFonts w:hint="eastAsia" w:ascii="宋体" w:hAnsi="宋体" w:eastAsia="宋体" w:cs="宋体"/>
          <w:i w:val="0"/>
          <w:iCs w:val="0"/>
          <w:color w:val="auto"/>
          <w:sz w:val="24"/>
        </w:rPr>
        <w:t>中规定时间内保持有效。投标有效期不满</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足要求的投标，其投标将被认定为</w:t>
      </w:r>
      <w:r>
        <w:rPr>
          <w:rFonts w:hint="eastAsia" w:ascii="宋体" w:hAnsi="宋体" w:eastAsia="宋体" w:cs="宋体"/>
          <w:b/>
          <w:i w:val="0"/>
          <w:iCs w:val="0"/>
          <w:color w:val="auto"/>
          <w:sz w:val="24"/>
        </w:rPr>
        <w:t>投标无效</w:t>
      </w:r>
      <w:r>
        <w:rPr>
          <w:rFonts w:hint="eastAsia" w:ascii="宋体" w:hAnsi="宋体" w:eastAsia="宋体" w:cs="宋体"/>
          <w:i w:val="0"/>
          <w:iCs w:val="0"/>
          <w:color w:val="auto"/>
          <w:sz w:val="24"/>
        </w:rPr>
        <w:t>。</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13.2为保证有充分时间签订合同，采购人或采购代理机构可根据实际情况，</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pPr>
        <w:pStyle w:val="6"/>
        <w:spacing w:before="0" w:after="0" w:line="360" w:lineRule="auto"/>
        <w:rPr>
          <w:rFonts w:hint="eastAsia" w:ascii="宋体" w:hAnsi="宋体" w:eastAsia="宋体" w:cs="宋体"/>
          <w:i w:val="0"/>
          <w:iCs w:val="0"/>
          <w:color w:val="auto"/>
          <w:u w:val="none"/>
        </w:rPr>
      </w:pPr>
      <w:bookmarkStart w:id="64" w:name="_Toc520356158"/>
      <w:bookmarkStart w:id="65" w:name="_Toc27303"/>
      <w:bookmarkStart w:id="66" w:name="_Toc518923077"/>
      <w:r>
        <w:rPr>
          <w:rFonts w:hint="eastAsia" w:ascii="宋体" w:hAnsi="宋体" w:eastAsia="宋体" w:cs="宋体"/>
          <w:i w:val="0"/>
          <w:iCs w:val="0"/>
          <w:color w:val="auto"/>
          <w:u w:val="none"/>
        </w:rPr>
        <w:t>14</w:t>
      </w:r>
      <w:r>
        <w:rPr>
          <w:rFonts w:hint="eastAsia" w:ascii="宋体" w:hAnsi="宋体" w:eastAsia="宋体" w:cs="宋体"/>
          <w:i w:val="0"/>
          <w:iCs w:val="0"/>
          <w:color w:val="auto"/>
          <w:u w:val="none"/>
          <w:lang w:eastAsia="zh-CN"/>
        </w:rPr>
        <w:t>.</w:t>
      </w:r>
      <w:r>
        <w:rPr>
          <w:rFonts w:hint="eastAsia" w:ascii="宋体" w:hAnsi="宋体" w:eastAsia="宋体" w:cs="宋体"/>
          <w:i w:val="0"/>
          <w:iCs w:val="0"/>
          <w:color w:val="auto"/>
          <w:u w:val="none"/>
        </w:rPr>
        <w:t>投标文件的签署</w:t>
      </w:r>
      <w:bookmarkEnd w:id="64"/>
      <w:r>
        <w:rPr>
          <w:rFonts w:hint="eastAsia" w:ascii="宋体" w:hAnsi="宋体" w:eastAsia="宋体" w:cs="宋体"/>
          <w:i w:val="0"/>
          <w:iCs w:val="0"/>
          <w:color w:val="auto"/>
          <w:u w:val="none"/>
        </w:rPr>
        <w:t>及规定</w:t>
      </w:r>
      <w:bookmarkEnd w:id="65"/>
      <w:bookmarkEnd w:id="66"/>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14.1投标人应按</w:t>
      </w:r>
      <w:r>
        <w:rPr>
          <w:rFonts w:hint="eastAsia" w:ascii="宋体" w:hAnsi="宋体" w:eastAsia="宋体" w:cs="宋体"/>
          <w:i w:val="0"/>
          <w:iCs w:val="0"/>
          <w:color w:val="auto"/>
          <w:sz w:val="24"/>
          <w:u w:val="single"/>
        </w:rPr>
        <w:t>投标人须知资料表</w:t>
      </w:r>
      <w:r>
        <w:rPr>
          <w:rFonts w:hint="eastAsia" w:ascii="宋体" w:hAnsi="宋体" w:eastAsia="宋体" w:cs="宋体"/>
          <w:i w:val="0"/>
          <w:iCs w:val="0"/>
          <w:color w:val="auto"/>
          <w:sz w:val="24"/>
        </w:rPr>
        <w:t>中的规定，准备和递交投标文件资格证</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明文件、商务和技术文件正本、副本和电子文档，每份资格证明文件、商务和技术文件封皮须清楚地标明“正本”或“副本”。若正本和副本不符，以正本为准。</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14.2投标文件的正本需打印或用不褪色墨水书写，并由投标人的法定代表</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人或其委托代理人按招标文件规定在投标文件上签字并加盖单位印章。委托代理人须持有书面的“法定代表人授权委托书”（投标文件格式二），并将其附在投标文件中。如对投标文件进行了修改，则应由投标人法定代表人或其委托代理人在每一修改处签字。投标文件的副本可采用正本的复印件。</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14.3所有投标文件采用不可拆装的胶订方式装订，否则将被认定为投标无</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效。</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14.4投标文件因字迹潦草、表达不清或装订不当所引起的后果由投标人负</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责。</w:t>
      </w:r>
    </w:p>
    <w:p>
      <w:pPr>
        <w:spacing w:line="360" w:lineRule="auto"/>
        <w:ind w:left="900" w:hanging="900" w:hangingChars="375"/>
        <w:rPr>
          <w:rFonts w:hint="eastAsia" w:ascii="宋体" w:hAnsi="宋体" w:eastAsia="宋体" w:cs="宋体"/>
          <w:i w:val="0"/>
          <w:iCs w:val="0"/>
          <w:color w:val="auto"/>
          <w:sz w:val="24"/>
        </w:rPr>
      </w:pPr>
    </w:p>
    <w:p>
      <w:pPr>
        <w:pStyle w:val="24"/>
        <w:spacing w:line="360" w:lineRule="auto"/>
        <w:rPr>
          <w:rFonts w:hint="eastAsia"/>
          <w:color w:val="auto"/>
        </w:rPr>
      </w:pPr>
    </w:p>
    <w:p>
      <w:pPr>
        <w:pStyle w:val="24"/>
        <w:spacing w:line="360" w:lineRule="auto"/>
        <w:rPr>
          <w:rFonts w:hint="eastAsia"/>
          <w:color w:val="auto"/>
        </w:rPr>
      </w:pPr>
    </w:p>
    <w:p>
      <w:pPr>
        <w:pStyle w:val="4"/>
        <w:spacing w:before="0" w:line="360" w:lineRule="auto"/>
        <w:ind w:left="1079" w:leftChars="257" w:hanging="540"/>
        <w:rPr>
          <w:rFonts w:hint="eastAsia" w:ascii="宋体" w:hAnsi="宋体" w:eastAsia="宋体" w:cs="宋体"/>
          <w:i w:val="0"/>
          <w:iCs w:val="0"/>
          <w:color w:val="auto"/>
          <w:sz w:val="28"/>
          <w:szCs w:val="21"/>
        </w:rPr>
      </w:pPr>
      <w:bookmarkStart w:id="67" w:name="_Toc520356159"/>
      <w:bookmarkStart w:id="68" w:name="_Toc22303"/>
      <w:bookmarkStart w:id="69" w:name="_Toc216582808"/>
      <w:bookmarkStart w:id="70" w:name="_Toc518923078"/>
      <w:r>
        <w:rPr>
          <w:rFonts w:hint="eastAsia" w:ascii="宋体" w:hAnsi="宋体" w:eastAsia="宋体" w:cs="宋体"/>
          <w:i w:val="0"/>
          <w:iCs w:val="0"/>
          <w:color w:val="auto"/>
          <w:sz w:val="28"/>
          <w:szCs w:val="21"/>
        </w:rPr>
        <w:t>四</w:t>
      </w:r>
      <w:r>
        <w:rPr>
          <w:rFonts w:hint="eastAsia" w:ascii="宋体" w:hAnsi="宋体" w:eastAsia="宋体" w:cs="宋体"/>
          <w:i w:val="0"/>
          <w:iCs w:val="0"/>
          <w:color w:val="auto"/>
          <w:sz w:val="28"/>
          <w:szCs w:val="21"/>
          <w:lang w:eastAsia="zh-CN"/>
        </w:rPr>
        <w:t>、</w:t>
      </w:r>
      <w:r>
        <w:rPr>
          <w:rFonts w:hint="eastAsia" w:ascii="宋体" w:hAnsi="宋体" w:eastAsia="宋体" w:cs="宋体"/>
          <w:i w:val="0"/>
          <w:iCs w:val="0"/>
          <w:color w:val="auto"/>
          <w:sz w:val="28"/>
          <w:szCs w:val="21"/>
        </w:rPr>
        <w:t>投标文件的递交</w:t>
      </w:r>
      <w:bookmarkEnd w:id="67"/>
      <w:bookmarkEnd w:id="68"/>
      <w:bookmarkEnd w:id="69"/>
      <w:bookmarkEnd w:id="70"/>
    </w:p>
    <w:p>
      <w:pPr>
        <w:pStyle w:val="8"/>
        <w:spacing w:line="360" w:lineRule="auto"/>
        <w:rPr>
          <w:rFonts w:hint="eastAsia" w:ascii="宋体" w:hAnsi="宋体" w:eastAsia="宋体" w:cs="宋体"/>
          <w:i w:val="0"/>
          <w:iCs w:val="0"/>
          <w:color w:val="auto"/>
        </w:rPr>
      </w:pPr>
    </w:p>
    <w:p>
      <w:pPr>
        <w:pStyle w:val="6"/>
        <w:spacing w:before="0" w:after="0" w:line="360" w:lineRule="auto"/>
        <w:rPr>
          <w:rFonts w:hint="eastAsia" w:ascii="宋体" w:hAnsi="宋体" w:eastAsia="宋体" w:cs="宋体"/>
          <w:i w:val="0"/>
          <w:iCs w:val="0"/>
          <w:color w:val="auto"/>
          <w:u w:val="none"/>
        </w:rPr>
      </w:pPr>
      <w:bookmarkStart w:id="71" w:name="_Toc13247"/>
      <w:bookmarkStart w:id="72" w:name="_Toc520356160"/>
      <w:bookmarkStart w:id="73" w:name="_Toc518923079"/>
      <w:r>
        <w:rPr>
          <w:rFonts w:hint="eastAsia" w:ascii="宋体" w:hAnsi="宋体" w:eastAsia="宋体" w:cs="宋体"/>
          <w:i w:val="0"/>
          <w:iCs w:val="0"/>
          <w:color w:val="auto"/>
          <w:u w:val="none"/>
        </w:rPr>
        <w:t>15</w:t>
      </w:r>
      <w:r>
        <w:rPr>
          <w:rFonts w:hint="eastAsia" w:ascii="宋体" w:hAnsi="宋体" w:eastAsia="宋体" w:cs="宋体"/>
          <w:i w:val="0"/>
          <w:iCs w:val="0"/>
          <w:color w:val="auto"/>
          <w:u w:val="none"/>
          <w:lang w:eastAsia="zh-CN"/>
        </w:rPr>
        <w:t>.</w:t>
      </w:r>
      <w:r>
        <w:rPr>
          <w:rFonts w:hint="eastAsia" w:ascii="宋体" w:hAnsi="宋体" w:eastAsia="宋体" w:cs="宋体"/>
          <w:i w:val="0"/>
          <w:iCs w:val="0"/>
          <w:color w:val="auto"/>
          <w:u w:val="none"/>
        </w:rPr>
        <w:t>投标文件的密封和标记</w:t>
      </w:r>
      <w:bookmarkEnd w:id="71"/>
      <w:bookmarkEnd w:id="72"/>
      <w:bookmarkEnd w:id="73"/>
    </w:p>
    <w:p>
      <w:pPr>
        <w:pStyle w:val="6"/>
        <w:spacing w:before="0" w:after="0" w:line="360" w:lineRule="auto"/>
        <w:ind w:firstLine="480" w:firstLineChars="200"/>
        <w:rPr>
          <w:rFonts w:hint="eastAsia" w:ascii="宋体" w:hAnsi="宋体" w:eastAsia="宋体" w:cs="宋体"/>
          <w:b w:val="0"/>
          <w:bCs/>
          <w:i w:val="0"/>
          <w:iCs w:val="0"/>
          <w:color w:val="auto"/>
          <w:u w:val="none"/>
          <w:lang w:val="en-US" w:eastAsia="zh-CN"/>
        </w:rPr>
      </w:pPr>
      <w:bookmarkStart w:id="74" w:name="_Toc518923080"/>
      <w:bookmarkStart w:id="75" w:name="_Toc520356161"/>
      <w:bookmarkStart w:id="76" w:name="_Toc25787"/>
      <w:r>
        <w:rPr>
          <w:rFonts w:hint="eastAsia" w:ascii="宋体" w:hAnsi="宋体" w:eastAsia="宋体" w:cs="宋体"/>
          <w:b w:val="0"/>
          <w:bCs/>
          <w:i w:val="0"/>
          <w:iCs w:val="0"/>
          <w:color w:val="auto"/>
          <w:u w:val="none"/>
          <w:lang w:val="en-US" w:eastAsia="zh-CN"/>
        </w:rPr>
        <w:t>本项目实行电子招投标，无需递交纸质版投标文件，供应商须登录政府采购云平台申请获取采购文件，并需要使用 CA 锁，在新疆政府采购网--下载专区下载--供应商客户端制作投标文件，并生成JMBS格式加密文件，在投标截止前上传至政府采购云平台。若供应商参与投标,自行承担与投标有关的一切费用。（未响应招标文件要求的投标文件</w:t>
      </w:r>
      <w:r>
        <w:rPr>
          <w:rFonts w:hint="eastAsia" w:hAnsi="宋体" w:eastAsia="宋体" w:cs="宋体"/>
          <w:b w:val="0"/>
          <w:bCs/>
          <w:i w:val="0"/>
          <w:iCs w:val="0"/>
          <w:color w:val="auto"/>
          <w:u w:val="none"/>
          <w:lang w:val="en-US" w:eastAsia="zh-CN"/>
        </w:rPr>
        <w:t>，</w:t>
      </w:r>
      <w:r>
        <w:rPr>
          <w:rFonts w:hint="eastAsia" w:ascii="宋体" w:hAnsi="宋体" w:eastAsia="宋体" w:cs="宋体"/>
          <w:b w:val="0"/>
          <w:bCs/>
          <w:i w:val="0"/>
          <w:iCs w:val="0"/>
          <w:color w:val="auto"/>
          <w:u w:val="none"/>
          <w:lang w:val="en-US" w:eastAsia="zh-CN"/>
        </w:rPr>
        <w:t>视为无效投标）</w:t>
      </w:r>
    </w:p>
    <w:p>
      <w:pPr>
        <w:pStyle w:val="6"/>
        <w:spacing w:before="0" w:after="0" w:line="360" w:lineRule="auto"/>
        <w:rPr>
          <w:rFonts w:hint="eastAsia" w:ascii="宋体" w:hAnsi="宋体" w:eastAsia="宋体" w:cs="宋体"/>
          <w:i w:val="0"/>
          <w:iCs w:val="0"/>
          <w:color w:val="auto"/>
          <w:u w:val="none"/>
        </w:rPr>
      </w:pPr>
      <w:r>
        <w:rPr>
          <w:rFonts w:hint="eastAsia" w:ascii="宋体" w:hAnsi="宋体" w:eastAsia="宋体" w:cs="宋体"/>
          <w:i w:val="0"/>
          <w:iCs w:val="0"/>
          <w:color w:val="auto"/>
          <w:u w:val="none"/>
        </w:rPr>
        <w:t>16</w:t>
      </w:r>
      <w:r>
        <w:rPr>
          <w:rFonts w:hint="eastAsia" w:ascii="宋体" w:hAnsi="宋体" w:eastAsia="宋体" w:cs="宋体"/>
          <w:i w:val="0"/>
          <w:iCs w:val="0"/>
          <w:color w:val="auto"/>
          <w:u w:val="none"/>
          <w:lang w:eastAsia="zh-CN"/>
        </w:rPr>
        <w:t>.</w:t>
      </w:r>
      <w:r>
        <w:rPr>
          <w:rFonts w:hint="eastAsia" w:ascii="宋体" w:hAnsi="宋体" w:eastAsia="宋体" w:cs="宋体"/>
          <w:i w:val="0"/>
          <w:iCs w:val="0"/>
          <w:color w:val="auto"/>
          <w:u w:val="none"/>
        </w:rPr>
        <w:t>投标截止</w:t>
      </w:r>
      <w:bookmarkEnd w:id="74"/>
      <w:bookmarkEnd w:id="75"/>
      <w:bookmarkEnd w:id="76"/>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16.1投标人应在投标邀请书中规定的截止时间前，将投标文件递交到投标</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邀请书中规定的地点。</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16.2采购人和采购代理机构有权按本须知的规定，延迟投标截止时间。在</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此情况下，采购人、采购代理机构和投标人受投标截止时间制约的所有权利和义务均应延长至新的截止时间。</w:t>
      </w:r>
    </w:p>
    <w:p>
      <w:pPr>
        <w:pStyle w:val="6"/>
        <w:spacing w:before="0" w:after="0" w:line="360" w:lineRule="auto"/>
        <w:rPr>
          <w:rFonts w:hint="eastAsia" w:ascii="宋体" w:hAnsi="宋体" w:eastAsia="宋体" w:cs="宋体"/>
          <w:i w:val="0"/>
          <w:iCs w:val="0"/>
          <w:color w:val="auto"/>
          <w:u w:val="none"/>
        </w:rPr>
      </w:pPr>
      <w:bookmarkStart w:id="77" w:name="_Toc518923081"/>
      <w:bookmarkStart w:id="78" w:name="_Toc13921"/>
      <w:bookmarkStart w:id="79" w:name="_Toc520356162"/>
      <w:r>
        <w:rPr>
          <w:rFonts w:hint="eastAsia" w:ascii="宋体" w:hAnsi="宋体" w:eastAsia="宋体" w:cs="宋体"/>
          <w:i w:val="0"/>
          <w:iCs w:val="0"/>
          <w:color w:val="auto"/>
          <w:u w:val="none"/>
        </w:rPr>
        <w:t>17</w:t>
      </w:r>
      <w:r>
        <w:rPr>
          <w:rFonts w:hint="eastAsia" w:ascii="宋体" w:hAnsi="宋体" w:eastAsia="宋体" w:cs="宋体"/>
          <w:i w:val="0"/>
          <w:iCs w:val="0"/>
          <w:color w:val="auto"/>
          <w:u w:val="none"/>
          <w:lang w:eastAsia="zh-CN"/>
        </w:rPr>
        <w:t>.</w:t>
      </w:r>
      <w:r>
        <w:rPr>
          <w:rFonts w:hint="eastAsia" w:ascii="宋体" w:hAnsi="宋体" w:eastAsia="宋体" w:cs="宋体"/>
          <w:i w:val="0"/>
          <w:iCs w:val="0"/>
          <w:color w:val="auto"/>
          <w:u w:val="none"/>
        </w:rPr>
        <w:t>投标文件的接收、修改与撤回</w:t>
      </w:r>
      <w:bookmarkEnd w:id="77"/>
      <w:bookmarkEnd w:id="78"/>
      <w:bookmarkEnd w:id="79"/>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17.1在投标截止时间后送达投标文件的，采购人和采购代理机构将拒绝接</w:t>
      </w:r>
    </w:p>
    <w:p>
      <w:pPr>
        <w:spacing w:line="360" w:lineRule="auto"/>
        <w:rPr>
          <w:rFonts w:hint="eastAsia" w:ascii="宋体" w:hAnsi="宋体" w:eastAsia="宋体" w:cs="宋体"/>
          <w:b/>
          <w:i w:val="0"/>
          <w:iCs w:val="0"/>
          <w:color w:val="auto"/>
        </w:rPr>
      </w:pPr>
      <w:r>
        <w:rPr>
          <w:rFonts w:hint="eastAsia" w:ascii="宋体" w:hAnsi="宋体" w:eastAsia="宋体" w:cs="宋体"/>
          <w:i w:val="0"/>
          <w:iCs w:val="0"/>
          <w:color w:val="auto"/>
          <w:sz w:val="24"/>
        </w:rPr>
        <w:t>收。</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17.2采购人或者采购代理机构收到投标文件后，应当如实记载投标文件的</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送达时间和密封情况。</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17.3递交投标文件以后，如果投标人要进行修改或撤回投标，须提出书面</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申请并在投标截止时间前送达开标地点，投标人对投标文件的修改或撤回通知应按本须知规定编制、标记</w:t>
      </w:r>
      <w:r>
        <w:rPr>
          <w:rFonts w:hint="eastAsia" w:ascii="宋体" w:hAnsi="宋体" w:eastAsia="宋体" w:cs="宋体"/>
          <w:i w:val="0"/>
          <w:iCs w:val="0"/>
          <w:color w:val="auto"/>
          <w:sz w:val="24"/>
          <w:lang w:eastAsia="zh-CN"/>
        </w:rPr>
        <w:t>和递交，并标明“修改”字样</w:t>
      </w:r>
      <w:r>
        <w:rPr>
          <w:rFonts w:hint="eastAsia" w:ascii="宋体" w:hAnsi="宋体" w:eastAsia="宋体" w:cs="宋体"/>
          <w:i w:val="0"/>
          <w:iCs w:val="0"/>
          <w:color w:val="auto"/>
          <w:sz w:val="24"/>
        </w:rPr>
        <w:t>。采购人和采购代理机构将予以接收，并视为投标文件的组成部分。</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17.4在投标截止期之后，采购人和采购代理机构不接受投标人主动对其投标文件做任何修改。</w:t>
      </w:r>
    </w:p>
    <w:p>
      <w:pPr>
        <w:pStyle w:val="23"/>
        <w:rPr>
          <w:rFonts w:hint="eastAsia"/>
          <w:color w:val="auto"/>
        </w:rPr>
      </w:pPr>
    </w:p>
    <w:p>
      <w:pPr>
        <w:spacing w:line="360" w:lineRule="auto"/>
        <w:ind w:left="1079" w:leftChars="257" w:hanging="540"/>
        <w:rPr>
          <w:rFonts w:hint="eastAsia" w:ascii="宋体" w:hAnsi="宋体" w:eastAsia="宋体" w:cs="宋体"/>
          <w:i w:val="0"/>
          <w:iCs w:val="0"/>
          <w:color w:val="auto"/>
          <w:sz w:val="24"/>
        </w:rPr>
      </w:pPr>
    </w:p>
    <w:p>
      <w:pPr>
        <w:pStyle w:val="4"/>
        <w:spacing w:before="0" w:line="360" w:lineRule="auto"/>
        <w:ind w:left="1079" w:leftChars="257" w:hanging="540"/>
        <w:rPr>
          <w:rFonts w:hint="eastAsia" w:ascii="宋体" w:hAnsi="宋体" w:eastAsia="宋体" w:cs="宋体"/>
          <w:i w:val="0"/>
          <w:iCs w:val="0"/>
          <w:color w:val="auto"/>
        </w:rPr>
      </w:pPr>
      <w:bookmarkStart w:id="80" w:name="_Toc216582809"/>
      <w:bookmarkStart w:id="81" w:name="_Toc10257"/>
      <w:bookmarkStart w:id="82" w:name="_Toc518923082"/>
      <w:bookmarkStart w:id="83" w:name="_Toc520356163"/>
      <w:r>
        <w:rPr>
          <w:rFonts w:hint="eastAsia" w:ascii="宋体" w:hAnsi="宋体" w:eastAsia="宋体" w:cs="宋体"/>
          <w:i w:val="0"/>
          <w:iCs w:val="0"/>
          <w:color w:val="auto"/>
          <w:sz w:val="24"/>
        </w:rPr>
        <w:t>五</w:t>
      </w:r>
      <w:r>
        <w:rPr>
          <w:rFonts w:hint="eastAsia" w:ascii="宋体" w:hAnsi="宋体" w:eastAsia="宋体" w:cs="宋体"/>
          <w:i w:val="0"/>
          <w:iCs w:val="0"/>
          <w:color w:val="auto"/>
          <w:sz w:val="24"/>
          <w:lang w:eastAsia="zh-CN"/>
        </w:rPr>
        <w:t>、</w:t>
      </w:r>
      <w:r>
        <w:rPr>
          <w:rFonts w:hint="eastAsia" w:ascii="宋体" w:hAnsi="宋体" w:eastAsia="宋体" w:cs="宋体"/>
          <w:i w:val="0"/>
          <w:iCs w:val="0"/>
          <w:color w:val="auto"/>
          <w:sz w:val="24"/>
        </w:rPr>
        <w:t>开标及评标</w:t>
      </w:r>
      <w:bookmarkEnd w:id="80"/>
      <w:bookmarkEnd w:id="81"/>
      <w:bookmarkEnd w:id="82"/>
      <w:bookmarkEnd w:id="83"/>
    </w:p>
    <w:p>
      <w:pPr>
        <w:pStyle w:val="6"/>
        <w:spacing w:before="0" w:after="0" w:line="360" w:lineRule="auto"/>
        <w:rPr>
          <w:rFonts w:hint="eastAsia" w:ascii="宋体" w:hAnsi="宋体" w:eastAsia="宋体" w:cs="宋体"/>
          <w:i w:val="0"/>
          <w:iCs w:val="0"/>
          <w:color w:val="auto"/>
          <w:u w:val="none"/>
        </w:rPr>
      </w:pPr>
      <w:bookmarkStart w:id="84" w:name="_Toc520356164"/>
      <w:bookmarkStart w:id="85" w:name="_Toc518923083"/>
      <w:bookmarkStart w:id="86" w:name="_Toc8653"/>
      <w:r>
        <w:rPr>
          <w:rFonts w:hint="eastAsia" w:ascii="宋体" w:hAnsi="宋体" w:eastAsia="宋体" w:cs="宋体"/>
          <w:i w:val="0"/>
          <w:iCs w:val="0"/>
          <w:color w:val="auto"/>
          <w:u w:val="none"/>
        </w:rPr>
        <w:t>18</w:t>
      </w:r>
      <w:r>
        <w:rPr>
          <w:rFonts w:hint="eastAsia" w:ascii="宋体" w:hAnsi="宋体" w:eastAsia="宋体" w:cs="宋体"/>
          <w:i w:val="0"/>
          <w:iCs w:val="0"/>
          <w:color w:val="auto"/>
          <w:u w:val="none"/>
          <w:lang w:eastAsia="zh-CN"/>
        </w:rPr>
        <w:t>.</w:t>
      </w:r>
      <w:r>
        <w:rPr>
          <w:rFonts w:hint="eastAsia" w:ascii="宋体" w:hAnsi="宋体" w:eastAsia="宋体" w:cs="宋体"/>
          <w:i w:val="0"/>
          <w:iCs w:val="0"/>
          <w:color w:val="auto"/>
          <w:u w:val="none"/>
        </w:rPr>
        <w:t>开标</w:t>
      </w:r>
      <w:bookmarkEnd w:id="84"/>
      <w:bookmarkEnd w:id="85"/>
      <w:bookmarkEnd w:id="86"/>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18.1采购人和采购代理机构将按</w:t>
      </w:r>
      <w:r>
        <w:rPr>
          <w:rFonts w:hint="eastAsia" w:ascii="宋体" w:hAnsi="宋体" w:eastAsia="宋体" w:cs="宋体"/>
          <w:i w:val="0"/>
          <w:iCs w:val="0"/>
          <w:color w:val="auto"/>
          <w:sz w:val="24"/>
          <w:u w:val="single"/>
        </w:rPr>
        <w:t>投标人须知资料表</w:t>
      </w:r>
      <w:r>
        <w:rPr>
          <w:rFonts w:hint="eastAsia" w:ascii="宋体" w:hAnsi="宋体" w:eastAsia="宋体" w:cs="宋体"/>
          <w:i w:val="0"/>
          <w:iCs w:val="0"/>
          <w:color w:val="auto"/>
          <w:sz w:val="24"/>
        </w:rPr>
        <w:t>中规定的开标时间和地</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点组织公开开标并邀请所有投标人代表参加。投标人不足3家的，不得开标。</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18.2供应商在开标前，提前登录政采云平台做好准备，并保证设备正常。供应商应于</w:t>
      </w:r>
      <w:r>
        <w:rPr>
          <w:rFonts w:hint="eastAsia" w:ascii="宋体" w:hAnsi="宋体" w:eastAsia="宋体" w:cs="宋体"/>
          <w:i w:val="0"/>
          <w:iCs w:val="0"/>
          <w:color w:val="auto"/>
          <w:sz w:val="24"/>
          <w:u w:val="single"/>
        </w:rPr>
        <w:t>投标人须知资料表</w:t>
      </w:r>
      <w:r>
        <w:rPr>
          <w:rFonts w:hint="eastAsia" w:ascii="宋体" w:hAnsi="宋体" w:eastAsia="宋体" w:cs="宋体"/>
          <w:i w:val="0"/>
          <w:iCs w:val="0"/>
          <w:color w:val="auto"/>
          <w:sz w:val="24"/>
        </w:rPr>
        <w:t>中规定的开标时间之前将电子响应文件上传到“政采云”平台。应按照本项目</w:t>
      </w:r>
      <w:r>
        <w:rPr>
          <w:rFonts w:hint="eastAsia" w:ascii="宋体" w:hAnsi="宋体" w:eastAsia="宋体" w:cs="宋体"/>
          <w:i w:val="0"/>
          <w:iCs w:val="0"/>
          <w:color w:val="auto"/>
          <w:sz w:val="24"/>
          <w:lang w:eastAsia="zh-CN"/>
        </w:rPr>
        <w:t>招标</w:t>
      </w:r>
      <w:r>
        <w:rPr>
          <w:rFonts w:hint="eastAsia" w:ascii="宋体" w:hAnsi="宋体" w:eastAsia="宋体" w:cs="宋体"/>
          <w:i w:val="0"/>
          <w:iCs w:val="0"/>
          <w:color w:val="auto"/>
          <w:sz w:val="24"/>
        </w:rPr>
        <w:t>文件和政采云平台的要求编制、加密传输响应文件。</w:t>
      </w:r>
    </w:p>
    <w:p>
      <w:pPr>
        <w:pStyle w:val="23"/>
        <w:rPr>
          <w:rFonts w:hint="eastAsia" w:ascii="宋体" w:hAnsi="宋体" w:eastAsia="宋体" w:cs="宋体"/>
          <w:i w:val="0"/>
          <w:iCs w:val="0"/>
          <w:color w:val="auto"/>
          <w:sz w:val="24"/>
          <w:lang w:val="en-US" w:eastAsia="zh-CN"/>
        </w:rPr>
      </w:pPr>
      <w:bookmarkStart w:id="87" w:name="_Toc520356165"/>
      <w:r>
        <w:rPr>
          <w:rFonts w:hint="eastAsia" w:ascii="宋体" w:hAnsi="宋体" w:eastAsia="宋体" w:cs="宋体"/>
          <w:i w:val="0"/>
          <w:iCs w:val="0"/>
          <w:color w:val="auto"/>
          <w:sz w:val="24"/>
          <w:lang w:val="en-US" w:eastAsia="zh-CN"/>
        </w:rPr>
        <w:t xml:space="preserve">    18.3开标程序</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主持人按下列程序进行开标：</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（1）宣布开标纪律；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（2）公布在投标截止时间前递交投标文件的投标人名称；</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（3）宣布主持人、开标人、唱标人、记录人、监标人等有关人员姓名；</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（4）开标时将检查所有响应文件（加密电子标书上传）情况，并在确认无误后，供应商在政采云平台解密响应文件（</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分钟），对响应文件进行唱标。唱标以供应商提交的响应文件中“开标一览表”的内容为准，并对唱标内容作以记录。电子开标系统开标后需供应商在线确认报价时，各供应商应在规定的时间内确认报价，若超出时间未进行确认报价的供应商， 系统将自动默认该供应商已经确认报价。</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）采购人或采购代理机构将对</w:t>
      </w:r>
      <w:r>
        <w:rPr>
          <w:rFonts w:hint="eastAsia" w:ascii="宋体" w:hAnsi="宋体" w:eastAsia="宋体" w:cs="宋体"/>
          <w:color w:val="auto"/>
          <w:sz w:val="24"/>
          <w:szCs w:val="24"/>
          <w:lang w:eastAsia="zh-CN"/>
        </w:rPr>
        <w:t>开标</w:t>
      </w:r>
      <w:r>
        <w:rPr>
          <w:rFonts w:hint="eastAsia" w:ascii="宋体" w:hAnsi="宋体" w:eastAsia="宋体" w:cs="宋体"/>
          <w:color w:val="auto"/>
          <w:sz w:val="24"/>
          <w:szCs w:val="24"/>
        </w:rPr>
        <w:t>过程进行记录，并存档备查；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）开标结束。</w:t>
      </w:r>
    </w:p>
    <w:p>
      <w:pPr>
        <w:pStyle w:val="23"/>
        <w:rPr>
          <w:rFonts w:hint="default" w:ascii="宋体" w:hAnsi="宋体" w:eastAsia="宋体" w:cs="宋体"/>
          <w:i w:val="0"/>
          <w:iCs w:val="0"/>
          <w:color w:val="auto"/>
          <w:sz w:val="24"/>
          <w:lang w:val="en-US" w:eastAsia="zh-CN"/>
        </w:rPr>
      </w:pPr>
    </w:p>
    <w:p>
      <w:pPr>
        <w:pStyle w:val="6"/>
        <w:spacing w:before="0" w:after="0" w:line="360" w:lineRule="auto"/>
        <w:rPr>
          <w:rFonts w:hint="eastAsia" w:ascii="宋体" w:hAnsi="宋体" w:eastAsia="宋体" w:cs="宋体"/>
          <w:i w:val="0"/>
          <w:iCs w:val="0"/>
          <w:color w:val="auto"/>
          <w:u w:val="none"/>
        </w:rPr>
      </w:pPr>
      <w:bookmarkStart w:id="88" w:name="_Toc34"/>
      <w:bookmarkStart w:id="89" w:name="_Toc518923084"/>
      <w:r>
        <w:rPr>
          <w:rFonts w:hint="eastAsia" w:ascii="宋体" w:hAnsi="宋体" w:eastAsia="宋体" w:cs="宋体"/>
          <w:i w:val="0"/>
          <w:iCs w:val="0"/>
          <w:color w:val="auto"/>
          <w:u w:val="none"/>
        </w:rPr>
        <w:t>19</w:t>
      </w:r>
      <w:bookmarkEnd w:id="87"/>
      <w:r>
        <w:rPr>
          <w:rFonts w:hint="eastAsia" w:ascii="宋体" w:hAnsi="宋体" w:eastAsia="宋体" w:cs="宋体"/>
          <w:i w:val="0"/>
          <w:iCs w:val="0"/>
          <w:color w:val="auto"/>
          <w:u w:val="none"/>
          <w:lang w:eastAsia="zh-CN"/>
        </w:rPr>
        <w:t>.</w:t>
      </w:r>
      <w:r>
        <w:rPr>
          <w:rFonts w:hint="eastAsia" w:ascii="宋体" w:hAnsi="宋体" w:eastAsia="宋体" w:cs="宋体"/>
          <w:i w:val="0"/>
          <w:iCs w:val="0"/>
          <w:color w:val="auto"/>
          <w:u w:val="none"/>
        </w:rPr>
        <w:t>资格审查及组建评标委员会</w:t>
      </w:r>
      <w:bookmarkEnd w:id="88"/>
      <w:bookmarkEnd w:id="89"/>
    </w:p>
    <w:p>
      <w:pPr>
        <w:spacing w:line="360" w:lineRule="auto"/>
        <w:ind w:left="958" w:leftChars="228"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19.1采购人或采购代理机构依据法律法规和招标文件中规定的内容，对投</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标人的资格进行审查。未通过资格审查的投标人不进入评标；进入评标的投标人不足3家的，不得评标。</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19.2采购人或采购代理机构将在开标前1个工作日至投标截止后1小时的</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期间内查询投标人的信用记录。投标人存在不良信用记录的，其投标将被认定为投标无效。</w:t>
      </w:r>
    </w:p>
    <w:p>
      <w:pPr>
        <w:spacing w:line="360" w:lineRule="auto"/>
        <w:ind w:left="973" w:leftChars="230" w:hanging="491" w:hangingChars="205"/>
        <w:rPr>
          <w:rFonts w:hint="eastAsia" w:ascii="宋体" w:hAnsi="宋体" w:eastAsia="宋体" w:cs="宋体"/>
          <w:i w:val="0"/>
          <w:iCs w:val="0"/>
          <w:color w:val="auto"/>
          <w:sz w:val="24"/>
        </w:rPr>
      </w:pPr>
      <w:r>
        <w:rPr>
          <w:rFonts w:hint="eastAsia" w:ascii="宋体" w:hAnsi="宋体" w:eastAsia="宋体" w:cs="宋体"/>
          <w:i w:val="0"/>
          <w:iCs w:val="0"/>
          <w:color w:val="auto"/>
          <w:sz w:val="24"/>
        </w:rPr>
        <w:t>19.2.1不良信用记录指：投标人在中国政府采购网（www.ccgp.gov.cn）</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以联合体形式参加投标的，联合体任何成员存在以上不良信用记录的，联合体投标将被认定为投标无效。</w:t>
      </w:r>
    </w:p>
    <w:p>
      <w:pPr>
        <w:pStyle w:val="8"/>
        <w:spacing w:line="360" w:lineRule="auto"/>
        <w:ind w:left="842" w:leftChars="228" w:hanging="364" w:hangingChars="152"/>
        <w:jc w:val="both"/>
        <w:rPr>
          <w:rFonts w:hint="eastAsia" w:ascii="宋体" w:hAnsi="宋体" w:eastAsia="宋体" w:cs="宋体"/>
          <w:i w:val="0"/>
          <w:iCs w:val="0"/>
          <w:color w:val="auto"/>
        </w:rPr>
      </w:pPr>
      <w:r>
        <w:rPr>
          <w:rFonts w:hint="eastAsia" w:ascii="宋体" w:hAnsi="宋体" w:eastAsia="宋体" w:cs="宋体"/>
          <w:i w:val="0"/>
          <w:iCs w:val="0"/>
          <w:color w:val="auto"/>
        </w:rPr>
        <w:t>19.2.2查询及记录方式：采购人或采购代理机构经办人将查询网页打印、签</w:t>
      </w:r>
    </w:p>
    <w:p>
      <w:pPr>
        <w:pStyle w:val="8"/>
        <w:spacing w:line="360" w:lineRule="auto"/>
        <w:ind w:left="0" w:leftChars="0" w:firstLine="0" w:firstLineChars="0"/>
        <w:jc w:val="both"/>
        <w:rPr>
          <w:rFonts w:hint="eastAsia" w:ascii="宋体" w:hAnsi="宋体" w:eastAsia="宋体" w:cs="宋体"/>
          <w:i w:val="0"/>
          <w:iCs w:val="0"/>
          <w:color w:val="auto"/>
        </w:rPr>
      </w:pPr>
      <w:r>
        <w:rPr>
          <w:rFonts w:hint="eastAsia" w:ascii="宋体" w:hAnsi="宋体" w:eastAsia="宋体" w:cs="宋体"/>
          <w:i w:val="0"/>
          <w:iCs w:val="0"/>
          <w:color w:val="auto"/>
        </w:rPr>
        <w:t>字并存档备查。投标人不良信用记录以采购人或采购代理机构查询结果为准。在本招标文件规定的查询时间之后，网站信息发生的任何变更均不再作为评标依据。投标人自行提供的与网站信息不一致的其他证明材料亦不作为资格审查的依据。</w:t>
      </w:r>
    </w:p>
    <w:p>
      <w:pPr>
        <w:spacing w:line="360" w:lineRule="auto"/>
        <w:ind w:left="14" w:leftChars="7" w:firstLine="36" w:firstLineChars="15"/>
        <w:rPr>
          <w:rFonts w:hint="eastAsia" w:ascii="宋体" w:hAnsi="宋体" w:eastAsia="宋体" w:cs="宋体"/>
          <w:i w:val="0"/>
          <w:iCs w:val="0"/>
          <w:color w:val="auto"/>
          <w:sz w:val="24"/>
        </w:rPr>
      </w:pPr>
      <w:r>
        <w:rPr>
          <w:rFonts w:hint="eastAsia" w:ascii="宋体" w:hAnsi="宋体" w:eastAsia="宋体" w:cs="宋体"/>
          <w:i w:val="0"/>
          <w:iCs w:val="0"/>
          <w:color w:val="auto"/>
          <w:sz w:val="24"/>
        </w:rPr>
        <w:t>19.3按照《中华人民共和国政府采购法》、《中华人民共和国政府采购法实</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施条例》及本项目本级和上级财政部门的有关规定依法组建的评标委员会，负责本项目评标工作。</w:t>
      </w:r>
      <w:bookmarkStart w:id="90" w:name="_Toc520356166"/>
    </w:p>
    <w:p>
      <w:pPr>
        <w:pStyle w:val="6"/>
        <w:spacing w:before="0" w:after="0" w:line="360" w:lineRule="auto"/>
        <w:rPr>
          <w:rFonts w:hint="eastAsia" w:ascii="宋体" w:hAnsi="宋体" w:eastAsia="宋体" w:cs="宋体"/>
          <w:b w:val="0"/>
          <w:bCs/>
          <w:i w:val="0"/>
          <w:iCs w:val="0"/>
          <w:color w:val="auto"/>
          <w:bdr w:val="single" w:color="auto" w:sz="4" w:space="0"/>
        </w:rPr>
      </w:pPr>
      <w:bookmarkStart w:id="91" w:name="_Toc518923085"/>
      <w:bookmarkStart w:id="92" w:name="_Toc6842"/>
      <w:r>
        <w:rPr>
          <w:rFonts w:hint="eastAsia" w:ascii="宋体" w:hAnsi="宋体" w:eastAsia="宋体" w:cs="宋体"/>
          <w:i w:val="0"/>
          <w:iCs w:val="0"/>
          <w:color w:val="auto"/>
          <w:u w:val="none"/>
        </w:rPr>
        <w:t>20</w:t>
      </w:r>
      <w:r>
        <w:rPr>
          <w:rFonts w:hint="eastAsia" w:ascii="宋体" w:hAnsi="宋体" w:eastAsia="宋体" w:cs="宋体"/>
          <w:i w:val="0"/>
          <w:iCs w:val="0"/>
          <w:color w:val="auto"/>
          <w:u w:val="none"/>
          <w:lang w:eastAsia="zh-CN"/>
        </w:rPr>
        <w:t>.</w:t>
      </w:r>
      <w:r>
        <w:rPr>
          <w:rFonts w:hint="eastAsia" w:ascii="宋体" w:hAnsi="宋体" w:eastAsia="宋体" w:cs="宋体"/>
          <w:i w:val="0"/>
          <w:iCs w:val="0"/>
          <w:color w:val="auto"/>
          <w:u w:val="none"/>
        </w:rPr>
        <w:t>投标文件的</w:t>
      </w:r>
      <w:bookmarkEnd w:id="90"/>
      <w:r>
        <w:rPr>
          <w:rFonts w:hint="eastAsia" w:ascii="宋体" w:hAnsi="宋体" w:eastAsia="宋体" w:cs="宋体"/>
          <w:i w:val="0"/>
          <w:iCs w:val="0"/>
          <w:color w:val="auto"/>
          <w:u w:val="none"/>
        </w:rPr>
        <w:t>符合性审查与澄清</w:t>
      </w:r>
      <w:bookmarkEnd w:id="91"/>
      <w:bookmarkEnd w:id="92"/>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20.1符合性审查是指依据招标文件的规定，从投标文件的有效性和完整性</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对招标文件的响应程度进行审查，以确定是否对招标文件的实质性要求做出响应。</w:t>
      </w:r>
      <w:bookmarkStart w:id="93" w:name="_Hlt522424701"/>
      <w:bookmarkEnd w:id="93"/>
      <w:bookmarkStart w:id="94" w:name="_Toc520356167"/>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20.2投标文件的澄清</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20.2.1在评标期间，评标委员会将以书面方式要求投标人对其投标文件中</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含义不明确、对同类问题表述不一致或者有明显文字和计算错误的内容，以及评标委员会认为投标人的报价明显低于其他通过符合性检查投标人的报价，有可能影响履约的情况作必要的澄清、说明或补正。投标人澄清、说明或补正。应在评标委员会规定的时间内以书面方式进行</w:t>
      </w:r>
      <w:r>
        <w:rPr>
          <w:rFonts w:hint="eastAsia" w:ascii="宋体" w:hAnsi="宋体" w:eastAsia="宋体" w:cs="宋体"/>
          <w:i w:val="0"/>
          <w:iCs w:val="0"/>
          <w:color w:val="auto"/>
          <w:sz w:val="24"/>
          <w:lang w:eastAsia="zh-CN"/>
        </w:rPr>
        <w:t>并上传</w:t>
      </w:r>
      <w:r>
        <w:rPr>
          <w:rFonts w:hint="eastAsia" w:ascii="宋体" w:hAnsi="宋体" w:eastAsia="宋体" w:cs="宋体"/>
          <w:i w:val="0"/>
          <w:iCs w:val="0"/>
          <w:color w:val="auto"/>
          <w:sz w:val="24"/>
        </w:rPr>
        <w:t>，并不得超出投标文件范围或者改变投标文件的实质性内容。</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20.2.2投标人的澄清、说明或补正将作为投标文件的一部分。</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20.3投标文件报价出现前后不一致的，按照下列规定修正：</w:t>
      </w:r>
    </w:p>
    <w:p>
      <w:pPr>
        <w:numPr>
          <w:ilvl w:val="0"/>
          <w:numId w:val="0"/>
        </w:num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lang w:val="en-US" w:eastAsia="zh-CN"/>
        </w:rPr>
        <w:t>（一</w:t>
      </w:r>
      <w:r>
        <w:rPr>
          <w:rFonts w:hint="eastAsia" w:ascii="宋体" w:hAnsi="宋体" w:eastAsia="宋体" w:cs="宋体"/>
          <w:i w:val="0"/>
          <w:iCs w:val="0"/>
          <w:color w:val="auto"/>
          <w:sz w:val="24"/>
          <w:lang w:eastAsia="zh-CN"/>
        </w:rPr>
        <w:t>）</w:t>
      </w:r>
      <w:r>
        <w:rPr>
          <w:rFonts w:hint="eastAsia" w:ascii="宋体" w:hAnsi="宋体" w:eastAsia="宋体" w:cs="宋体"/>
          <w:i w:val="0"/>
          <w:iCs w:val="0"/>
          <w:color w:val="auto"/>
          <w:sz w:val="24"/>
        </w:rPr>
        <w:t xml:space="preserve">投标文件中开标一览表（报价表）内容与投标文件中相应内容不一致的，以开标一览表（报价表）为准；　   </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（二）大写金额和小写金额不一致的，以大写金额为准；   　</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（三）单价金额小数点或者百分比有明显错位的，以开标一览表的总价为准，并修改单价；　</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（四）总价金额与按单价汇总金额不一致的，以单价金额计算结果为准。</w:t>
      </w:r>
    </w:p>
    <w:p>
      <w:pPr>
        <w:spacing w:line="360" w:lineRule="auto"/>
        <w:ind w:left="48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同时出现两种以上不一致的，按照前款规定的顺序修正。修正后的报价按照第20.</w:t>
      </w:r>
      <w:r>
        <w:rPr>
          <w:rFonts w:hint="eastAsia" w:ascii="宋体" w:hAnsi="宋体" w:eastAsia="宋体" w:cs="宋体"/>
          <w:i w:val="0"/>
          <w:iCs w:val="0"/>
          <w:color w:val="auto"/>
          <w:sz w:val="24"/>
          <w:lang w:val="en-US" w:eastAsia="zh-CN"/>
        </w:rPr>
        <w:t>4</w:t>
      </w:r>
      <w:r>
        <w:rPr>
          <w:rFonts w:hint="eastAsia" w:ascii="宋体" w:hAnsi="宋体" w:eastAsia="宋体" w:cs="宋体"/>
          <w:i w:val="0"/>
          <w:iCs w:val="0"/>
          <w:color w:val="auto"/>
          <w:sz w:val="24"/>
        </w:rPr>
        <w:t>条的规定经投标人确认后产生约束力，投标人不确认的，将被认定为</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投标无效。对不同文字文本投标文件的解释发生异议的，以中文文本为准。</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20.</w:t>
      </w:r>
      <w:r>
        <w:rPr>
          <w:rFonts w:hint="eastAsia" w:ascii="宋体" w:hAnsi="宋体" w:eastAsia="宋体" w:cs="宋体"/>
          <w:i w:val="0"/>
          <w:iCs w:val="0"/>
          <w:color w:val="auto"/>
          <w:sz w:val="24"/>
          <w:lang w:val="en-US" w:eastAsia="zh-CN"/>
        </w:rPr>
        <w:t>5</w:t>
      </w:r>
      <w:r>
        <w:rPr>
          <w:rFonts w:hint="eastAsia" w:ascii="宋体" w:hAnsi="宋体" w:eastAsia="宋体" w:cs="宋体"/>
          <w:i w:val="0"/>
          <w:iCs w:val="0"/>
          <w:color w:val="auto"/>
          <w:sz w:val="24"/>
        </w:rPr>
        <w:t>投标人为提供服务所伴随投标的产品如被列入财政部与国家主管部门</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颁发的节能产品目录或环境标志产品目录或无线局域网产品目录，应提供相关证明，在评标时予以优先采购，具体优先采购办法见第6章评标方法和标准。</w:t>
      </w:r>
    </w:p>
    <w:p>
      <w:pPr>
        <w:pStyle w:val="6"/>
        <w:spacing w:before="0" w:after="0" w:line="360" w:lineRule="auto"/>
        <w:rPr>
          <w:rFonts w:hint="eastAsia" w:ascii="宋体" w:hAnsi="宋体" w:eastAsia="宋体" w:cs="宋体"/>
          <w:i w:val="0"/>
          <w:iCs w:val="0"/>
          <w:color w:val="auto"/>
          <w:u w:val="none"/>
        </w:rPr>
      </w:pPr>
      <w:bookmarkStart w:id="95" w:name="_Toc518923086"/>
      <w:bookmarkStart w:id="96" w:name="_Toc8603"/>
      <w:r>
        <w:rPr>
          <w:rFonts w:hint="eastAsia" w:ascii="宋体" w:hAnsi="宋体" w:eastAsia="宋体" w:cs="宋体"/>
          <w:i w:val="0"/>
          <w:iCs w:val="0"/>
          <w:color w:val="auto"/>
          <w:u w:val="none"/>
        </w:rPr>
        <w:t>21</w:t>
      </w:r>
      <w:r>
        <w:rPr>
          <w:rFonts w:hint="eastAsia" w:ascii="宋体" w:hAnsi="宋体" w:eastAsia="宋体" w:cs="宋体"/>
          <w:i w:val="0"/>
          <w:iCs w:val="0"/>
          <w:color w:val="auto"/>
          <w:u w:val="none"/>
          <w:lang w:eastAsia="zh-CN"/>
        </w:rPr>
        <w:t>.</w:t>
      </w:r>
      <w:r>
        <w:rPr>
          <w:rFonts w:hint="eastAsia" w:ascii="宋体" w:hAnsi="宋体" w:eastAsia="宋体" w:cs="宋体"/>
          <w:i w:val="0"/>
          <w:iCs w:val="0"/>
          <w:color w:val="auto"/>
          <w:u w:val="none"/>
        </w:rPr>
        <w:t>投标偏离</w:t>
      </w:r>
      <w:bookmarkEnd w:id="95"/>
      <w:bookmarkEnd w:id="96"/>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评标委员会可以接受投标文件中不构成实质性偏离的不正规或不一致。</w:t>
      </w:r>
    </w:p>
    <w:p>
      <w:pPr>
        <w:pStyle w:val="6"/>
        <w:spacing w:before="0" w:after="0" w:line="360" w:lineRule="auto"/>
        <w:rPr>
          <w:rFonts w:hint="eastAsia" w:ascii="宋体" w:hAnsi="宋体" w:eastAsia="宋体" w:cs="宋体"/>
          <w:i w:val="0"/>
          <w:iCs w:val="0"/>
          <w:color w:val="auto"/>
          <w:u w:val="none"/>
        </w:rPr>
      </w:pPr>
      <w:bookmarkStart w:id="97" w:name="_Toc25255"/>
      <w:bookmarkStart w:id="98" w:name="_Toc518923087"/>
      <w:r>
        <w:rPr>
          <w:rFonts w:hint="eastAsia" w:ascii="宋体" w:hAnsi="宋体" w:eastAsia="宋体" w:cs="宋体"/>
          <w:i w:val="0"/>
          <w:iCs w:val="0"/>
          <w:color w:val="auto"/>
          <w:u w:val="none"/>
        </w:rPr>
        <w:t>22</w:t>
      </w:r>
      <w:r>
        <w:rPr>
          <w:rFonts w:hint="eastAsia" w:ascii="宋体" w:hAnsi="宋体" w:eastAsia="宋体" w:cs="宋体"/>
          <w:i w:val="0"/>
          <w:iCs w:val="0"/>
          <w:color w:val="auto"/>
          <w:u w:val="none"/>
          <w:lang w:eastAsia="zh-CN"/>
        </w:rPr>
        <w:t>.</w:t>
      </w:r>
      <w:r>
        <w:rPr>
          <w:rFonts w:hint="eastAsia" w:ascii="宋体" w:hAnsi="宋体" w:eastAsia="宋体" w:cs="宋体"/>
          <w:i w:val="0"/>
          <w:iCs w:val="0"/>
          <w:color w:val="auto"/>
          <w:u w:val="none"/>
        </w:rPr>
        <w:t>投标无效</w:t>
      </w:r>
      <w:bookmarkEnd w:id="97"/>
      <w:bookmarkEnd w:id="98"/>
    </w:p>
    <w:p>
      <w:pPr>
        <w:spacing w:line="360" w:lineRule="auto"/>
        <w:ind w:left="850" w:leftChars="205"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22.1在比较与评价之前，根据本须知的规定，评标委员会要审查每份投标</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文件是否实质上响应了招标文件的要求。实质上响应的投标应该是与招标文件要求的全部条款、条件和规格相符，没有重大偏离的投标。对关键条款的偏离，将被认定为投标无效。投标人不得通过修正或撤销不符合要求的偏离从而使其投标成为实质上响应的投标。评标委员会决定投标的响应性只根据招标文件要求、投标文件内容及财政主管部门指定相关信息发布媒体。</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22.2如发现下列情况之一的，其投标将被认定为投标无效：</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lang w:eastAsia="zh-CN"/>
        </w:rPr>
        <w:t>（</w:t>
      </w:r>
      <w:r>
        <w:rPr>
          <w:rFonts w:hint="eastAsia" w:ascii="宋体" w:hAnsi="宋体" w:eastAsia="宋体" w:cs="宋体"/>
          <w:i w:val="0"/>
          <w:iCs w:val="0"/>
          <w:color w:val="auto"/>
          <w:sz w:val="24"/>
          <w:lang w:val="en-US" w:eastAsia="zh-CN"/>
        </w:rPr>
        <w:t>1</w:t>
      </w:r>
      <w:r>
        <w:rPr>
          <w:rFonts w:hint="eastAsia" w:ascii="宋体" w:hAnsi="宋体" w:eastAsia="宋体" w:cs="宋体"/>
          <w:i w:val="0"/>
          <w:iCs w:val="0"/>
          <w:color w:val="auto"/>
          <w:sz w:val="24"/>
          <w:lang w:eastAsia="zh-CN"/>
        </w:rPr>
        <w:t>）</w:t>
      </w:r>
      <w:r>
        <w:rPr>
          <w:rFonts w:hint="eastAsia" w:ascii="宋体" w:hAnsi="宋体" w:eastAsia="宋体" w:cs="宋体"/>
          <w:i w:val="0"/>
          <w:iCs w:val="0"/>
          <w:color w:val="auto"/>
          <w:sz w:val="24"/>
        </w:rPr>
        <w:t>未按招标文件规定的形式和金额提交投标保证金的；</w:t>
      </w:r>
    </w:p>
    <w:p>
      <w:pPr>
        <w:numPr>
          <w:ilvl w:val="0"/>
          <w:numId w:val="0"/>
        </w:num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lang w:eastAsia="zh-CN"/>
        </w:rPr>
        <w:t>（</w:t>
      </w:r>
      <w:r>
        <w:rPr>
          <w:rFonts w:hint="eastAsia" w:ascii="宋体" w:hAnsi="宋体" w:eastAsia="宋体" w:cs="宋体"/>
          <w:i w:val="0"/>
          <w:iCs w:val="0"/>
          <w:color w:val="auto"/>
          <w:sz w:val="24"/>
          <w:lang w:val="en-US" w:eastAsia="zh-CN"/>
        </w:rPr>
        <w:t>2</w:t>
      </w:r>
      <w:r>
        <w:rPr>
          <w:rFonts w:hint="eastAsia" w:ascii="宋体" w:hAnsi="宋体" w:eastAsia="宋体" w:cs="宋体"/>
          <w:i w:val="0"/>
          <w:iCs w:val="0"/>
          <w:color w:val="auto"/>
          <w:sz w:val="24"/>
          <w:lang w:eastAsia="zh-CN"/>
        </w:rPr>
        <w:t>）</w:t>
      </w:r>
      <w:r>
        <w:rPr>
          <w:rFonts w:hint="eastAsia" w:ascii="宋体" w:hAnsi="宋体" w:eastAsia="宋体" w:cs="宋体"/>
          <w:i w:val="0"/>
          <w:iCs w:val="0"/>
          <w:color w:val="auto"/>
          <w:sz w:val="24"/>
        </w:rPr>
        <w:t>未按照招标文件规定要求签署、盖章的；</w:t>
      </w:r>
    </w:p>
    <w:p>
      <w:pPr>
        <w:numPr>
          <w:ilvl w:val="0"/>
          <w:numId w:val="0"/>
        </w:num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lang w:eastAsia="zh-CN"/>
        </w:rPr>
        <w:t>（</w:t>
      </w:r>
      <w:r>
        <w:rPr>
          <w:rFonts w:hint="eastAsia" w:ascii="宋体" w:hAnsi="宋体" w:eastAsia="宋体" w:cs="宋体"/>
          <w:i w:val="0"/>
          <w:iCs w:val="0"/>
          <w:color w:val="auto"/>
          <w:sz w:val="24"/>
          <w:lang w:val="en-US" w:eastAsia="zh-CN"/>
        </w:rPr>
        <w:t>3</w:t>
      </w:r>
      <w:r>
        <w:rPr>
          <w:rFonts w:hint="eastAsia" w:ascii="宋体" w:hAnsi="宋体" w:eastAsia="宋体" w:cs="宋体"/>
          <w:i w:val="0"/>
          <w:iCs w:val="0"/>
          <w:color w:val="auto"/>
          <w:sz w:val="24"/>
          <w:lang w:eastAsia="zh-CN"/>
        </w:rPr>
        <w:t>）</w:t>
      </w:r>
      <w:r>
        <w:rPr>
          <w:rFonts w:hint="eastAsia" w:ascii="宋体" w:hAnsi="宋体" w:eastAsia="宋体" w:cs="宋体"/>
          <w:i w:val="0"/>
          <w:iCs w:val="0"/>
          <w:color w:val="auto"/>
          <w:sz w:val="24"/>
        </w:rPr>
        <w:t>未满足招标文件中技术条款的实质性要求；</w:t>
      </w:r>
    </w:p>
    <w:p>
      <w:pPr>
        <w:numPr>
          <w:ilvl w:val="0"/>
          <w:numId w:val="0"/>
        </w:num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lang w:eastAsia="zh-CN"/>
        </w:rPr>
        <w:t>（</w:t>
      </w:r>
      <w:r>
        <w:rPr>
          <w:rFonts w:hint="eastAsia" w:ascii="宋体" w:hAnsi="宋体" w:eastAsia="宋体" w:cs="宋体"/>
          <w:i w:val="0"/>
          <w:iCs w:val="0"/>
          <w:color w:val="auto"/>
          <w:sz w:val="24"/>
          <w:lang w:val="en-US" w:eastAsia="zh-CN"/>
        </w:rPr>
        <w:t>4</w:t>
      </w:r>
      <w:r>
        <w:rPr>
          <w:rFonts w:hint="eastAsia" w:ascii="宋体" w:hAnsi="宋体" w:eastAsia="宋体" w:cs="宋体"/>
          <w:i w:val="0"/>
          <w:iCs w:val="0"/>
          <w:color w:val="auto"/>
          <w:sz w:val="24"/>
          <w:lang w:eastAsia="zh-CN"/>
        </w:rPr>
        <w:t>）</w:t>
      </w:r>
      <w:r>
        <w:rPr>
          <w:rFonts w:hint="eastAsia" w:ascii="宋体" w:hAnsi="宋体" w:eastAsia="宋体" w:cs="宋体"/>
          <w:i w:val="0"/>
          <w:iCs w:val="0"/>
          <w:color w:val="auto"/>
          <w:sz w:val="24"/>
        </w:rPr>
        <w:t>与其他投标人串通投标，或者与招标人串通投标；</w:t>
      </w:r>
    </w:p>
    <w:p>
      <w:pPr>
        <w:numPr>
          <w:ilvl w:val="0"/>
          <w:numId w:val="0"/>
        </w:num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lang w:eastAsia="zh-CN"/>
        </w:rPr>
        <w:t>（</w:t>
      </w:r>
      <w:r>
        <w:rPr>
          <w:rFonts w:hint="eastAsia" w:ascii="宋体" w:hAnsi="宋体" w:eastAsia="宋体" w:cs="宋体"/>
          <w:i w:val="0"/>
          <w:iCs w:val="0"/>
          <w:color w:val="auto"/>
          <w:sz w:val="24"/>
          <w:lang w:val="en-US" w:eastAsia="zh-CN"/>
        </w:rPr>
        <w:t>5</w:t>
      </w:r>
      <w:r>
        <w:rPr>
          <w:rFonts w:hint="eastAsia" w:ascii="宋体" w:hAnsi="宋体" w:eastAsia="宋体" w:cs="宋体"/>
          <w:i w:val="0"/>
          <w:iCs w:val="0"/>
          <w:color w:val="auto"/>
          <w:sz w:val="24"/>
          <w:lang w:eastAsia="zh-CN"/>
        </w:rPr>
        <w:t>）</w:t>
      </w:r>
      <w:r>
        <w:rPr>
          <w:rFonts w:hint="eastAsia" w:ascii="宋体" w:hAnsi="宋体" w:eastAsia="宋体" w:cs="宋体"/>
          <w:i w:val="0"/>
          <w:iCs w:val="0"/>
          <w:color w:val="auto"/>
          <w:sz w:val="24"/>
        </w:rPr>
        <w:t>属于招标文件规定的其他投标无效情形；</w:t>
      </w:r>
    </w:p>
    <w:p>
      <w:pPr>
        <w:numPr>
          <w:ilvl w:val="0"/>
          <w:numId w:val="0"/>
        </w:num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lang w:eastAsia="zh-CN"/>
        </w:rPr>
        <w:t>（</w:t>
      </w:r>
      <w:r>
        <w:rPr>
          <w:rFonts w:hint="eastAsia" w:ascii="宋体" w:hAnsi="宋体" w:eastAsia="宋体" w:cs="宋体"/>
          <w:i w:val="0"/>
          <w:iCs w:val="0"/>
          <w:color w:val="auto"/>
          <w:sz w:val="24"/>
          <w:lang w:val="en-US" w:eastAsia="zh-CN"/>
        </w:rPr>
        <w:t>6</w:t>
      </w:r>
      <w:r>
        <w:rPr>
          <w:rFonts w:hint="eastAsia" w:ascii="宋体" w:hAnsi="宋体" w:eastAsia="宋体" w:cs="宋体"/>
          <w:i w:val="0"/>
          <w:iCs w:val="0"/>
          <w:color w:val="auto"/>
          <w:sz w:val="24"/>
          <w:lang w:eastAsia="zh-CN"/>
        </w:rPr>
        <w:t>）</w:t>
      </w:r>
      <w:r>
        <w:rPr>
          <w:rFonts w:hint="eastAsia" w:ascii="宋体" w:hAnsi="宋体" w:eastAsia="宋体" w:cs="宋体"/>
          <w:i w:val="0"/>
          <w:iCs w:val="0"/>
          <w:color w:val="auto"/>
          <w:sz w:val="24"/>
        </w:rPr>
        <w:t>评标委员会认为投标人的报价明显低于其他通过符合性检查投标人的报价，有可能影响履约的，且投标人未按照规定证明其报价合理性的；</w:t>
      </w:r>
    </w:p>
    <w:p>
      <w:pPr>
        <w:numPr>
          <w:ilvl w:val="0"/>
          <w:numId w:val="0"/>
        </w:num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lang w:eastAsia="zh-CN"/>
        </w:rPr>
        <w:t>（</w:t>
      </w:r>
      <w:r>
        <w:rPr>
          <w:rFonts w:hint="eastAsia" w:ascii="宋体" w:hAnsi="宋体" w:eastAsia="宋体" w:cs="宋体"/>
          <w:i w:val="0"/>
          <w:iCs w:val="0"/>
          <w:color w:val="auto"/>
          <w:sz w:val="24"/>
          <w:lang w:val="en-US" w:eastAsia="zh-CN"/>
        </w:rPr>
        <w:t>7</w:t>
      </w:r>
      <w:r>
        <w:rPr>
          <w:rFonts w:hint="eastAsia" w:ascii="宋体" w:hAnsi="宋体" w:eastAsia="宋体" w:cs="宋体"/>
          <w:i w:val="0"/>
          <w:iCs w:val="0"/>
          <w:color w:val="auto"/>
          <w:sz w:val="24"/>
          <w:lang w:eastAsia="zh-CN"/>
        </w:rPr>
        <w:t>）</w:t>
      </w:r>
      <w:r>
        <w:rPr>
          <w:rFonts w:hint="eastAsia" w:ascii="宋体" w:hAnsi="宋体" w:eastAsia="宋体" w:cs="宋体"/>
          <w:i w:val="0"/>
          <w:iCs w:val="0"/>
          <w:color w:val="auto"/>
          <w:sz w:val="24"/>
        </w:rPr>
        <w:t>投标文件含有采购人不能接受的附加条件的；</w:t>
      </w:r>
    </w:p>
    <w:p>
      <w:pPr>
        <w:numPr>
          <w:ilvl w:val="0"/>
          <w:numId w:val="0"/>
        </w:numPr>
        <w:tabs>
          <w:tab w:val="left" w:pos="0"/>
        </w:tabs>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lang w:eastAsia="zh-CN"/>
        </w:rPr>
        <w:t>（</w:t>
      </w:r>
      <w:r>
        <w:rPr>
          <w:rFonts w:hint="eastAsia" w:ascii="宋体" w:hAnsi="宋体" w:eastAsia="宋体" w:cs="宋体"/>
          <w:i w:val="0"/>
          <w:iCs w:val="0"/>
          <w:color w:val="auto"/>
          <w:sz w:val="24"/>
          <w:lang w:val="en-US" w:eastAsia="zh-CN"/>
        </w:rPr>
        <w:t>8</w:t>
      </w:r>
      <w:r>
        <w:rPr>
          <w:rFonts w:hint="eastAsia" w:ascii="宋体" w:hAnsi="宋体" w:eastAsia="宋体" w:cs="宋体"/>
          <w:i w:val="0"/>
          <w:iCs w:val="0"/>
          <w:color w:val="auto"/>
          <w:sz w:val="24"/>
          <w:lang w:eastAsia="zh-CN"/>
        </w:rPr>
        <w:t>）</w:t>
      </w:r>
      <w:r>
        <w:rPr>
          <w:rFonts w:hint="eastAsia" w:ascii="宋体" w:hAnsi="宋体" w:eastAsia="宋体" w:cs="宋体"/>
          <w:i w:val="0"/>
          <w:iCs w:val="0"/>
          <w:color w:val="auto"/>
          <w:sz w:val="24"/>
        </w:rPr>
        <w:t>不符合法规和招标文件中规定的其他实质性要求的。</w:t>
      </w:r>
    </w:p>
    <w:p>
      <w:pPr>
        <w:pStyle w:val="6"/>
        <w:spacing w:before="0" w:after="0" w:line="360" w:lineRule="auto"/>
        <w:rPr>
          <w:rFonts w:hint="eastAsia" w:ascii="宋体" w:hAnsi="宋体" w:eastAsia="宋体" w:cs="宋体"/>
          <w:i w:val="0"/>
          <w:iCs w:val="0"/>
          <w:color w:val="auto"/>
          <w:u w:val="none"/>
        </w:rPr>
      </w:pPr>
      <w:bookmarkStart w:id="99" w:name="_Toc20835"/>
      <w:bookmarkStart w:id="100" w:name="_Toc518923088"/>
      <w:r>
        <w:rPr>
          <w:rFonts w:hint="eastAsia" w:ascii="宋体" w:hAnsi="宋体" w:eastAsia="宋体" w:cs="宋体"/>
          <w:i w:val="0"/>
          <w:iCs w:val="0"/>
          <w:color w:val="auto"/>
          <w:u w:val="none"/>
        </w:rPr>
        <w:t>23</w:t>
      </w:r>
      <w:bookmarkEnd w:id="94"/>
      <w:r>
        <w:rPr>
          <w:rFonts w:hint="eastAsia" w:ascii="宋体" w:hAnsi="宋体" w:eastAsia="宋体" w:cs="宋体"/>
          <w:i w:val="0"/>
          <w:iCs w:val="0"/>
          <w:color w:val="auto"/>
          <w:u w:val="none"/>
          <w:lang w:eastAsia="zh-CN"/>
        </w:rPr>
        <w:t>.</w:t>
      </w:r>
      <w:r>
        <w:rPr>
          <w:rFonts w:hint="eastAsia" w:ascii="宋体" w:hAnsi="宋体" w:eastAsia="宋体" w:cs="宋体"/>
          <w:i w:val="0"/>
          <w:iCs w:val="0"/>
          <w:color w:val="auto"/>
          <w:u w:val="none"/>
        </w:rPr>
        <w:t>比较与评价</w:t>
      </w:r>
      <w:bookmarkEnd w:id="99"/>
      <w:bookmarkEnd w:id="100"/>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23.1经符合性审查合格的投标文件，评标委员会将根据招标文件确定的评</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标方法和标准，对其技术部分和商务部分作进一步的比较和评价。</w:t>
      </w:r>
    </w:p>
    <w:p>
      <w:pPr>
        <w:spacing w:line="360" w:lineRule="auto"/>
        <w:ind w:left="898" w:leftChars="228" w:hanging="420" w:hangingChars="175"/>
        <w:rPr>
          <w:rFonts w:hint="eastAsia" w:ascii="宋体" w:hAnsi="宋体" w:eastAsia="宋体" w:cs="宋体"/>
          <w:i w:val="0"/>
          <w:iCs w:val="0"/>
          <w:color w:val="auto"/>
          <w:sz w:val="24"/>
          <w:u w:val="single"/>
        </w:rPr>
      </w:pPr>
      <w:r>
        <w:rPr>
          <w:rFonts w:hint="eastAsia" w:ascii="宋体" w:hAnsi="宋体" w:eastAsia="宋体" w:cs="宋体"/>
          <w:i w:val="0"/>
          <w:iCs w:val="0"/>
          <w:color w:val="auto"/>
          <w:sz w:val="24"/>
        </w:rPr>
        <w:t>23.2评标严格按照招标文件的要求和条件进行。根据实际情况，在</w:t>
      </w:r>
      <w:r>
        <w:rPr>
          <w:rFonts w:hint="eastAsia" w:ascii="宋体" w:hAnsi="宋体" w:eastAsia="宋体" w:cs="宋体"/>
          <w:i w:val="0"/>
          <w:iCs w:val="0"/>
          <w:color w:val="auto"/>
          <w:sz w:val="24"/>
          <w:u w:val="single"/>
        </w:rPr>
        <w:t>投标人</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u w:val="single"/>
        </w:rPr>
        <w:t>须知资料表</w:t>
      </w:r>
      <w:r>
        <w:rPr>
          <w:rFonts w:hint="eastAsia" w:ascii="宋体" w:hAnsi="宋体" w:eastAsia="宋体" w:cs="宋体"/>
          <w:i w:val="0"/>
          <w:iCs w:val="0"/>
          <w:color w:val="auto"/>
          <w:sz w:val="24"/>
        </w:rPr>
        <w:t>中规定采用下列一种评标方法，详细评标标准见招标文件第六章：</w:t>
      </w:r>
    </w:p>
    <w:p>
      <w:pPr>
        <w:pStyle w:val="14"/>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 最低评标价法，是指投标文件满足招标文件全部实质性要求，且投标报价最低的投标人为中标候选人的评标方法。</w:t>
      </w:r>
    </w:p>
    <w:p>
      <w:pPr>
        <w:pStyle w:val="14"/>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 综合评分法，是指投标文件满足招标文件全部实质性要求，且按照评审因素的量化指标评审得分最高的投标人为中标候选人的评标方法。</w:t>
      </w:r>
    </w:p>
    <w:p>
      <w:pPr>
        <w:pStyle w:val="14"/>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23.3根据《政府采购促进中小企业发展暂行办法》（财库[2011]181号）、</w:t>
      </w:r>
      <w:r>
        <w:rPr>
          <w:rFonts w:hint="eastAsia" w:ascii="宋体" w:hAnsi="宋体" w:eastAsia="宋体" w:cs="宋体"/>
          <w:b w:val="0"/>
          <w:bCs/>
          <w:color w:val="auto"/>
          <w:kern w:val="2"/>
          <w:sz w:val="24"/>
          <w:szCs w:val="32"/>
          <w:lang w:val="en-US" w:eastAsia="zh-CN" w:bidi="ar-SA"/>
        </w:rPr>
        <w:t>《政</w:t>
      </w:r>
      <w:r>
        <w:rPr>
          <w:rFonts w:hint="eastAsia" w:ascii="宋体" w:hAnsi="宋体" w:eastAsia="宋体" w:cs="宋体"/>
          <w:bCs/>
          <w:i w:val="0"/>
          <w:iCs w:val="0"/>
          <w:color w:val="auto"/>
          <w:sz w:val="24"/>
          <w:szCs w:val="24"/>
          <w:lang w:val="en-US" w:eastAsia="zh-CN"/>
        </w:rPr>
        <w:t>府采购促进中小企业发展管理办法》（财库[2020]46号）文件、关于进一步加大政府采购支持中小企业力度的通知财库〔2022〕19号的规定，</w:t>
      </w:r>
      <w:r>
        <w:rPr>
          <w:rFonts w:hint="eastAsia" w:ascii="宋体" w:hAnsi="宋体" w:eastAsia="宋体" w:cs="宋体"/>
          <w:bCs/>
          <w:i w:val="0"/>
          <w:iCs w:val="0"/>
          <w:color w:val="auto"/>
          <w:sz w:val="24"/>
          <w:szCs w:val="24"/>
        </w:rPr>
        <w:t>《财政部 司法部关于政府采购支持监狱企业发展有关问题的通知》（财库〔2014〕68号）和《三部门联合</w:t>
      </w:r>
      <w:r>
        <w:rPr>
          <w:rFonts w:hint="eastAsia" w:ascii="宋体" w:hAnsi="宋体" w:eastAsia="宋体" w:cs="宋体"/>
          <w:i w:val="0"/>
          <w:iCs w:val="0"/>
          <w:color w:val="auto"/>
          <w:sz w:val="24"/>
          <w:szCs w:val="24"/>
        </w:rPr>
        <w:t>发布关于促进残疾人就业政府采购政策的通知》（</w:t>
      </w:r>
      <w:bookmarkStart w:id="101" w:name="sendNo"/>
      <w:r>
        <w:rPr>
          <w:rFonts w:hint="eastAsia" w:ascii="宋体" w:hAnsi="宋体" w:eastAsia="宋体" w:cs="宋体"/>
          <w:bCs/>
          <w:i w:val="0"/>
          <w:iCs w:val="0"/>
          <w:color w:val="auto"/>
          <w:sz w:val="24"/>
          <w:szCs w:val="24"/>
        </w:rPr>
        <w:t>财库〔</w:t>
      </w:r>
      <w:bookmarkEnd w:id="101"/>
      <w:r>
        <w:rPr>
          <w:rFonts w:hint="eastAsia" w:ascii="宋体" w:hAnsi="宋体" w:eastAsia="宋体" w:cs="宋体"/>
          <w:bCs/>
          <w:i w:val="0"/>
          <w:iCs w:val="0"/>
          <w:color w:val="auto"/>
          <w:sz w:val="24"/>
          <w:szCs w:val="24"/>
        </w:rPr>
        <w:t>2017〕141号</w:t>
      </w:r>
      <w:r>
        <w:rPr>
          <w:rFonts w:hint="eastAsia" w:ascii="宋体" w:hAnsi="宋体" w:eastAsia="宋体" w:cs="宋体"/>
          <w:i w:val="0"/>
          <w:iCs w:val="0"/>
          <w:color w:val="auto"/>
          <w:sz w:val="24"/>
          <w:szCs w:val="24"/>
        </w:rPr>
        <w:t>）的规定，对满足价格扣除条件且在投标文件中提交了《投标人企业类型声明函》或省级以上监狱管理局、戒毒管理局（含新疆生产建设兵团）出具的属于监狱企业的证明文件的投标人，其投标报价扣除</w:t>
      </w:r>
      <w:r>
        <w:rPr>
          <w:rFonts w:hint="eastAsia" w:hAnsi="宋体" w:eastAsia="宋体" w:cs="宋体"/>
          <w:i w:val="0"/>
          <w:iCs w:val="0"/>
          <w:color w:val="auto"/>
          <w:sz w:val="24"/>
          <w:szCs w:val="24"/>
          <w:lang w:val="en-US" w:eastAsia="zh-CN"/>
        </w:rPr>
        <w:t>10</w:t>
      </w:r>
      <w:r>
        <w:rPr>
          <w:rFonts w:hint="eastAsia" w:ascii="宋体" w:hAnsi="宋体" w:eastAsia="宋体" w:cs="宋体"/>
          <w:i w:val="0"/>
          <w:iCs w:val="0"/>
          <w:color w:val="auto"/>
          <w:sz w:val="24"/>
          <w:szCs w:val="24"/>
        </w:rPr>
        <w:t>-</w:t>
      </w:r>
      <w:r>
        <w:rPr>
          <w:rFonts w:hint="eastAsia" w:hAnsi="宋体" w:eastAsia="宋体" w:cs="宋体"/>
          <w:i w:val="0"/>
          <w:iCs w:val="0"/>
          <w:color w:val="auto"/>
          <w:sz w:val="24"/>
          <w:szCs w:val="24"/>
          <w:lang w:val="en-US" w:eastAsia="zh-CN"/>
        </w:rPr>
        <w:t>2</w:t>
      </w:r>
      <w:r>
        <w:rPr>
          <w:rFonts w:hint="eastAsia" w:ascii="宋体" w:hAnsi="宋体" w:eastAsia="宋体" w:cs="宋体"/>
          <w:i w:val="0"/>
          <w:iCs w:val="0"/>
          <w:color w:val="auto"/>
          <w:sz w:val="24"/>
          <w:szCs w:val="24"/>
        </w:rPr>
        <w:t>0%后参与评审。具体办法详见招标文件第6章。</w:t>
      </w:r>
    </w:p>
    <w:p>
      <w:pPr>
        <w:pStyle w:val="6"/>
        <w:spacing w:before="0" w:after="0" w:line="360" w:lineRule="auto"/>
        <w:rPr>
          <w:rFonts w:hint="eastAsia" w:ascii="宋体" w:hAnsi="宋体" w:eastAsia="宋体" w:cs="宋体"/>
          <w:i w:val="0"/>
          <w:iCs w:val="0"/>
          <w:color w:val="auto"/>
          <w:u w:val="none"/>
        </w:rPr>
      </w:pPr>
      <w:bookmarkStart w:id="102" w:name="_Toc520356168"/>
      <w:bookmarkStart w:id="103" w:name="_Toc518923089"/>
      <w:bookmarkStart w:id="104" w:name="_Toc5823"/>
      <w:r>
        <w:rPr>
          <w:rFonts w:hint="eastAsia" w:ascii="宋体" w:hAnsi="宋体" w:eastAsia="宋体" w:cs="宋体"/>
          <w:i w:val="0"/>
          <w:iCs w:val="0"/>
          <w:color w:val="auto"/>
          <w:u w:val="none"/>
        </w:rPr>
        <w:t>24</w:t>
      </w:r>
      <w:bookmarkEnd w:id="102"/>
      <w:r>
        <w:rPr>
          <w:rFonts w:hint="eastAsia" w:ascii="宋体" w:hAnsi="宋体" w:eastAsia="宋体" w:cs="宋体"/>
          <w:i w:val="0"/>
          <w:iCs w:val="0"/>
          <w:color w:val="auto"/>
          <w:u w:val="none"/>
          <w:lang w:eastAsia="zh-CN"/>
        </w:rPr>
        <w:t>.</w:t>
      </w:r>
      <w:r>
        <w:rPr>
          <w:rFonts w:hint="eastAsia" w:ascii="宋体" w:hAnsi="宋体" w:eastAsia="宋体" w:cs="宋体"/>
          <w:i w:val="0"/>
          <w:iCs w:val="0"/>
          <w:color w:val="auto"/>
          <w:u w:val="none"/>
        </w:rPr>
        <w:t>废标</w:t>
      </w:r>
      <w:bookmarkEnd w:id="103"/>
      <w:bookmarkEnd w:id="104"/>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出现下列情形之一，将导致项目废标： </w:t>
      </w:r>
    </w:p>
    <w:p>
      <w:pPr>
        <w:numPr>
          <w:ilvl w:val="0"/>
          <w:numId w:val="2"/>
        </w:num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符合专业条件的供应商或者对招标文件做实质性响应的供应商不足</w:t>
      </w:r>
    </w:p>
    <w:p>
      <w:pPr>
        <w:numPr>
          <w:ilvl w:val="0"/>
          <w:numId w:val="0"/>
        </w:numPr>
        <w:spacing w:line="360" w:lineRule="auto"/>
        <w:ind w:leftChars="53"/>
        <w:rPr>
          <w:rFonts w:hint="eastAsia" w:ascii="宋体" w:hAnsi="宋体" w:eastAsia="宋体" w:cs="宋体"/>
          <w:i w:val="0"/>
          <w:iCs w:val="0"/>
          <w:color w:val="auto"/>
          <w:sz w:val="24"/>
        </w:rPr>
      </w:pPr>
      <w:r>
        <w:rPr>
          <w:rFonts w:hint="eastAsia" w:ascii="宋体" w:hAnsi="宋体" w:eastAsia="宋体" w:cs="宋体"/>
          <w:i w:val="0"/>
          <w:iCs w:val="0"/>
          <w:color w:val="auto"/>
          <w:sz w:val="24"/>
        </w:rPr>
        <w:t>三家；</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（2）出现影响采购公正的违法、违规行为的；</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（3）投标人的报价均超过了采购预算，采购人不能支付的；</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（4）因重大变故，采购任务取消的。   </w:t>
      </w:r>
    </w:p>
    <w:p>
      <w:pPr>
        <w:pStyle w:val="6"/>
        <w:spacing w:before="0" w:after="0" w:line="360" w:lineRule="auto"/>
        <w:rPr>
          <w:rFonts w:hint="eastAsia" w:ascii="宋体" w:hAnsi="宋体" w:eastAsia="宋体" w:cs="宋体"/>
          <w:i w:val="0"/>
          <w:iCs w:val="0"/>
          <w:color w:val="auto"/>
          <w:u w:val="none"/>
        </w:rPr>
      </w:pPr>
      <w:bookmarkStart w:id="105" w:name="_Toc23660"/>
      <w:bookmarkStart w:id="106" w:name="_Toc518923090"/>
      <w:bookmarkStart w:id="107" w:name="_Toc520356169"/>
      <w:r>
        <w:rPr>
          <w:rFonts w:hint="eastAsia" w:ascii="宋体" w:hAnsi="宋体" w:eastAsia="宋体" w:cs="宋体"/>
          <w:i w:val="0"/>
          <w:iCs w:val="0"/>
          <w:color w:val="auto"/>
          <w:u w:val="none"/>
        </w:rPr>
        <w:t>25</w:t>
      </w:r>
      <w:r>
        <w:rPr>
          <w:rFonts w:hint="eastAsia" w:ascii="宋体" w:hAnsi="宋体" w:eastAsia="宋体" w:cs="宋体"/>
          <w:i w:val="0"/>
          <w:iCs w:val="0"/>
          <w:color w:val="auto"/>
          <w:u w:val="none"/>
          <w:lang w:eastAsia="zh-CN"/>
        </w:rPr>
        <w:t>.</w:t>
      </w:r>
      <w:r>
        <w:rPr>
          <w:rFonts w:hint="eastAsia" w:ascii="宋体" w:hAnsi="宋体" w:eastAsia="宋体" w:cs="宋体"/>
          <w:i w:val="0"/>
          <w:iCs w:val="0"/>
          <w:color w:val="auto"/>
          <w:u w:val="none"/>
        </w:rPr>
        <w:t>保密原则</w:t>
      </w:r>
      <w:bookmarkEnd w:id="105"/>
      <w:bookmarkEnd w:id="106"/>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25.1评标将在严格保密的情况下进行。</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25.2政府采购评审专家应当遵守评审工作纪律，不得泄露评审文件、评审</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情况和评审中获悉的商业秘密。</w:t>
      </w:r>
    </w:p>
    <w:p>
      <w:pPr>
        <w:spacing w:line="360" w:lineRule="auto"/>
        <w:ind w:left="1079" w:leftChars="257" w:hanging="540"/>
        <w:rPr>
          <w:rFonts w:hint="eastAsia" w:ascii="宋体" w:hAnsi="宋体" w:eastAsia="宋体" w:cs="宋体"/>
          <w:i w:val="0"/>
          <w:iCs w:val="0"/>
          <w:color w:val="auto"/>
          <w:sz w:val="24"/>
        </w:rPr>
      </w:pPr>
    </w:p>
    <w:p>
      <w:pPr>
        <w:pStyle w:val="4"/>
        <w:spacing w:before="0" w:line="360" w:lineRule="auto"/>
        <w:ind w:left="1079" w:leftChars="257" w:hanging="540"/>
        <w:rPr>
          <w:rFonts w:hint="eastAsia" w:ascii="宋体" w:hAnsi="宋体" w:eastAsia="宋体" w:cs="宋体"/>
          <w:i w:val="0"/>
          <w:iCs w:val="0"/>
          <w:color w:val="auto"/>
          <w:sz w:val="28"/>
          <w:szCs w:val="21"/>
        </w:rPr>
      </w:pPr>
      <w:bookmarkStart w:id="108" w:name="_Toc518923091"/>
      <w:bookmarkStart w:id="109" w:name="_Toc216582810"/>
      <w:bookmarkStart w:id="110" w:name="_Toc10964"/>
      <w:r>
        <w:rPr>
          <w:rFonts w:hint="eastAsia" w:ascii="宋体" w:hAnsi="宋体" w:eastAsia="宋体" w:cs="宋体"/>
          <w:i w:val="0"/>
          <w:iCs w:val="0"/>
          <w:color w:val="auto"/>
          <w:sz w:val="28"/>
          <w:szCs w:val="21"/>
        </w:rPr>
        <w:t>六</w:t>
      </w:r>
      <w:bookmarkEnd w:id="107"/>
      <w:r>
        <w:rPr>
          <w:rFonts w:hint="eastAsia" w:ascii="宋体" w:hAnsi="宋体" w:eastAsia="宋体" w:cs="宋体"/>
          <w:i w:val="0"/>
          <w:iCs w:val="0"/>
          <w:color w:val="auto"/>
          <w:sz w:val="28"/>
          <w:szCs w:val="21"/>
          <w:lang w:eastAsia="zh-CN"/>
        </w:rPr>
        <w:t>、</w:t>
      </w:r>
      <w:r>
        <w:rPr>
          <w:rFonts w:hint="eastAsia" w:ascii="宋体" w:hAnsi="宋体" w:eastAsia="宋体" w:cs="宋体"/>
          <w:i w:val="0"/>
          <w:iCs w:val="0"/>
          <w:color w:val="auto"/>
          <w:sz w:val="28"/>
          <w:szCs w:val="21"/>
        </w:rPr>
        <w:t>确定中标</w:t>
      </w:r>
      <w:bookmarkEnd w:id="108"/>
      <w:bookmarkEnd w:id="109"/>
      <w:bookmarkEnd w:id="110"/>
    </w:p>
    <w:p>
      <w:pPr>
        <w:pStyle w:val="8"/>
        <w:spacing w:line="360" w:lineRule="auto"/>
        <w:rPr>
          <w:rFonts w:hint="eastAsia" w:ascii="宋体" w:hAnsi="宋体" w:eastAsia="宋体" w:cs="宋体"/>
          <w:i w:val="0"/>
          <w:iCs w:val="0"/>
          <w:color w:val="auto"/>
        </w:rPr>
      </w:pPr>
    </w:p>
    <w:p>
      <w:pPr>
        <w:pStyle w:val="6"/>
        <w:spacing w:before="0" w:after="0" w:line="360" w:lineRule="auto"/>
        <w:rPr>
          <w:rFonts w:hint="eastAsia" w:ascii="宋体" w:hAnsi="宋体" w:eastAsia="宋体" w:cs="宋体"/>
          <w:i w:val="0"/>
          <w:iCs w:val="0"/>
          <w:color w:val="auto"/>
          <w:sz w:val="24"/>
        </w:rPr>
      </w:pPr>
      <w:bookmarkStart w:id="111" w:name="_Toc32578"/>
      <w:bookmarkStart w:id="112" w:name="_Ref467307010"/>
      <w:bookmarkStart w:id="113" w:name="_Toc518923092"/>
      <w:bookmarkStart w:id="114" w:name="_Toc520356170"/>
      <w:r>
        <w:rPr>
          <w:rFonts w:hint="eastAsia" w:ascii="宋体" w:hAnsi="宋体" w:eastAsia="宋体" w:cs="宋体"/>
          <w:i w:val="0"/>
          <w:iCs w:val="0"/>
          <w:color w:val="auto"/>
          <w:u w:val="none"/>
        </w:rPr>
        <w:t>26</w:t>
      </w:r>
      <w:r>
        <w:rPr>
          <w:rFonts w:hint="eastAsia" w:ascii="宋体" w:hAnsi="宋体" w:eastAsia="宋体" w:cs="宋体"/>
          <w:i w:val="0"/>
          <w:iCs w:val="0"/>
          <w:color w:val="auto"/>
          <w:u w:val="none"/>
          <w:lang w:eastAsia="zh-CN"/>
        </w:rPr>
        <w:t>.</w:t>
      </w:r>
      <w:r>
        <w:rPr>
          <w:rFonts w:hint="eastAsia" w:ascii="宋体" w:hAnsi="宋体" w:eastAsia="宋体" w:cs="宋体"/>
          <w:i w:val="0"/>
          <w:iCs w:val="0"/>
          <w:color w:val="auto"/>
          <w:u w:val="none"/>
        </w:rPr>
        <w:t>中标候选人的确定原则及标准</w:t>
      </w:r>
      <w:bookmarkEnd w:id="111"/>
      <w:bookmarkEnd w:id="112"/>
      <w:bookmarkEnd w:id="113"/>
      <w:bookmarkEnd w:id="114"/>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除第28条规定外，对实质上响应招标文件的投标人按下列方法进行排序，确定中标候选人：</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（2）采用综合评分法的，评标结果按评审后得分由高到低顺序排列。得分相同的，按修正和扣除后的投标报价由低到高顺序排列。得分与投标报价均相同的处理方式详见招标文件第6章。</w:t>
      </w:r>
    </w:p>
    <w:p>
      <w:pPr>
        <w:pStyle w:val="6"/>
        <w:spacing w:before="0" w:after="0" w:line="360" w:lineRule="auto"/>
        <w:rPr>
          <w:rFonts w:hint="eastAsia" w:ascii="宋体" w:hAnsi="宋体" w:eastAsia="宋体" w:cs="宋体"/>
          <w:i w:val="0"/>
          <w:iCs w:val="0"/>
          <w:color w:val="auto"/>
          <w:u w:val="none"/>
        </w:rPr>
      </w:pPr>
      <w:bookmarkStart w:id="115" w:name="_Toc520356171"/>
      <w:bookmarkStart w:id="116" w:name="_Toc10555"/>
      <w:bookmarkStart w:id="117" w:name="_Toc518923093"/>
      <w:r>
        <w:rPr>
          <w:rFonts w:hint="eastAsia" w:ascii="宋体" w:hAnsi="宋体" w:eastAsia="宋体" w:cs="宋体"/>
          <w:i w:val="0"/>
          <w:iCs w:val="0"/>
          <w:color w:val="auto"/>
          <w:u w:val="none"/>
        </w:rPr>
        <w:t>27</w:t>
      </w:r>
      <w:bookmarkEnd w:id="115"/>
      <w:r>
        <w:rPr>
          <w:rFonts w:hint="eastAsia" w:ascii="宋体" w:hAnsi="宋体" w:eastAsia="宋体" w:cs="宋体"/>
          <w:i w:val="0"/>
          <w:iCs w:val="0"/>
          <w:color w:val="auto"/>
          <w:u w:val="none"/>
          <w:lang w:eastAsia="zh-CN"/>
        </w:rPr>
        <w:t>.</w:t>
      </w:r>
      <w:r>
        <w:rPr>
          <w:rFonts w:hint="eastAsia" w:ascii="宋体" w:hAnsi="宋体" w:eastAsia="宋体" w:cs="宋体"/>
          <w:i w:val="0"/>
          <w:iCs w:val="0"/>
          <w:color w:val="auto"/>
          <w:u w:val="none"/>
        </w:rPr>
        <w:t>确定中标候选人和中标人</w:t>
      </w:r>
      <w:bookmarkEnd w:id="116"/>
      <w:bookmarkEnd w:id="117"/>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评标委员会将根据评标标准，按</w:t>
      </w:r>
      <w:r>
        <w:rPr>
          <w:rFonts w:hint="eastAsia" w:ascii="宋体" w:hAnsi="宋体" w:eastAsia="宋体" w:cs="宋体"/>
          <w:i w:val="0"/>
          <w:iCs w:val="0"/>
          <w:color w:val="auto"/>
          <w:sz w:val="24"/>
          <w:u w:val="single"/>
        </w:rPr>
        <w:t>投标人须知资料表中</w:t>
      </w:r>
      <w:r>
        <w:rPr>
          <w:rFonts w:hint="eastAsia" w:ascii="宋体" w:hAnsi="宋体" w:eastAsia="宋体" w:cs="宋体"/>
          <w:i w:val="0"/>
          <w:iCs w:val="0"/>
          <w:color w:val="auto"/>
          <w:sz w:val="24"/>
        </w:rPr>
        <w:t>规定数量推荐中标候</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选人；或根据采购人的委托，直接确定中标人。</w:t>
      </w:r>
    </w:p>
    <w:p>
      <w:pPr>
        <w:pStyle w:val="6"/>
        <w:tabs>
          <w:tab w:val="left" w:pos="900"/>
        </w:tabs>
        <w:spacing w:before="0" w:after="0" w:line="360" w:lineRule="auto"/>
        <w:rPr>
          <w:rFonts w:hint="eastAsia" w:ascii="宋体" w:hAnsi="宋体" w:eastAsia="宋体" w:cs="宋体"/>
          <w:i w:val="0"/>
          <w:iCs w:val="0"/>
          <w:color w:val="auto"/>
          <w:u w:val="none"/>
        </w:rPr>
      </w:pPr>
      <w:bookmarkStart w:id="118" w:name="_Toc520356173"/>
      <w:bookmarkStart w:id="119" w:name="_Ref467306874"/>
      <w:bookmarkStart w:id="120" w:name="_Toc17138"/>
      <w:bookmarkStart w:id="121" w:name="_Toc518923094"/>
      <w:r>
        <w:rPr>
          <w:rFonts w:hint="eastAsia" w:ascii="宋体" w:hAnsi="宋体" w:eastAsia="宋体" w:cs="宋体"/>
          <w:i w:val="0"/>
          <w:iCs w:val="0"/>
          <w:color w:val="auto"/>
          <w:u w:val="none"/>
        </w:rPr>
        <w:t>28</w:t>
      </w:r>
      <w:bookmarkEnd w:id="118"/>
      <w:bookmarkEnd w:id="119"/>
      <w:r>
        <w:rPr>
          <w:rFonts w:hint="eastAsia" w:ascii="宋体" w:hAnsi="宋体" w:eastAsia="宋体" w:cs="宋体"/>
          <w:i w:val="0"/>
          <w:iCs w:val="0"/>
          <w:color w:val="auto"/>
          <w:u w:val="none"/>
          <w:lang w:eastAsia="zh-CN"/>
        </w:rPr>
        <w:t>.</w:t>
      </w:r>
      <w:r>
        <w:rPr>
          <w:rFonts w:hint="eastAsia" w:ascii="宋体" w:hAnsi="宋体" w:eastAsia="宋体" w:cs="宋体"/>
          <w:i w:val="0"/>
          <w:iCs w:val="0"/>
          <w:color w:val="auto"/>
          <w:u w:val="none"/>
        </w:rPr>
        <w:t>采购任务取消</w:t>
      </w:r>
      <w:bookmarkEnd w:id="120"/>
      <w:bookmarkEnd w:id="121"/>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因重大变故采购任务取消时，采购人有权拒绝任何投标人中标，且对受影</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响的投标人不承担任何责任。</w:t>
      </w:r>
      <w:bookmarkStart w:id="122" w:name="_Toc520356174"/>
    </w:p>
    <w:p>
      <w:pPr>
        <w:pStyle w:val="6"/>
        <w:spacing w:before="0" w:after="0" w:line="360" w:lineRule="auto"/>
        <w:rPr>
          <w:rFonts w:hint="eastAsia" w:ascii="宋体" w:hAnsi="宋体" w:eastAsia="宋体" w:cs="宋体"/>
          <w:i w:val="0"/>
          <w:iCs w:val="0"/>
          <w:color w:val="auto"/>
          <w:u w:val="none"/>
        </w:rPr>
      </w:pPr>
      <w:bookmarkStart w:id="123" w:name="_Toc18072"/>
      <w:bookmarkStart w:id="124" w:name="_Toc518923095"/>
      <w:r>
        <w:rPr>
          <w:rFonts w:hint="eastAsia" w:ascii="宋体" w:hAnsi="宋体" w:eastAsia="宋体" w:cs="宋体"/>
          <w:i w:val="0"/>
          <w:iCs w:val="0"/>
          <w:color w:val="auto"/>
          <w:u w:val="none"/>
        </w:rPr>
        <w:t>29</w:t>
      </w:r>
      <w:r>
        <w:rPr>
          <w:rFonts w:hint="eastAsia" w:ascii="宋体" w:hAnsi="宋体" w:eastAsia="宋体" w:cs="宋体"/>
          <w:i w:val="0"/>
          <w:iCs w:val="0"/>
          <w:color w:val="auto"/>
          <w:u w:val="none"/>
          <w:lang w:eastAsia="zh-CN"/>
        </w:rPr>
        <w:t>.</w:t>
      </w:r>
      <w:r>
        <w:rPr>
          <w:rFonts w:hint="eastAsia" w:ascii="宋体" w:hAnsi="宋体" w:eastAsia="宋体" w:cs="宋体"/>
          <w:i w:val="0"/>
          <w:iCs w:val="0"/>
          <w:color w:val="auto"/>
          <w:u w:val="none"/>
        </w:rPr>
        <w:t>中标通知书</w:t>
      </w:r>
      <w:bookmarkEnd w:id="122"/>
      <w:r>
        <w:rPr>
          <w:rFonts w:hint="eastAsia" w:ascii="宋体" w:hAnsi="宋体" w:eastAsia="宋体" w:cs="宋体"/>
          <w:i w:val="0"/>
          <w:iCs w:val="0"/>
          <w:color w:val="auto"/>
          <w:u w:val="none"/>
        </w:rPr>
        <w:t>和招标结果通知书</w:t>
      </w:r>
      <w:bookmarkEnd w:id="123"/>
      <w:bookmarkEnd w:id="124"/>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29.1在投标有效期内，中标人确定后，采购人或者采购代理机构发布中标</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公告，同时以书面形式向中标人发出中标通知书；</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29.2中标通知书是合同的组成部分；</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29.3招标结果通知书和中标通知书同时发出。招标结果通知书中将告知未</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通过资格审查的投标人未通过的原因；采用综合评分法评审的，还将告知未中标人本人的评审得分和排序。</w:t>
      </w:r>
    </w:p>
    <w:p>
      <w:pPr>
        <w:pStyle w:val="6"/>
        <w:spacing w:before="0" w:after="0" w:line="360" w:lineRule="auto"/>
        <w:rPr>
          <w:rFonts w:hint="eastAsia" w:ascii="宋体" w:hAnsi="宋体" w:eastAsia="宋体" w:cs="宋体"/>
          <w:i w:val="0"/>
          <w:iCs w:val="0"/>
          <w:color w:val="auto"/>
          <w:u w:val="none"/>
        </w:rPr>
      </w:pPr>
      <w:bookmarkStart w:id="125" w:name="_Ref467307204"/>
      <w:bookmarkStart w:id="126" w:name="_Ref467306978"/>
      <w:bookmarkStart w:id="127" w:name="_Ref467306377"/>
      <w:bookmarkStart w:id="128" w:name="_Toc520356175"/>
      <w:bookmarkStart w:id="129" w:name="_Toc16952"/>
      <w:bookmarkStart w:id="130" w:name="_Ref467307062"/>
      <w:bookmarkStart w:id="131" w:name="_Toc518923096"/>
      <w:r>
        <w:rPr>
          <w:rFonts w:hint="eastAsia" w:ascii="宋体" w:hAnsi="宋体" w:eastAsia="宋体" w:cs="宋体"/>
          <w:i w:val="0"/>
          <w:iCs w:val="0"/>
          <w:color w:val="auto"/>
          <w:u w:val="none"/>
        </w:rPr>
        <w:t>30.签订合同</w:t>
      </w:r>
      <w:bookmarkEnd w:id="125"/>
      <w:bookmarkEnd w:id="126"/>
      <w:bookmarkEnd w:id="127"/>
      <w:bookmarkEnd w:id="128"/>
      <w:bookmarkEnd w:id="129"/>
      <w:bookmarkEnd w:id="130"/>
      <w:bookmarkEnd w:id="131"/>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30.1中标人应当自发出中标通知书之日起30日内，与采购人签订合同。</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30.2</w:t>
      </w:r>
      <w:bookmarkStart w:id="132" w:name="_Ref467307090"/>
      <w:bookmarkStart w:id="133" w:name="_Ref467306425"/>
      <w:bookmarkStart w:id="134" w:name="_Toc520356176"/>
      <w:r>
        <w:rPr>
          <w:rFonts w:hint="eastAsia" w:ascii="宋体" w:hAnsi="宋体" w:eastAsia="宋体" w:cs="宋体"/>
          <w:i w:val="0"/>
          <w:iCs w:val="0"/>
          <w:color w:val="auto"/>
          <w:sz w:val="24"/>
        </w:rPr>
        <w:t>招标文件、中标人的投标文件及其澄清文件等，均为签订合同的依据。</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30.3中标人拒绝与采购人签订合同的，采购人可以按照评审报告推荐的中</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标候选人名单排序，确定下一中标候选人为中标人，也可以重新开展政府采购活动。</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30.4当出现法规规定的</w:t>
      </w:r>
      <w:r>
        <w:rPr>
          <w:rFonts w:hint="eastAsia" w:ascii="宋体" w:hAnsi="宋体" w:eastAsia="宋体" w:cs="宋体"/>
          <w:b/>
          <w:i w:val="0"/>
          <w:iCs w:val="0"/>
          <w:color w:val="auto"/>
          <w:sz w:val="24"/>
        </w:rPr>
        <w:t>中标无效或中标结果无效</w:t>
      </w:r>
      <w:r>
        <w:rPr>
          <w:rFonts w:hint="eastAsia" w:ascii="宋体" w:hAnsi="宋体" w:eastAsia="宋体" w:cs="宋体"/>
          <w:i w:val="0"/>
          <w:iCs w:val="0"/>
          <w:color w:val="auto"/>
          <w:sz w:val="24"/>
        </w:rPr>
        <w:t>情形时，采购人可与排名</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下一位的中标候选人另行签订合同，或依法重新开展采购活动。</w:t>
      </w:r>
    </w:p>
    <w:p>
      <w:pPr>
        <w:pStyle w:val="6"/>
        <w:spacing w:before="0" w:after="0" w:line="360" w:lineRule="auto"/>
        <w:rPr>
          <w:rFonts w:hint="eastAsia" w:ascii="宋体" w:hAnsi="宋体" w:eastAsia="宋体" w:cs="宋体"/>
          <w:i w:val="0"/>
          <w:iCs w:val="0"/>
          <w:color w:val="auto"/>
          <w:u w:val="none"/>
        </w:rPr>
      </w:pPr>
      <w:bookmarkStart w:id="135" w:name="_Toc518923097"/>
      <w:bookmarkStart w:id="136" w:name="_Toc4302"/>
      <w:r>
        <w:rPr>
          <w:rFonts w:hint="eastAsia" w:ascii="宋体" w:hAnsi="宋体" w:eastAsia="宋体" w:cs="宋体"/>
          <w:i w:val="0"/>
          <w:iCs w:val="0"/>
          <w:color w:val="auto"/>
          <w:u w:val="none"/>
        </w:rPr>
        <w:t>31</w:t>
      </w:r>
      <w:r>
        <w:rPr>
          <w:rFonts w:hint="eastAsia" w:ascii="宋体" w:hAnsi="宋体" w:eastAsia="宋体" w:cs="宋体"/>
          <w:i w:val="0"/>
          <w:iCs w:val="0"/>
          <w:color w:val="auto"/>
          <w:u w:val="none"/>
          <w:lang w:eastAsia="zh-CN"/>
        </w:rPr>
        <w:t>.</w:t>
      </w:r>
      <w:r>
        <w:rPr>
          <w:rFonts w:hint="eastAsia" w:ascii="宋体" w:hAnsi="宋体" w:eastAsia="宋体" w:cs="宋体"/>
          <w:i w:val="0"/>
          <w:iCs w:val="0"/>
          <w:color w:val="auto"/>
          <w:u w:val="none"/>
        </w:rPr>
        <w:t>履约保证金</w:t>
      </w:r>
      <w:bookmarkEnd w:id="132"/>
      <w:bookmarkEnd w:id="133"/>
      <w:bookmarkEnd w:id="134"/>
      <w:bookmarkEnd w:id="135"/>
      <w:bookmarkEnd w:id="136"/>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31.1中标人应按照</w:t>
      </w:r>
      <w:r>
        <w:rPr>
          <w:rFonts w:hint="eastAsia" w:ascii="宋体" w:hAnsi="宋体" w:eastAsia="宋体" w:cs="宋体"/>
          <w:i w:val="0"/>
          <w:iCs w:val="0"/>
          <w:color w:val="auto"/>
          <w:sz w:val="24"/>
          <w:u w:val="single"/>
        </w:rPr>
        <w:t>投标人须知资料表</w:t>
      </w:r>
      <w:r>
        <w:rPr>
          <w:rFonts w:hint="eastAsia" w:ascii="宋体" w:hAnsi="宋体" w:eastAsia="宋体" w:cs="宋体"/>
          <w:i w:val="0"/>
          <w:iCs w:val="0"/>
          <w:color w:val="auto"/>
          <w:sz w:val="24"/>
        </w:rPr>
        <w:t>规定向采购人缴纳履约保证金（如采</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用保函形式，格式见本章附件1）。</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31.2政府采购利用担保试点范围内的项目，除31.1规定的情形外，中标</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人也可以按照财政部门的规定，向采购人提供合格的履约担保函（格式见本章附件2）。</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31.3如果中标人没有按照上述履约保证金的规定执行，将视为放弃中标资</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格，中标人的投标保证金将不予退还。在此情况下，采购人可确定下一候选人为中标人，也可以重新开展采购活动。</w:t>
      </w:r>
    </w:p>
    <w:p>
      <w:pPr>
        <w:pStyle w:val="6"/>
        <w:spacing w:before="0" w:after="0" w:line="360" w:lineRule="auto"/>
        <w:rPr>
          <w:rFonts w:hint="eastAsia" w:ascii="宋体" w:hAnsi="宋体" w:eastAsia="宋体" w:cs="宋体"/>
          <w:i w:val="0"/>
          <w:iCs w:val="0"/>
          <w:color w:val="auto"/>
          <w:u w:val="none"/>
        </w:rPr>
      </w:pPr>
      <w:bookmarkStart w:id="137" w:name="_Toc8476"/>
      <w:bookmarkStart w:id="138" w:name="_Toc518923098"/>
      <w:r>
        <w:rPr>
          <w:rFonts w:hint="eastAsia" w:ascii="宋体" w:hAnsi="宋体" w:eastAsia="宋体" w:cs="宋体"/>
          <w:i w:val="0"/>
          <w:iCs w:val="0"/>
          <w:color w:val="auto"/>
          <w:u w:val="none"/>
        </w:rPr>
        <w:t>32.中标服务费</w:t>
      </w:r>
      <w:bookmarkEnd w:id="137"/>
      <w:bookmarkEnd w:id="138"/>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中标人须按照</w:t>
      </w:r>
      <w:r>
        <w:rPr>
          <w:rFonts w:hint="eastAsia" w:ascii="宋体" w:hAnsi="宋体" w:eastAsia="宋体" w:cs="宋体"/>
          <w:i w:val="0"/>
          <w:iCs w:val="0"/>
          <w:color w:val="auto"/>
          <w:sz w:val="24"/>
          <w:u w:val="single"/>
        </w:rPr>
        <w:t>投标须知资料表</w:t>
      </w:r>
      <w:r>
        <w:rPr>
          <w:rFonts w:hint="eastAsia" w:ascii="宋体" w:hAnsi="宋体" w:eastAsia="宋体" w:cs="宋体"/>
          <w:i w:val="0"/>
          <w:iCs w:val="0"/>
          <w:color w:val="auto"/>
          <w:sz w:val="24"/>
        </w:rPr>
        <w:t>规定，向采购代理机构支付中标服务费。</w:t>
      </w:r>
    </w:p>
    <w:p>
      <w:pPr>
        <w:pStyle w:val="6"/>
        <w:spacing w:before="0" w:after="0" w:line="360" w:lineRule="auto"/>
        <w:rPr>
          <w:rFonts w:hint="eastAsia" w:ascii="宋体" w:hAnsi="宋体" w:eastAsia="宋体" w:cs="宋体"/>
          <w:i w:val="0"/>
          <w:iCs w:val="0"/>
          <w:color w:val="auto"/>
          <w:u w:val="none"/>
        </w:rPr>
      </w:pPr>
      <w:bookmarkStart w:id="139" w:name="_Toc31411"/>
      <w:bookmarkStart w:id="140" w:name="_Toc518923099"/>
      <w:r>
        <w:rPr>
          <w:rFonts w:hint="eastAsia" w:ascii="宋体" w:hAnsi="宋体" w:eastAsia="宋体" w:cs="宋体"/>
          <w:i w:val="0"/>
          <w:iCs w:val="0"/>
          <w:color w:val="auto"/>
          <w:u w:val="none"/>
        </w:rPr>
        <w:t>33.政府采购信用担保</w:t>
      </w:r>
      <w:bookmarkEnd w:id="139"/>
      <w:bookmarkEnd w:id="140"/>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33.1本项目是否属于信用担保试点范围见</w:t>
      </w:r>
      <w:r>
        <w:rPr>
          <w:rFonts w:hint="eastAsia" w:ascii="宋体" w:hAnsi="宋体" w:eastAsia="宋体" w:cs="宋体"/>
          <w:i w:val="0"/>
          <w:iCs w:val="0"/>
          <w:color w:val="auto"/>
          <w:sz w:val="24"/>
          <w:u w:val="single"/>
        </w:rPr>
        <w:t>投标人须知资料表</w:t>
      </w:r>
      <w:r>
        <w:rPr>
          <w:rFonts w:hint="eastAsia" w:ascii="宋体" w:hAnsi="宋体" w:eastAsia="宋体" w:cs="宋体"/>
          <w:i w:val="0"/>
          <w:iCs w:val="0"/>
          <w:color w:val="auto"/>
          <w:sz w:val="24"/>
        </w:rPr>
        <w:t>。</w:t>
      </w:r>
    </w:p>
    <w:p>
      <w:pPr>
        <w:spacing w:line="360" w:lineRule="auto"/>
        <w:ind w:left="842" w:leftChars="228" w:hanging="364" w:hangingChars="152"/>
        <w:rPr>
          <w:rFonts w:hint="eastAsia" w:ascii="宋体" w:hAnsi="宋体" w:eastAsia="宋体" w:cs="宋体"/>
          <w:i w:val="0"/>
          <w:iCs w:val="0"/>
          <w:color w:val="auto"/>
          <w:sz w:val="24"/>
        </w:rPr>
      </w:pPr>
      <w:r>
        <w:rPr>
          <w:rFonts w:hint="eastAsia" w:ascii="宋体" w:hAnsi="宋体" w:eastAsia="宋体" w:cs="宋体"/>
          <w:i w:val="0"/>
          <w:iCs w:val="0"/>
          <w:color w:val="auto"/>
          <w:sz w:val="24"/>
        </w:rPr>
        <w:t>33.2如属于政府采购信用担保试点范围内，中小型企业投标人可以自由按</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照财政部门的规定，采用投标担保、履约担保和融资担保。</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33.2.1 投标人递交的投标担保函和履约担保函应符合本招标文件的规定。</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33.2.2 中标人可以采取融资担保的形式为政府采购项目履约进行融资。</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33.2.3 合格的政府采购专业信用担保机构见</w:t>
      </w:r>
      <w:r>
        <w:rPr>
          <w:rFonts w:hint="eastAsia" w:ascii="宋体" w:hAnsi="宋体" w:eastAsia="宋体" w:cs="宋体"/>
          <w:i w:val="0"/>
          <w:iCs w:val="0"/>
          <w:color w:val="auto"/>
          <w:sz w:val="24"/>
          <w:u w:val="single"/>
        </w:rPr>
        <w:t>投标人须知资料表</w:t>
      </w:r>
      <w:r>
        <w:rPr>
          <w:rFonts w:hint="eastAsia" w:ascii="宋体" w:hAnsi="宋体" w:eastAsia="宋体" w:cs="宋体"/>
          <w:i w:val="0"/>
          <w:iCs w:val="0"/>
          <w:color w:val="auto"/>
          <w:sz w:val="24"/>
        </w:rPr>
        <w:t>。</w:t>
      </w:r>
    </w:p>
    <w:p>
      <w:pPr>
        <w:pStyle w:val="6"/>
        <w:spacing w:before="0" w:after="0" w:line="360" w:lineRule="auto"/>
        <w:rPr>
          <w:rFonts w:hint="eastAsia" w:ascii="宋体" w:hAnsi="宋体" w:eastAsia="宋体" w:cs="宋体"/>
          <w:i w:val="0"/>
          <w:iCs w:val="0"/>
          <w:color w:val="auto"/>
          <w:u w:val="none"/>
        </w:rPr>
      </w:pPr>
      <w:bookmarkStart w:id="141" w:name="_Toc4701"/>
      <w:bookmarkStart w:id="142" w:name="_Toc518923100"/>
      <w:r>
        <w:rPr>
          <w:rFonts w:hint="eastAsia" w:ascii="宋体" w:hAnsi="宋体" w:eastAsia="宋体" w:cs="宋体"/>
          <w:i w:val="0"/>
          <w:iCs w:val="0"/>
          <w:color w:val="auto"/>
          <w:u w:val="none"/>
        </w:rPr>
        <w:t>34.廉洁自律规定</w:t>
      </w:r>
      <w:bookmarkEnd w:id="141"/>
      <w:bookmarkEnd w:id="142"/>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34.1采购代理机构工作人员不得以不正当手段获取政府采购代理业务，不</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得与采购人、供应商恶意串通操纵政府采购活动。</w:t>
      </w:r>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34.2采购代理机构工作人员不得接受采购人或者供应商组织的宴请、旅游、</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娱乐，不得收受礼品、现金、有价证券等，不得向采购人或者供应商报销应当由个人承担的费用。</w:t>
      </w:r>
    </w:p>
    <w:p>
      <w:pPr>
        <w:spacing w:line="360" w:lineRule="auto"/>
        <w:ind w:left="898" w:leftChars="228" w:hanging="420" w:hangingChars="175"/>
        <w:rPr>
          <w:rFonts w:hint="eastAsia" w:ascii="宋体" w:hAnsi="宋体" w:eastAsia="宋体" w:cs="宋体"/>
          <w:i w:val="0"/>
          <w:iCs w:val="0"/>
          <w:color w:val="auto"/>
          <w:sz w:val="24"/>
          <w:u w:val="single"/>
        </w:rPr>
      </w:pPr>
      <w:r>
        <w:rPr>
          <w:rFonts w:hint="eastAsia" w:ascii="宋体" w:hAnsi="宋体" w:eastAsia="宋体" w:cs="宋体"/>
          <w:i w:val="0"/>
          <w:iCs w:val="0"/>
          <w:color w:val="auto"/>
          <w:sz w:val="24"/>
        </w:rPr>
        <w:t>34.3为强化采购代理机构内部监督机制，供应商可按</w:t>
      </w:r>
      <w:r>
        <w:rPr>
          <w:rFonts w:hint="eastAsia" w:ascii="宋体" w:hAnsi="宋体" w:eastAsia="宋体" w:cs="宋体"/>
          <w:i w:val="0"/>
          <w:iCs w:val="0"/>
          <w:color w:val="auto"/>
          <w:sz w:val="24"/>
          <w:u w:val="single"/>
        </w:rPr>
        <w:t>投标人须知资料表中</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u w:val="single"/>
        </w:rPr>
        <w:t>的</w:t>
      </w:r>
      <w:r>
        <w:rPr>
          <w:rFonts w:hint="eastAsia" w:ascii="宋体" w:hAnsi="宋体" w:eastAsia="宋体" w:cs="宋体"/>
          <w:i w:val="0"/>
          <w:iCs w:val="0"/>
          <w:color w:val="auto"/>
          <w:sz w:val="24"/>
        </w:rPr>
        <w:t>监督电话和信箱，反映采购代理机构的廉洁自律等问题。</w:t>
      </w:r>
    </w:p>
    <w:p>
      <w:pPr>
        <w:pStyle w:val="6"/>
        <w:spacing w:before="0" w:after="0" w:line="360" w:lineRule="auto"/>
        <w:rPr>
          <w:rFonts w:hint="eastAsia" w:ascii="宋体" w:hAnsi="宋体" w:eastAsia="宋体" w:cs="宋体"/>
          <w:i w:val="0"/>
          <w:iCs w:val="0"/>
          <w:color w:val="auto"/>
          <w:u w:val="none"/>
        </w:rPr>
      </w:pPr>
      <w:bookmarkStart w:id="143" w:name="_Toc518923101"/>
      <w:bookmarkStart w:id="144" w:name="_Toc21055"/>
      <w:r>
        <w:rPr>
          <w:rFonts w:hint="eastAsia" w:ascii="宋体" w:hAnsi="宋体" w:eastAsia="宋体" w:cs="宋体"/>
          <w:i w:val="0"/>
          <w:iCs w:val="0"/>
          <w:color w:val="auto"/>
          <w:u w:val="none"/>
        </w:rPr>
        <w:t>35.人员回避</w:t>
      </w:r>
      <w:bookmarkEnd w:id="143"/>
      <w:bookmarkEnd w:id="144"/>
    </w:p>
    <w:p>
      <w:pPr>
        <w:spacing w:line="360" w:lineRule="auto"/>
        <w:ind w:left="898" w:leftChars="228" w:hanging="420" w:hanging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t>投标人认为采购人员及其相关人员有法律法规所列与其他供应商有利害关</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系的，可以向采购人或采购代理机构书面提出回避申请，并说明理由。</w:t>
      </w:r>
    </w:p>
    <w:p>
      <w:pPr>
        <w:pStyle w:val="6"/>
        <w:spacing w:before="0" w:after="0" w:line="360" w:lineRule="auto"/>
        <w:rPr>
          <w:rFonts w:hint="eastAsia" w:ascii="宋体" w:hAnsi="宋体" w:eastAsia="宋体" w:cs="宋体"/>
          <w:i w:val="0"/>
          <w:iCs w:val="0"/>
          <w:color w:val="auto"/>
          <w:u w:val="none"/>
        </w:rPr>
      </w:pPr>
      <w:bookmarkStart w:id="145" w:name="_Toc24931"/>
      <w:bookmarkStart w:id="146" w:name="_Toc518923102"/>
      <w:r>
        <w:rPr>
          <w:rFonts w:hint="eastAsia" w:ascii="宋体" w:hAnsi="宋体" w:eastAsia="宋体" w:cs="宋体"/>
          <w:i w:val="0"/>
          <w:iCs w:val="0"/>
          <w:color w:val="auto"/>
          <w:u w:val="none"/>
        </w:rPr>
        <w:t>36.质疑与接收</w:t>
      </w:r>
      <w:bookmarkEnd w:id="145"/>
      <w:bookmarkEnd w:id="146"/>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36.1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spacing w:line="360" w:lineRule="auto"/>
        <w:ind w:left="849" w:leftChars="296" w:hanging="228" w:hangingChars="95"/>
        <w:rPr>
          <w:rFonts w:hint="eastAsia" w:ascii="宋体" w:hAnsi="宋体" w:eastAsia="宋体" w:cs="宋体"/>
          <w:i w:val="0"/>
          <w:iCs w:val="0"/>
          <w:color w:val="auto"/>
          <w:sz w:val="24"/>
        </w:rPr>
      </w:pPr>
      <w:r>
        <w:rPr>
          <w:rFonts w:hint="eastAsia" w:ascii="宋体" w:hAnsi="宋体" w:eastAsia="宋体" w:cs="宋体"/>
          <w:i w:val="0"/>
          <w:iCs w:val="0"/>
          <w:color w:val="auto"/>
          <w:sz w:val="24"/>
        </w:rPr>
        <w:t>36.2质疑供应商应按照财政部制定的《政府采购质疑函范本》格式（可</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pPr>
        <w:spacing w:line="360" w:lineRule="auto"/>
        <w:ind w:left="849" w:leftChars="296" w:hanging="228" w:hangingChars="95"/>
        <w:rPr>
          <w:rFonts w:hint="eastAsia" w:ascii="宋体" w:hAnsi="宋体" w:eastAsia="宋体" w:cs="宋体"/>
          <w:i w:val="0"/>
          <w:iCs w:val="0"/>
          <w:color w:val="auto"/>
          <w:sz w:val="24"/>
          <w:u w:val="single"/>
        </w:rPr>
      </w:pPr>
      <w:r>
        <w:rPr>
          <w:rFonts w:hint="eastAsia" w:ascii="宋体" w:hAnsi="宋体" w:eastAsia="宋体" w:cs="宋体"/>
          <w:i w:val="0"/>
          <w:iCs w:val="0"/>
          <w:color w:val="auto"/>
          <w:sz w:val="24"/>
        </w:rPr>
        <w:t>36.3采购代理机构质疑函接收部门、联系电话和通讯地址, 见</w:t>
      </w:r>
      <w:r>
        <w:rPr>
          <w:rFonts w:hint="eastAsia" w:ascii="宋体" w:hAnsi="宋体" w:eastAsia="宋体" w:cs="宋体"/>
          <w:i w:val="0"/>
          <w:iCs w:val="0"/>
          <w:color w:val="auto"/>
          <w:sz w:val="24"/>
          <w:u w:val="single"/>
        </w:rPr>
        <w:t>投标人须</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u w:val="single"/>
        </w:rPr>
        <w:t>知资料表。</w:t>
      </w:r>
    </w:p>
    <w:p>
      <w:pPr>
        <w:pStyle w:val="4"/>
        <w:spacing w:before="0" w:line="240" w:lineRule="atLeast"/>
        <w:jc w:val="center"/>
        <w:rPr>
          <w:rFonts w:hint="eastAsia" w:ascii="宋体" w:hAnsi="宋体" w:eastAsia="宋体" w:cs="宋体"/>
          <w:i w:val="0"/>
          <w:iCs w:val="0"/>
          <w:color w:val="auto"/>
          <w:szCs w:val="24"/>
        </w:rPr>
      </w:pPr>
      <w:r>
        <w:rPr>
          <w:rFonts w:hint="eastAsia" w:ascii="宋体" w:hAnsi="宋体" w:eastAsia="宋体" w:cs="宋体"/>
          <w:i w:val="0"/>
          <w:iCs w:val="0"/>
          <w:color w:val="auto"/>
        </w:rPr>
        <w:br w:type="page"/>
      </w:r>
      <w:bookmarkStart w:id="147" w:name="_Toc518923103"/>
      <w:bookmarkStart w:id="148" w:name="_Toc23883"/>
      <w:r>
        <w:rPr>
          <w:rFonts w:hint="eastAsia" w:ascii="宋体" w:hAnsi="宋体" w:eastAsia="宋体" w:cs="宋体"/>
          <w:i w:val="0"/>
          <w:iCs w:val="0"/>
          <w:color w:val="auto"/>
          <w:szCs w:val="24"/>
        </w:rPr>
        <w:t>附件1：履约保证金保函（格式）</w:t>
      </w:r>
      <w:bookmarkEnd w:id="147"/>
      <w:bookmarkEnd w:id="148"/>
    </w:p>
    <w:p>
      <w:pPr>
        <w:pStyle w:val="14"/>
        <w:spacing w:line="240" w:lineRule="atLeast"/>
        <w:ind w:left="1079" w:leftChars="257" w:hanging="540"/>
        <w:rPr>
          <w:rFonts w:hint="eastAsia" w:ascii="宋体" w:hAnsi="宋体" w:eastAsia="宋体" w:cs="宋体"/>
          <w:b/>
          <w:i w:val="0"/>
          <w:iCs w:val="0"/>
          <w:color w:val="auto"/>
          <w:sz w:val="24"/>
        </w:rPr>
      </w:pPr>
      <w:r>
        <w:rPr>
          <w:rFonts w:hint="eastAsia" w:ascii="宋体" w:hAnsi="宋体" w:eastAsia="宋体" w:cs="宋体"/>
          <w:b/>
          <w:i w:val="0"/>
          <w:iCs w:val="0"/>
          <w:color w:val="auto"/>
          <w:sz w:val="24"/>
        </w:rPr>
        <w:t xml:space="preserve">                         （中标后开具）</w:t>
      </w:r>
    </w:p>
    <w:p>
      <w:pPr>
        <w:pStyle w:val="14"/>
        <w:spacing w:line="240" w:lineRule="atLeast"/>
        <w:ind w:left="1079" w:leftChars="257" w:hanging="540"/>
        <w:rPr>
          <w:rFonts w:hint="eastAsia" w:ascii="宋体" w:hAnsi="宋体" w:eastAsia="宋体" w:cs="宋体"/>
          <w:b/>
          <w:i w:val="0"/>
          <w:iCs w:val="0"/>
          <w:color w:val="auto"/>
          <w:sz w:val="24"/>
        </w:rPr>
      </w:pPr>
    </w:p>
    <w:p>
      <w:pPr>
        <w:pStyle w:val="14"/>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致: (</w:t>
      </w:r>
      <w:r>
        <w:rPr>
          <w:rFonts w:hint="eastAsia" w:ascii="宋体" w:hAnsi="宋体" w:eastAsia="宋体" w:cs="宋体"/>
          <w:i w:val="0"/>
          <w:iCs w:val="0"/>
          <w:color w:val="auto"/>
          <w:sz w:val="24"/>
          <w:u w:val="single"/>
        </w:rPr>
        <w:t>买方名称</w:t>
      </w:r>
      <w:r>
        <w:rPr>
          <w:rFonts w:hint="eastAsia" w:ascii="宋体" w:hAnsi="宋体" w:eastAsia="宋体" w:cs="宋体"/>
          <w:i w:val="0"/>
          <w:iCs w:val="0"/>
          <w:color w:val="auto"/>
          <w:sz w:val="24"/>
        </w:rPr>
        <w:t>)</w:t>
      </w:r>
      <w:r>
        <w:rPr>
          <w:rFonts w:hint="eastAsia" w:hAnsi="宋体" w:eastAsia="宋体" w:cs="宋体"/>
          <w:i w:val="0"/>
          <w:iCs w:val="0"/>
          <w:color w:val="auto"/>
          <w:sz w:val="24"/>
          <w:lang w:val="en-US" w:eastAsia="zh-CN"/>
        </w:rPr>
        <w:t xml:space="preserve">                          </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号合同履约保函</w:t>
      </w:r>
    </w:p>
    <w:p>
      <w:pPr>
        <w:pStyle w:val="14"/>
        <w:spacing w:line="360" w:lineRule="auto"/>
        <w:ind w:left="1079" w:leftChars="257" w:hanging="540"/>
        <w:jc w:val="center"/>
        <w:rPr>
          <w:rFonts w:hint="eastAsia" w:ascii="宋体" w:hAnsi="宋体" w:eastAsia="宋体" w:cs="宋体"/>
          <w:i w:val="0"/>
          <w:iCs w:val="0"/>
          <w:color w:val="auto"/>
          <w:sz w:val="24"/>
        </w:rPr>
      </w:pPr>
    </w:p>
    <w:p>
      <w:pPr>
        <w:pStyle w:val="14"/>
        <w:spacing w:line="360" w:lineRule="auto"/>
        <w:ind w:firstLine="600" w:firstLineChars="250"/>
        <w:rPr>
          <w:rFonts w:hint="eastAsia" w:ascii="宋体" w:hAnsi="宋体" w:eastAsia="宋体" w:cs="宋体"/>
          <w:i w:val="0"/>
          <w:iCs w:val="0"/>
          <w:color w:val="auto"/>
          <w:sz w:val="24"/>
        </w:rPr>
      </w:pPr>
      <w:r>
        <w:rPr>
          <w:rFonts w:hint="eastAsia" w:ascii="宋体" w:hAnsi="宋体" w:eastAsia="宋体" w:cs="宋体"/>
          <w:i w:val="0"/>
          <w:iCs w:val="0"/>
          <w:color w:val="auto"/>
          <w:sz w:val="24"/>
        </w:rPr>
        <w:t>本保函作为贵方与(</w:t>
      </w:r>
      <w:r>
        <w:rPr>
          <w:rFonts w:hint="eastAsia" w:ascii="宋体" w:hAnsi="宋体" w:eastAsia="宋体" w:cs="宋体"/>
          <w:i w:val="0"/>
          <w:iCs w:val="0"/>
          <w:color w:val="auto"/>
          <w:sz w:val="24"/>
          <w:u w:val="single"/>
        </w:rPr>
        <w:t>卖方名称</w:t>
      </w:r>
      <w:r>
        <w:rPr>
          <w:rFonts w:hint="eastAsia" w:ascii="宋体" w:hAnsi="宋体" w:eastAsia="宋体" w:cs="宋体"/>
          <w:i w:val="0"/>
          <w:iCs w:val="0"/>
          <w:color w:val="auto"/>
          <w:sz w:val="24"/>
        </w:rPr>
        <w:t>)(以下简称卖方)于</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年</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月</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日就</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项目(以下简称项目)项下提供(</w:t>
      </w:r>
      <w:r>
        <w:rPr>
          <w:rFonts w:hint="eastAsia" w:ascii="宋体" w:hAnsi="宋体" w:eastAsia="宋体" w:cs="宋体"/>
          <w:i w:val="0"/>
          <w:iCs w:val="0"/>
          <w:color w:val="auto"/>
          <w:sz w:val="24"/>
          <w:u w:val="single"/>
        </w:rPr>
        <w:t>服务名称</w:t>
      </w:r>
      <w:r>
        <w:rPr>
          <w:rFonts w:hint="eastAsia" w:ascii="宋体" w:hAnsi="宋体" w:eastAsia="宋体" w:cs="宋体"/>
          <w:i w:val="0"/>
          <w:iCs w:val="0"/>
          <w:color w:val="auto"/>
          <w:sz w:val="24"/>
        </w:rPr>
        <w:t>)(以下简称服务)签订的(</w:t>
      </w:r>
      <w:r>
        <w:rPr>
          <w:rFonts w:hint="eastAsia" w:ascii="宋体" w:hAnsi="宋体" w:eastAsia="宋体" w:cs="宋体"/>
          <w:i w:val="0"/>
          <w:iCs w:val="0"/>
          <w:color w:val="auto"/>
          <w:sz w:val="24"/>
          <w:u w:val="single"/>
        </w:rPr>
        <w:t>合同号</w:t>
      </w:r>
      <w:r>
        <w:rPr>
          <w:rFonts w:hint="eastAsia" w:ascii="宋体" w:hAnsi="宋体" w:eastAsia="宋体" w:cs="宋体"/>
          <w:i w:val="0"/>
          <w:iCs w:val="0"/>
          <w:color w:val="auto"/>
          <w:sz w:val="24"/>
        </w:rPr>
        <w:t>)号合同的履约保函。</w:t>
      </w:r>
    </w:p>
    <w:p>
      <w:pPr>
        <w:pStyle w:val="14"/>
        <w:spacing w:line="360" w:lineRule="auto"/>
        <w:ind w:firstLine="540" w:firstLineChars="225"/>
        <w:rPr>
          <w:rFonts w:hint="eastAsia" w:ascii="宋体" w:hAnsi="宋体" w:eastAsia="宋体" w:cs="宋体"/>
          <w:i w:val="0"/>
          <w:iCs w:val="0"/>
          <w:color w:val="auto"/>
          <w:sz w:val="24"/>
        </w:rPr>
      </w:pPr>
      <w:r>
        <w:rPr>
          <w:rFonts w:hint="eastAsia" w:ascii="宋体" w:hAnsi="宋体" w:eastAsia="宋体" w:cs="宋体"/>
          <w:i w:val="0"/>
          <w:iCs w:val="0"/>
          <w:color w:val="auto"/>
          <w:sz w:val="24"/>
        </w:rPr>
        <w:t>(</w:t>
      </w:r>
      <w:r>
        <w:rPr>
          <w:rFonts w:hint="eastAsia" w:ascii="宋体" w:hAnsi="宋体" w:eastAsia="宋体" w:cs="宋体"/>
          <w:i w:val="0"/>
          <w:iCs w:val="0"/>
          <w:color w:val="auto"/>
          <w:sz w:val="24"/>
          <w:u w:val="single"/>
        </w:rPr>
        <w:t>出具保函的银行名称</w:t>
      </w:r>
      <w:r>
        <w:rPr>
          <w:rFonts w:hint="eastAsia" w:ascii="宋体" w:hAnsi="宋体" w:eastAsia="宋体" w:cs="宋体"/>
          <w:i w:val="0"/>
          <w:iCs w:val="0"/>
          <w:color w:val="auto"/>
          <w:sz w:val="24"/>
        </w:rPr>
        <w:t>)(以下简称银行)无条件地、不可撤销地具结保证本行、其继承人和受让人无追索地向贵方以(</w:t>
      </w:r>
      <w:r>
        <w:rPr>
          <w:rFonts w:hint="eastAsia" w:ascii="宋体" w:hAnsi="宋体" w:eastAsia="宋体" w:cs="宋体"/>
          <w:i w:val="0"/>
          <w:iCs w:val="0"/>
          <w:color w:val="auto"/>
          <w:sz w:val="24"/>
          <w:u w:val="single"/>
        </w:rPr>
        <w:t>货币名称</w:t>
      </w:r>
      <w:r>
        <w:rPr>
          <w:rFonts w:hint="eastAsia" w:ascii="宋体" w:hAnsi="宋体" w:eastAsia="宋体" w:cs="宋体"/>
          <w:i w:val="0"/>
          <w:iCs w:val="0"/>
          <w:color w:val="auto"/>
          <w:sz w:val="24"/>
        </w:rPr>
        <w:t>)支付总额不超过(</w:t>
      </w:r>
      <w:r>
        <w:rPr>
          <w:rFonts w:hint="eastAsia" w:ascii="宋体" w:hAnsi="宋体" w:eastAsia="宋体" w:cs="宋体"/>
          <w:i w:val="0"/>
          <w:iCs w:val="0"/>
          <w:color w:val="auto"/>
          <w:sz w:val="24"/>
          <w:u w:val="single"/>
        </w:rPr>
        <w:t>货币数量</w:t>
      </w:r>
      <w:r>
        <w:rPr>
          <w:rFonts w:hint="eastAsia" w:ascii="宋体" w:hAnsi="宋体" w:eastAsia="宋体" w:cs="宋体"/>
          <w:i w:val="0"/>
          <w:iCs w:val="0"/>
          <w:color w:val="auto"/>
          <w:sz w:val="24"/>
        </w:rPr>
        <w:t>),即相当于合同价格的</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%,并以此约定如下:</w:t>
      </w:r>
    </w:p>
    <w:p>
      <w:pPr>
        <w:pStyle w:val="14"/>
        <w:spacing w:line="360" w:lineRule="auto"/>
        <w:ind w:left="539" w:leftChars="257"/>
        <w:rPr>
          <w:rFonts w:hint="eastAsia" w:ascii="宋体" w:hAnsi="宋体" w:eastAsia="宋体" w:cs="宋体"/>
          <w:i w:val="0"/>
          <w:iCs w:val="0"/>
          <w:color w:val="auto"/>
          <w:sz w:val="24"/>
        </w:rPr>
      </w:pPr>
      <w:r>
        <w:rPr>
          <w:rFonts w:hint="eastAsia" w:ascii="宋体" w:hAnsi="宋体" w:eastAsia="宋体" w:cs="宋体"/>
          <w:i w:val="0"/>
          <w:iCs w:val="0"/>
          <w:color w:val="auto"/>
          <w:sz w:val="24"/>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pPr>
        <w:pStyle w:val="14"/>
        <w:spacing w:line="360" w:lineRule="auto"/>
        <w:ind w:left="540"/>
        <w:rPr>
          <w:rFonts w:hint="eastAsia" w:ascii="宋体" w:hAnsi="宋体" w:eastAsia="宋体" w:cs="宋体"/>
          <w:i w:val="0"/>
          <w:iCs w:val="0"/>
          <w:color w:val="auto"/>
          <w:sz w:val="24"/>
        </w:rPr>
      </w:pPr>
      <w:r>
        <w:rPr>
          <w:rFonts w:hint="eastAsia" w:ascii="宋体" w:hAnsi="宋体" w:eastAsia="宋体" w:cs="宋体"/>
          <w:i w:val="0"/>
          <w:iCs w:val="0"/>
          <w:color w:val="auto"/>
          <w:sz w:val="24"/>
        </w:rPr>
        <w:t>2.本保函项下的任何支付应为免税和净值。对于现有或将来的税收、关税、收费、费用扣减或预提税款，不论这些款项是何种性质和由谁征收，都不应从本保函项下的支付中扣除。</w:t>
      </w:r>
    </w:p>
    <w:p>
      <w:pPr>
        <w:pStyle w:val="14"/>
        <w:spacing w:line="360" w:lineRule="auto"/>
        <w:ind w:left="540"/>
        <w:rPr>
          <w:rFonts w:hint="eastAsia" w:ascii="宋体" w:hAnsi="宋体" w:eastAsia="宋体" w:cs="宋体"/>
          <w:i w:val="0"/>
          <w:iCs w:val="0"/>
          <w:color w:val="auto"/>
          <w:sz w:val="24"/>
        </w:rPr>
      </w:pPr>
      <w:r>
        <w:rPr>
          <w:rFonts w:hint="eastAsia" w:ascii="宋体" w:hAnsi="宋体" w:eastAsia="宋体" w:cs="宋体"/>
          <w:i w:val="0"/>
          <w:iCs w:val="0"/>
          <w:color w:val="auto"/>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14"/>
        <w:spacing w:line="360" w:lineRule="auto"/>
        <w:ind w:left="1079"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4.本保函在本合同规定的保证期期满前完全有效。</w:t>
      </w:r>
    </w:p>
    <w:p>
      <w:pPr>
        <w:pStyle w:val="14"/>
        <w:spacing w:line="360" w:lineRule="auto"/>
        <w:ind w:left="1079" w:leftChars="257" w:hanging="540"/>
        <w:rPr>
          <w:rFonts w:hint="eastAsia" w:ascii="宋体" w:hAnsi="宋体" w:eastAsia="宋体" w:cs="宋体"/>
          <w:i w:val="0"/>
          <w:iCs w:val="0"/>
          <w:color w:val="auto"/>
          <w:sz w:val="24"/>
        </w:rPr>
      </w:pPr>
    </w:p>
    <w:p>
      <w:pPr>
        <w:pStyle w:val="14"/>
        <w:spacing w:line="360" w:lineRule="auto"/>
        <w:ind w:left="1079"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谨启</w:t>
      </w:r>
    </w:p>
    <w:p>
      <w:pPr>
        <w:pStyle w:val="14"/>
        <w:spacing w:line="360" w:lineRule="auto"/>
        <w:ind w:left="1079"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出具保函银行名称：</w:t>
      </w:r>
      <w:r>
        <w:rPr>
          <w:rFonts w:hint="eastAsia" w:ascii="宋体" w:hAnsi="宋体" w:eastAsia="宋体" w:cs="宋体"/>
          <w:i w:val="0"/>
          <w:iCs w:val="0"/>
          <w:color w:val="auto"/>
          <w:sz w:val="24"/>
          <w:u w:val="single"/>
        </w:rPr>
        <w:t xml:space="preserve">                             </w:t>
      </w:r>
    </w:p>
    <w:p>
      <w:pPr>
        <w:pStyle w:val="14"/>
        <w:spacing w:line="360" w:lineRule="auto"/>
        <w:ind w:left="1079" w:leftChars="257" w:hanging="540"/>
        <w:rPr>
          <w:rFonts w:hint="eastAsia" w:ascii="宋体" w:hAnsi="宋体" w:eastAsia="宋体" w:cs="宋体"/>
          <w:i w:val="0"/>
          <w:iCs w:val="0"/>
          <w:color w:val="auto"/>
          <w:sz w:val="24"/>
          <w:u w:val="single"/>
        </w:rPr>
      </w:pPr>
      <w:r>
        <w:rPr>
          <w:rFonts w:hint="eastAsia" w:ascii="宋体" w:hAnsi="宋体" w:eastAsia="宋体" w:cs="宋体"/>
          <w:i w:val="0"/>
          <w:iCs w:val="0"/>
          <w:color w:val="auto"/>
          <w:sz w:val="24"/>
        </w:rPr>
        <w:t>签字人姓名和职务：</w:t>
      </w:r>
      <w:r>
        <w:rPr>
          <w:rFonts w:hint="eastAsia" w:ascii="宋体" w:hAnsi="宋体" w:eastAsia="宋体" w:cs="宋体"/>
          <w:i w:val="0"/>
          <w:iCs w:val="0"/>
          <w:color w:val="auto"/>
          <w:sz w:val="24"/>
          <w:u w:val="single"/>
        </w:rPr>
        <w:t xml:space="preserve">                             </w:t>
      </w:r>
    </w:p>
    <w:p>
      <w:pPr>
        <w:pStyle w:val="14"/>
        <w:spacing w:line="360" w:lineRule="auto"/>
        <w:ind w:left="1079"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签字人签名：</w:t>
      </w:r>
      <w:r>
        <w:rPr>
          <w:rFonts w:hint="eastAsia" w:ascii="宋体" w:hAnsi="宋体" w:eastAsia="宋体" w:cs="宋体"/>
          <w:i w:val="0"/>
          <w:iCs w:val="0"/>
          <w:color w:val="auto"/>
          <w:sz w:val="24"/>
          <w:u w:val="single"/>
        </w:rPr>
        <w:t xml:space="preserve">                                   </w:t>
      </w:r>
    </w:p>
    <w:p>
      <w:pPr>
        <w:pStyle w:val="14"/>
        <w:spacing w:line="360" w:lineRule="auto"/>
        <w:ind w:left="1079" w:leftChars="257" w:hanging="540"/>
        <w:rPr>
          <w:rFonts w:hint="eastAsia" w:ascii="宋体" w:hAnsi="宋体" w:eastAsia="宋体" w:cs="宋体"/>
          <w:i w:val="0"/>
          <w:iCs w:val="0"/>
          <w:color w:val="auto"/>
          <w:sz w:val="24"/>
          <w:u w:val="single"/>
        </w:rPr>
      </w:pPr>
      <w:r>
        <w:rPr>
          <w:rFonts w:hint="eastAsia" w:ascii="宋体" w:hAnsi="宋体" w:eastAsia="宋体" w:cs="宋体"/>
          <w:i w:val="0"/>
          <w:iCs w:val="0"/>
          <w:color w:val="auto"/>
          <w:sz w:val="24"/>
        </w:rPr>
        <w:t>公章：</w:t>
      </w:r>
      <w:r>
        <w:rPr>
          <w:rFonts w:hint="eastAsia" w:ascii="宋体" w:hAnsi="宋体" w:eastAsia="宋体" w:cs="宋体"/>
          <w:i w:val="0"/>
          <w:iCs w:val="0"/>
          <w:color w:val="auto"/>
          <w:sz w:val="24"/>
          <w:u w:val="single"/>
        </w:rPr>
        <w:t xml:space="preserve">                                         </w:t>
      </w:r>
    </w:p>
    <w:p>
      <w:pPr>
        <w:pStyle w:val="4"/>
        <w:spacing w:before="0" w:line="240" w:lineRule="atLeast"/>
        <w:jc w:val="center"/>
        <w:rPr>
          <w:rFonts w:hint="eastAsia" w:ascii="宋体" w:hAnsi="宋体" w:eastAsia="宋体" w:cs="宋体"/>
          <w:i w:val="0"/>
          <w:iCs w:val="0"/>
          <w:color w:val="auto"/>
          <w:szCs w:val="24"/>
        </w:rPr>
      </w:pPr>
      <w:r>
        <w:rPr>
          <w:rFonts w:hint="eastAsia" w:ascii="宋体" w:hAnsi="宋体" w:eastAsia="宋体" w:cs="宋体"/>
          <w:i w:val="0"/>
          <w:iCs w:val="0"/>
          <w:color w:val="auto"/>
        </w:rPr>
        <w:br w:type="page"/>
      </w:r>
      <w:bookmarkStart w:id="149" w:name="_Toc27788"/>
      <w:bookmarkStart w:id="150" w:name="_Toc518923104"/>
      <w:r>
        <w:rPr>
          <w:rFonts w:hint="eastAsia" w:ascii="宋体" w:hAnsi="宋体" w:eastAsia="宋体" w:cs="宋体"/>
          <w:i w:val="0"/>
          <w:iCs w:val="0"/>
          <w:color w:val="auto"/>
          <w:szCs w:val="24"/>
        </w:rPr>
        <w:t>附件2：履约担保函格式</w:t>
      </w:r>
      <w:bookmarkEnd w:id="149"/>
      <w:bookmarkEnd w:id="150"/>
    </w:p>
    <w:p>
      <w:pPr>
        <w:pStyle w:val="4"/>
        <w:spacing w:before="0" w:line="240" w:lineRule="atLeast"/>
        <w:jc w:val="center"/>
        <w:rPr>
          <w:rFonts w:hint="eastAsia" w:ascii="宋体" w:hAnsi="宋体" w:eastAsia="宋体" w:cs="宋体"/>
          <w:b w:val="0"/>
          <w:i w:val="0"/>
          <w:iCs w:val="0"/>
          <w:color w:val="auto"/>
        </w:rPr>
      </w:pPr>
      <w:bookmarkStart w:id="151" w:name="_Toc515904842"/>
      <w:bookmarkStart w:id="152" w:name="_Toc30995"/>
      <w:bookmarkStart w:id="153" w:name="_Toc518923105"/>
      <w:r>
        <w:rPr>
          <w:rFonts w:hint="eastAsia" w:ascii="宋体" w:hAnsi="宋体" w:eastAsia="宋体" w:cs="宋体"/>
          <w:i w:val="0"/>
          <w:iCs w:val="0"/>
          <w:color w:val="auto"/>
          <w:szCs w:val="24"/>
        </w:rPr>
        <w:t>（采用政府采购信用担保形式时使用）</w:t>
      </w:r>
      <w:bookmarkEnd w:id="151"/>
      <w:bookmarkEnd w:id="152"/>
      <w:bookmarkEnd w:id="153"/>
    </w:p>
    <w:p>
      <w:pPr>
        <w:spacing w:line="240" w:lineRule="atLeast"/>
        <w:ind w:left="1079" w:leftChars="257" w:hanging="540"/>
        <w:rPr>
          <w:rFonts w:hint="eastAsia" w:ascii="宋体" w:hAnsi="宋体" w:eastAsia="宋体" w:cs="宋体"/>
          <w:b/>
          <w:i w:val="0"/>
          <w:iCs w:val="0"/>
          <w:color w:val="auto"/>
          <w:kern w:val="0"/>
          <w:sz w:val="24"/>
          <w:szCs w:val="20"/>
        </w:rPr>
      </w:pPr>
    </w:p>
    <w:p>
      <w:pPr>
        <w:spacing w:line="360" w:lineRule="auto"/>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政府采购履约担保函（项目用）</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                                                   编号：</w:t>
      </w:r>
    </w:p>
    <w:p>
      <w:pPr>
        <w:spacing w:line="360" w:lineRule="auto"/>
        <w:rPr>
          <w:rFonts w:hint="eastAsia" w:ascii="宋体" w:hAnsi="宋体" w:eastAsia="宋体" w:cs="宋体"/>
          <w:i w:val="0"/>
          <w:iCs w:val="0"/>
          <w:color w:val="auto"/>
          <w:sz w:val="24"/>
        </w:rPr>
      </w:pP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（采购人）：</w:t>
      </w:r>
    </w:p>
    <w:p>
      <w:pPr>
        <w:spacing w:line="360" w:lineRule="auto"/>
        <w:rPr>
          <w:rFonts w:hint="eastAsia" w:ascii="宋体" w:hAnsi="宋体" w:eastAsia="宋体" w:cs="宋体"/>
          <w:i w:val="0"/>
          <w:iCs w:val="0"/>
          <w:color w:val="auto"/>
          <w:sz w:val="24"/>
        </w:rPr>
      </w:pP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鉴于你方与</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（以下简称供应商）于</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年</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月</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日签定编号为   的《</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政府采购合同》（以下简称主合同），且依据该合同的约定，供应商应在</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年</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月</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日前向你方交纳履约保证金，且可以履约担保函的形式交纳履约保证金。应供应商的申请，我方以保证的方式向你方提供如下履约保证金担保：</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一、保证责任的情形及保证金额</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（一）在供应商出现下列情形之一时，我方承担保证责任：</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1．将中标项目转让给他人，或者在投标文件中未说明，且未经采购招标机构人同意，将中标项目分包给他人的；</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　　2．主合同约定的应当缴纳履约保证金的情形: </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（1）未按主合同约定的质量、数量和期限供应货物/提供服务/完成工程的；</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（二）我方的保证范围是主合同约定的合同价款总额的</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%数额为</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元（大写</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），币种为</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。（即主合同履约保证金金额）</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二、保证的方式及保证期间</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我方保证的方式为：连带责任保证。</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我方保证的期间为：自本合同生效之日起至供应商按照主合同约定的供货/完工期限届满后</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日内。</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如果供应商未按主合同约定向贵方供应货物/提供服务/完成工程的，由我方在保证金额内向你方支付上述款项。</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三、承担保证责任的程序</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1．你方要求我方承担保证责任的，应在本保函保证期间内向我方发出书面索赔通知。索赔通知应写明要求索赔的金额，支付款项应到达的帐号。并附有证明供应商违约事实的证明材料。</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如果你方与供应商因货物质量问题产生争议，你方还需同时提供</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部门出具的质量检测报告，或经诉讼（仲裁）程序裁决后的裁决书、调解书，本保证人即按照检测结果或裁决书、调解书决定是否承担保证责任。</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 我方收到你方的书面索赔通知及相应证明材料，在</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工作日内进行核定后按照本保函的承诺承担保证责任。</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四、保证责任的终止</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2．我方按照本保函向你方履行了保证责任后，自我方向你方支付款项（支付款项从我方账户划出）之日起，保证责任即终止。</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3．按照法律法规的规定或出现应终止我方保证责任的其它情形的，我方在本保函项下的保证责任亦终止。</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五、免责条款</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1．因你方违反主合同约定致使供应商不能履行义务的，我方不承担保证责任。</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2．依照法律法规的规定或你方与供应商的另行约定，全部或者部分免除供应商应缴纳的保证金义务的，我方亦免除相应的保证责任。</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3．因不可抗力造成供应商不能履行供货义务的，我方不承担保证责任。</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六、争议的解决</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因本保函发生的纠纷，由你我双方协商解决，协商不成的，通过诉讼程序解决，诉讼管辖地法院为</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法院。</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七、保函的生效</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本保函自我方加盖公章之日起生效。</w:t>
      </w:r>
    </w:p>
    <w:p>
      <w:pPr>
        <w:spacing w:line="360" w:lineRule="auto"/>
        <w:rPr>
          <w:rFonts w:hint="eastAsia" w:ascii="宋体" w:hAnsi="宋体" w:eastAsia="宋体" w:cs="宋体"/>
          <w:i w:val="0"/>
          <w:iCs w:val="0"/>
          <w:color w:val="auto"/>
          <w:sz w:val="24"/>
        </w:rPr>
      </w:pP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                                      </w:t>
      </w:r>
    </w:p>
    <w:p>
      <w:pPr>
        <w:spacing w:line="360" w:lineRule="auto"/>
        <w:ind w:firstLine="5400" w:firstLineChars="2250"/>
        <w:rPr>
          <w:rFonts w:hint="eastAsia" w:ascii="宋体" w:hAnsi="宋体" w:eastAsia="宋体" w:cs="宋体"/>
          <w:i w:val="0"/>
          <w:iCs w:val="0"/>
          <w:color w:val="auto"/>
          <w:sz w:val="24"/>
        </w:rPr>
      </w:pPr>
      <w:r>
        <w:rPr>
          <w:rFonts w:hint="eastAsia" w:ascii="宋体" w:hAnsi="宋体" w:eastAsia="宋体" w:cs="宋体"/>
          <w:i w:val="0"/>
          <w:iCs w:val="0"/>
          <w:color w:val="auto"/>
          <w:sz w:val="24"/>
        </w:rPr>
        <w:t>保证人：（公章）</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                   </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                                                   年     月      日</w:t>
      </w:r>
    </w:p>
    <w:p>
      <w:pPr>
        <w:pStyle w:val="8"/>
        <w:spacing w:line="240" w:lineRule="atLeast"/>
        <w:ind w:firstLine="0"/>
        <w:rPr>
          <w:rFonts w:hint="eastAsia" w:ascii="宋体" w:hAnsi="宋体" w:eastAsia="宋体" w:cs="宋体"/>
          <w:i w:val="0"/>
          <w:iCs w:val="0"/>
          <w:color w:val="auto"/>
          <w:kern w:val="2"/>
          <w:szCs w:val="24"/>
        </w:rPr>
      </w:pPr>
    </w:p>
    <w:p>
      <w:pPr>
        <w:pStyle w:val="8"/>
        <w:spacing w:line="240" w:lineRule="atLeast"/>
        <w:ind w:firstLine="0"/>
        <w:rPr>
          <w:rFonts w:hint="eastAsia" w:ascii="宋体" w:hAnsi="宋体" w:eastAsia="宋体" w:cs="宋体"/>
          <w:i w:val="0"/>
          <w:iCs w:val="0"/>
          <w:color w:val="auto"/>
          <w:kern w:val="2"/>
          <w:szCs w:val="24"/>
        </w:rPr>
      </w:pPr>
    </w:p>
    <w:p>
      <w:pPr>
        <w:pStyle w:val="8"/>
        <w:spacing w:line="240" w:lineRule="atLeast"/>
        <w:ind w:firstLine="0"/>
        <w:rPr>
          <w:rFonts w:hint="eastAsia" w:ascii="宋体" w:hAnsi="宋体" w:eastAsia="宋体" w:cs="宋体"/>
          <w:i w:val="0"/>
          <w:iCs w:val="0"/>
          <w:color w:val="auto"/>
          <w:kern w:val="2"/>
          <w:szCs w:val="24"/>
        </w:rPr>
      </w:pPr>
    </w:p>
    <w:p>
      <w:pPr>
        <w:pStyle w:val="8"/>
        <w:spacing w:line="240" w:lineRule="atLeast"/>
        <w:ind w:firstLine="0"/>
        <w:rPr>
          <w:rFonts w:hint="eastAsia" w:ascii="宋体" w:hAnsi="宋体" w:eastAsia="宋体" w:cs="宋体"/>
          <w:i w:val="0"/>
          <w:iCs w:val="0"/>
          <w:color w:val="auto"/>
          <w:kern w:val="2"/>
          <w:szCs w:val="24"/>
        </w:rPr>
      </w:pPr>
    </w:p>
    <w:p>
      <w:pPr>
        <w:pStyle w:val="8"/>
        <w:spacing w:line="240" w:lineRule="atLeast"/>
        <w:ind w:firstLine="0"/>
        <w:rPr>
          <w:rFonts w:hint="eastAsia" w:ascii="宋体" w:hAnsi="宋体" w:eastAsia="宋体" w:cs="宋体"/>
          <w:i w:val="0"/>
          <w:iCs w:val="0"/>
          <w:color w:val="auto"/>
          <w:kern w:val="2"/>
          <w:szCs w:val="24"/>
        </w:rPr>
      </w:pPr>
    </w:p>
    <w:p>
      <w:pPr>
        <w:pStyle w:val="8"/>
        <w:spacing w:line="240" w:lineRule="atLeast"/>
        <w:ind w:firstLine="0"/>
        <w:rPr>
          <w:rFonts w:hint="eastAsia" w:ascii="宋体" w:hAnsi="宋体" w:eastAsia="宋体" w:cs="宋体"/>
          <w:i w:val="0"/>
          <w:iCs w:val="0"/>
          <w:color w:val="auto"/>
          <w:kern w:val="2"/>
          <w:szCs w:val="24"/>
        </w:rPr>
      </w:pPr>
    </w:p>
    <w:p>
      <w:pPr>
        <w:pStyle w:val="8"/>
        <w:spacing w:line="240" w:lineRule="atLeast"/>
        <w:ind w:firstLine="0"/>
        <w:rPr>
          <w:rFonts w:hint="eastAsia" w:ascii="宋体" w:hAnsi="宋体" w:eastAsia="宋体" w:cs="宋体"/>
          <w:i w:val="0"/>
          <w:iCs w:val="0"/>
          <w:color w:val="auto"/>
          <w:kern w:val="2"/>
          <w:szCs w:val="24"/>
        </w:rPr>
      </w:pPr>
    </w:p>
    <w:p>
      <w:pPr>
        <w:pStyle w:val="8"/>
        <w:spacing w:line="240" w:lineRule="atLeast"/>
        <w:ind w:firstLine="0"/>
        <w:rPr>
          <w:rFonts w:hint="eastAsia" w:ascii="宋体" w:hAnsi="宋体" w:eastAsia="宋体" w:cs="宋体"/>
          <w:i w:val="0"/>
          <w:iCs w:val="0"/>
          <w:color w:val="auto"/>
          <w:kern w:val="2"/>
          <w:szCs w:val="24"/>
        </w:rPr>
      </w:pPr>
    </w:p>
    <w:p>
      <w:pPr>
        <w:pStyle w:val="8"/>
        <w:spacing w:line="240" w:lineRule="atLeast"/>
        <w:ind w:firstLine="0"/>
        <w:rPr>
          <w:rFonts w:hint="eastAsia" w:ascii="宋体" w:hAnsi="宋体" w:eastAsia="宋体" w:cs="宋体"/>
          <w:i w:val="0"/>
          <w:iCs w:val="0"/>
          <w:color w:val="auto"/>
          <w:kern w:val="2"/>
          <w:szCs w:val="24"/>
        </w:rPr>
      </w:pPr>
    </w:p>
    <w:p>
      <w:pPr>
        <w:pStyle w:val="8"/>
        <w:spacing w:line="240" w:lineRule="atLeast"/>
        <w:ind w:firstLine="0"/>
        <w:rPr>
          <w:rFonts w:hint="eastAsia" w:ascii="宋体" w:hAnsi="宋体" w:eastAsia="宋体" w:cs="宋体"/>
          <w:i w:val="0"/>
          <w:iCs w:val="0"/>
          <w:color w:val="auto"/>
          <w:kern w:val="2"/>
          <w:szCs w:val="24"/>
        </w:rPr>
      </w:pPr>
    </w:p>
    <w:p>
      <w:pPr>
        <w:pStyle w:val="8"/>
        <w:spacing w:line="240" w:lineRule="atLeast"/>
        <w:ind w:firstLine="0"/>
        <w:rPr>
          <w:rFonts w:hint="eastAsia" w:ascii="宋体" w:hAnsi="宋体" w:eastAsia="宋体" w:cs="宋体"/>
          <w:i w:val="0"/>
          <w:iCs w:val="0"/>
          <w:color w:val="auto"/>
          <w:kern w:val="2"/>
          <w:szCs w:val="24"/>
        </w:rPr>
      </w:pPr>
    </w:p>
    <w:p>
      <w:pPr>
        <w:pStyle w:val="8"/>
        <w:spacing w:line="240" w:lineRule="atLeast"/>
        <w:ind w:firstLine="0"/>
        <w:rPr>
          <w:rFonts w:hint="eastAsia" w:ascii="宋体" w:hAnsi="宋体" w:eastAsia="宋体" w:cs="宋体"/>
          <w:i w:val="0"/>
          <w:iCs w:val="0"/>
          <w:color w:val="auto"/>
          <w:kern w:val="2"/>
          <w:szCs w:val="24"/>
        </w:rPr>
      </w:pPr>
    </w:p>
    <w:p>
      <w:pPr>
        <w:pStyle w:val="8"/>
        <w:spacing w:line="240" w:lineRule="atLeast"/>
        <w:ind w:firstLine="0"/>
        <w:rPr>
          <w:rFonts w:hint="eastAsia" w:ascii="宋体" w:hAnsi="宋体" w:eastAsia="宋体" w:cs="宋体"/>
          <w:i w:val="0"/>
          <w:iCs w:val="0"/>
          <w:color w:val="auto"/>
          <w:kern w:val="2"/>
          <w:szCs w:val="24"/>
        </w:rPr>
      </w:pPr>
    </w:p>
    <w:p>
      <w:pPr>
        <w:pStyle w:val="8"/>
        <w:spacing w:line="240" w:lineRule="atLeast"/>
        <w:ind w:firstLine="0"/>
        <w:rPr>
          <w:rFonts w:hint="eastAsia" w:ascii="宋体" w:hAnsi="宋体" w:eastAsia="宋体" w:cs="宋体"/>
          <w:i w:val="0"/>
          <w:iCs w:val="0"/>
          <w:color w:val="auto"/>
          <w:kern w:val="2"/>
          <w:szCs w:val="24"/>
        </w:rPr>
      </w:pPr>
    </w:p>
    <w:p>
      <w:pPr>
        <w:pStyle w:val="8"/>
        <w:spacing w:line="240" w:lineRule="atLeast"/>
        <w:ind w:firstLine="0"/>
        <w:rPr>
          <w:rFonts w:hint="eastAsia" w:ascii="宋体" w:hAnsi="宋体" w:eastAsia="宋体" w:cs="宋体"/>
          <w:i w:val="0"/>
          <w:iCs w:val="0"/>
          <w:color w:val="auto"/>
          <w:kern w:val="2"/>
          <w:szCs w:val="24"/>
        </w:rPr>
      </w:pPr>
    </w:p>
    <w:p>
      <w:pPr>
        <w:pStyle w:val="8"/>
        <w:spacing w:line="240" w:lineRule="atLeast"/>
        <w:ind w:firstLine="0"/>
        <w:rPr>
          <w:rFonts w:hint="eastAsia" w:ascii="宋体" w:hAnsi="宋体" w:eastAsia="宋体" w:cs="宋体"/>
          <w:i w:val="0"/>
          <w:iCs w:val="0"/>
          <w:color w:val="auto"/>
          <w:kern w:val="2"/>
          <w:szCs w:val="24"/>
        </w:rPr>
      </w:pPr>
    </w:p>
    <w:p>
      <w:pPr>
        <w:pStyle w:val="8"/>
        <w:spacing w:line="240" w:lineRule="atLeast"/>
        <w:ind w:firstLine="0"/>
        <w:rPr>
          <w:rFonts w:hint="eastAsia" w:ascii="宋体" w:hAnsi="宋体" w:eastAsia="宋体" w:cs="宋体"/>
          <w:i w:val="0"/>
          <w:iCs w:val="0"/>
          <w:color w:val="auto"/>
          <w:kern w:val="2"/>
          <w:szCs w:val="24"/>
        </w:rPr>
      </w:pPr>
    </w:p>
    <w:p>
      <w:pPr>
        <w:pStyle w:val="8"/>
        <w:spacing w:line="240" w:lineRule="atLeast"/>
        <w:ind w:firstLine="0"/>
        <w:rPr>
          <w:rFonts w:hint="eastAsia" w:ascii="宋体" w:hAnsi="宋体" w:eastAsia="宋体" w:cs="宋体"/>
          <w:i w:val="0"/>
          <w:iCs w:val="0"/>
          <w:color w:val="auto"/>
          <w:kern w:val="2"/>
          <w:szCs w:val="24"/>
        </w:rPr>
      </w:pPr>
    </w:p>
    <w:p>
      <w:pPr>
        <w:pStyle w:val="8"/>
        <w:spacing w:line="240" w:lineRule="atLeast"/>
        <w:ind w:firstLine="0"/>
        <w:rPr>
          <w:rFonts w:hint="eastAsia" w:ascii="宋体" w:hAnsi="宋体" w:eastAsia="宋体" w:cs="宋体"/>
          <w:i w:val="0"/>
          <w:iCs w:val="0"/>
          <w:color w:val="auto"/>
          <w:kern w:val="2"/>
          <w:szCs w:val="24"/>
        </w:rPr>
      </w:pPr>
    </w:p>
    <w:p>
      <w:pPr>
        <w:pStyle w:val="8"/>
        <w:spacing w:line="240" w:lineRule="atLeast"/>
        <w:ind w:firstLine="0"/>
        <w:rPr>
          <w:rFonts w:hint="eastAsia" w:ascii="宋体" w:hAnsi="宋体" w:eastAsia="宋体" w:cs="宋体"/>
          <w:i w:val="0"/>
          <w:iCs w:val="0"/>
          <w:color w:val="auto"/>
          <w:kern w:val="2"/>
          <w:szCs w:val="24"/>
        </w:rPr>
      </w:pPr>
    </w:p>
    <w:p>
      <w:pPr>
        <w:pStyle w:val="8"/>
        <w:spacing w:line="240" w:lineRule="atLeast"/>
        <w:ind w:firstLine="0"/>
        <w:rPr>
          <w:rFonts w:hint="eastAsia" w:ascii="宋体" w:hAnsi="宋体" w:eastAsia="宋体" w:cs="宋体"/>
          <w:i w:val="0"/>
          <w:iCs w:val="0"/>
          <w:color w:val="auto"/>
          <w:kern w:val="2"/>
          <w:szCs w:val="24"/>
        </w:rPr>
      </w:pPr>
    </w:p>
    <w:p>
      <w:pPr>
        <w:pStyle w:val="8"/>
        <w:spacing w:line="240" w:lineRule="atLeast"/>
        <w:ind w:firstLine="0"/>
        <w:rPr>
          <w:rFonts w:hint="eastAsia" w:ascii="宋体" w:hAnsi="宋体" w:eastAsia="宋体" w:cs="宋体"/>
          <w:i w:val="0"/>
          <w:iCs w:val="0"/>
          <w:color w:val="auto"/>
          <w:kern w:val="2"/>
          <w:szCs w:val="24"/>
        </w:rPr>
      </w:pPr>
    </w:p>
    <w:p>
      <w:pPr>
        <w:pStyle w:val="8"/>
        <w:spacing w:line="240" w:lineRule="atLeast"/>
        <w:ind w:firstLine="0"/>
        <w:rPr>
          <w:rFonts w:hint="eastAsia" w:ascii="宋体" w:hAnsi="宋体" w:eastAsia="宋体" w:cs="宋体"/>
          <w:i w:val="0"/>
          <w:iCs w:val="0"/>
          <w:color w:val="auto"/>
          <w:kern w:val="2"/>
          <w:szCs w:val="24"/>
        </w:rPr>
      </w:pPr>
    </w:p>
    <w:p>
      <w:pPr>
        <w:pStyle w:val="8"/>
        <w:spacing w:line="240" w:lineRule="atLeast"/>
        <w:ind w:firstLine="0"/>
        <w:rPr>
          <w:rFonts w:hint="eastAsia" w:ascii="宋体" w:hAnsi="宋体" w:eastAsia="宋体" w:cs="宋体"/>
          <w:i w:val="0"/>
          <w:iCs w:val="0"/>
          <w:color w:val="auto"/>
          <w:kern w:val="2"/>
          <w:szCs w:val="24"/>
        </w:rPr>
      </w:pPr>
    </w:p>
    <w:p>
      <w:pPr>
        <w:pStyle w:val="8"/>
        <w:spacing w:line="240" w:lineRule="atLeast"/>
        <w:ind w:firstLine="0"/>
        <w:rPr>
          <w:rFonts w:hint="eastAsia" w:ascii="宋体" w:hAnsi="宋体" w:eastAsia="宋体" w:cs="宋体"/>
          <w:i w:val="0"/>
          <w:iCs w:val="0"/>
          <w:color w:val="auto"/>
          <w:kern w:val="2"/>
          <w:szCs w:val="24"/>
        </w:rPr>
      </w:pPr>
    </w:p>
    <w:p>
      <w:pPr>
        <w:pStyle w:val="8"/>
        <w:spacing w:line="240" w:lineRule="atLeast"/>
        <w:ind w:firstLine="0"/>
        <w:rPr>
          <w:rFonts w:hint="eastAsia" w:ascii="宋体" w:hAnsi="宋体" w:eastAsia="宋体" w:cs="宋体"/>
          <w:i w:val="0"/>
          <w:iCs w:val="0"/>
          <w:color w:val="auto"/>
          <w:kern w:val="2"/>
          <w:szCs w:val="24"/>
        </w:rPr>
      </w:pPr>
    </w:p>
    <w:p>
      <w:pPr>
        <w:pStyle w:val="8"/>
        <w:spacing w:line="240" w:lineRule="atLeast"/>
        <w:ind w:firstLine="0"/>
        <w:rPr>
          <w:rFonts w:hint="eastAsia" w:ascii="宋体" w:hAnsi="宋体" w:eastAsia="宋体" w:cs="宋体"/>
          <w:i w:val="0"/>
          <w:iCs w:val="0"/>
          <w:color w:val="auto"/>
          <w:kern w:val="2"/>
          <w:szCs w:val="24"/>
        </w:rPr>
      </w:pPr>
    </w:p>
    <w:p>
      <w:pPr>
        <w:pStyle w:val="8"/>
        <w:spacing w:line="240" w:lineRule="atLeast"/>
        <w:ind w:firstLine="0"/>
        <w:rPr>
          <w:rFonts w:hint="eastAsia" w:ascii="宋体" w:hAnsi="宋体" w:eastAsia="宋体" w:cs="宋体"/>
          <w:i w:val="0"/>
          <w:iCs w:val="0"/>
          <w:color w:val="auto"/>
          <w:kern w:val="2"/>
          <w:szCs w:val="24"/>
        </w:rPr>
      </w:pPr>
    </w:p>
    <w:p>
      <w:pPr>
        <w:pStyle w:val="8"/>
        <w:spacing w:line="240" w:lineRule="atLeast"/>
        <w:ind w:firstLine="0"/>
        <w:rPr>
          <w:rFonts w:hint="eastAsia" w:ascii="宋体" w:hAnsi="宋体" w:eastAsia="宋体" w:cs="宋体"/>
          <w:i w:val="0"/>
          <w:iCs w:val="0"/>
          <w:color w:val="auto"/>
          <w:kern w:val="2"/>
          <w:szCs w:val="24"/>
        </w:rPr>
      </w:pPr>
    </w:p>
    <w:p>
      <w:pPr>
        <w:pStyle w:val="8"/>
        <w:spacing w:line="240" w:lineRule="atLeast"/>
        <w:ind w:firstLine="0"/>
        <w:rPr>
          <w:rFonts w:hint="eastAsia" w:ascii="宋体" w:hAnsi="宋体" w:eastAsia="宋体" w:cs="宋体"/>
          <w:i w:val="0"/>
          <w:iCs w:val="0"/>
          <w:color w:val="auto"/>
          <w:kern w:val="2"/>
          <w:szCs w:val="24"/>
        </w:rPr>
      </w:pPr>
    </w:p>
    <w:p>
      <w:pPr>
        <w:pStyle w:val="8"/>
        <w:spacing w:line="240" w:lineRule="atLeast"/>
        <w:ind w:firstLine="0"/>
        <w:rPr>
          <w:rFonts w:hint="eastAsia" w:ascii="宋体" w:hAnsi="宋体" w:eastAsia="宋体" w:cs="宋体"/>
          <w:i w:val="0"/>
          <w:iCs w:val="0"/>
          <w:color w:val="auto"/>
          <w:kern w:val="2"/>
          <w:szCs w:val="24"/>
        </w:rPr>
      </w:pPr>
    </w:p>
    <w:p>
      <w:pPr>
        <w:pStyle w:val="3"/>
        <w:numPr>
          <w:ilvl w:val="0"/>
          <w:numId w:val="0"/>
        </w:numPr>
        <w:spacing w:before="0" w:after="0" w:line="240" w:lineRule="atLeast"/>
        <w:jc w:val="center"/>
        <w:rPr>
          <w:rFonts w:hint="eastAsia" w:hAnsi="宋体" w:eastAsia="宋体" w:cs="宋体"/>
          <w:i w:val="0"/>
          <w:iCs w:val="0"/>
          <w:color w:val="auto"/>
          <w:sz w:val="48"/>
          <w:szCs w:val="48"/>
          <w:lang w:val="en-US" w:eastAsia="zh-CN"/>
        </w:rPr>
      </w:pPr>
      <w:bookmarkStart w:id="154" w:name="_Toc216582812"/>
      <w:bookmarkStart w:id="155" w:name="_Toc6923"/>
      <w:bookmarkStart w:id="156" w:name="_Toc518923106"/>
    </w:p>
    <w:p>
      <w:pPr>
        <w:pStyle w:val="3"/>
        <w:numPr>
          <w:ilvl w:val="0"/>
          <w:numId w:val="0"/>
        </w:numPr>
        <w:spacing w:before="0" w:after="0" w:line="240" w:lineRule="atLeast"/>
        <w:jc w:val="center"/>
        <w:rPr>
          <w:rFonts w:hint="eastAsia" w:ascii="宋体" w:hAnsi="宋体" w:eastAsia="宋体" w:cs="宋体"/>
          <w:i w:val="0"/>
          <w:iCs w:val="0"/>
          <w:color w:val="auto"/>
          <w:sz w:val="48"/>
          <w:szCs w:val="48"/>
        </w:rPr>
      </w:pPr>
      <w:r>
        <w:rPr>
          <w:rFonts w:hint="eastAsia" w:hAnsi="宋体" w:eastAsia="宋体" w:cs="宋体"/>
          <w:i w:val="0"/>
          <w:iCs w:val="0"/>
          <w:color w:val="auto"/>
          <w:sz w:val="48"/>
          <w:szCs w:val="48"/>
          <w:lang w:val="en-US" w:eastAsia="zh-CN"/>
        </w:rPr>
        <w:t xml:space="preserve">第2章  </w:t>
      </w:r>
      <w:r>
        <w:rPr>
          <w:rFonts w:hint="eastAsia" w:ascii="宋体" w:hAnsi="宋体" w:eastAsia="宋体" w:cs="宋体"/>
          <w:i w:val="0"/>
          <w:iCs w:val="0"/>
          <w:color w:val="auto"/>
          <w:sz w:val="48"/>
          <w:szCs w:val="48"/>
        </w:rPr>
        <w:t>投标文件格式</w:t>
      </w:r>
      <w:bookmarkEnd w:id="154"/>
      <w:bookmarkEnd w:id="155"/>
      <w:bookmarkEnd w:id="156"/>
    </w:p>
    <w:p>
      <w:pPr>
        <w:spacing w:line="240" w:lineRule="atLeast"/>
        <w:ind w:left="735" w:leftChars="350" w:firstLine="140" w:firstLineChars="50"/>
        <w:jc w:val="right"/>
        <w:rPr>
          <w:rFonts w:hint="eastAsia" w:ascii="宋体" w:hAnsi="宋体" w:cs="宋体"/>
          <w:i w:val="0"/>
          <w:iCs w:val="0"/>
          <w:color w:val="auto"/>
          <w:sz w:val="22"/>
          <w:szCs w:val="22"/>
        </w:rPr>
      </w:pPr>
      <w:r>
        <w:rPr>
          <w:rFonts w:hint="eastAsia" w:ascii="宋体" w:hAnsi="宋体" w:cs="宋体"/>
          <w:b/>
          <w:bCs/>
          <w:i w:val="0"/>
          <w:iCs w:val="0"/>
          <w:color w:val="auto"/>
          <w:sz w:val="28"/>
          <w:szCs w:val="28"/>
        </w:rPr>
        <w:t>正本/副本</w:t>
      </w:r>
    </w:p>
    <w:p>
      <w:pPr>
        <w:pStyle w:val="32"/>
        <w:ind w:firstLine="480"/>
        <w:rPr>
          <w:rFonts w:hint="eastAsia"/>
          <w:i w:val="0"/>
          <w:iCs w:val="0"/>
          <w:color w:val="auto"/>
          <w:sz w:val="22"/>
          <w:szCs w:val="22"/>
        </w:rPr>
      </w:pPr>
    </w:p>
    <w:p>
      <w:pPr>
        <w:pStyle w:val="14"/>
        <w:adjustRightInd w:val="0"/>
        <w:snapToGrid w:val="0"/>
        <w:spacing w:line="400" w:lineRule="atLeast"/>
        <w:jc w:val="center"/>
        <w:rPr>
          <w:rFonts w:hint="eastAsia" w:hAnsi="宋体" w:cs="宋体"/>
          <w:b/>
          <w:bCs/>
          <w:i w:val="0"/>
          <w:iCs w:val="0"/>
          <w:color w:val="auto"/>
          <w:sz w:val="72"/>
          <w:szCs w:val="72"/>
        </w:rPr>
      </w:pPr>
      <w:bookmarkStart w:id="157" w:name="_Toc15786_WPSOffice_Level1"/>
      <w:bookmarkStart w:id="158" w:name="_Toc2086_WPSOffice_Level1"/>
      <w:bookmarkStart w:id="159" w:name="_Toc9811_WPSOffice_Level1"/>
      <w:r>
        <w:rPr>
          <w:rFonts w:hint="eastAsia" w:hAnsi="宋体" w:cs="宋体"/>
          <w:b/>
          <w:bCs/>
          <w:i w:val="0"/>
          <w:iCs w:val="0"/>
          <w:color w:val="auto"/>
          <w:sz w:val="72"/>
          <w:szCs w:val="72"/>
        </w:rPr>
        <w:t>政府采购</w:t>
      </w:r>
      <w:bookmarkEnd w:id="157"/>
      <w:bookmarkEnd w:id="158"/>
      <w:bookmarkEnd w:id="159"/>
    </w:p>
    <w:p>
      <w:pPr>
        <w:adjustRightInd w:val="0"/>
        <w:snapToGrid w:val="0"/>
        <w:spacing w:line="400" w:lineRule="atLeast"/>
        <w:jc w:val="center"/>
        <w:rPr>
          <w:rFonts w:hint="eastAsia" w:ascii="宋体" w:hAnsi="宋体" w:cs="宋体"/>
          <w:b/>
          <w:bCs/>
          <w:i w:val="0"/>
          <w:iCs w:val="0"/>
          <w:color w:val="auto"/>
          <w:sz w:val="72"/>
          <w:szCs w:val="72"/>
        </w:rPr>
      </w:pPr>
      <w:bookmarkStart w:id="160" w:name="_Toc26554_WPSOffice_Level1"/>
      <w:bookmarkStart w:id="161" w:name="_Toc5137_WPSOffice_Level1"/>
      <w:bookmarkStart w:id="162" w:name="_Toc15175_WPSOffice_Level1"/>
      <w:r>
        <w:rPr>
          <w:rFonts w:hint="eastAsia" w:ascii="宋体" w:hAnsi="宋体" w:cs="宋体"/>
          <w:b/>
          <w:bCs/>
          <w:i w:val="0"/>
          <w:iCs w:val="0"/>
          <w:color w:val="auto"/>
          <w:sz w:val="72"/>
          <w:szCs w:val="72"/>
        </w:rPr>
        <w:t>投 标 文 件</w:t>
      </w:r>
      <w:bookmarkEnd w:id="160"/>
      <w:bookmarkEnd w:id="161"/>
      <w:bookmarkEnd w:id="162"/>
    </w:p>
    <w:p>
      <w:pPr>
        <w:tabs>
          <w:tab w:val="center" w:pos="4422"/>
          <w:tab w:val="left" w:pos="6570"/>
        </w:tabs>
        <w:spacing w:before="312" w:beforeLines="100"/>
        <w:jc w:val="left"/>
        <w:rPr>
          <w:rFonts w:hint="eastAsia" w:ascii="宋体" w:hAnsi="宋体" w:cs="宋体"/>
          <w:b/>
          <w:i w:val="0"/>
          <w:iCs w:val="0"/>
          <w:color w:val="auto"/>
          <w:sz w:val="44"/>
          <w:szCs w:val="44"/>
        </w:rPr>
      </w:pPr>
      <w:r>
        <w:rPr>
          <w:rFonts w:hint="eastAsia" w:ascii="宋体" w:hAnsi="宋体" w:cs="宋体"/>
          <w:b/>
          <w:i w:val="0"/>
          <w:iCs w:val="0"/>
          <w:color w:val="auto"/>
          <w:sz w:val="44"/>
          <w:szCs w:val="44"/>
        </w:rPr>
        <w:tab/>
      </w:r>
      <w:bookmarkStart w:id="163" w:name="_Toc25339_WPSOffice_Level2"/>
      <w:bookmarkStart w:id="164" w:name="_Toc3186_WPSOffice_Level2"/>
      <w:bookmarkStart w:id="165" w:name="_Toc14903_WPSOffice_Level2"/>
      <w:r>
        <w:rPr>
          <w:rFonts w:hint="eastAsia" w:ascii="宋体" w:hAnsi="宋体" w:cs="宋体"/>
          <w:b/>
          <w:i w:val="0"/>
          <w:iCs w:val="0"/>
          <w:color w:val="auto"/>
          <w:sz w:val="44"/>
          <w:szCs w:val="44"/>
          <w:lang w:eastAsia="zh-CN"/>
        </w:rPr>
        <w:t>服务</w:t>
      </w:r>
      <w:r>
        <w:rPr>
          <w:rFonts w:hint="eastAsia" w:ascii="宋体" w:hAnsi="宋体" w:cs="宋体"/>
          <w:b/>
          <w:i w:val="0"/>
          <w:iCs w:val="0"/>
          <w:color w:val="auto"/>
          <w:sz w:val="44"/>
          <w:szCs w:val="44"/>
        </w:rPr>
        <w:t>类</w:t>
      </w:r>
      <w:bookmarkEnd w:id="163"/>
      <w:bookmarkEnd w:id="164"/>
      <w:bookmarkEnd w:id="165"/>
      <w:r>
        <w:rPr>
          <w:rFonts w:hint="eastAsia" w:ascii="宋体" w:hAnsi="宋体" w:cs="宋体"/>
          <w:b/>
          <w:i w:val="0"/>
          <w:iCs w:val="0"/>
          <w:color w:val="auto"/>
          <w:sz w:val="44"/>
          <w:szCs w:val="44"/>
        </w:rPr>
        <w:tab/>
      </w:r>
    </w:p>
    <w:p>
      <w:pPr>
        <w:adjustRightInd w:val="0"/>
        <w:snapToGrid w:val="0"/>
        <w:spacing w:line="360" w:lineRule="auto"/>
        <w:jc w:val="center"/>
        <w:rPr>
          <w:rFonts w:hint="eastAsia" w:ascii="宋体" w:hAnsi="宋体" w:cs="宋体"/>
          <w:b/>
          <w:bCs/>
          <w:i w:val="0"/>
          <w:iCs w:val="0"/>
          <w:color w:val="auto"/>
          <w:sz w:val="44"/>
          <w:szCs w:val="44"/>
        </w:rPr>
      </w:pPr>
      <w:bookmarkStart w:id="166" w:name="_Toc1213_WPSOffice_Level2"/>
      <w:bookmarkStart w:id="167" w:name="_Toc32222_WPSOffice_Level2"/>
      <w:bookmarkStart w:id="168" w:name="_Toc17153_WPSOffice_Level2"/>
      <w:r>
        <w:rPr>
          <w:rFonts w:hint="eastAsia" w:ascii="宋体" w:hAnsi="宋体" w:cs="宋体"/>
          <w:b/>
          <w:bCs/>
          <w:i w:val="0"/>
          <w:iCs w:val="0"/>
          <w:color w:val="auto"/>
          <w:sz w:val="44"/>
          <w:szCs w:val="44"/>
        </w:rPr>
        <w:t xml:space="preserve">  </w:t>
      </w:r>
      <w:r>
        <w:rPr>
          <w:rFonts w:hint="eastAsia" w:ascii="宋体" w:hAnsi="宋体" w:cs="宋体"/>
          <w:b/>
          <w:bCs/>
          <w:i w:val="0"/>
          <w:iCs w:val="0"/>
          <w:color w:val="auto"/>
          <w:sz w:val="28"/>
          <w:szCs w:val="28"/>
        </w:rPr>
        <w:t>(第一部分 开标一览表及资格证明文件)</w:t>
      </w:r>
      <w:bookmarkEnd w:id="166"/>
      <w:bookmarkEnd w:id="167"/>
      <w:bookmarkEnd w:id="168"/>
    </w:p>
    <w:p>
      <w:pPr>
        <w:rPr>
          <w:rFonts w:hint="eastAsia" w:ascii="宋体" w:hAnsi="宋体" w:cs="宋体"/>
          <w:i w:val="0"/>
          <w:iCs w:val="0"/>
          <w:color w:val="auto"/>
          <w:sz w:val="30"/>
          <w:szCs w:val="30"/>
        </w:rPr>
      </w:pPr>
    </w:p>
    <w:p>
      <w:pPr>
        <w:pStyle w:val="14"/>
        <w:keepNext w:val="0"/>
        <w:keepLines w:val="0"/>
        <w:pageBreakBefore w:val="0"/>
        <w:widowControl w:val="0"/>
        <w:kinsoku/>
        <w:wordWrap/>
        <w:overflowPunct/>
        <w:topLinePunct w:val="0"/>
        <w:autoSpaceDE/>
        <w:autoSpaceDN/>
        <w:bidi w:val="0"/>
        <w:spacing w:before="312" w:beforeLines="100" w:after="312" w:afterLines="100" w:line="400" w:lineRule="atLeast"/>
        <w:ind w:left="3012" w:hanging="3000" w:hangingChars="1000"/>
        <w:textAlignment w:val="auto"/>
        <w:rPr>
          <w:rFonts w:hint="eastAsia" w:hAnsi="宋体" w:cs="宋体"/>
          <w:b/>
          <w:i w:val="0"/>
          <w:iCs w:val="0"/>
          <w:color w:val="auto"/>
          <w:sz w:val="28"/>
          <w:szCs w:val="28"/>
        </w:rPr>
      </w:pPr>
      <w:r>
        <w:rPr>
          <w:rFonts w:hint="eastAsia" w:hAnsi="宋体" w:cs="宋体"/>
          <w:b/>
          <w:bCs/>
          <w:i w:val="0"/>
          <w:iCs w:val="0"/>
          <w:color w:val="auto"/>
          <w:sz w:val="30"/>
          <w:szCs w:val="30"/>
        </w:rPr>
        <w:t xml:space="preserve">  </w:t>
      </w:r>
      <w:r>
        <w:rPr>
          <w:rFonts w:hint="eastAsia" w:hAnsi="宋体" w:cs="宋体"/>
          <w:b/>
          <w:bCs/>
          <w:i w:val="0"/>
          <w:iCs w:val="0"/>
          <w:color w:val="auto"/>
          <w:sz w:val="28"/>
          <w:szCs w:val="28"/>
        </w:rPr>
        <w:t>采购项目名称:</w:t>
      </w:r>
      <w:r>
        <w:rPr>
          <w:rFonts w:hint="eastAsia" w:hAnsi="宋体" w:cs="宋体"/>
          <w:b/>
          <w:i w:val="0"/>
          <w:iCs w:val="0"/>
          <w:color w:val="auto"/>
          <w:sz w:val="28"/>
          <w:szCs w:val="28"/>
        </w:rPr>
        <w:t xml:space="preserve"> </w:t>
      </w:r>
    </w:p>
    <w:p>
      <w:pPr>
        <w:pStyle w:val="14"/>
        <w:keepNext w:val="0"/>
        <w:keepLines w:val="0"/>
        <w:pageBreakBefore w:val="0"/>
        <w:widowControl w:val="0"/>
        <w:kinsoku/>
        <w:wordWrap/>
        <w:overflowPunct/>
        <w:topLinePunct w:val="0"/>
        <w:autoSpaceDE/>
        <w:autoSpaceDN/>
        <w:bidi w:val="0"/>
        <w:spacing w:before="312" w:beforeLines="100" w:after="312" w:afterLines="100" w:line="400" w:lineRule="atLeast"/>
        <w:ind w:left="2998" w:leftChars="142" w:hanging="2700" w:hangingChars="900"/>
        <w:textAlignment w:val="auto"/>
        <w:rPr>
          <w:rFonts w:hint="eastAsia" w:hAnsi="宋体" w:cs="宋体"/>
          <w:b/>
          <w:bCs/>
          <w:i w:val="0"/>
          <w:iCs w:val="0"/>
          <w:color w:val="auto"/>
          <w:sz w:val="28"/>
          <w:szCs w:val="28"/>
          <w:u w:val="none"/>
        </w:rPr>
      </w:pPr>
      <w:r>
        <w:rPr>
          <w:rFonts w:hint="eastAsia" w:hAnsi="宋体" w:cs="宋体"/>
          <w:b/>
          <w:bCs/>
          <w:i w:val="0"/>
          <w:iCs w:val="0"/>
          <w:color w:val="auto"/>
          <w:sz w:val="30"/>
          <w:szCs w:val="30"/>
          <w:lang w:eastAsia="zh-CN"/>
        </w:rPr>
        <w:t>项目</w:t>
      </w:r>
      <w:r>
        <w:rPr>
          <w:rFonts w:hint="eastAsia" w:hAnsi="宋体" w:cs="宋体"/>
          <w:b/>
          <w:bCs/>
          <w:i w:val="0"/>
          <w:iCs w:val="0"/>
          <w:color w:val="auto"/>
          <w:sz w:val="28"/>
          <w:szCs w:val="28"/>
        </w:rPr>
        <w:t>编号:</w:t>
      </w:r>
      <w:r>
        <w:rPr>
          <w:rFonts w:hint="eastAsia" w:hAnsi="宋体" w:cs="宋体"/>
          <w:b/>
          <w:bCs/>
          <w:i w:val="0"/>
          <w:iCs w:val="0"/>
          <w:color w:val="auto"/>
          <w:sz w:val="28"/>
          <w:szCs w:val="28"/>
          <w:u w:val="none"/>
        </w:rPr>
        <w:t xml:space="preserve"> </w:t>
      </w:r>
    </w:p>
    <w:p>
      <w:pPr>
        <w:pStyle w:val="14"/>
        <w:keepNext w:val="0"/>
        <w:keepLines w:val="0"/>
        <w:pageBreakBefore w:val="0"/>
        <w:widowControl w:val="0"/>
        <w:kinsoku/>
        <w:wordWrap/>
        <w:overflowPunct/>
        <w:topLinePunct w:val="0"/>
        <w:autoSpaceDE/>
        <w:autoSpaceDN/>
        <w:bidi w:val="0"/>
        <w:spacing w:before="312" w:beforeLines="100" w:after="312" w:afterLines="100" w:line="400" w:lineRule="atLeast"/>
        <w:ind w:left="2998" w:leftChars="142" w:hanging="2700" w:hangingChars="900"/>
        <w:textAlignment w:val="auto"/>
        <w:rPr>
          <w:rFonts w:hint="eastAsia" w:ascii="宋体" w:hAnsi="宋体" w:cs="宋体"/>
          <w:b/>
          <w:bCs/>
          <w:i w:val="0"/>
          <w:iCs w:val="0"/>
          <w:color w:val="auto"/>
          <w:kern w:val="2"/>
          <w:sz w:val="30"/>
          <w:szCs w:val="30"/>
          <w:lang w:val="en-US" w:eastAsia="zh-CN" w:bidi="ar-SA"/>
        </w:rPr>
      </w:pPr>
      <w:r>
        <w:rPr>
          <w:rFonts w:hint="eastAsia" w:ascii="宋体" w:hAnsi="宋体" w:cs="宋体"/>
          <w:b/>
          <w:bCs/>
          <w:i w:val="0"/>
          <w:iCs w:val="0"/>
          <w:color w:val="auto"/>
          <w:kern w:val="2"/>
          <w:sz w:val="30"/>
          <w:szCs w:val="30"/>
          <w:lang w:val="en-US" w:eastAsia="zh-CN" w:bidi="ar-SA"/>
        </w:rPr>
        <w:t>投标供应商名称：</w:t>
      </w:r>
    </w:p>
    <w:p>
      <w:pPr>
        <w:keepNext w:val="0"/>
        <w:keepLines w:val="0"/>
        <w:pageBreakBefore w:val="0"/>
        <w:widowControl w:val="0"/>
        <w:kinsoku/>
        <w:wordWrap/>
        <w:overflowPunct/>
        <w:topLinePunct w:val="0"/>
        <w:autoSpaceDE/>
        <w:autoSpaceDN/>
        <w:bidi w:val="0"/>
        <w:adjustRightInd w:val="0"/>
        <w:snapToGrid w:val="0"/>
        <w:spacing w:line="400" w:lineRule="atLeast"/>
        <w:ind w:firstLine="300" w:firstLineChars="100"/>
        <w:textAlignment w:val="auto"/>
        <w:rPr>
          <w:rFonts w:hint="eastAsia" w:ascii="宋体" w:hAnsi="宋体" w:cs="宋体"/>
          <w:b/>
          <w:bCs/>
          <w:i w:val="0"/>
          <w:iCs w:val="0"/>
          <w:color w:val="auto"/>
          <w:kern w:val="2"/>
          <w:sz w:val="30"/>
          <w:szCs w:val="30"/>
          <w:lang w:val="en-US" w:eastAsia="zh-CN" w:bidi="ar-SA"/>
        </w:rPr>
      </w:pPr>
      <w:r>
        <w:rPr>
          <w:rFonts w:hint="eastAsia" w:ascii="宋体" w:hAnsi="宋体" w:cs="宋体"/>
          <w:b/>
          <w:bCs/>
          <w:i w:val="0"/>
          <w:iCs w:val="0"/>
          <w:color w:val="auto"/>
          <w:kern w:val="2"/>
          <w:sz w:val="30"/>
          <w:szCs w:val="30"/>
          <w:lang w:val="en-US" w:eastAsia="zh-CN" w:bidi="ar-SA"/>
        </w:rPr>
        <w:t>投标供应商地址：</w:t>
      </w:r>
    </w:p>
    <w:p>
      <w:pPr>
        <w:keepNext w:val="0"/>
        <w:keepLines w:val="0"/>
        <w:pageBreakBefore w:val="0"/>
        <w:widowControl w:val="0"/>
        <w:kinsoku/>
        <w:wordWrap/>
        <w:overflowPunct/>
        <w:topLinePunct w:val="0"/>
        <w:autoSpaceDE/>
        <w:autoSpaceDN/>
        <w:bidi w:val="0"/>
        <w:adjustRightInd w:val="0"/>
        <w:snapToGrid w:val="0"/>
        <w:spacing w:line="400" w:lineRule="atLeast"/>
        <w:ind w:firstLine="300" w:firstLineChars="100"/>
        <w:textAlignment w:val="auto"/>
        <w:rPr>
          <w:rFonts w:hint="default" w:ascii="宋体" w:hAnsi="宋体" w:cs="宋体"/>
          <w:b/>
          <w:bCs/>
          <w:i w:val="0"/>
          <w:iCs w:val="0"/>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00" w:lineRule="atLeast"/>
        <w:ind w:firstLine="300" w:firstLineChars="100"/>
        <w:textAlignment w:val="auto"/>
        <w:rPr>
          <w:rFonts w:hint="eastAsia" w:ascii="宋体" w:hAnsi="宋体" w:cs="宋体"/>
          <w:b/>
          <w:bCs/>
          <w:i w:val="0"/>
          <w:iCs w:val="0"/>
          <w:color w:val="auto"/>
          <w:kern w:val="2"/>
          <w:sz w:val="30"/>
          <w:szCs w:val="30"/>
          <w:lang w:val="en-US" w:eastAsia="zh-CN" w:bidi="ar-SA"/>
        </w:rPr>
      </w:pPr>
      <w:r>
        <w:rPr>
          <w:rFonts w:hint="eastAsia" w:ascii="宋体" w:hAnsi="宋体" w:cs="宋体"/>
          <w:b/>
          <w:bCs/>
          <w:i w:val="0"/>
          <w:iCs w:val="0"/>
          <w:color w:val="auto"/>
          <w:kern w:val="2"/>
          <w:sz w:val="30"/>
          <w:szCs w:val="30"/>
          <w:lang w:val="en-US" w:eastAsia="zh-CN" w:bidi="ar-SA"/>
        </w:rPr>
        <w:t>联系人：</w:t>
      </w:r>
    </w:p>
    <w:p>
      <w:pPr>
        <w:keepNext w:val="0"/>
        <w:keepLines w:val="0"/>
        <w:pageBreakBefore w:val="0"/>
        <w:widowControl w:val="0"/>
        <w:kinsoku/>
        <w:wordWrap/>
        <w:overflowPunct/>
        <w:topLinePunct w:val="0"/>
        <w:autoSpaceDE/>
        <w:autoSpaceDN/>
        <w:bidi w:val="0"/>
        <w:adjustRightInd w:val="0"/>
        <w:snapToGrid w:val="0"/>
        <w:spacing w:line="400" w:lineRule="atLeast"/>
        <w:ind w:firstLine="300" w:firstLineChars="100"/>
        <w:textAlignment w:val="auto"/>
        <w:rPr>
          <w:rFonts w:hint="eastAsia" w:ascii="宋体" w:hAnsi="宋体" w:cs="宋体"/>
          <w:b/>
          <w:bCs/>
          <w:i w:val="0"/>
          <w:iCs w:val="0"/>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00" w:lineRule="atLeast"/>
        <w:ind w:firstLine="300" w:firstLineChars="100"/>
        <w:textAlignment w:val="auto"/>
        <w:rPr>
          <w:rFonts w:hint="default" w:ascii="宋体" w:hAnsi="宋体" w:cs="宋体"/>
          <w:b/>
          <w:bCs/>
          <w:i w:val="0"/>
          <w:iCs w:val="0"/>
          <w:color w:val="auto"/>
          <w:kern w:val="2"/>
          <w:sz w:val="30"/>
          <w:szCs w:val="30"/>
          <w:lang w:val="en-US" w:eastAsia="zh-CN" w:bidi="ar-SA"/>
        </w:rPr>
      </w:pPr>
      <w:r>
        <w:rPr>
          <w:rFonts w:hint="eastAsia" w:ascii="宋体" w:hAnsi="宋体" w:cs="宋体"/>
          <w:b/>
          <w:bCs/>
          <w:i w:val="0"/>
          <w:iCs w:val="0"/>
          <w:color w:val="auto"/>
          <w:kern w:val="2"/>
          <w:sz w:val="30"/>
          <w:szCs w:val="30"/>
          <w:lang w:val="en-US" w:eastAsia="zh-CN" w:bidi="ar-SA"/>
        </w:rPr>
        <w:t>联系电话：</w:t>
      </w:r>
    </w:p>
    <w:p>
      <w:pPr>
        <w:adjustRightInd w:val="0"/>
        <w:snapToGrid w:val="0"/>
        <w:rPr>
          <w:rFonts w:hint="eastAsia" w:ascii="宋体" w:hAnsi="宋体" w:cs="宋体"/>
          <w:i w:val="0"/>
          <w:iCs w:val="0"/>
          <w:color w:val="auto"/>
          <w:sz w:val="32"/>
          <w:szCs w:val="32"/>
        </w:rPr>
      </w:pPr>
    </w:p>
    <w:p>
      <w:pPr>
        <w:adjustRightInd w:val="0"/>
        <w:snapToGrid w:val="0"/>
        <w:ind w:firstLine="4800" w:firstLineChars="1500"/>
        <w:rPr>
          <w:rFonts w:hint="eastAsia" w:ascii="宋体" w:hAnsi="宋体" w:cs="宋体"/>
          <w:i w:val="0"/>
          <w:iCs w:val="0"/>
          <w:color w:val="auto"/>
          <w:sz w:val="32"/>
          <w:szCs w:val="32"/>
        </w:rPr>
      </w:pPr>
    </w:p>
    <w:p>
      <w:pPr>
        <w:adjustRightInd w:val="0"/>
        <w:snapToGrid w:val="0"/>
        <w:rPr>
          <w:rFonts w:hint="eastAsia" w:ascii="宋体" w:hAnsi="宋体" w:cs="宋体"/>
          <w:i w:val="0"/>
          <w:iCs w:val="0"/>
          <w:color w:val="auto"/>
          <w:sz w:val="32"/>
          <w:szCs w:val="32"/>
        </w:rPr>
      </w:pPr>
    </w:p>
    <w:p>
      <w:pPr>
        <w:adjustRightInd w:val="0"/>
        <w:snapToGrid w:val="0"/>
        <w:jc w:val="center"/>
        <w:rPr>
          <w:rFonts w:hint="eastAsia" w:ascii="宋体" w:hAnsi="宋体" w:cs="宋体"/>
          <w:i w:val="0"/>
          <w:iCs w:val="0"/>
          <w:color w:val="auto"/>
          <w:sz w:val="32"/>
          <w:szCs w:val="32"/>
        </w:rPr>
      </w:pPr>
      <w:r>
        <w:rPr>
          <w:rFonts w:hint="eastAsia" w:ascii="宋体" w:hAnsi="宋体" w:cs="宋体"/>
          <w:i w:val="0"/>
          <w:iCs w:val="0"/>
          <w:color w:val="auto"/>
          <w:sz w:val="32"/>
          <w:szCs w:val="32"/>
          <w:u w:val="single"/>
        </w:rPr>
        <w:t xml:space="preserve">   </w:t>
      </w:r>
      <w:r>
        <w:rPr>
          <w:rFonts w:hint="eastAsia" w:ascii="宋体" w:hAnsi="宋体" w:cs="宋体"/>
          <w:i w:val="0"/>
          <w:iCs w:val="0"/>
          <w:color w:val="auto"/>
          <w:sz w:val="32"/>
          <w:szCs w:val="32"/>
        </w:rPr>
        <w:t>年</w:t>
      </w:r>
      <w:r>
        <w:rPr>
          <w:rFonts w:hint="eastAsia" w:ascii="宋体" w:hAnsi="宋体" w:cs="宋体"/>
          <w:i w:val="0"/>
          <w:iCs w:val="0"/>
          <w:color w:val="auto"/>
          <w:sz w:val="32"/>
          <w:szCs w:val="32"/>
          <w:u w:val="single"/>
        </w:rPr>
        <w:t xml:space="preserve">   </w:t>
      </w:r>
      <w:r>
        <w:rPr>
          <w:rFonts w:hint="eastAsia" w:ascii="宋体" w:hAnsi="宋体" w:cs="宋体"/>
          <w:i w:val="0"/>
          <w:iCs w:val="0"/>
          <w:color w:val="auto"/>
          <w:sz w:val="32"/>
          <w:szCs w:val="32"/>
        </w:rPr>
        <w:t>月</w:t>
      </w:r>
      <w:r>
        <w:rPr>
          <w:rFonts w:hint="eastAsia" w:ascii="宋体" w:hAnsi="宋体" w:cs="宋体"/>
          <w:i w:val="0"/>
          <w:iCs w:val="0"/>
          <w:color w:val="auto"/>
          <w:sz w:val="32"/>
          <w:szCs w:val="32"/>
          <w:u w:val="single"/>
        </w:rPr>
        <w:t xml:space="preserve">   </w:t>
      </w:r>
      <w:r>
        <w:rPr>
          <w:rFonts w:hint="eastAsia" w:ascii="宋体" w:hAnsi="宋体" w:cs="宋体"/>
          <w:i w:val="0"/>
          <w:iCs w:val="0"/>
          <w:color w:val="auto"/>
          <w:sz w:val="32"/>
          <w:szCs w:val="32"/>
        </w:rPr>
        <w:t>日</w:t>
      </w:r>
    </w:p>
    <w:p>
      <w:pPr>
        <w:pStyle w:val="24"/>
        <w:rPr>
          <w:rFonts w:hint="eastAsia"/>
          <w:color w:val="auto"/>
        </w:rPr>
      </w:pPr>
    </w:p>
    <w:p>
      <w:pPr>
        <w:spacing w:line="240" w:lineRule="atLeast"/>
        <w:ind w:left="735" w:leftChars="350" w:firstLine="120" w:firstLineChars="50"/>
        <w:rPr>
          <w:rFonts w:hint="eastAsia" w:ascii="宋体" w:hAnsi="宋体" w:eastAsia="宋体" w:cs="宋体"/>
          <w:i w:val="0"/>
          <w:iCs w:val="0"/>
          <w:color w:val="auto"/>
          <w:sz w:val="24"/>
        </w:rPr>
      </w:pPr>
    </w:p>
    <w:p>
      <w:pPr>
        <w:pStyle w:val="24"/>
        <w:rPr>
          <w:rFonts w:hint="eastAsia" w:ascii="宋体" w:hAnsi="宋体" w:eastAsia="宋体" w:cs="宋体"/>
          <w:i w:val="0"/>
          <w:iCs w:val="0"/>
          <w:color w:val="auto"/>
          <w:sz w:val="24"/>
        </w:rPr>
      </w:pPr>
    </w:p>
    <w:p>
      <w:pPr>
        <w:pStyle w:val="4"/>
        <w:spacing w:before="0" w:line="240" w:lineRule="atLeast"/>
        <w:ind w:left="1079" w:leftChars="257" w:hanging="540"/>
        <w:rPr>
          <w:rFonts w:hint="eastAsia" w:ascii="宋体" w:hAnsi="宋体" w:eastAsia="宋体" w:cs="宋体"/>
          <w:i w:val="0"/>
          <w:iCs w:val="0"/>
          <w:color w:val="auto"/>
          <w:sz w:val="32"/>
          <w:szCs w:val="22"/>
        </w:rPr>
      </w:pPr>
      <w:bookmarkStart w:id="169" w:name="_Toc518923107"/>
      <w:bookmarkStart w:id="170" w:name="_Toc15142"/>
      <w:r>
        <w:rPr>
          <w:rFonts w:hint="eastAsia" w:ascii="宋体" w:hAnsi="宋体" w:eastAsia="宋体" w:cs="宋体"/>
          <w:i w:val="0"/>
          <w:iCs w:val="0"/>
          <w:color w:val="auto"/>
          <w:sz w:val="32"/>
          <w:szCs w:val="22"/>
        </w:rPr>
        <w:t>第一部分 开标一览表及资格证明文件</w:t>
      </w:r>
      <w:bookmarkEnd w:id="169"/>
      <w:bookmarkEnd w:id="170"/>
    </w:p>
    <w:p>
      <w:pPr>
        <w:spacing w:line="240" w:lineRule="atLeast"/>
        <w:ind w:left="708" w:hanging="708" w:hangingChars="295"/>
        <w:jc w:val="center"/>
        <w:rPr>
          <w:rFonts w:hint="eastAsia" w:ascii="宋体" w:hAnsi="宋体" w:eastAsia="宋体" w:cs="宋体"/>
          <w:i w:val="0"/>
          <w:iCs w:val="0"/>
          <w:color w:val="auto"/>
          <w:sz w:val="24"/>
        </w:rPr>
      </w:pPr>
    </w:p>
    <w:p>
      <w:pPr>
        <w:tabs>
          <w:tab w:val="left" w:pos="5580"/>
        </w:tabs>
        <w:spacing w:line="360" w:lineRule="auto"/>
        <w:ind w:firstLine="424" w:firstLineChars="177"/>
        <w:rPr>
          <w:rFonts w:hint="eastAsia" w:ascii="宋体" w:hAnsi="宋体" w:eastAsia="宋体" w:cs="宋体"/>
          <w:i w:val="0"/>
          <w:iCs w:val="0"/>
          <w:color w:val="auto"/>
          <w:sz w:val="24"/>
          <w:lang w:eastAsia="zh-CN"/>
        </w:rPr>
      </w:pPr>
      <w:r>
        <w:rPr>
          <w:rFonts w:hint="eastAsia" w:ascii="宋体" w:hAnsi="宋体" w:eastAsia="宋体" w:cs="宋体"/>
          <w:i w:val="0"/>
          <w:iCs w:val="0"/>
          <w:color w:val="auto"/>
          <w:sz w:val="24"/>
        </w:rPr>
        <w:t xml:space="preserve"> 1 </w:t>
      </w:r>
      <w:r>
        <w:rPr>
          <w:rFonts w:hint="eastAsia" w:ascii="宋体" w:hAnsi="宋体" w:eastAsia="宋体" w:cs="宋体"/>
          <w:i w:val="0"/>
          <w:iCs w:val="0"/>
          <w:color w:val="auto"/>
          <w:sz w:val="24"/>
          <w:lang w:eastAsia="zh-CN"/>
        </w:rPr>
        <w:t>、</w:t>
      </w:r>
      <w:r>
        <w:rPr>
          <w:rFonts w:hint="eastAsia" w:ascii="宋体" w:hAnsi="宋体" w:eastAsia="宋体" w:cs="宋体"/>
          <w:i w:val="0"/>
          <w:iCs w:val="0"/>
          <w:color w:val="auto"/>
          <w:sz w:val="24"/>
        </w:rPr>
        <w:t>开标一览表（见投标文件格式一）</w:t>
      </w:r>
      <w:r>
        <w:rPr>
          <w:rFonts w:hint="eastAsia" w:ascii="宋体" w:hAnsi="宋体" w:eastAsia="宋体" w:cs="宋体"/>
          <w:i w:val="0"/>
          <w:iCs w:val="0"/>
          <w:color w:val="auto"/>
          <w:sz w:val="24"/>
          <w:lang w:eastAsia="zh-CN"/>
        </w:rPr>
        <w:t>；</w:t>
      </w:r>
    </w:p>
    <w:p>
      <w:pPr>
        <w:tabs>
          <w:tab w:val="left" w:pos="5580"/>
        </w:tabs>
        <w:spacing w:line="360" w:lineRule="auto"/>
        <w:ind w:left="1" w:firstLine="564" w:firstLineChars="235"/>
        <w:rPr>
          <w:rFonts w:hint="eastAsia" w:ascii="宋体" w:hAnsi="宋体" w:eastAsia="宋体" w:cs="宋体"/>
          <w:i w:val="0"/>
          <w:iCs w:val="0"/>
          <w:color w:val="auto"/>
          <w:sz w:val="24"/>
          <w:lang w:eastAsia="zh-CN"/>
        </w:rPr>
      </w:pPr>
      <w:r>
        <w:rPr>
          <w:rFonts w:hint="eastAsia" w:ascii="宋体" w:hAnsi="宋体" w:eastAsia="宋体" w:cs="宋体"/>
          <w:i w:val="0"/>
          <w:iCs w:val="0"/>
          <w:color w:val="auto"/>
          <w:sz w:val="24"/>
        </w:rPr>
        <w:t>2、法人或者非法人组织的营业执照</w:t>
      </w:r>
      <w:r>
        <w:rPr>
          <w:rFonts w:hint="eastAsia" w:ascii="宋体" w:hAnsi="宋体" w:eastAsia="宋体" w:cs="宋体"/>
          <w:i w:val="0"/>
          <w:iCs w:val="0"/>
          <w:color w:val="auto"/>
          <w:sz w:val="24"/>
          <w:lang w:eastAsia="zh-CN"/>
        </w:rPr>
        <w:t>、</w:t>
      </w:r>
      <w:r>
        <w:rPr>
          <w:rFonts w:hint="eastAsia" w:ascii="宋体" w:hAnsi="宋体" w:eastAsia="宋体" w:cs="宋体"/>
          <w:i w:val="0"/>
          <w:iCs w:val="0"/>
          <w:color w:val="auto"/>
          <w:sz w:val="24"/>
          <w:lang w:val="en-US" w:eastAsia="zh-CN"/>
        </w:rPr>
        <w:t>资质证书</w:t>
      </w:r>
      <w:r>
        <w:rPr>
          <w:rFonts w:hint="eastAsia" w:ascii="宋体" w:hAnsi="宋体" w:eastAsia="宋体" w:cs="宋体"/>
          <w:i w:val="0"/>
          <w:iCs w:val="0"/>
          <w:color w:val="auto"/>
          <w:sz w:val="24"/>
        </w:rPr>
        <w:t>等证明文件复印件（须加盖本单位章）或自然人的身份证明复印件</w:t>
      </w:r>
      <w:r>
        <w:rPr>
          <w:rFonts w:hint="eastAsia" w:ascii="宋体" w:hAnsi="宋体" w:eastAsia="宋体" w:cs="宋体"/>
          <w:i w:val="0"/>
          <w:iCs w:val="0"/>
          <w:color w:val="auto"/>
          <w:sz w:val="24"/>
          <w:lang w:eastAsia="zh-CN"/>
        </w:rPr>
        <w:t>；</w:t>
      </w:r>
    </w:p>
    <w:p>
      <w:pPr>
        <w:tabs>
          <w:tab w:val="left" w:pos="5580"/>
        </w:tabs>
        <w:spacing w:line="360" w:lineRule="auto"/>
        <w:ind w:left="1" w:firstLine="564" w:firstLineChars="235"/>
        <w:rPr>
          <w:rFonts w:hint="eastAsia" w:ascii="宋体" w:hAnsi="宋体" w:eastAsia="宋体" w:cs="宋体"/>
          <w:i w:val="0"/>
          <w:iCs w:val="0"/>
          <w:color w:val="auto"/>
          <w:sz w:val="24"/>
          <w:lang w:eastAsia="zh-CN"/>
        </w:rPr>
      </w:pPr>
      <w:r>
        <w:rPr>
          <w:rFonts w:hint="eastAsia" w:ascii="宋体" w:hAnsi="宋体" w:eastAsia="宋体" w:cs="宋体"/>
          <w:i w:val="0"/>
          <w:iCs w:val="0"/>
          <w:color w:val="auto"/>
          <w:sz w:val="24"/>
        </w:rPr>
        <w:t>3、法定代表人授权委托书（见投标文件格式二，自然人投标的无需提供）</w:t>
      </w:r>
      <w:r>
        <w:rPr>
          <w:rFonts w:hint="eastAsia" w:ascii="宋体" w:hAnsi="宋体" w:eastAsia="宋体" w:cs="宋体"/>
          <w:i w:val="0"/>
          <w:iCs w:val="0"/>
          <w:color w:val="auto"/>
          <w:sz w:val="24"/>
          <w:lang w:eastAsia="zh-CN"/>
        </w:rPr>
        <w:t>；</w:t>
      </w:r>
    </w:p>
    <w:p>
      <w:pPr>
        <w:tabs>
          <w:tab w:val="left" w:pos="5580"/>
        </w:tabs>
        <w:spacing w:line="360" w:lineRule="auto"/>
        <w:ind w:left="1" w:firstLine="564" w:firstLineChars="235"/>
        <w:rPr>
          <w:rFonts w:hint="eastAsia" w:ascii="宋体" w:hAnsi="宋体" w:eastAsia="宋体" w:cs="宋体"/>
          <w:i w:val="0"/>
          <w:iCs w:val="0"/>
          <w:color w:val="auto"/>
          <w:sz w:val="24"/>
          <w:lang w:eastAsia="zh-CN"/>
        </w:rPr>
      </w:pPr>
      <w:r>
        <w:rPr>
          <w:rFonts w:hint="eastAsia" w:ascii="宋体" w:hAnsi="宋体" w:eastAsia="宋体" w:cs="宋体"/>
          <w:i w:val="0"/>
          <w:iCs w:val="0"/>
          <w:color w:val="auto"/>
          <w:sz w:val="24"/>
        </w:rPr>
        <w:t>4、具有良好的商业信誉和健全的财务会计制度的证明文件</w:t>
      </w:r>
      <w:r>
        <w:rPr>
          <w:rFonts w:hint="eastAsia" w:ascii="宋体" w:hAnsi="宋体" w:eastAsia="宋体" w:cs="宋体"/>
          <w:i w:val="0"/>
          <w:iCs w:val="0"/>
          <w:color w:val="auto"/>
          <w:sz w:val="24"/>
          <w:lang w:eastAsia="zh-CN"/>
        </w:rPr>
        <w:t>；</w:t>
      </w:r>
    </w:p>
    <w:p>
      <w:pPr>
        <w:tabs>
          <w:tab w:val="left" w:pos="5580"/>
        </w:tabs>
        <w:spacing w:line="360" w:lineRule="auto"/>
        <w:ind w:left="1" w:firstLine="564" w:firstLineChars="235"/>
        <w:rPr>
          <w:rFonts w:hint="eastAsia" w:ascii="宋体" w:hAnsi="宋体" w:eastAsia="宋体" w:cs="宋体"/>
          <w:i w:val="0"/>
          <w:iCs w:val="0"/>
          <w:color w:val="auto"/>
          <w:sz w:val="24"/>
          <w:lang w:eastAsia="zh-CN"/>
        </w:rPr>
      </w:pPr>
      <w:r>
        <w:rPr>
          <w:rFonts w:hint="eastAsia" w:ascii="宋体" w:hAnsi="宋体" w:eastAsia="宋体" w:cs="宋体"/>
          <w:i w:val="0"/>
          <w:iCs w:val="0"/>
          <w:color w:val="auto"/>
          <w:sz w:val="24"/>
        </w:rPr>
        <w:t>5、社会保障资金的缴纳记录</w:t>
      </w:r>
      <w:r>
        <w:rPr>
          <w:rFonts w:hint="eastAsia" w:ascii="宋体" w:hAnsi="宋体" w:eastAsia="宋体" w:cs="宋体"/>
          <w:i w:val="0"/>
          <w:iCs w:val="0"/>
          <w:color w:val="auto"/>
          <w:sz w:val="24"/>
          <w:lang w:eastAsia="zh-CN"/>
        </w:rPr>
        <w:t>；</w:t>
      </w:r>
    </w:p>
    <w:p>
      <w:pPr>
        <w:tabs>
          <w:tab w:val="left" w:pos="5580"/>
        </w:tabs>
        <w:spacing w:line="360" w:lineRule="auto"/>
        <w:ind w:left="1" w:firstLine="564" w:firstLineChars="235"/>
        <w:rPr>
          <w:rFonts w:hint="eastAsia" w:ascii="宋体" w:hAnsi="宋体" w:eastAsia="宋体" w:cs="宋体"/>
          <w:i w:val="0"/>
          <w:iCs w:val="0"/>
          <w:color w:val="auto"/>
          <w:sz w:val="24"/>
          <w:lang w:eastAsia="zh-CN"/>
        </w:rPr>
      </w:pPr>
      <w:r>
        <w:rPr>
          <w:rFonts w:hint="eastAsia" w:ascii="宋体" w:hAnsi="宋体" w:eastAsia="宋体" w:cs="宋体"/>
          <w:i w:val="0"/>
          <w:iCs w:val="0"/>
          <w:color w:val="auto"/>
          <w:sz w:val="24"/>
        </w:rPr>
        <w:t>6、参加政府采购活动前3年内在经营活动中没有重大违法记录的书面声明</w:t>
      </w:r>
      <w:r>
        <w:rPr>
          <w:rFonts w:hint="eastAsia" w:ascii="宋体" w:hAnsi="宋体" w:eastAsia="宋体" w:cs="宋体"/>
          <w:i w:val="0"/>
          <w:iCs w:val="0"/>
          <w:color w:val="auto"/>
          <w:sz w:val="24"/>
          <w:lang w:eastAsia="zh-CN"/>
        </w:rPr>
        <w:t>；</w:t>
      </w:r>
    </w:p>
    <w:p>
      <w:pPr>
        <w:tabs>
          <w:tab w:val="left" w:pos="5580"/>
        </w:tabs>
        <w:spacing w:line="360" w:lineRule="auto"/>
        <w:ind w:left="1" w:firstLine="564" w:firstLineChars="235"/>
        <w:rPr>
          <w:rFonts w:hint="eastAsia" w:ascii="宋体" w:hAnsi="宋体" w:eastAsia="宋体" w:cs="宋体"/>
          <w:i w:val="0"/>
          <w:iCs w:val="0"/>
          <w:color w:val="auto"/>
          <w:sz w:val="24"/>
          <w:lang w:val="en-US" w:eastAsia="zh-CN"/>
        </w:rPr>
      </w:pPr>
      <w:r>
        <w:rPr>
          <w:rFonts w:hint="eastAsia" w:ascii="宋体" w:hAnsi="宋体" w:eastAsia="宋体" w:cs="宋体"/>
          <w:i w:val="0"/>
          <w:iCs w:val="0"/>
          <w:color w:val="auto"/>
          <w:sz w:val="24"/>
          <w:lang w:val="en-US" w:eastAsia="zh-CN"/>
        </w:rPr>
        <w:t>7、拟派的项目负责人情况表及相关证件；</w:t>
      </w:r>
    </w:p>
    <w:p>
      <w:pPr>
        <w:pStyle w:val="23"/>
        <w:rPr>
          <w:rFonts w:hint="default"/>
          <w:color w:val="auto"/>
          <w:lang w:val="en-US" w:eastAsia="zh-CN"/>
        </w:rPr>
      </w:pPr>
      <w:r>
        <w:rPr>
          <w:rFonts w:hint="eastAsia" w:ascii="宋体" w:hAnsi="宋体" w:eastAsia="宋体" w:cs="宋体"/>
          <w:i w:val="0"/>
          <w:iCs w:val="0"/>
          <w:color w:val="auto"/>
          <w:sz w:val="24"/>
          <w:lang w:val="en-US" w:eastAsia="zh-CN"/>
        </w:rPr>
        <w:t xml:space="preserve">     8、本项目主要技术人员一览表；</w:t>
      </w:r>
    </w:p>
    <w:p>
      <w:pPr>
        <w:tabs>
          <w:tab w:val="left" w:pos="5580"/>
        </w:tabs>
        <w:spacing w:line="360" w:lineRule="auto"/>
        <w:ind w:left="1" w:firstLine="564" w:firstLineChars="235"/>
        <w:rPr>
          <w:rFonts w:hint="eastAsia" w:ascii="宋体" w:hAnsi="宋体" w:eastAsia="宋体" w:cs="宋体"/>
          <w:i w:val="0"/>
          <w:iCs w:val="0"/>
          <w:color w:val="auto"/>
          <w:sz w:val="24"/>
        </w:rPr>
      </w:pPr>
      <w:r>
        <w:rPr>
          <w:rFonts w:hint="eastAsia" w:ascii="宋体" w:hAnsi="宋体" w:eastAsia="宋体" w:cs="宋体"/>
          <w:i w:val="0"/>
          <w:iCs w:val="0"/>
          <w:color w:val="auto"/>
          <w:sz w:val="24"/>
          <w:lang w:val="en-US" w:eastAsia="zh-CN"/>
        </w:rPr>
        <w:t>9、凡拟参加本次招标项目的投标人，参加采购活动前三年内，在经营活动中没有重大违法记录(受行政主管部门的处罚不能参加投标)，供应商须提供“中国政府采购网”（http://www.ccgp.gov.cn）及信用中国（www.creditchina.gov.cn）无违法违规行为的查询结果纪录（提供查询结果网页截图并加盖供应商公章）；</w:t>
      </w:r>
    </w:p>
    <w:p>
      <w:pPr>
        <w:tabs>
          <w:tab w:val="left" w:pos="5580"/>
        </w:tabs>
        <w:spacing w:line="360" w:lineRule="auto"/>
        <w:ind w:left="1" w:firstLine="564" w:firstLineChars="235"/>
        <w:rPr>
          <w:rFonts w:hint="eastAsia" w:ascii="宋体" w:hAnsi="宋体" w:eastAsia="宋体" w:cs="宋体"/>
          <w:i w:val="0"/>
          <w:iCs w:val="0"/>
          <w:color w:val="auto"/>
          <w:sz w:val="24"/>
          <w:lang w:eastAsia="zh-CN"/>
        </w:rPr>
      </w:pPr>
      <w:r>
        <w:rPr>
          <w:rFonts w:hint="eastAsia" w:ascii="宋体" w:hAnsi="宋体" w:eastAsia="宋体" w:cs="宋体"/>
          <w:i w:val="0"/>
          <w:iCs w:val="0"/>
          <w:color w:val="auto"/>
          <w:sz w:val="24"/>
          <w:lang w:val="en-US" w:eastAsia="zh-CN"/>
        </w:rPr>
        <w:t>10</w:t>
      </w:r>
      <w:r>
        <w:rPr>
          <w:rFonts w:hint="eastAsia" w:ascii="宋体" w:hAnsi="宋体" w:eastAsia="宋体" w:cs="宋体"/>
          <w:i w:val="0"/>
          <w:iCs w:val="0"/>
          <w:color w:val="auto"/>
          <w:sz w:val="24"/>
        </w:rPr>
        <w:t>、投标人须知资料表要求的其他资格证明文件</w:t>
      </w:r>
      <w:r>
        <w:rPr>
          <w:rFonts w:hint="eastAsia" w:ascii="宋体" w:hAnsi="宋体" w:eastAsia="宋体" w:cs="宋体"/>
          <w:i w:val="0"/>
          <w:iCs w:val="0"/>
          <w:color w:val="auto"/>
          <w:sz w:val="24"/>
          <w:lang w:eastAsia="zh-CN"/>
        </w:rPr>
        <w:t>；</w:t>
      </w:r>
    </w:p>
    <w:p>
      <w:pPr>
        <w:tabs>
          <w:tab w:val="left" w:pos="5580"/>
        </w:tabs>
        <w:spacing w:line="240" w:lineRule="atLeast"/>
        <w:ind w:left="1" w:firstLine="564" w:firstLineChars="235"/>
        <w:rPr>
          <w:rFonts w:hint="eastAsia" w:ascii="宋体" w:hAnsi="宋体" w:eastAsia="宋体" w:cs="宋体"/>
          <w:i w:val="0"/>
          <w:iCs w:val="0"/>
          <w:color w:val="auto"/>
          <w:sz w:val="24"/>
        </w:rPr>
      </w:pPr>
    </w:p>
    <w:p>
      <w:pPr>
        <w:tabs>
          <w:tab w:val="left" w:pos="5580"/>
        </w:tabs>
        <w:spacing w:line="240" w:lineRule="atLeast"/>
        <w:ind w:left="1" w:firstLine="564" w:firstLineChars="235"/>
        <w:rPr>
          <w:rFonts w:hint="eastAsia" w:ascii="宋体" w:hAnsi="宋体" w:eastAsia="宋体" w:cs="宋体"/>
          <w:i w:val="0"/>
          <w:iCs w:val="0"/>
          <w:color w:val="auto"/>
          <w:sz w:val="24"/>
        </w:rPr>
      </w:pPr>
    </w:p>
    <w:p>
      <w:pPr>
        <w:tabs>
          <w:tab w:val="left" w:pos="5580"/>
        </w:tabs>
        <w:spacing w:line="240" w:lineRule="atLeast"/>
        <w:ind w:left="1" w:firstLine="564" w:firstLineChars="235"/>
        <w:rPr>
          <w:rFonts w:hint="eastAsia" w:ascii="宋体" w:hAnsi="宋体" w:eastAsia="宋体" w:cs="宋体"/>
          <w:i w:val="0"/>
          <w:iCs w:val="0"/>
          <w:color w:val="auto"/>
          <w:sz w:val="24"/>
        </w:rPr>
      </w:pPr>
    </w:p>
    <w:p>
      <w:pPr>
        <w:tabs>
          <w:tab w:val="left" w:pos="5580"/>
        </w:tabs>
        <w:spacing w:line="240" w:lineRule="atLeast"/>
        <w:ind w:left="1" w:firstLine="564" w:firstLineChars="235"/>
        <w:rPr>
          <w:rFonts w:hint="eastAsia" w:ascii="宋体" w:hAnsi="宋体" w:eastAsia="宋体" w:cs="宋体"/>
          <w:i w:val="0"/>
          <w:iCs w:val="0"/>
          <w:color w:val="auto"/>
          <w:sz w:val="24"/>
        </w:rPr>
      </w:pPr>
    </w:p>
    <w:p>
      <w:pPr>
        <w:tabs>
          <w:tab w:val="left" w:pos="5580"/>
        </w:tabs>
        <w:spacing w:line="240" w:lineRule="atLeast"/>
        <w:ind w:left="1" w:firstLine="564" w:firstLineChars="235"/>
        <w:rPr>
          <w:rFonts w:hint="eastAsia" w:ascii="宋体" w:hAnsi="宋体" w:eastAsia="宋体" w:cs="宋体"/>
          <w:i w:val="0"/>
          <w:iCs w:val="0"/>
          <w:color w:val="auto"/>
          <w:sz w:val="24"/>
        </w:rPr>
      </w:pPr>
    </w:p>
    <w:p>
      <w:pPr>
        <w:tabs>
          <w:tab w:val="left" w:pos="5580"/>
        </w:tabs>
        <w:spacing w:line="240" w:lineRule="atLeast"/>
        <w:ind w:left="1" w:firstLine="564" w:firstLineChars="235"/>
        <w:rPr>
          <w:rFonts w:hint="eastAsia" w:ascii="宋体" w:hAnsi="宋体" w:eastAsia="宋体" w:cs="宋体"/>
          <w:i w:val="0"/>
          <w:iCs w:val="0"/>
          <w:color w:val="auto"/>
          <w:sz w:val="24"/>
        </w:rPr>
      </w:pPr>
    </w:p>
    <w:p>
      <w:pPr>
        <w:tabs>
          <w:tab w:val="left" w:pos="5580"/>
        </w:tabs>
        <w:spacing w:line="240" w:lineRule="atLeast"/>
        <w:ind w:left="1" w:firstLine="564" w:firstLineChars="235"/>
        <w:rPr>
          <w:rFonts w:hint="eastAsia" w:ascii="宋体" w:hAnsi="宋体" w:eastAsia="宋体" w:cs="宋体"/>
          <w:i w:val="0"/>
          <w:iCs w:val="0"/>
          <w:color w:val="auto"/>
          <w:sz w:val="24"/>
        </w:rPr>
      </w:pPr>
    </w:p>
    <w:p>
      <w:pPr>
        <w:tabs>
          <w:tab w:val="left" w:pos="5580"/>
        </w:tabs>
        <w:spacing w:line="240" w:lineRule="atLeast"/>
        <w:ind w:left="1" w:firstLine="564" w:firstLineChars="235"/>
        <w:rPr>
          <w:rFonts w:hint="eastAsia" w:ascii="宋体" w:hAnsi="宋体" w:eastAsia="宋体" w:cs="宋体"/>
          <w:i w:val="0"/>
          <w:iCs w:val="0"/>
          <w:color w:val="auto"/>
          <w:sz w:val="24"/>
        </w:rPr>
      </w:pPr>
    </w:p>
    <w:p>
      <w:pPr>
        <w:tabs>
          <w:tab w:val="left" w:pos="5580"/>
        </w:tabs>
        <w:spacing w:line="240" w:lineRule="atLeast"/>
        <w:ind w:left="1" w:firstLine="564" w:firstLineChars="235"/>
        <w:rPr>
          <w:rFonts w:hint="eastAsia" w:ascii="宋体" w:hAnsi="宋体" w:eastAsia="宋体" w:cs="宋体"/>
          <w:i w:val="0"/>
          <w:iCs w:val="0"/>
          <w:color w:val="auto"/>
          <w:sz w:val="24"/>
        </w:rPr>
      </w:pPr>
    </w:p>
    <w:p>
      <w:pPr>
        <w:tabs>
          <w:tab w:val="left" w:pos="5580"/>
        </w:tabs>
        <w:spacing w:line="240" w:lineRule="atLeast"/>
        <w:ind w:left="1" w:firstLine="564" w:firstLineChars="235"/>
        <w:rPr>
          <w:rFonts w:hint="eastAsia" w:ascii="宋体" w:hAnsi="宋体" w:eastAsia="宋体" w:cs="宋体"/>
          <w:i w:val="0"/>
          <w:iCs w:val="0"/>
          <w:color w:val="auto"/>
          <w:sz w:val="24"/>
        </w:rPr>
      </w:pPr>
    </w:p>
    <w:p>
      <w:pPr>
        <w:tabs>
          <w:tab w:val="left" w:pos="5580"/>
        </w:tabs>
        <w:spacing w:line="240" w:lineRule="atLeast"/>
        <w:ind w:left="1" w:firstLine="564" w:firstLineChars="235"/>
        <w:rPr>
          <w:rFonts w:hint="eastAsia" w:ascii="宋体" w:hAnsi="宋体" w:eastAsia="宋体" w:cs="宋体"/>
          <w:i w:val="0"/>
          <w:iCs w:val="0"/>
          <w:color w:val="auto"/>
          <w:sz w:val="24"/>
        </w:rPr>
      </w:pPr>
    </w:p>
    <w:p>
      <w:pPr>
        <w:tabs>
          <w:tab w:val="left" w:pos="5580"/>
        </w:tabs>
        <w:spacing w:line="240" w:lineRule="atLeast"/>
        <w:ind w:left="1" w:firstLine="564" w:firstLineChars="235"/>
        <w:rPr>
          <w:rFonts w:hint="eastAsia" w:ascii="宋体" w:hAnsi="宋体" w:eastAsia="宋体" w:cs="宋体"/>
          <w:i w:val="0"/>
          <w:iCs w:val="0"/>
          <w:color w:val="auto"/>
          <w:sz w:val="24"/>
        </w:rPr>
      </w:pPr>
    </w:p>
    <w:p>
      <w:pPr>
        <w:tabs>
          <w:tab w:val="left" w:pos="5580"/>
        </w:tabs>
        <w:spacing w:line="240" w:lineRule="atLeast"/>
        <w:ind w:left="1" w:firstLine="564" w:firstLineChars="235"/>
        <w:rPr>
          <w:rFonts w:hint="eastAsia" w:ascii="宋体" w:hAnsi="宋体" w:eastAsia="宋体" w:cs="宋体"/>
          <w:i w:val="0"/>
          <w:iCs w:val="0"/>
          <w:color w:val="auto"/>
          <w:sz w:val="24"/>
        </w:rPr>
      </w:pPr>
    </w:p>
    <w:p>
      <w:pPr>
        <w:tabs>
          <w:tab w:val="left" w:pos="5580"/>
        </w:tabs>
        <w:spacing w:line="240" w:lineRule="atLeast"/>
        <w:ind w:left="1" w:firstLine="564" w:firstLineChars="235"/>
        <w:rPr>
          <w:rFonts w:hint="eastAsia" w:ascii="宋体" w:hAnsi="宋体" w:eastAsia="宋体" w:cs="宋体"/>
          <w:i w:val="0"/>
          <w:iCs w:val="0"/>
          <w:color w:val="auto"/>
          <w:sz w:val="24"/>
        </w:rPr>
      </w:pPr>
    </w:p>
    <w:p>
      <w:pPr>
        <w:tabs>
          <w:tab w:val="left" w:pos="5580"/>
        </w:tabs>
        <w:spacing w:line="240" w:lineRule="atLeast"/>
        <w:ind w:left="1" w:firstLine="564" w:firstLineChars="235"/>
        <w:rPr>
          <w:rFonts w:hint="eastAsia" w:ascii="宋体" w:hAnsi="宋体" w:eastAsia="宋体" w:cs="宋体"/>
          <w:i w:val="0"/>
          <w:iCs w:val="0"/>
          <w:color w:val="auto"/>
          <w:sz w:val="24"/>
        </w:rPr>
      </w:pPr>
    </w:p>
    <w:p>
      <w:pPr>
        <w:tabs>
          <w:tab w:val="left" w:pos="5580"/>
        </w:tabs>
        <w:spacing w:line="240" w:lineRule="atLeast"/>
        <w:ind w:left="1" w:firstLine="564" w:firstLineChars="235"/>
        <w:rPr>
          <w:rFonts w:hint="eastAsia" w:ascii="宋体" w:hAnsi="宋体" w:eastAsia="宋体" w:cs="宋体"/>
          <w:i w:val="0"/>
          <w:iCs w:val="0"/>
          <w:color w:val="auto"/>
          <w:sz w:val="24"/>
        </w:rPr>
      </w:pPr>
    </w:p>
    <w:p>
      <w:pPr>
        <w:tabs>
          <w:tab w:val="left" w:pos="5580"/>
        </w:tabs>
        <w:spacing w:line="240" w:lineRule="atLeast"/>
        <w:ind w:left="1" w:firstLine="564" w:firstLineChars="235"/>
        <w:rPr>
          <w:rFonts w:hint="eastAsia" w:ascii="宋体" w:hAnsi="宋体" w:eastAsia="宋体" w:cs="宋体"/>
          <w:i w:val="0"/>
          <w:iCs w:val="0"/>
          <w:color w:val="auto"/>
          <w:sz w:val="24"/>
        </w:rPr>
      </w:pPr>
    </w:p>
    <w:p>
      <w:pPr>
        <w:tabs>
          <w:tab w:val="left" w:pos="5580"/>
        </w:tabs>
        <w:spacing w:line="240" w:lineRule="atLeast"/>
        <w:ind w:left="1" w:firstLine="564" w:firstLineChars="235"/>
        <w:rPr>
          <w:rFonts w:hint="eastAsia" w:ascii="宋体" w:hAnsi="宋体" w:eastAsia="宋体" w:cs="宋体"/>
          <w:i w:val="0"/>
          <w:iCs w:val="0"/>
          <w:color w:val="auto"/>
          <w:sz w:val="24"/>
        </w:rPr>
      </w:pPr>
    </w:p>
    <w:p>
      <w:pPr>
        <w:tabs>
          <w:tab w:val="left" w:pos="5580"/>
        </w:tabs>
        <w:spacing w:line="240" w:lineRule="atLeast"/>
        <w:ind w:left="1" w:firstLine="564" w:firstLineChars="235"/>
        <w:rPr>
          <w:rFonts w:hint="eastAsia" w:ascii="宋体" w:hAnsi="宋体" w:eastAsia="宋体" w:cs="宋体"/>
          <w:i w:val="0"/>
          <w:iCs w:val="0"/>
          <w:color w:val="auto"/>
          <w:sz w:val="24"/>
        </w:rPr>
      </w:pPr>
    </w:p>
    <w:p>
      <w:pPr>
        <w:pStyle w:val="4"/>
        <w:spacing w:before="0" w:line="240" w:lineRule="atLeast"/>
        <w:ind w:left="1079" w:leftChars="257" w:hanging="540"/>
        <w:rPr>
          <w:rFonts w:hint="eastAsia" w:ascii="宋体" w:hAnsi="宋体" w:eastAsia="宋体" w:cs="宋体"/>
          <w:i w:val="0"/>
          <w:iCs w:val="0"/>
          <w:color w:val="auto"/>
          <w:sz w:val="24"/>
        </w:rPr>
      </w:pPr>
      <w:bookmarkStart w:id="171" w:name="_Toc29377"/>
      <w:bookmarkStart w:id="172" w:name="_Toc518923108"/>
      <w:r>
        <w:rPr>
          <w:rFonts w:hint="eastAsia" w:ascii="宋体" w:hAnsi="宋体" w:eastAsia="宋体" w:cs="宋体"/>
          <w:i w:val="0"/>
          <w:iCs w:val="0"/>
          <w:color w:val="auto"/>
          <w:sz w:val="24"/>
        </w:rPr>
        <w:t>1</w:t>
      </w:r>
      <w:r>
        <w:rPr>
          <w:rFonts w:hint="eastAsia" w:ascii="宋体" w:hAnsi="宋体" w:eastAsia="宋体" w:cs="宋体"/>
          <w:i w:val="0"/>
          <w:iCs w:val="0"/>
          <w:color w:val="auto"/>
          <w:sz w:val="24"/>
          <w:lang w:eastAsia="zh-CN"/>
        </w:rPr>
        <w:t>、</w:t>
      </w:r>
      <w:r>
        <w:rPr>
          <w:rFonts w:hint="eastAsia" w:ascii="宋体" w:hAnsi="宋体" w:eastAsia="宋体" w:cs="宋体"/>
          <w:i w:val="0"/>
          <w:iCs w:val="0"/>
          <w:color w:val="auto"/>
          <w:sz w:val="24"/>
        </w:rPr>
        <w:t>开标一览表（投标文件格式一）</w:t>
      </w:r>
      <w:bookmarkEnd w:id="171"/>
      <w:bookmarkEnd w:id="172"/>
    </w:p>
    <w:p>
      <w:pPr>
        <w:pStyle w:val="14"/>
        <w:tabs>
          <w:tab w:val="left" w:pos="5580"/>
        </w:tabs>
        <w:spacing w:line="240" w:lineRule="atLeast"/>
        <w:ind w:left="268" w:leftChars="128"/>
        <w:rPr>
          <w:rFonts w:hint="eastAsia" w:ascii="宋体" w:hAnsi="宋体" w:eastAsia="宋体" w:cs="宋体"/>
          <w:i w:val="0"/>
          <w:iCs w:val="0"/>
          <w:color w:val="auto"/>
          <w:sz w:val="24"/>
        </w:rPr>
      </w:pPr>
    </w:p>
    <w:p>
      <w:pPr>
        <w:pStyle w:val="14"/>
        <w:tabs>
          <w:tab w:val="left" w:pos="5580"/>
        </w:tabs>
        <w:spacing w:line="240" w:lineRule="atLeast"/>
        <w:ind w:left="268" w:leftChars="128"/>
        <w:rPr>
          <w:rFonts w:hint="eastAsia" w:ascii="宋体" w:hAnsi="宋体" w:eastAsia="宋体" w:cs="宋体"/>
          <w:i w:val="0"/>
          <w:iCs w:val="0"/>
          <w:color w:val="auto"/>
          <w:sz w:val="24"/>
          <w:szCs w:val="24"/>
        </w:rPr>
      </w:pPr>
    </w:p>
    <w:p>
      <w:pPr>
        <w:pStyle w:val="8"/>
        <w:tabs>
          <w:tab w:val="left" w:pos="5580"/>
        </w:tabs>
        <w:spacing w:line="240" w:lineRule="atLeast"/>
        <w:ind w:left="1079" w:leftChars="257" w:hanging="540"/>
        <w:jc w:val="center"/>
        <w:rPr>
          <w:rFonts w:hint="eastAsia" w:ascii="宋体" w:hAnsi="宋体" w:eastAsia="宋体" w:cs="宋体"/>
          <w:b/>
          <w:i w:val="0"/>
          <w:iCs w:val="0"/>
          <w:color w:val="auto"/>
        </w:rPr>
      </w:pPr>
      <w:bookmarkStart w:id="173" w:name="_Hlt520356241"/>
      <w:bookmarkEnd w:id="173"/>
      <w:bookmarkStart w:id="174" w:name="_Toc494296984"/>
      <w:bookmarkStart w:id="175" w:name="_Ref467988698"/>
      <w:bookmarkStart w:id="176" w:name="_Toc480942349"/>
      <w:bookmarkStart w:id="177" w:name="_Toc520356217"/>
      <w:bookmarkStart w:id="178" w:name="_Toc216582813"/>
      <w:r>
        <w:rPr>
          <w:rFonts w:hint="eastAsia" w:ascii="宋体" w:hAnsi="宋体" w:eastAsia="宋体" w:cs="宋体"/>
          <w:b/>
          <w:i w:val="0"/>
          <w:iCs w:val="0"/>
          <w:color w:val="auto"/>
        </w:rPr>
        <w:t>开标一览表</w:t>
      </w:r>
      <w:bookmarkEnd w:id="174"/>
      <w:r>
        <w:rPr>
          <w:rFonts w:hint="eastAsia" w:ascii="宋体" w:hAnsi="宋体" w:eastAsia="宋体" w:cs="宋体"/>
          <w:b/>
          <w:i w:val="0"/>
          <w:iCs w:val="0"/>
          <w:color w:val="auto"/>
        </w:rPr>
        <w:cr/>
      </w:r>
    </w:p>
    <w:p>
      <w:pPr>
        <w:pStyle w:val="8"/>
        <w:tabs>
          <w:tab w:val="left" w:pos="5580"/>
        </w:tabs>
        <w:spacing w:line="360" w:lineRule="auto"/>
        <w:ind w:left="1079" w:leftChars="257" w:hanging="540"/>
        <w:rPr>
          <w:rFonts w:hint="eastAsia" w:ascii="宋体" w:hAnsi="宋体" w:eastAsia="宋体" w:cs="宋体"/>
          <w:i w:val="0"/>
          <w:iCs w:val="0"/>
          <w:color w:val="auto"/>
        </w:rPr>
      </w:pPr>
    </w:p>
    <w:p>
      <w:pPr>
        <w:tabs>
          <w:tab w:val="left" w:pos="1800"/>
          <w:tab w:val="left" w:pos="5580"/>
        </w:tabs>
        <w:spacing w:line="360" w:lineRule="auto"/>
        <w:ind w:right="-867" w:rightChars="-413"/>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项目名称：　                 </w:t>
      </w:r>
      <w:r>
        <w:rPr>
          <w:rFonts w:hint="eastAsia" w:ascii="宋体" w:hAnsi="宋体" w:eastAsia="宋体" w:cs="宋体"/>
          <w:i w:val="0"/>
          <w:iCs w:val="0"/>
          <w:color w:val="auto"/>
          <w:sz w:val="24"/>
          <w:lang w:val="en-US" w:eastAsia="zh-CN"/>
        </w:rPr>
        <w:t xml:space="preserve">                  </w:t>
      </w:r>
      <w:r>
        <w:rPr>
          <w:rFonts w:hint="eastAsia" w:ascii="宋体" w:hAnsi="宋体" w:eastAsia="宋体" w:cs="宋体"/>
          <w:i w:val="0"/>
          <w:iCs w:val="0"/>
          <w:color w:val="auto"/>
          <w:sz w:val="24"/>
        </w:rPr>
        <w:t xml:space="preserve"> 招标编号：                         </w:t>
      </w:r>
    </w:p>
    <w:p>
      <w:pPr>
        <w:tabs>
          <w:tab w:val="left" w:pos="1800"/>
          <w:tab w:val="left" w:pos="5580"/>
        </w:tabs>
        <w:spacing w:line="360" w:lineRule="auto"/>
        <w:ind w:right="-867" w:rightChars="-413"/>
        <w:rPr>
          <w:rFonts w:hint="eastAsia" w:ascii="宋体" w:hAnsi="宋体" w:eastAsia="宋体" w:cs="宋体"/>
          <w:i w:val="0"/>
          <w:iCs w:val="0"/>
          <w:color w:val="auto"/>
          <w:sz w:val="24"/>
        </w:rPr>
      </w:pPr>
      <w:r>
        <w:rPr>
          <w:rFonts w:hint="eastAsia" w:ascii="宋体" w:hAnsi="宋体" w:eastAsia="宋体" w:cs="宋体"/>
          <w:i w:val="0"/>
          <w:iCs w:val="0"/>
          <w:color w:val="auto"/>
          <w:sz w:val="24"/>
        </w:rPr>
        <w:t>报价单位：人民币</w:t>
      </w:r>
      <w:r>
        <w:rPr>
          <w:rFonts w:hint="eastAsia" w:ascii="宋体" w:hAnsi="宋体" w:eastAsia="宋体" w:cs="宋体"/>
          <w:i w:val="0"/>
          <w:iCs w:val="0"/>
          <w:color w:val="auto"/>
          <w:sz w:val="24"/>
          <w:lang w:val="en-US" w:eastAsia="zh-CN"/>
        </w:rPr>
        <w:t xml:space="preserve">    </w:t>
      </w:r>
      <w:r>
        <w:rPr>
          <w:rFonts w:hint="eastAsia" w:ascii="宋体" w:hAnsi="宋体" w:eastAsia="宋体" w:cs="宋体"/>
          <w:b/>
          <w:i w:val="0"/>
          <w:iCs w:val="0"/>
          <w:color w:val="auto"/>
          <w:sz w:val="24"/>
        </w:rPr>
        <w:t>元</w:t>
      </w:r>
    </w:p>
    <w:tbl>
      <w:tblPr>
        <w:tblStyle w:val="33"/>
        <w:tblW w:w="8738" w:type="dxa"/>
        <w:tblInd w:w="-61" w:type="dxa"/>
        <w:tblLayout w:type="fixed"/>
        <w:tblCellMar>
          <w:top w:w="0" w:type="dxa"/>
          <w:left w:w="0" w:type="dxa"/>
          <w:bottom w:w="0" w:type="dxa"/>
          <w:right w:w="0" w:type="dxa"/>
        </w:tblCellMar>
      </w:tblPr>
      <w:tblGrid>
        <w:gridCol w:w="1420"/>
        <w:gridCol w:w="2340"/>
        <w:gridCol w:w="1805"/>
        <w:gridCol w:w="1727"/>
        <w:gridCol w:w="1446"/>
      </w:tblGrid>
      <w:tr>
        <w:tblPrEx>
          <w:tblCellMar>
            <w:top w:w="0" w:type="dxa"/>
            <w:left w:w="0" w:type="dxa"/>
            <w:bottom w:w="0" w:type="dxa"/>
            <w:right w:w="0" w:type="dxa"/>
          </w:tblCellMar>
        </w:tblPrEx>
        <w:trPr>
          <w:trHeight w:val="662" w:hRule="atLeast"/>
        </w:trPr>
        <w:tc>
          <w:tcPr>
            <w:tcW w:w="1420" w:type="dxa"/>
            <w:tcBorders>
              <w:top w:val="single" w:color="auto" w:sz="4" w:space="0"/>
              <w:left w:val="single" w:color="auto" w:sz="4" w:space="0"/>
              <w:bottom w:val="single" w:color="auto" w:sz="8" w:space="0"/>
              <w:right w:val="single" w:color="auto" w:sz="4" w:space="0"/>
            </w:tcBorders>
            <w:noWrap w:val="0"/>
            <w:vAlign w:val="center"/>
          </w:tcPr>
          <w:p>
            <w:pPr>
              <w:tabs>
                <w:tab w:val="left" w:pos="5580"/>
              </w:tabs>
              <w:spacing w:line="240" w:lineRule="atLeast"/>
              <w:ind w:right="-199" w:firstLine="240" w:firstLineChars="100"/>
              <w:jc w:val="both"/>
              <w:rPr>
                <w:rFonts w:hint="eastAsia" w:ascii="宋体" w:hAnsi="宋体" w:eastAsia="宋体" w:cs="宋体"/>
                <w:i w:val="0"/>
                <w:iCs w:val="0"/>
                <w:color w:val="auto"/>
                <w:sz w:val="24"/>
              </w:rPr>
            </w:pPr>
            <w:r>
              <w:rPr>
                <w:rFonts w:hint="eastAsia" w:ascii="宋体" w:hAnsi="宋体" w:eastAsia="宋体" w:cs="宋体"/>
                <w:i w:val="0"/>
                <w:iCs w:val="0"/>
                <w:color w:val="auto"/>
                <w:sz w:val="24"/>
                <w:lang w:eastAsia="zh-CN"/>
              </w:rPr>
              <w:t>项目</w:t>
            </w:r>
            <w:r>
              <w:rPr>
                <w:rFonts w:hint="eastAsia" w:ascii="宋体" w:hAnsi="宋体" w:eastAsia="宋体" w:cs="宋体"/>
                <w:i w:val="0"/>
                <w:iCs w:val="0"/>
                <w:color w:val="auto"/>
                <w:sz w:val="24"/>
              </w:rPr>
              <w:t>名称</w:t>
            </w:r>
          </w:p>
        </w:tc>
        <w:tc>
          <w:tcPr>
            <w:tcW w:w="2340" w:type="dxa"/>
            <w:tcBorders>
              <w:top w:val="single" w:color="auto" w:sz="4" w:space="0"/>
              <w:left w:val="single" w:color="auto" w:sz="8" w:space="0"/>
              <w:bottom w:val="single" w:color="auto" w:sz="8" w:space="0"/>
              <w:right w:val="single" w:color="auto" w:sz="4" w:space="0"/>
            </w:tcBorders>
            <w:noWrap w:val="0"/>
            <w:vAlign w:val="center"/>
          </w:tcPr>
          <w:p>
            <w:pPr>
              <w:tabs>
                <w:tab w:val="left" w:pos="5580"/>
              </w:tabs>
              <w:spacing w:line="240" w:lineRule="atLeast"/>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投标总价</w:t>
            </w:r>
          </w:p>
        </w:tc>
        <w:tc>
          <w:tcPr>
            <w:tcW w:w="1805" w:type="dxa"/>
            <w:tcBorders>
              <w:top w:val="single" w:color="auto" w:sz="8" w:space="0"/>
              <w:left w:val="nil"/>
              <w:bottom w:val="single" w:color="auto" w:sz="8" w:space="0"/>
              <w:right w:val="single" w:color="auto" w:sz="4" w:space="0"/>
            </w:tcBorders>
            <w:noWrap w:val="0"/>
            <w:vAlign w:val="center"/>
          </w:tcPr>
          <w:p>
            <w:pPr>
              <w:tabs>
                <w:tab w:val="left" w:pos="5580"/>
              </w:tabs>
              <w:spacing w:line="240" w:lineRule="atLeast"/>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lang w:eastAsia="zh-CN"/>
              </w:rPr>
              <w:t>保证金缴纳方式</w:t>
            </w:r>
          </w:p>
        </w:tc>
        <w:tc>
          <w:tcPr>
            <w:tcW w:w="1727" w:type="dxa"/>
            <w:tcBorders>
              <w:top w:val="single" w:color="auto" w:sz="8" w:space="0"/>
              <w:left w:val="nil"/>
              <w:bottom w:val="single" w:color="auto" w:sz="8" w:space="0"/>
              <w:right w:val="single" w:color="auto" w:sz="4" w:space="0"/>
            </w:tcBorders>
            <w:noWrap w:val="0"/>
            <w:vAlign w:val="center"/>
          </w:tcPr>
          <w:p>
            <w:pPr>
              <w:tabs>
                <w:tab w:val="left" w:pos="5580"/>
              </w:tabs>
              <w:spacing w:line="240" w:lineRule="atLeast"/>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履约期限</w:t>
            </w:r>
          </w:p>
        </w:tc>
        <w:tc>
          <w:tcPr>
            <w:tcW w:w="1446" w:type="dxa"/>
            <w:tcBorders>
              <w:top w:val="single" w:color="auto" w:sz="8" w:space="0"/>
              <w:left w:val="single" w:color="auto" w:sz="4" w:space="0"/>
              <w:bottom w:val="single" w:color="auto" w:sz="8" w:space="0"/>
              <w:right w:val="single" w:color="auto" w:sz="8" w:space="0"/>
            </w:tcBorders>
            <w:noWrap w:val="0"/>
            <w:vAlign w:val="center"/>
          </w:tcPr>
          <w:p>
            <w:pPr>
              <w:tabs>
                <w:tab w:val="left" w:pos="5580"/>
              </w:tabs>
              <w:spacing w:line="240" w:lineRule="atLeast"/>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备注</w:t>
            </w:r>
          </w:p>
        </w:tc>
      </w:tr>
      <w:tr>
        <w:tblPrEx>
          <w:tblCellMar>
            <w:top w:w="0" w:type="dxa"/>
            <w:left w:w="0" w:type="dxa"/>
            <w:bottom w:w="0" w:type="dxa"/>
            <w:right w:w="0" w:type="dxa"/>
          </w:tblCellMar>
        </w:tblPrEx>
        <w:trPr>
          <w:cantSplit/>
          <w:trHeight w:val="1640" w:hRule="atLeast"/>
        </w:trPr>
        <w:tc>
          <w:tcPr>
            <w:tcW w:w="1420" w:type="dxa"/>
            <w:tcBorders>
              <w:top w:val="single" w:color="auto" w:sz="8" w:space="0"/>
              <w:left w:val="single" w:color="auto" w:sz="4" w:space="0"/>
              <w:bottom w:val="single" w:color="auto" w:sz="4" w:space="0"/>
              <w:right w:val="single" w:color="auto" w:sz="4" w:space="0"/>
            </w:tcBorders>
            <w:noWrap w:val="0"/>
            <w:vAlign w:val="center"/>
          </w:tcPr>
          <w:p>
            <w:pPr>
              <w:tabs>
                <w:tab w:val="left" w:pos="5580"/>
              </w:tabs>
              <w:spacing w:line="240" w:lineRule="atLeast"/>
              <w:ind w:left="1079" w:leftChars="257" w:hanging="540"/>
              <w:jc w:val="center"/>
              <w:rPr>
                <w:rFonts w:hint="eastAsia" w:ascii="宋体" w:hAnsi="宋体" w:eastAsia="宋体" w:cs="宋体"/>
                <w:i w:val="0"/>
                <w:iCs w:val="0"/>
                <w:color w:val="auto"/>
                <w:sz w:val="24"/>
              </w:rPr>
            </w:pPr>
          </w:p>
        </w:tc>
        <w:tc>
          <w:tcPr>
            <w:tcW w:w="2340" w:type="dxa"/>
            <w:tcBorders>
              <w:top w:val="single" w:color="auto" w:sz="8" w:space="0"/>
              <w:left w:val="single" w:color="auto" w:sz="8" w:space="0"/>
              <w:bottom w:val="single" w:color="auto" w:sz="4" w:space="0"/>
              <w:right w:val="single" w:color="auto" w:sz="4" w:space="0"/>
            </w:tcBorders>
            <w:noWrap w:val="0"/>
            <w:vAlign w:val="center"/>
          </w:tcPr>
          <w:p>
            <w:pPr>
              <w:tabs>
                <w:tab w:val="left" w:pos="5580"/>
              </w:tabs>
              <w:spacing w:line="600" w:lineRule="auto"/>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大写：</w:t>
            </w:r>
          </w:p>
          <w:p>
            <w:pPr>
              <w:tabs>
                <w:tab w:val="left" w:pos="5580"/>
              </w:tabs>
              <w:spacing w:line="600" w:lineRule="auto"/>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小写：</w:t>
            </w:r>
          </w:p>
        </w:tc>
        <w:tc>
          <w:tcPr>
            <w:tcW w:w="1805" w:type="dxa"/>
            <w:tcBorders>
              <w:top w:val="single" w:color="auto" w:sz="8" w:space="0"/>
              <w:left w:val="nil"/>
              <w:bottom w:val="single" w:color="auto" w:sz="4" w:space="0"/>
              <w:right w:val="single" w:color="auto" w:sz="4" w:space="0"/>
            </w:tcBorders>
            <w:noWrap w:val="0"/>
            <w:vAlign w:val="center"/>
          </w:tcPr>
          <w:p>
            <w:pPr>
              <w:tabs>
                <w:tab w:val="left" w:pos="5580"/>
              </w:tabs>
              <w:spacing w:line="240" w:lineRule="atLeast"/>
              <w:jc w:val="both"/>
              <w:rPr>
                <w:rFonts w:hint="eastAsia" w:ascii="宋体" w:hAnsi="宋体" w:eastAsia="宋体" w:cs="宋体"/>
                <w:i w:val="0"/>
                <w:iCs w:val="0"/>
                <w:color w:val="auto"/>
                <w:sz w:val="24"/>
                <w:lang w:val="en-US" w:eastAsia="zh-CN"/>
              </w:rPr>
            </w:pPr>
            <w:r>
              <w:rPr>
                <w:rFonts w:hint="eastAsia" w:ascii="宋体" w:hAnsi="宋体" w:eastAsia="宋体" w:cs="宋体"/>
                <w:i w:val="0"/>
                <w:iCs w:val="0"/>
                <w:color w:val="auto"/>
                <w:sz w:val="24"/>
                <w:lang w:val="en-US" w:eastAsia="zh-CN"/>
              </w:rPr>
              <w:t>电汇：</w:t>
            </w:r>
          </w:p>
          <w:p>
            <w:pPr>
              <w:tabs>
                <w:tab w:val="left" w:pos="5580"/>
              </w:tabs>
              <w:spacing w:line="240" w:lineRule="atLeast"/>
              <w:jc w:val="both"/>
              <w:rPr>
                <w:rFonts w:hint="default"/>
                <w:color w:val="auto"/>
                <w:lang w:val="en-US" w:eastAsia="zh-CN"/>
              </w:rPr>
            </w:pPr>
            <w:r>
              <w:rPr>
                <w:rFonts w:hint="eastAsia" w:ascii="宋体" w:hAnsi="宋体" w:eastAsia="宋体" w:cs="宋体"/>
                <w:i w:val="0"/>
                <w:iCs w:val="0"/>
                <w:color w:val="auto"/>
                <w:sz w:val="24"/>
                <w:lang w:val="en-US" w:eastAsia="zh-CN"/>
              </w:rPr>
              <w:t>保函：</w:t>
            </w:r>
          </w:p>
        </w:tc>
        <w:tc>
          <w:tcPr>
            <w:tcW w:w="1727" w:type="dxa"/>
            <w:tcBorders>
              <w:top w:val="single" w:color="auto" w:sz="8" w:space="0"/>
              <w:left w:val="nil"/>
              <w:bottom w:val="single" w:color="auto" w:sz="4" w:space="0"/>
              <w:right w:val="single" w:color="auto" w:sz="4" w:space="0"/>
            </w:tcBorders>
            <w:noWrap w:val="0"/>
            <w:vAlign w:val="center"/>
          </w:tcPr>
          <w:p>
            <w:pPr>
              <w:tabs>
                <w:tab w:val="left" w:pos="5580"/>
              </w:tabs>
              <w:spacing w:line="240" w:lineRule="atLeast"/>
              <w:ind w:left="1079" w:leftChars="257" w:hanging="540"/>
              <w:jc w:val="center"/>
              <w:rPr>
                <w:rFonts w:hint="eastAsia" w:ascii="宋体" w:hAnsi="宋体" w:eastAsia="宋体" w:cs="宋体"/>
                <w:i w:val="0"/>
                <w:iCs w:val="0"/>
                <w:color w:val="auto"/>
                <w:sz w:val="24"/>
              </w:rPr>
            </w:pPr>
          </w:p>
        </w:tc>
        <w:tc>
          <w:tcPr>
            <w:tcW w:w="1446" w:type="dxa"/>
            <w:tcBorders>
              <w:top w:val="single" w:color="auto" w:sz="8" w:space="0"/>
              <w:left w:val="single" w:color="auto" w:sz="4" w:space="0"/>
              <w:bottom w:val="single" w:color="auto" w:sz="4" w:space="0"/>
              <w:right w:val="single" w:color="auto" w:sz="8" w:space="0"/>
            </w:tcBorders>
            <w:noWrap w:val="0"/>
            <w:vAlign w:val="center"/>
          </w:tcPr>
          <w:p>
            <w:pPr>
              <w:tabs>
                <w:tab w:val="left" w:pos="5580"/>
              </w:tabs>
              <w:spacing w:line="240" w:lineRule="atLeast"/>
              <w:ind w:left="1079" w:leftChars="257" w:hanging="540"/>
              <w:jc w:val="center"/>
              <w:rPr>
                <w:rFonts w:hint="eastAsia" w:ascii="宋体" w:hAnsi="宋体" w:eastAsia="宋体" w:cs="宋体"/>
                <w:i w:val="0"/>
                <w:iCs w:val="0"/>
                <w:color w:val="auto"/>
                <w:sz w:val="24"/>
              </w:rPr>
            </w:pPr>
          </w:p>
        </w:tc>
      </w:tr>
    </w:tbl>
    <w:p>
      <w:pPr>
        <w:pStyle w:val="14"/>
        <w:tabs>
          <w:tab w:val="left" w:pos="5580"/>
        </w:tabs>
        <w:spacing w:line="240" w:lineRule="atLeast"/>
        <w:ind w:left="1079" w:leftChars="257" w:hanging="540"/>
        <w:rPr>
          <w:rFonts w:hint="eastAsia" w:ascii="宋体" w:hAnsi="宋体" w:eastAsia="宋体" w:cs="宋体"/>
          <w:i w:val="0"/>
          <w:iCs w:val="0"/>
          <w:color w:val="auto"/>
          <w:sz w:val="24"/>
        </w:rPr>
      </w:pPr>
    </w:p>
    <w:p>
      <w:pPr>
        <w:pStyle w:val="14"/>
        <w:tabs>
          <w:tab w:val="left" w:pos="5580"/>
        </w:tabs>
        <w:spacing w:line="240" w:lineRule="atLeast"/>
        <w:ind w:left="1079" w:leftChars="257" w:hanging="540"/>
        <w:rPr>
          <w:rFonts w:hint="eastAsia" w:ascii="宋体" w:hAnsi="宋体" w:eastAsia="宋体" w:cs="宋体"/>
          <w:i w:val="0"/>
          <w:iCs w:val="0"/>
          <w:color w:val="auto"/>
          <w:sz w:val="24"/>
          <w:u w:val="single"/>
        </w:rPr>
      </w:pPr>
    </w:p>
    <w:p>
      <w:pPr>
        <w:pStyle w:val="14"/>
        <w:tabs>
          <w:tab w:val="left" w:pos="5580"/>
        </w:tabs>
        <w:spacing w:line="240" w:lineRule="atLeast"/>
        <w:ind w:left="1079" w:leftChars="257" w:hanging="540"/>
        <w:rPr>
          <w:rFonts w:hint="eastAsia" w:ascii="宋体" w:hAnsi="宋体" w:eastAsia="宋体" w:cs="宋体"/>
          <w:i w:val="0"/>
          <w:iCs w:val="0"/>
          <w:color w:val="auto"/>
          <w:sz w:val="24"/>
          <w:u w:val="single"/>
        </w:rPr>
      </w:pPr>
    </w:p>
    <w:p>
      <w:pPr>
        <w:pStyle w:val="14"/>
        <w:tabs>
          <w:tab w:val="left" w:pos="5580"/>
        </w:tabs>
        <w:spacing w:line="48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投标人名称（单位章）：</w:t>
      </w:r>
      <w:r>
        <w:rPr>
          <w:rFonts w:hint="eastAsia" w:ascii="宋体" w:hAnsi="宋体" w:eastAsia="宋体" w:cs="宋体"/>
          <w:i w:val="0"/>
          <w:iCs w:val="0"/>
          <w:color w:val="auto"/>
          <w:sz w:val="24"/>
          <w:u w:val="single"/>
        </w:rPr>
        <w:t xml:space="preserve">                       </w:t>
      </w:r>
    </w:p>
    <w:p>
      <w:pPr>
        <w:pStyle w:val="14"/>
        <w:tabs>
          <w:tab w:val="left" w:pos="5580"/>
        </w:tabs>
        <w:spacing w:line="480" w:lineRule="auto"/>
        <w:rPr>
          <w:rFonts w:hint="eastAsia" w:ascii="宋体" w:hAnsi="宋体" w:eastAsia="宋体" w:cs="宋体"/>
          <w:i w:val="0"/>
          <w:iCs w:val="0"/>
          <w:color w:val="auto"/>
          <w:sz w:val="24"/>
          <w:u w:val="single"/>
        </w:rPr>
      </w:pPr>
      <w:r>
        <w:rPr>
          <w:rFonts w:hint="eastAsia" w:ascii="宋体" w:hAnsi="宋体" w:eastAsia="宋体" w:cs="宋体"/>
          <w:i w:val="0"/>
          <w:iCs w:val="0"/>
          <w:color w:val="auto"/>
          <w:sz w:val="24"/>
        </w:rPr>
        <w:t>法定代表人或其委托代理人(签字):</w:t>
      </w:r>
      <w:r>
        <w:rPr>
          <w:rFonts w:hint="eastAsia" w:ascii="宋体" w:hAnsi="宋体" w:eastAsia="宋体" w:cs="宋体"/>
          <w:i w:val="0"/>
          <w:iCs w:val="0"/>
          <w:color w:val="auto"/>
          <w:sz w:val="24"/>
          <w:u w:val="single"/>
        </w:rPr>
        <w:tab/>
      </w:r>
    </w:p>
    <w:p>
      <w:pPr>
        <w:pStyle w:val="14"/>
        <w:tabs>
          <w:tab w:val="left" w:pos="5580"/>
        </w:tabs>
        <w:spacing w:line="360" w:lineRule="auto"/>
        <w:ind w:left="1079" w:leftChars="257" w:hanging="540"/>
        <w:rPr>
          <w:rFonts w:hint="eastAsia" w:ascii="宋体" w:hAnsi="宋体" w:eastAsia="宋体" w:cs="宋体"/>
          <w:i w:val="0"/>
          <w:iCs w:val="0"/>
          <w:color w:val="auto"/>
          <w:sz w:val="24"/>
        </w:rPr>
      </w:pPr>
    </w:p>
    <w:p>
      <w:pPr>
        <w:pStyle w:val="14"/>
        <w:tabs>
          <w:tab w:val="left" w:pos="5580"/>
        </w:tabs>
        <w:spacing w:line="360" w:lineRule="auto"/>
        <w:ind w:left="1079" w:leftChars="257" w:hanging="540"/>
        <w:rPr>
          <w:rFonts w:hint="eastAsia" w:ascii="宋体" w:hAnsi="宋体" w:eastAsia="宋体" w:cs="宋体"/>
          <w:i w:val="0"/>
          <w:iCs w:val="0"/>
          <w:color w:val="auto"/>
          <w:sz w:val="24"/>
        </w:rPr>
      </w:pPr>
    </w:p>
    <w:p>
      <w:pPr>
        <w:rPr>
          <w:rFonts w:hint="eastAsia" w:ascii="宋体" w:hAnsi="宋体" w:eastAsia="宋体" w:cs="宋体"/>
          <w:b/>
          <w:i w:val="0"/>
          <w:iCs w:val="0"/>
          <w:color w:val="auto"/>
          <w:sz w:val="24"/>
        </w:rPr>
      </w:pPr>
      <w:r>
        <w:rPr>
          <w:rFonts w:hint="eastAsia" w:ascii="宋体" w:hAnsi="宋体" w:eastAsia="宋体" w:cs="宋体"/>
          <w:i w:val="0"/>
          <w:iCs w:val="0"/>
          <w:color w:val="auto"/>
          <w:sz w:val="24"/>
        </w:rPr>
        <w:br w:type="page"/>
      </w:r>
    </w:p>
    <w:p>
      <w:pPr>
        <w:pStyle w:val="4"/>
        <w:spacing w:before="0" w:line="240" w:lineRule="atLeast"/>
        <w:jc w:val="center"/>
        <w:rPr>
          <w:rFonts w:hint="eastAsia" w:ascii="宋体" w:hAnsi="宋体" w:eastAsia="宋体" w:cs="宋体"/>
          <w:i w:val="0"/>
          <w:iCs w:val="0"/>
          <w:color w:val="auto"/>
          <w:sz w:val="28"/>
          <w:szCs w:val="21"/>
        </w:rPr>
      </w:pPr>
      <w:bookmarkStart w:id="179" w:name="_Toc518923109"/>
      <w:bookmarkStart w:id="180" w:name="_Toc18015"/>
      <w:r>
        <w:rPr>
          <w:rFonts w:hint="eastAsia" w:ascii="宋体" w:hAnsi="宋体" w:eastAsia="宋体" w:cs="宋体"/>
          <w:i w:val="0"/>
          <w:iCs w:val="0"/>
          <w:color w:val="auto"/>
          <w:sz w:val="28"/>
          <w:szCs w:val="21"/>
        </w:rPr>
        <w:t>2</w:t>
      </w:r>
      <w:r>
        <w:rPr>
          <w:rFonts w:hint="eastAsia" w:ascii="宋体" w:hAnsi="宋体" w:eastAsia="宋体" w:cs="宋体"/>
          <w:i w:val="0"/>
          <w:iCs w:val="0"/>
          <w:color w:val="auto"/>
          <w:sz w:val="28"/>
          <w:szCs w:val="21"/>
          <w:lang w:eastAsia="zh-CN"/>
        </w:rPr>
        <w:t>、</w:t>
      </w:r>
      <w:r>
        <w:rPr>
          <w:rFonts w:hint="eastAsia" w:ascii="宋体" w:hAnsi="宋体" w:eastAsia="宋体" w:cs="宋体"/>
          <w:i w:val="0"/>
          <w:iCs w:val="0"/>
          <w:color w:val="auto"/>
          <w:sz w:val="28"/>
          <w:szCs w:val="21"/>
        </w:rPr>
        <w:t>法人或者非法人组织的营业执照等证明文件或自然人的身份证明</w:t>
      </w:r>
      <w:bookmarkEnd w:id="179"/>
      <w:bookmarkEnd w:id="180"/>
    </w:p>
    <w:p>
      <w:pPr>
        <w:pStyle w:val="14"/>
        <w:tabs>
          <w:tab w:val="left" w:pos="5580"/>
        </w:tabs>
        <w:spacing w:line="240" w:lineRule="atLeast"/>
        <w:ind w:left="1079" w:leftChars="257" w:hanging="540"/>
        <w:jc w:val="center"/>
        <w:rPr>
          <w:rFonts w:hint="eastAsia" w:ascii="宋体" w:hAnsi="宋体" w:eastAsia="宋体" w:cs="宋体"/>
          <w:b/>
          <w:i w:val="0"/>
          <w:iCs w:val="0"/>
          <w:color w:val="auto"/>
          <w:sz w:val="24"/>
        </w:rPr>
      </w:pPr>
    </w:p>
    <w:p>
      <w:pPr>
        <w:pStyle w:val="14"/>
        <w:tabs>
          <w:tab w:val="left" w:pos="5580"/>
        </w:tabs>
        <w:spacing w:line="240" w:lineRule="atLeast"/>
        <w:ind w:left="1079" w:leftChars="257" w:hanging="540"/>
        <w:rPr>
          <w:rFonts w:hint="eastAsia" w:ascii="宋体" w:hAnsi="宋体" w:eastAsia="宋体" w:cs="宋体"/>
          <w:b/>
          <w:i w:val="0"/>
          <w:iCs w:val="0"/>
          <w:color w:val="auto"/>
          <w:sz w:val="24"/>
        </w:rPr>
      </w:pPr>
    </w:p>
    <w:p>
      <w:pPr>
        <w:pStyle w:val="14"/>
        <w:tabs>
          <w:tab w:val="left" w:pos="5580"/>
        </w:tabs>
        <w:spacing w:line="240" w:lineRule="atLeast"/>
        <w:ind w:left="1079" w:leftChars="257" w:hanging="540"/>
        <w:rPr>
          <w:rFonts w:hint="eastAsia" w:ascii="宋体" w:hAnsi="宋体" w:eastAsia="宋体" w:cs="宋体"/>
          <w:b/>
          <w:i w:val="0"/>
          <w:iCs w:val="0"/>
          <w:color w:val="auto"/>
          <w:sz w:val="24"/>
        </w:rPr>
      </w:pPr>
    </w:p>
    <w:p>
      <w:pPr>
        <w:pStyle w:val="14"/>
        <w:tabs>
          <w:tab w:val="left" w:pos="5580"/>
        </w:tabs>
        <w:spacing w:line="48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说明：1.提供有效的营业执照等证明文件复印件，复印件上应加盖本单位章。</w:t>
      </w:r>
    </w:p>
    <w:p>
      <w:pPr>
        <w:pStyle w:val="14"/>
        <w:tabs>
          <w:tab w:val="left" w:pos="5580"/>
        </w:tabs>
        <w:spacing w:line="240" w:lineRule="atLeast"/>
        <w:ind w:left="1079" w:leftChars="257" w:hanging="540"/>
        <w:rPr>
          <w:rFonts w:hint="eastAsia" w:ascii="宋体" w:hAnsi="宋体" w:eastAsia="宋体" w:cs="宋体"/>
          <w:i w:val="0"/>
          <w:iCs w:val="0"/>
          <w:color w:val="auto"/>
          <w:sz w:val="24"/>
        </w:rPr>
      </w:pPr>
    </w:p>
    <w:p>
      <w:pPr>
        <w:pStyle w:val="14"/>
        <w:tabs>
          <w:tab w:val="left" w:pos="5580"/>
        </w:tabs>
        <w:spacing w:line="240" w:lineRule="atLeast"/>
        <w:ind w:left="1079" w:leftChars="257" w:hanging="540"/>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br w:type="page"/>
      </w:r>
    </w:p>
    <w:p>
      <w:pPr>
        <w:pStyle w:val="4"/>
        <w:spacing w:before="0" w:line="240" w:lineRule="atLeast"/>
        <w:jc w:val="center"/>
        <w:rPr>
          <w:rFonts w:hint="eastAsia" w:ascii="宋体" w:hAnsi="宋体" w:eastAsia="宋体" w:cs="宋体"/>
          <w:b w:val="0"/>
          <w:i w:val="0"/>
          <w:iCs w:val="0"/>
          <w:color w:val="auto"/>
          <w:sz w:val="28"/>
          <w:szCs w:val="21"/>
          <w:u w:val="single"/>
        </w:rPr>
      </w:pPr>
      <w:bookmarkStart w:id="181" w:name="_Toc518923110"/>
      <w:bookmarkStart w:id="182" w:name="_Toc21926"/>
      <w:r>
        <w:rPr>
          <w:rFonts w:hint="eastAsia" w:ascii="宋体" w:hAnsi="宋体" w:eastAsia="宋体" w:cs="宋体"/>
          <w:i w:val="0"/>
          <w:iCs w:val="0"/>
          <w:color w:val="auto"/>
          <w:sz w:val="28"/>
          <w:szCs w:val="21"/>
        </w:rPr>
        <w:t>3</w:t>
      </w:r>
      <w:r>
        <w:rPr>
          <w:rFonts w:hint="eastAsia" w:ascii="宋体" w:hAnsi="宋体" w:eastAsia="宋体" w:cs="宋体"/>
          <w:i w:val="0"/>
          <w:iCs w:val="0"/>
          <w:color w:val="auto"/>
          <w:sz w:val="28"/>
          <w:szCs w:val="21"/>
          <w:lang w:eastAsia="zh-CN"/>
        </w:rPr>
        <w:t>、</w:t>
      </w:r>
      <w:r>
        <w:rPr>
          <w:rFonts w:hint="eastAsia" w:ascii="宋体" w:hAnsi="宋体" w:eastAsia="宋体" w:cs="宋体"/>
          <w:i w:val="0"/>
          <w:iCs w:val="0"/>
          <w:color w:val="auto"/>
          <w:sz w:val="28"/>
          <w:szCs w:val="21"/>
        </w:rPr>
        <w:t>法定代表人授权书(投标文件格式二，自然人投标的无需提供)</w:t>
      </w:r>
      <w:bookmarkEnd w:id="181"/>
      <w:bookmarkEnd w:id="182"/>
    </w:p>
    <w:p>
      <w:pPr>
        <w:pStyle w:val="14"/>
        <w:spacing w:line="240" w:lineRule="atLeast"/>
        <w:ind w:left="1079"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u w:val="single"/>
        </w:rPr>
        <w:cr/>
      </w:r>
    </w:p>
    <w:p>
      <w:pPr>
        <w:pStyle w:val="14"/>
        <w:tabs>
          <w:tab w:val="left" w:pos="5580"/>
        </w:tabs>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cr/>
      </w:r>
      <w:r>
        <w:rPr>
          <w:rFonts w:hint="eastAsia" w:ascii="宋体" w:hAnsi="宋体" w:eastAsia="宋体" w:cs="宋体"/>
          <w:i w:val="0"/>
          <w:iCs w:val="0"/>
          <w:color w:val="auto"/>
          <w:sz w:val="24"/>
        </w:rPr>
        <w:t xml:space="preserve">    本授权书声明：注册于</w:t>
      </w:r>
      <w:r>
        <w:rPr>
          <w:rFonts w:hint="eastAsia" w:ascii="宋体" w:hAnsi="宋体" w:eastAsia="宋体" w:cs="宋体"/>
          <w:i w:val="0"/>
          <w:iCs w:val="0"/>
          <w:color w:val="auto"/>
          <w:sz w:val="24"/>
          <w:u w:val="single"/>
        </w:rPr>
        <w:t>（国家或地区的名称）</w:t>
      </w:r>
      <w:r>
        <w:rPr>
          <w:rFonts w:hint="eastAsia" w:ascii="宋体" w:hAnsi="宋体" w:eastAsia="宋体" w:cs="宋体"/>
          <w:i w:val="0"/>
          <w:iCs w:val="0"/>
          <w:color w:val="auto"/>
          <w:sz w:val="24"/>
        </w:rPr>
        <w:t>的（</w:t>
      </w:r>
      <w:r>
        <w:rPr>
          <w:rFonts w:hint="eastAsia" w:ascii="宋体" w:hAnsi="宋体" w:eastAsia="宋体" w:cs="宋体"/>
          <w:i w:val="0"/>
          <w:iCs w:val="0"/>
          <w:color w:val="auto"/>
          <w:sz w:val="24"/>
          <w:u w:val="single"/>
        </w:rPr>
        <w:t>投标人</w:t>
      </w:r>
      <w:r>
        <w:rPr>
          <w:rFonts w:hint="eastAsia" w:ascii="宋体" w:hAnsi="宋体" w:eastAsia="宋体" w:cs="宋体"/>
          <w:i w:val="0"/>
          <w:iCs w:val="0"/>
          <w:color w:val="auto"/>
          <w:sz w:val="24"/>
        </w:rPr>
        <w:t>）的在下面签字的（</w:t>
      </w:r>
      <w:r>
        <w:rPr>
          <w:rFonts w:hint="eastAsia" w:ascii="宋体" w:hAnsi="宋体" w:eastAsia="宋体" w:cs="宋体"/>
          <w:i w:val="0"/>
          <w:iCs w:val="0"/>
          <w:color w:val="auto"/>
          <w:sz w:val="24"/>
          <w:u w:val="single"/>
        </w:rPr>
        <w:t>法人代表姓名、职务</w:t>
      </w:r>
      <w:r>
        <w:rPr>
          <w:rFonts w:hint="eastAsia" w:ascii="宋体" w:hAnsi="宋体" w:eastAsia="宋体" w:cs="宋体"/>
          <w:i w:val="0"/>
          <w:iCs w:val="0"/>
          <w:color w:val="auto"/>
          <w:sz w:val="24"/>
        </w:rPr>
        <w:t>）代表我单位授权（</w:t>
      </w:r>
      <w:r>
        <w:rPr>
          <w:rFonts w:hint="eastAsia" w:ascii="宋体" w:hAnsi="宋体" w:eastAsia="宋体" w:cs="宋体"/>
          <w:i w:val="0"/>
          <w:iCs w:val="0"/>
          <w:color w:val="auto"/>
          <w:sz w:val="24"/>
          <w:u w:val="single"/>
        </w:rPr>
        <w:t>单位名称</w:t>
      </w:r>
      <w:r>
        <w:rPr>
          <w:rFonts w:hint="eastAsia" w:ascii="宋体" w:hAnsi="宋体" w:eastAsia="宋体" w:cs="宋体"/>
          <w:i w:val="0"/>
          <w:iCs w:val="0"/>
          <w:color w:val="auto"/>
          <w:sz w:val="24"/>
        </w:rPr>
        <w:t>）的在下面签字的（</w:t>
      </w:r>
      <w:r>
        <w:rPr>
          <w:rFonts w:hint="eastAsia" w:ascii="宋体" w:hAnsi="宋体" w:eastAsia="宋体" w:cs="宋体"/>
          <w:i w:val="0"/>
          <w:iCs w:val="0"/>
          <w:color w:val="auto"/>
          <w:sz w:val="24"/>
          <w:u w:val="single"/>
        </w:rPr>
        <w:t>被授权人的姓名、职务</w:t>
      </w:r>
      <w:r>
        <w:rPr>
          <w:rFonts w:hint="eastAsia" w:ascii="宋体" w:hAnsi="宋体" w:eastAsia="宋体" w:cs="宋体"/>
          <w:i w:val="0"/>
          <w:iCs w:val="0"/>
          <w:color w:val="auto"/>
          <w:sz w:val="24"/>
        </w:rPr>
        <w:t>）为我单位的合法代理人，就（</w:t>
      </w:r>
      <w:r>
        <w:rPr>
          <w:rFonts w:hint="eastAsia" w:ascii="宋体" w:hAnsi="宋体" w:eastAsia="宋体" w:cs="宋体"/>
          <w:i w:val="0"/>
          <w:iCs w:val="0"/>
          <w:color w:val="auto"/>
          <w:sz w:val="24"/>
          <w:u w:val="single"/>
        </w:rPr>
        <w:t>项目名称</w:t>
      </w:r>
      <w:r>
        <w:rPr>
          <w:rFonts w:hint="eastAsia" w:ascii="宋体" w:hAnsi="宋体" w:eastAsia="宋体" w:cs="宋体"/>
          <w:i w:val="0"/>
          <w:iCs w:val="0"/>
          <w:color w:val="auto"/>
          <w:sz w:val="24"/>
        </w:rPr>
        <w:t>）的（</w:t>
      </w:r>
      <w:r>
        <w:rPr>
          <w:rFonts w:hint="eastAsia" w:ascii="宋体" w:hAnsi="宋体" w:eastAsia="宋体" w:cs="宋体"/>
          <w:i w:val="0"/>
          <w:iCs w:val="0"/>
          <w:color w:val="auto"/>
          <w:sz w:val="24"/>
          <w:u w:val="single"/>
        </w:rPr>
        <w:t>合同名称</w:t>
      </w:r>
      <w:r>
        <w:rPr>
          <w:rFonts w:hint="eastAsia" w:ascii="宋体" w:hAnsi="宋体" w:eastAsia="宋体" w:cs="宋体"/>
          <w:i w:val="0"/>
          <w:iCs w:val="0"/>
          <w:color w:val="auto"/>
          <w:sz w:val="24"/>
        </w:rPr>
        <w:t>）投标，以我单位名义处理一切与之有关的事务。</w:t>
      </w:r>
      <w:r>
        <w:rPr>
          <w:rFonts w:hint="eastAsia" w:ascii="宋体" w:hAnsi="宋体" w:eastAsia="宋体" w:cs="宋体"/>
          <w:i w:val="0"/>
          <w:iCs w:val="0"/>
          <w:color w:val="auto"/>
          <w:sz w:val="24"/>
        </w:rPr>
        <w:cr/>
      </w:r>
      <w:r>
        <w:rPr>
          <w:rFonts w:hint="eastAsia" w:ascii="宋体" w:hAnsi="宋体" w:eastAsia="宋体" w:cs="宋体"/>
          <w:i w:val="0"/>
          <w:iCs w:val="0"/>
          <w:color w:val="auto"/>
          <w:sz w:val="24"/>
        </w:rPr>
        <w:t>　　</w:t>
      </w:r>
    </w:p>
    <w:p>
      <w:pPr>
        <w:pStyle w:val="14"/>
        <w:tabs>
          <w:tab w:val="left" w:pos="5580"/>
        </w:tabs>
        <w:spacing w:line="360" w:lineRule="auto"/>
        <w:ind w:left="-539" w:leftChars="-257" w:firstLine="900" w:firstLineChars="375"/>
        <w:rPr>
          <w:rFonts w:hint="eastAsia" w:ascii="宋体" w:hAnsi="宋体" w:eastAsia="宋体" w:cs="宋体"/>
          <w:i w:val="0"/>
          <w:iCs w:val="0"/>
          <w:color w:val="auto"/>
          <w:sz w:val="24"/>
        </w:rPr>
      </w:pPr>
      <w:r>
        <w:rPr>
          <w:rFonts w:hint="eastAsia" w:ascii="宋体" w:hAnsi="宋体" w:eastAsia="宋体" w:cs="宋体"/>
          <w:i w:val="0"/>
          <w:iCs w:val="0"/>
          <w:color w:val="auto"/>
          <w:sz w:val="24"/>
        </w:rPr>
        <w:t>本授权书于</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年</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月</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日签字生效,特此声明。</w:t>
      </w:r>
    </w:p>
    <w:p>
      <w:pPr>
        <w:pStyle w:val="14"/>
        <w:tabs>
          <w:tab w:val="left" w:pos="5580"/>
        </w:tabs>
        <w:spacing w:line="360" w:lineRule="auto"/>
        <w:ind w:left="-56" w:leftChars="-27" w:firstLine="420" w:firstLineChars="175"/>
        <w:rPr>
          <w:rFonts w:hint="eastAsia" w:ascii="宋体" w:hAnsi="宋体" w:eastAsia="宋体" w:cs="宋体"/>
          <w:i w:val="0"/>
          <w:iCs w:val="0"/>
          <w:color w:val="auto"/>
          <w:sz w:val="24"/>
        </w:rPr>
      </w:pPr>
      <w:r>
        <w:rPr>
          <w:rFonts w:hint="eastAsia" w:ascii="宋体" w:hAnsi="宋体" w:eastAsia="宋体" w:cs="宋体"/>
          <w:i w:val="0"/>
          <w:iCs w:val="0"/>
          <w:color w:val="auto"/>
          <w:sz w:val="24"/>
        </w:rPr>
        <w:cr/>
      </w:r>
      <w:r>
        <w:rPr>
          <w:rFonts w:hint="eastAsia" w:ascii="宋体" w:hAnsi="宋体" w:eastAsia="宋体" w:cs="宋体"/>
          <w:i w:val="0"/>
          <w:iCs w:val="0"/>
          <w:color w:val="auto"/>
          <w:sz w:val="24"/>
        </w:rPr>
        <w:t>附：法定代表人及其授权人居民身份证正反面复印件</w:t>
      </w:r>
    </w:p>
    <w:p>
      <w:pPr>
        <w:pStyle w:val="14"/>
        <w:tabs>
          <w:tab w:val="left" w:pos="5580"/>
        </w:tabs>
        <w:spacing w:line="360" w:lineRule="auto"/>
        <w:ind w:left="-539" w:leftChars="-257" w:firstLine="900" w:firstLineChars="375"/>
        <w:rPr>
          <w:rFonts w:hint="eastAsia" w:ascii="宋体" w:hAnsi="宋体" w:eastAsia="宋体" w:cs="宋体"/>
          <w:i w:val="0"/>
          <w:iCs w:val="0"/>
          <w:color w:val="auto"/>
          <w:sz w:val="24"/>
        </w:rPr>
      </w:pPr>
      <w:r>
        <w:rPr>
          <w:rFonts w:hint="eastAsia" w:ascii="宋体" w:hAnsi="宋体" w:eastAsia="宋体" w:cs="宋体"/>
          <w:i w:val="0"/>
          <w:iCs w:val="0"/>
          <w:color w:val="auto"/>
          <w:sz w:val="24"/>
        </w:rPr>
        <w:cr/>
      </w:r>
    </w:p>
    <w:p>
      <w:pPr>
        <w:pStyle w:val="14"/>
        <w:tabs>
          <w:tab w:val="left" w:pos="5580"/>
        </w:tabs>
        <w:spacing w:line="360" w:lineRule="auto"/>
        <w:ind w:left="-539" w:leftChars="-257" w:firstLine="900" w:firstLineChars="375"/>
        <w:rPr>
          <w:rFonts w:hint="eastAsia" w:ascii="宋体" w:hAnsi="宋体" w:eastAsia="宋体" w:cs="宋体"/>
          <w:i w:val="0"/>
          <w:iCs w:val="0"/>
          <w:color w:val="auto"/>
          <w:sz w:val="24"/>
        </w:rPr>
      </w:pPr>
    </w:p>
    <w:p>
      <w:pPr>
        <w:pStyle w:val="14"/>
        <w:tabs>
          <w:tab w:val="left" w:pos="5580"/>
        </w:tabs>
        <w:spacing w:line="360" w:lineRule="auto"/>
        <w:ind w:left="-539" w:leftChars="-257" w:firstLine="900" w:firstLineChars="375"/>
        <w:rPr>
          <w:rFonts w:hint="eastAsia" w:ascii="宋体" w:hAnsi="宋体" w:eastAsia="宋体" w:cs="宋体"/>
          <w:i w:val="0"/>
          <w:iCs w:val="0"/>
          <w:color w:val="auto"/>
          <w:sz w:val="24"/>
        </w:rPr>
      </w:pPr>
    </w:p>
    <w:p>
      <w:pPr>
        <w:pStyle w:val="14"/>
        <w:tabs>
          <w:tab w:val="left" w:pos="5580"/>
        </w:tabs>
        <w:spacing w:line="360" w:lineRule="auto"/>
        <w:ind w:left="-539" w:leftChars="-257" w:firstLine="900" w:firstLineChars="375"/>
        <w:rPr>
          <w:rFonts w:hint="eastAsia" w:ascii="宋体" w:hAnsi="宋体" w:eastAsia="宋体" w:cs="宋体"/>
          <w:i w:val="0"/>
          <w:iCs w:val="0"/>
          <w:color w:val="auto"/>
          <w:sz w:val="24"/>
        </w:rPr>
      </w:pPr>
    </w:p>
    <w:p>
      <w:pPr>
        <w:pStyle w:val="14"/>
        <w:tabs>
          <w:tab w:val="left" w:pos="5580"/>
        </w:tabs>
        <w:spacing w:line="360" w:lineRule="auto"/>
        <w:ind w:left="-539" w:leftChars="-257" w:firstLine="900" w:firstLineChars="375"/>
        <w:rPr>
          <w:rFonts w:hint="eastAsia" w:ascii="宋体" w:hAnsi="宋体" w:eastAsia="宋体" w:cs="宋体"/>
          <w:i w:val="0"/>
          <w:iCs w:val="0"/>
          <w:color w:val="auto"/>
          <w:sz w:val="24"/>
        </w:rPr>
      </w:pPr>
    </w:p>
    <w:p>
      <w:pPr>
        <w:pStyle w:val="14"/>
        <w:tabs>
          <w:tab w:val="left" w:pos="5580"/>
        </w:tabs>
        <w:spacing w:line="360" w:lineRule="auto"/>
        <w:ind w:left="-539" w:leftChars="-257" w:firstLine="900" w:firstLineChars="375"/>
        <w:rPr>
          <w:rFonts w:hint="eastAsia" w:ascii="宋体" w:hAnsi="宋体" w:eastAsia="宋体" w:cs="宋体"/>
          <w:i w:val="0"/>
          <w:iCs w:val="0"/>
          <w:color w:val="auto"/>
          <w:sz w:val="24"/>
        </w:rPr>
      </w:pPr>
    </w:p>
    <w:p>
      <w:pPr>
        <w:pStyle w:val="14"/>
        <w:tabs>
          <w:tab w:val="left" w:pos="5580"/>
        </w:tabs>
        <w:spacing w:line="360" w:lineRule="auto"/>
        <w:ind w:left="-539" w:leftChars="-257" w:firstLine="900" w:firstLineChars="375"/>
        <w:rPr>
          <w:rFonts w:hint="eastAsia" w:ascii="宋体" w:hAnsi="宋体" w:eastAsia="宋体" w:cs="宋体"/>
          <w:i w:val="0"/>
          <w:iCs w:val="0"/>
          <w:color w:val="auto"/>
          <w:sz w:val="24"/>
        </w:rPr>
      </w:pPr>
    </w:p>
    <w:p>
      <w:pPr>
        <w:pStyle w:val="14"/>
        <w:tabs>
          <w:tab w:val="left" w:pos="5580"/>
        </w:tabs>
        <w:spacing w:line="360" w:lineRule="auto"/>
        <w:ind w:left="-539" w:leftChars="-257" w:firstLine="900" w:firstLineChars="375"/>
        <w:rPr>
          <w:rFonts w:hint="eastAsia" w:ascii="宋体" w:hAnsi="宋体" w:eastAsia="宋体" w:cs="宋体"/>
          <w:i w:val="0"/>
          <w:iCs w:val="0"/>
          <w:color w:val="auto"/>
          <w:sz w:val="24"/>
        </w:rPr>
      </w:pPr>
    </w:p>
    <w:p>
      <w:pPr>
        <w:pStyle w:val="14"/>
        <w:tabs>
          <w:tab w:val="left" w:pos="5580"/>
        </w:tabs>
        <w:spacing w:line="360" w:lineRule="auto"/>
        <w:ind w:left="-539" w:leftChars="-257" w:firstLine="900" w:firstLineChars="375"/>
        <w:rPr>
          <w:rFonts w:hint="eastAsia" w:ascii="宋体" w:hAnsi="宋体" w:eastAsia="宋体" w:cs="宋体"/>
          <w:i w:val="0"/>
          <w:iCs w:val="0"/>
          <w:color w:val="auto"/>
          <w:sz w:val="24"/>
          <w:u w:val="single"/>
        </w:rPr>
      </w:pPr>
      <w:r>
        <w:rPr>
          <w:rFonts w:hint="eastAsia" w:ascii="宋体" w:hAnsi="宋体" w:eastAsia="宋体" w:cs="宋体"/>
          <w:i w:val="0"/>
          <w:iCs w:val="0"/>
          <w:color w:val="auto"/>
          <w:sz w:val="24"/>
        </w:rPr>
        <w:t>投标人（盖单位章）：</w:t>
      </w:r>
      <w:r>
        <w:rPr>
          <w:rFonts w:hint="eastAsia" w:ascii="宋体" w:hAnsi="宋体" w:eastAsia="宋体" w:cs="宋体"/>
          <w:i w:val="0"/>
          <w:iCs w:val="0"/>
          <w:color w:val="auto"/>
          <w:sz w:val="24"/>
          <w:u w:val="single"/>
        </w:rPr>
        <w:t xml:space="preserve">                               </w:t>
      </w:r>
    </w:p>
    <w:p>
      <w:pPr>
        <w:pStyle w:val="14"/>
        <w:tabs>
          <w:tab w:val="left" w:pos="5580"/>
        </w:tabs>
        <w:spacing w:line="360" w:lineRule="auto"/>
        <w:ind w:left="-539" w:leftChars="-257" w:firstLine="900" w:firstLineChars="375"/>
        <w:rPr>
          <w:rFonts w:hint="eastAsia" w:ascii="宋体" w:hAnsi="宋体" w:eastAsia="宋体" w:cs="宋体"/>
          <w:i w:val="0"/>
          <w:iCs w:val="0"/>
          <w:color w:val="auto"/>
          <w:sz w:val="24"/>
          <w:u w:val="single"/>
        </w:rPr>
      </w:pPr>
      <w:r>
        <w:rPr>
          <w:rFonts w:hint="eastAsia" w:ascii="宋体" w:hAnsi="宋体" w:eastAsia="宋体" w:cs="宋体"/>
          <w:i w:val="0"/>
          <w:iCs w:val="0"/>
          <w:color w:val="auto"/>
          <w:sz w:val="24"/>
        </w:rPr>
        <w:t>法定代表人(签字或签章)：</w:t>
      </w:r>
      <w:r>
        <w:rPr>
          <w:rFonts w:hint="eastAsia" w:ascii="宋体" w:hAnsi="宋体" w:eastAsia="宋体" w:cs="宋体"/>
          <w:i w:val="0"/>
          <w:iCs w:val="0"/>
          <w:color w:val="auto"/>
          <w:sz w:val="24"/>
          <w:u w:val="single"/>
        </w:rPr>
        <w:t xml:space="preserve">                          </w:t>
      </w:r>
    </w:p>
    <w:p>
      <w:pPr>
        <w:pStyle w:val="14"/>
        <w:tabs>
          <w:tab w:val="left" w:pos="5580"/>
        </w:tabs>
        <w:spacing w:line="360" w:lineRule="auto"/>
        <w:ind w:firstLine="360" w:firstLineChars="150"/>
        <w:rPr>
          <w:rFonts w:hint="eastAsia" w:ascii="宋体" w:hAnsi="宋体" w:eastAsia="宋体" w:cs="宋体"/>
          <w:i w:val="0"/>
          <w:iCs w:val="0"/>
          <w:color w:val="auto"/>
          <w:sz w:val="24"/>
        </w:rPr>
      </w:pPr>
      <w:r>
        <w:rPr>
          <w:rFonts w:hint="eastAsia" w:ascii="宋体" w:hAnsi="宋体" w:eastAsia="宋体" w:cs="宋体"/>
          <w:i w:val="0"/>
          <w:iCs w:val="0"/>
          <w:color w:val="auto"/>
          <w:sz w:val="24"/>
        </w:rPr>
        <w:t>委托代理人（签字）：</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 xml:space="preserve">                   </w:t>
      </w:r>
    </w:p>
    <w:p>
      <w:pPr>
        <w:pStyle w:val="14"/>
        <w:tabs>
          <w:tab w:val="left" w:pos="5580"/>
        </w:tabs>
        <w:spacing w:line="360" w:lineRule="auto"/>
        <w:ind w:firstLine="360" w:firstLineChars="150"/>
        <w:rPr>
          <w:rFonts w:hint="eastAsia" w:ascii="宋体" w:hAnsi="宋体" w:eastAsia="宋体" w:cs="宋体"/>
          <w:i w:val="0"/>
          <w:iCs w:val="0"/>
          <w:color w:val="auto"/>
          <w:sz w:val="24"/>
        </w:rPr>
      </w:pPr>
      <w:r>
        <w:rPr>
          <w:rFonts w:hint="eastAsia" w:ascii="宋体" w:hAnsi="宋体" w:eastAsia="宋体" w:cs="宋体"/>
          <w:i w:val="0"/>
          <w:iCs w:val="0"/>
          <w:color w:val="auto"/>
          <w:sz w:val="24"/>
        </w:rPr>
        <w:t>详细通讯地址：</w:t>
      </w:r>
      <w:r>
        <w:rPr>
          <w:rFonts w:hint="eastAsia" w:ascii="宋体" w:hAnsi="宋体" w:eastAsia="宋体" w:cs="宋体"/>
          <w:i w:val="0"/>
          <w:iCs w:val="0"/>
          <w:color w:val="auto"/>
          <w:sz w:val="24"/>
          <w:u w:val="single"/>
        </w:rPr>
        <w:t xml:space="preserve">                                </w:t>
      </w:r>
    </w:p>
    <w:p>
      <w:pPr>
        <w:pStyle w:val="14"/>
        <w:tabs>
          <w:tab w:val="left" w:pos="5580"/>
        </w:tabs>
        <w:spacing w:line="360" w:lineRule="auto"/>
        <w:ind w:firstLine="360" w:firstLineChars="150"/>
        <w:rPr>
          <w:rFonts w:hint="eastAsia" w:ascii="宋体" w:hAnsi="宋体" w:eastAsia="宋体" w:cs="宋体"/>
          <w:i w:val="0"/>
          <w:iCs w:val="0"/>
          <w:color w:val="auto"/>
          <w:sz w:val="24"/>
        </w:rPr>
      </w:pPr>
      <w:r>
        <w:rPr>
          <w:rFonts w:hint="eastAsia" w:ascii="宋体" w:hAnsi="宋体" w:eastAsia="宋体" w:cs="宋体"/>
          <w:i w:val="0"/>
          <w:iCs w:val="0"/>
          <w:color w:val="auto"/>
          <w:sz w:val="24"/>
        </w:rPr>
        <w:t>电　　　　话：</w:t>
      </w:r>
      <w:r>
        <w:rPr>
          <w:rFonts w:hint="eastAsia" w:ascii="宋体" w:hAnsi="宋体" w:eastAsia="宋体" w:cs="宋体"/>
          <w:i w:val="0"/>
          <w:iCs w:val="0"/>
          <w:color w:val="auto"/>
          <w:sz w:val="24"/>
          <w:u w:val="single"/>
        </w:rPr>
        <w:t xml:space="preserve">                                </w:t>
      </w:r>
    </w:p>
    <w:p>
      <w:pPr>
        <w:spacing w:line="360" w:lineRule="auto"/>
        <w:ind w:firstLine="570"/>
        <w:rPr>
          <w:rFonts w:hint="eastAsia" w:ascii="宋体" w:hAnsi="宋体" w:eastAsia="宋体" w:cs="宋体"/>
          <w:i w:val="0"/>
          <w:iCs w:val="0"/>
          <w:color w:val="auto"/>
          <w:sz w:val="24"/>
        </w:rPr>
      </w:pPr>
    </w:p>
    <w:p>
      <w:pPr>
        <w:pStyle w:val="14"/>
        <w:tabs>
          <w:tab w:val="left" w:pos="5580"/>
        </w:tabs>
        <w:spacing w:line="240" w:lineRule="atLeast"/>
        <w:jc w:val="center"/>
        <w:outlineLvl w:val="1"/>
        <w:rPr>
          <w:rFonts w:hint="eastAsia" w:ascii="宋体" w:hAnsi="宋体" w:eastAsia="宋体" w:cs="宋体"/>
          <w:b/>
          <w:i w:val="0"/>
          <w:iCs w:val="0"/>
          <w:color w:val="auto"/>
          <w:kern w:val="0"/>
          <w:sz w:val="24"/>
        </w:rPr>
      </w:pPr>
      <w:r>
        <w:rPr>
          <w:rFonts w:hint="eastAsia" w:ascii="宋体" w:hAnsi="宋体" w:eastAsia="宋体" w:cs="宋体"/>
          <w:b/>
          <w:i w:val="0"/>
          <w:iCs w:val="0"/>
          <w:color w:val="auto"/>
          <w:kern w:val="0"/>
          <w:sz w:val="24"/>
        </w:rPr>
        <w:br w:type="page"/>
      </w:r>
      <w:bookmarkStart w:id="183" w:name="_Toc23836"/>
      <w:r>
        <w:rPr>
          <w:rFonts w:hint="eastAsia" w:ascii="宋体" w:hAnsi="宋体" w:eastAsia="宋体" w:cs="宋体"/>
          <w:b/>
          <w:i w:val="0"/>
          <w:iCs w:val="0"/>
          <w:color w:val="auto"/>
          <w:kern w:val="0"/>
          <w:sz w:val="28"/>
          <w:szCs w:val="21"/>
        </w:rPr>
        <w:t>4</w:t>
      </w:r>
      <w:r>
        <w:rPr>
          <w:rFonts w:hint="eastAsia" w:hAnsi="宋体" w:eastAsia="宋体" w:cs="宋体"/>
          <w:b/>
          <w:i w:val="0"/>
          <w:iCs w:val="0"/>
          <w:color w:val="auto"/>
          <w:kern w:val="0"/>
          <w:sz w:val="28"/>
          <w:szCs w:val="21"/>
          <w:lang w:eastAsia="zh-CN"/>
        </w:rPr>
        <w:t>、</w:t>
      </w:r>
      <w:r>
        <w:rPr>
          <w:rFonts w:hint="eastAsia" w:ascii="宋体" w:hAnsi="宋体" w:eastAsia="宋体" w:cs="宋体"/>
          <w:b/>
          <w:i w:val="0"/>
          <w:iCs w:val="0"/>
          <w:color w:val="auto"/>
          <w:kern w:val="0"/>
          <w:sz w:val="28"/>
          <w:szCs w:val="21"/>
        </w:rPr>
        <w:t>具有良好的商业信誉和健全的财务会计制度的证明文件</w:t>
      </w:r>
      <w:bookmarkEnd w:id="183"/>
    </w:p>
    <w:p>
      <w:pPr>
        <w:tabs>
          <w:tab w:val="left" w:pos="5580"/>
        </w:tabs>
        <w:spacing w:line="240" w:lineRule="atLeast"/>
        <w:ind w:left="1079" w:leftChars="257" w:hanging="540"/>
        <w:jc w:val="center"/>
        <w:rPr>
          <w:rFonts w:hint="eastAsia" w:ascii="宋体" w:hAnsi="宋体" w:eastAsia="宋体" w:cs="宋体"/>
          <w:b/>
          <w:i w:val="0"/>
          <w:iCs w:val="0"/>
          <w:color w:val="auto"/>
          <w:sz w:val="24"/>
        </w:rPr>
      </w:pPr>
    </w:p>
    <w:p>
      <w:pPr>
        <w:tabs>
          <w:tab w:val="left" w:pos="5580"/>
        </w:tabs>
        <w:spacing w:line="240" w:lineRule="atLeast"/>
        <w:ind w:left="1079" w:leftChars="257" w:hanging="540"/>
        <w:jc w:val="center"/>
        <w:rPr>
          <w:rFonts w:hint="eastAsia" w:ascii="宋体" w:hAnsi="宋体" w:eastAsia="宋体" w:cs="宋体"/>
          <w:b/>
          <w:i w:val="0"/>
          <w:iCs w:val="0"/>
          <w:color w:val="auto"/>
          <w:sz w:val="24"/>
        </w:rPr>
      </w:pPr>
    </w:p>
    <w:p>
      <w:pPr>
        <w:tabs>
          <w:tab w:val="left" w:pos="3060"/>
          <w:tab w:val="left" w:pos="5580"/>
        </w:tabs>
        <w:spacing w:line="240" w:lineRule="atLeast"/>
        <w:ind w:left="1079" w:leftChars="257" w:hanging="540"/>
        <w:rPr>
          <w:rFonts w:hint="eastAsia" w:ascii="宋体" w:hAnsi="宋体" w:eastAsia="宋体" w:cs="宋体"/>
          <w:b/>
          <w:i w:val="0"/>
          <w:iCs w:val="0"/>
          <w:color w:val="auto"/>
          <w:sz w:val="24"/>
        </w:rPr>
      </w:pPr>
    </w:p>
    <w:p>
      <w:pPr>
        <w:tabs>
          <w:tab w:val="left" w:pos="5580"/>
        </w:tabs>
        <w:spacing w:line="240" w:lineRule="atLeast"/>
        <w:ind w:left="1079" w:leftChars="257" w:hanging="540"/>
        <w:jc w:val="center"/>
        <w:rPr>
          <w:rFonts w:hint="eastAsia" w:ascii="宋体" w:hAnsi="宋体" w:eastAsia="宋体" w:cs="宋体"/>
          <w:b/>
          <w:i w:val="0"/>
          <w:iCs w:val="0"/>
          <w:color w:val="auto"/>
          <w:sz w:val="24"/>
        </w:rPr>
      </w:pPr>
    </w:p>
    <w:p>
      <w:pPr>
        <w:tabs>
          <w:tab w:val="left" w:pos="5580"/>
        </w:tabs>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说明：</w:t>
      </w:r>
    </w:p>
    <w:p>
      <w:pPr>
        <w:tabs>
          <w:tab w:val="left" w:pos="5580"/>
        </w:tabs>
        <w:spacing w:line="360" w:lineRule="auto"/>
        <w:ind w:left="540"/>
        <w:rPr>
          <w:rFonts w:hint="eastAsia" w:ascii="宋体" w:hAnsi="宋体" w:eastAsia="宋体" w:cs="宋体"/>
          <w:bCs/>
          <w:i w:val="0"/>
          <w:iCs w:val="0"/>
          <w:color w:val="auto"/>
          <w:sz w:val="24"/>
        </w:rPr>
      </w:pPr>
      <w:r>
        <w:rPr>
          <w:rFonts w:hint="eastAsia" w:ascii="宋体" w:hAnsi="宋体" w:eastAsia="宋体" w:cs="宋体"/>
          <w:i w:val="0"/>
          <w:iCs w:val="0"/>
          <w:color w:val="auto"/>
          <w:sz w:val="24"/>
        </w:rPr>
        <w:t>1、如提供本单位上年度经会计师事务所出具的审计报告复印件，须加盖</w:t>
      </w:r>
      <w:r>
        <w:rPr>
          <w:rFonts w:hint="eastAsia" w:ascii="宋体" w:hAnsi="宋体" w:eastAsia="宋体" w:cs="宋体"/>
          <w:bCs/>
          <w:i w:val="0"/>
          <w:iCs w:val="0"/>
          <w:color w:val="auto"/>
          <w:sz w:val="24"/>
        </w:rPr>
        <w:t>本单位章。</w:t>
      </w:r>
    </w:p>
    <w:p>
      <w:pPr>
        <w:tabs>
          <w:tab w:val="left" w:pos="5580"/>
        </w:tabs>
        <w:spacing w:line="360" w:lineRule="auto"/>
        <w:ind w:left="540"/>
        <w:rPr>
          <w:rFonts w:hint="eastAsia" w:ascii="宋体" w:hAnsi="宋体" w:eastAsia="宋体" w:cs="宋体"/>
          <w:i w:val="0"/>
          <w:iCs w:val="0"/>
          <w:color w:val="auto"/>
          <w:sz w:val="24"/>
        </w:rPr>
      </w:pPr>
      <w:r>
        <w:rPr>
          <w:rFonts w:hint="eastAsia" w:ascii="宋体" w:hAnsi="宋体" w:eastAsia="宋体" w:cs="宋体"/>
          <w:i w:val="0"/>
          <w:iCs w:val="0"/>
          <w:color w:val="auto"/>
          <w:sz w:val="24"/>
        </w:rPr>
        <w:t>2、如提供银行出具的证明文件。银行证明文件可提供原件，也可提供银行在开标日前三个月内开具证明文件的复印件。若提供的是复印件，招标采购单位保留审核原件的权利。银行出具的证明文件应能说明该投标人与银行之间业务往来正常，企业信誉良好等。</w:t>
      </w:r>
    </w:p>
    <w:p>
      <w:pPr>
        <w:tabs>
          <w:tab w:val="left" w:pos="5580"/>
        </w:tabs>
        <w:spacing w:line="360" w:lineRule="auto"/>
        <w:ind w:left="1079"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3、如果是联合体投标，联合体各方均需提供上述证明。</w:t>
      </w:r>
    </w:p>
    <w:p>
      <w:pPr>
        <w:rPr>
          <w:rFonts w:hint="eastAsia" w:ascii="宋体" w:hAnsi="宋体" w:eastAsia="宋体" w:cs="宋体"/>
          <w:i w:val="0"/>
          <w:iCs w:val="0"/>
          <w:color w:val="auto"/>
        </w:rPr>
        <w:sectPr>
          <w:footerReference r:id="rId4" w:type="default"/>
          <w:pgSz w:w="11906" w:h="16838"/>
          <w:pgMar w:top="1440" w:right="1797" w:bottom="1440" w:left="1797" w:header="851" w:footer="992" w:gutter="0"/>
          <w:pgNumType w:fmt="decimal" w:start="1"/>
          <w:cols w:space="720" w:num="1"/>
          <w:docGrid w:type="linesAndChars" w:linePitch="312" w:charSpace="0"/>
        </w:sectPr>
      </w:pPr>
    </w:p>
    <w:p>
      <w:pPr>
        <w:ind w:firstLine="6050" w:firstLineChars="2750"/>
        <w:jc w:val="center"/>
        <w:rPr>
          <w:rFonts w:hint="eastAsia" w:ascii="宋体" w:hAnsi="宋体" w:eastAsia="宋体" w:cs="宋体"/>
          <w:i w:val="0"/>
          <w:iCs w:val="0"/>
          <w:color w:val="auto"/>
          <w:sz w:val="22"/>
          <w:szCs w:val="28"/>
        </w:rPr>
      </w:pPr>
    </w:p>
    <w:p>
      <w:pPr>
        <w:pStyle w:val="4"/>
        <w:spacing w:before="0" w:line="240" w:lineRule="atLeast"/>
        <w:jc w:val="center"/>
        <w:rPr>
          <w:rFonts w:hint="eastAsia" w:ascii="宋体" w:hAnsi="宋体" w:eastAsia="宋体" w:cs="宋体"/>
          <w:i w:val="0"/>
          <w:iCs w:val="0"/>
          <w:color w:val="auto"/>
          <w:sz w:val="28"/>
          <w:szCs w:val="21"/>
        </w:rPr>
      </w:pPr>
      <w:bookmarkStart w:id="184" w:name="_Toc518923111"/>
      <w:bookmarkStart w:id="185" w:name="_Toc27589"/>
      <w:r>
        <w:rPr>
          <w:rFonts w:hint="eastAsia" w:ascii="宋体" w:hAnsi="宋体" w:eastAsia="宋体" w:cs="宋体"/>
          <w:i w:val="0"/>
          <w:iCs w:val="0"/>
          <w:color w:val="auto"/>
          <w:sz w:val="28"/>
          <w:szCs w:val="21"/>
        </w:rPr>
        <w:t>5</w:t>
      </w:r>
      <w:r>
        <w:rPr>
          <w:rFonts w:hint="eastAsia" w:ascii="宋体" w:hAnsi="宋体" w:eastAsia="宋体" w:cs="宋体"/>
          <w:i w:val="0"/>
          <w:iCs w:val="0"/>
          <w:color w:val="auto"/>
          <w:sz w:val="28"/>
          <w:szCs w:val="21"/>
          <w:lang w:eastAsia="zh-CN"/>
        </w:rPr>
        <w:t>、</w:t>
      </w:r>
      <w:r>
        <w:rPr>
          <w:rFonts w:hint="eastAsia" w:ascii="宋体" w:hAnsi="宋体" w:eastAsia="宋体" w:cs="宋体"/>
          <w:i w:val="0"/>
          <w:iCs w:val="0"/>
          <w:color w:val="auto"/>
          <w:sz w:val="28"/>
          <w:szCs w:val="21"/>
        </w:rPr>
        <w:t>社会保障资金的缴纳记录</w:t>
      </w:r>
      <w:bookmarkEnd w:id="184"/>
      <w:bookmarkEnd w:id="185"/>
    </w:p>
    <w:p>
      <w:pPr>
        <w:pStyle w:val="14"/>
        <w:tabs>
          <w:tab w:val="left" w:pos="5580"/>
        </w:tabs>
        <w:spacing w:line="240" w:lineRule="atLeast"/>
        <w:ind w:left="1079" w:leftChars="257" w:hanging="540"/>
        <w:jc w:val="center"/>
        <w:rPr>
          <w:rFonts w:hint="eastAsia" w:ascii="宋体" w:hAnsi="宋体" w:eastAsia="宋体" w:cs="宋体"/>
          <w:b/>
          <w:i w:val="0"/>
          <w:iCs w:val="0"/>
          <w:color w:val="auto"/>
          <w:sz w:val="24"/>
        </w:rPr>
      </w:pPr>
    </w:p>
    <w:p>
      <w:pPr>
        <w:pStyle w:val="14"/>
        <w:tabs>
          <w:tab w:val="left" w:pos="5580"/>
        </w:tabs>
        <w:spacing w:line="240" w:lineRule="atLeast"/>
        <w:ind w:left="540"/>
        <w:rPr>
          <w:rFonts w:hint="eastAsia" w:ascii="宋体" w:hAnsi="宋体" w:eastAsia="宋体" w:cs="宋体"/>
          <w:b/>
          <w:i w:val="0"/>
          <w:iCs w:val="0"/>
          <w:color w:val="auto"/>
          <w:sz w:val="24"/>
        </w:rPr>
      </w:pPr>
    </w:p>
    <w:p>
      <w:pPr>
        <w:pStyle w:val="14"/>
        <w:tabs>
          <w:tab w:val="left" w:pos="5580"/>
        </w:tabs>
        <w:spacing w:line="360" w:lineRule="auto"/>
        <w:ind w:left="540"/>
        <w:rPr>
          <w:rFonts w:hint="eastAsia" w:ascii="宋体" w:hAnsi="宋体" w:eastAsia="宋体" w:cs="宋体"/>
          <w:i w:val="0"/>
          <w:iCs w:val="0"/>
          <w:color w:val="auto"/>
          <w:sz w:val="24"/>
        </w:rPr>
      </w:pPr>
      <w:r>
        <w:rPr>
          <w:rFonts w:hint="eastAsia" w:ascii="宋体" w:hAnsi="宋体" w:eastAsia="宋体" w:cs="宋体"/>
          <w:i w:val="0"/>
          <w:iCs w:val="0"/>
          <w:color w:val="auto"/>
          <w:sz w:val="24"/>
        </w:rPr>
        <w:t>说明：1.按照</w:t>
      </w:r>
      <w:r>
        <w:rPr>
          <w:rFonts w:hint="eastAsia" w:ascii="宋体" w:hAnsi="宋体" w:eastAsia="宋体" w:cs="宋体"/>
          <w:i w:val="0"/>
          <w:iCs w:val="0"/>
          <w:color w:val="auto"/>
          <w:sz w:val="24"/>
          <w:u w:val="single"/>
        </w:rPr>
        <w:t>投标人须知资料表</w:t>
      </w:r>
      <w:r>
        <w:rPr>
          <w:rFonts w:hint="eastAsia" w:ascii="宋体" w:hAnsi="宋体" w:eastAsia="宋体" w:cs="宋体"/>
          <w:i w:val="0"/>
          <w:iCs w:val="0"/>
          <w:color w:val="auto"/>
          <w:sz w:val="24"/>
        </w:rPr>
        <w:t>中的规定提供复印件。</w:t>
      </w:r>
    </w:p>
    <w:p>
      <w:pPr>
        <w:pStyle w:val="14"/>
        <w:tabs>
          <w:tab w:val="left" w:pos="5580"/>
        </w:tabs>
        <w:spacing w:line="360" w:lineRule="auto"/>
        <w:ind w:left="1079"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      2.复印件上应加盖本单位章。</w:t>
      </w:r>
    </w:p>
    <w:p>
      <w:pPr>
        <w:tabs>
          <w:tab w:val="left" w:pos="5580"/>
        </w:tabs>
        <w:spacing w:line="360" w:lineRule="auto"/>
        <w:ind w:left="1079"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      3.如果是联合体投标，联合体各方均需提供上述证明。</w:t>
      </w:r>
    </w:p>
    <w:p>
      <w:pPr>
        <w:pStyle w:val="14"/>
        <w:tabs>
          <w:tab w:val="left" w:pos="5580"/>
        </w:tabs>
        <w:spacing w:line="240" w:lineRule="atLeast"/>
        <w:ind w:left="1079" w:leftChars="257" w:hanging="540"/>
        <w:rPr>
          <w:rFonts w:hint="eastAsia" w:ascii="宋体" w:hAnsi="宋体" w:eastAsia="宋体" w:cs="宋体"/>
          <w:i w:val="0"/>
          <w:iCs w:val="0"/>
          <w:color w:val="auto"/>
          <w:sz w:val="24"/>
        </w:rPr>
      </w:pPr>
    </w:p>
    <w:p>
      <w:pPr>
        <w:pStyle w:val="4"/>
        <w:spacing w:before="0" w:line="240" w:lineRule="atLeast"/>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br w:type="page"/>
      </w:r>
      <w:bookmarkStart w:id="186" w:name="_Toc518923112"/>
      <w:bookmarkStart w:id="187" w:name="_Toc16858"/>
      <w:r>
        <w:rPr>
          <w:rFonts w:hint="eastAsia" w:ascii="宋体" w:hAnsi="宋体" w:eastAsia="宋体" w:cs="宋体"/>
          <w:i w:val="0"/>
          <w:iCs w:val="0"/>
          <w:color w:val="auto"/>
          <w:sz w:val="28"/>
          <w:szCs w:val="21"/>
        </w:rPr>
        <w:t>6</w:t>
      </w:r>
      <w:r>
        <w:rPr>
          <w:rFonts w:hint="eastAsia" w:ascii="宋体" w:hAnsi="宋体" w:eastAsia="宋体" w:cs="宋体"/>
          <w:i w:val="0"/>
          <w:iCs w:val="0"/>
          <w:color w:val="auto"/>
          <w:sz w:val="28"/>
          <w:szCs w:val="21"/>
          <w:lang w:eastAsia="zh-CN"/>
        </w:rPr>
        <w:t>、</w:t>
      </w:r>
      <w:r>
        <w:rPr>
          <w:rFonts w:hint="eastAsia" w:ascii="宋体" w:hAnsi="宋体" w:eastAsia="宋体" w:cs="宋体"/>
          <w:i w:val="0"/>
          <w:iCs w:val="0"/>
          <w:color w:val="auto"/>
          <w:sz w:val="28"/>
          <w:szCs w:val="21"/>
        </w:rPr>
        <w:t>参加政府采购活动前</w:t>
      </w:r>
      <w:r>
        <w:rPr>
          <w:rFonts w:hint="eastAsia" w:ascii="宋体" w:hAnsi="宋体" w:eastAsia="宋体" w:cs="宋体"/>
          <w:i w:val="0"/>
          <w:iCs w:val="0"/>
          <w:color w:val="auto"/>
          <w:sz w:val="28"/>
          <w:szCs w:val="21"/>
          <w:lang w:val="en-US" w:eastAsia="zh-CN"/>
        </w:rPr>
        <w:t>三</w:t>
      </w:r>
      <w:r>
        <w:rPr>
          <w:rFonts w:hint="eastAsia" w:ascii="宋体" w:hAnsi="宋体" w:eastAsia="宋体" w:cs="宋体"/>
          <w:i w:val="0"/>
          <w:iCs w:val="0"/>
          <w:color w:val="auto"/>
          <w:sz w:val="28"/>
          <w:szCs w:val="21"/>
        </w:rPr>
        <w:t>年内</w:t>
      </w:r>
      <w:bookmarkEnd w:id="186"/>
      <w:bookmarkStart w:id="188" w:name="_Toc518923113"/>
      <w:r>
        <w:rPr>
          <w:rFonts w:hint="eastAsia" w:ascii="宋体" w:hAnsi="宋体" w:eastAsia="宋体" w:cs="宋体"/>
          <w:i w:val="0"/>
          <w:iCs w:val="0"/>
          <w:color w:val="auto"/>
          <w:sz w:val="28"/>
          <w:szCs w:val="21"/>
        </w:rPr>
        <w:t>在经营活动中没有重大违法记录的书面声明</w:t>
      </w:r>
      <w:bookmarkEnd w:id="187"/>
      <w:bookmarkEnd w:id="188"/>
    </w:p>
    <w:p>
      <w:pPr>
        <w:pStyle w:val="14"/>
        <w:tabs>
          <w:tab w:val="left" w:pos="5580"/>
        </w:tabs>
        <w:spacing w:line="240" w:lineRule="atLeast"/>
        <w:ind w:left="1079" w:leftChars="257" w:hanging="540"/>
        <w:jc w:val="center"/>
        <w:rPr>
          <w:rFonts w:hint="eastAsia" w:ascii="宋体" w:hAnsi="宋体" w:eastAsia="宋体" w:cs="宋体"/>
          <w:b/>
          <w:i w:val="0"/>
          <w:iCs w:val="0"/>
          <w:color w:val="auto"/>
          <w:sz w:val="24"/>
        </w:rPr>
      </w:pPr>
    </w:p>
    <w:p>
      <w:pPr>
        <w:pStyle w:val="14"/>
        <w:tabs>
          <w:tab w:val="left" w:pos="5580"/>
        </w:tabs>
        <w:spacing w:line="240" w:lineRule="atLeast"/>
        <w:ind w:left="1079" w:leftChars="257" w:hanging="540"/>
        <w:rPr>
          <w:rFonts w:hint="eastAsia" w:ascii="宋体" w:hAnsi="宋体" w:eastAsia="宋体" w:cs="宋体"/>
          <w:i w:val="0"/>
          <w:iCs w:val="0"/>
          <w:color w:val="auto"/>
          <w:sz w:val="24"/>
        </w:rPr>
      </w:pPr>
    </w:p>
    <w:p>
      <w:pPr>
        <w:pStyle w:val="14"/>
        <w:tabs>
          <w:tab w:val="left" w:pos="5580"/>
        </w:tabs>
        <w:spacing w:line="240" w:lineRule="atLeast"/>
        <w:ind w:left="1079" w:leftChars="257" w:hanging="540"/>
        <w:rPr>
          <w:rFonts w:hint="eastAsia" w:ascii="宋体" w:hAnsi="宋体" w:eastAsia="宋体" w:cs="宋体"/>
          <w:i w:val="0"/>
          <w:iCs w:val="0"/>
          <w:color w:val="auto"/>
          <w:sz w:val="24"/>
        </w:rPr>
      </w:pPr>
    </w:p>
    <w:p>
      <w:pPr>
        <w:pStyle w:val="14"/>
        <w:tabs>
          <w:tab w:val="left" w:pos="5580"/>
        </w:tabs>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说明：1.投标人应按照相关法规规定如实作出说明。</w:t>
      </w:r>
    </w:p>
    <w:p>
      <w:pPr>
        <w:pStyle w:val="14"/>
        <w:tabs>
          <w:tab w:val="left" w:pos="5580"/>
        </w:tabs>
        <w:spacing w:line="360" w:lineRule="auto"/>
        <w:ind w:firstLine="720" w:firstLineChars="300"/>
        <w:rPr>
          <w:rFonts w:hint="eastAsia" w:ascii="宋体" w:hAnsi="宋体" w:eastAsia="宋体" w:cs="宋体"/>
          <w:i w:val="0"/>
          <w:iCs w:val="0"/>
          <w:color w:val="auto"/>
          <w:sz w:val="24"/>
        </w:rPr>
      </w:pPr>
      <w:r>
        <w:rPr>
          <w:rFonts w:hint="eastAsia" w:ascii="宋体" w:hAnsi="宋体" w:eastAsia="宋体" w:cs="宋体"/>
          <w:i w:val="0"/>
          <w:iCs w:val="0"/>
          <w:color w:val="auto"/>
          <w:sz w:val="24"/>
        </w:rPr>
        <w:t>2．按照招标文件的规定加盖本单位章（自然人投标的无需盖章，需要签字）。</w:t>
      </w:r>
    </w:p>
    <w:p>
      <w:pPr>
        <w:pStyle w:val="14"/>
        <w:tabs>
          <w:tab w:val="left" w:pos="5580"/>
        </w:tabs>
        <w:spacing w:line="360" w:lineRule="auto"/>
        <w:ind w:left="1079"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 3.如果是联合体投标，联合体各方均需提供上述证明。</w:t>
      </w:r>
    </w:p>
    <w:p>
      <w:pPr>
        <w:pStyle w:val="14"/>
        <w:tabs>
          <w:tab w:val="left" w:pos="5580"/>
        </w:tabs>
        <w:spacing w:line="240" w:lineRule="atLeast"/>
        <w:jc w:val="center"/>
        <w:rPr>
          <w:rFonts w:hint="eastAsia" w:ascii="宋体" w:hAnsi="宋体" w:eastAsia="宋体" w:cs="宋体"/>
          <w:b/>
          <w:i w:val="0"/>
          <w:iCs w:val="0"/>
          <w:color w:val="auto"/>
          <w:kern w:val="0"/>
          <w:sz w:val="28"/>
          <w:szCs w:val="21"/>
          <w:lang w:val="en-US" w:eastAsia="zh-CN" w:bidi="ar-SA"/>
        </w:rPr>
      </w:pPr>
      <w:r>
        <w:rPr>
          <w:rFonts w:hint="eastAsia" w:ascii="宋体" w:hAnsi="宋体" w:eastAsia="宋体" w:cs="宋体"/>
          <w:i w:val="0"/>
          <w:iCs w:val="0"/>
          <w:color w:val="auto"/>
          <w:sz w:val="24"/>
        </w:rPr>
        <w:br w:type="page"/>
      </w:r>
      <w:r>
        <w:rPr>
          <w:rFonts w:hint="eastAsia" w:ascii="宋体" w:hAnsi="宋体" w:eastAsia="宋体" w:cs="宋体"/>
          <w:b/>
          <w:i w:val="0"/>
          <w:iCs w:val="0"/>
          <w:color w:val="auto"/>
          <w:kern w:val="0"/>
          <w:sz w:val="28"/>
          <w:szCs w:val="21"/>
          <w:lang w:val="en-US" w:eastAsia="zh-CN" w:bidi="ar-SA"/>
        </w:rPr>
        <w:t>7</w:t>
      </w:r>
      <w:r>
        <w:rPr>
          <w:rFonts w:hint="eastAsia" w:hAnsi="宋体" w:eastAsia="宋体" w:cs="宋体"/>
          <w:b/>
          <w:i w:val="0"/>
          <w:iCs w:val="0"/>
          <w:color w:val="auto"/>
          <w:kern w:val="0"/>
          <w:sz w:val="28"/>
          <w:szCs w:val="21"/>
          <w:lang w:val="en-US" w:eastAsia="zh-CN" w:bidi="ar-SA"/>
        </w:rPr>
        <w:t>、</w:t>
      </w:r>
      <w:r>
        <w:rPr>
          <w:rFonts w:hint="eastAsia" w:ascii="宋体" w:hAnsi="宋体" w:eastAsia="宋体" w:cs="宋体"/>
          <w:b/>
          <w:i w:val="0"/>
          <w:iCs w:val="0"/>
          <w:color w:val="auto"/>
          <w:kern w:val="0"/>
          <w:sz w:val="28"/>
          <w:szCs w:val="21"/>
          <w:lang w:val="en-US" w:eastAsia="zh-CN" w:bidi="ar-SA"/>
        </w:rPr>
        <w:t>拟派的项目负责人</w:t>
      </w:r>
      <w:r>
        <w:rPr>
          <w:rFonts w:hint="eastAsia" w:hAnsi="宋体" w:eastAsia="宋体" w:cs="宋体"/>
          <w:b/>
          <w:i w:val="0"/>
          <w:iCs w:val="0"/>
          <w:color w:val="auto"/>
          <w:kern w:val="0"/>
          <w:sz w:val="28"/>
          <w:szCs w:val="21"/>
          <w:lang w:val="en-US" w:eastAsia="zh-CN" w:bidi="ar-SA"/>
        </w:rPr>
        <w:t>情况表及</w:t>
      </w:r>
      <w:r>
        <w:rPr>
          <w:rFonts w:hint="eastAsia" w:ascii="宋体" w:hAnsi="宋体" w:eastAsia="宋体" w:cs="宋体"/>
          <w:b/>
          <w:i w:val="0"/>
          <w:iCs w:val="0"/>
          <w:color w:val="auto"/>
          <w:kern w:val="0"/>
          <w:sz w:val="28"/>
          <w:szCs w:val="21"/>
          <w:lang w:val="en-US" w:eastAsia="zh-CN" w:bidi="ar-SA"/>
        </w:rPr>
        <w:t>相关证件</w:t>
      </w:r>
    </w:p>
    <w:tbl>
      <w:tblPr>
        <w:tblStyle w:val="33"/>
        <w:tblpPr w:leftFromText="180" w:rightFromText="180" w:vertAnchor="text" w:horzAnchor="page" w:tblpX="1342" w:tblpY="498"/>
        <w:tblOverlap w:val="never"/>
        <w:tblW w:w="9656" w:type="dxa"/>
        <w:tblInd w:w="0" w:type="dxa"/>
        <w:tblLayout w:type="fixed"/>
        <w:tblCellMar>
          <w:top w:w="0" w:type="dxa"/>
          <w:left w:w="0" w:type="dxa"/>
          <w:bottom w:w="0" w:type="dxa"/>
          <w:right w:w="0" w:type="dxa"/>
        </w:tblCellMar>
      </w:tblPr>
      <w:tblGrid>
        <w:gridCol w:w="1032"/>
        <w:gridCol w:w="444"/>
        <w:gridCol w:w="1486"/>
        <w:gridCol w:w="336"/>
        <w:gridCol w:w="1104"/>
        <w:gridCol w:w="485"/>
        <w:gridCol w:w="1676"/>
        <w:gridCol w:w="1800"/>
        <w:gridCol w:w="1203"/>
        <w:gridCol w:w="90"/>
      </w:tblGrid>
      <w:tr>
        <w:tblPrEx>
          <w:tblCellMar>
            <w:top w:w="0" w:type="dxa"/>
            <w:left w:w="0" w:type="dxa"/>
            <w:bottom w:w="0" w:type="dxa"/>
            <w:right w:w="0" w:type="dxa"/>
          </w:tblCellMar>
        </w:tblPrEx>
        <w:trPr>
          <w:gridAfter w:val="1"/>
          <w:wAfter w:w="90" w:type="dxa"/>
          <w:trHeight w:val="586" w:hRule="exact"/>
        </w:trPr>
        <w:tc>
          <w:tcPr>
            <w:tcW w:w="9566" w:type="dxa"/>
            <w:gridSpan w:val="9"/>
            <w:tcBorders>
              <w:top w:val="single" w:color="000000" w:sz="2" w:space="0"/>
              <w:left w:val="single" w:color="000000" w:sz="2" w:space="0"/>
              <w:bottom w:val="single" w:color="000000" w:sz="2" w:space="0"/>
              <w:right w:val="single" w:color="000000" w:sz="2" w:space="0"/>
            </w:tcBorders>
            <w:noWrap w:val="0"/>
            <w:vAlign w:val="top"/>
          </w:tcPr>
          <w:p>
            <w:pPr>
              <w:pStyle w:val="64"/>
              <w:kinsoku w:val="0"/>
              <w:overflowPunct w:val="0"/>
              <w:spacing w:before="119"/>
              <w:jc w:val="center"/>
              <w:rPr>
                <w:rFonts w:hint="eastAsia" w:ascii="宋体" w:hAnsi="宋体" w:eastAsia="宋体" w:cs="宋体"/>
                <w:color w:val="auto"/>
                <w:sz w:val="24"/>
                <w:szCs w:val="24"/>
              </w:rPr>
            </w:pPr>
            <w:r>
              <w:rPr>
                <w:rFonts w:hint="eastAsia" w:ascii="宋体" w:hAnsi="宋体" w:eastAsia="宋体" w:cs="宋体"/>
                <w:color w:val="auto"/>
                <w:sz w:val="24"/>
                <w:szCs w:val="24"/>
              </w:rPr>
              <w:t>1、一般情况</w:t>
            </w:r>
          </w:p>
        </w:tc>
      </w:tr>
      <w:tr>
        <w:tblPrEx>
          <w:tblCellMar>
            <w:top w:w="0" w:type="dxa"/>
            <w:left w:w="0" w:type="dxa"/>
            <w:bottom w:w="0" w:type="dxa"/>
            <w:right w:w="0" w:type="dxa"/>
          </w:tblCellMar>
        </w:tblPrEx>
        <w:trPr>
          <w:trHeight w:val="571" w:hRule="exact"/>
        </w:trPr>
        <w:tc>
          <w:tcPr>
            <w:tcW w:w="1476" w:type="dxa"/>
            <w:gridSpan w:val="2"/>
            <w:tcBorders>
              <w:top w:val="single" w:color="000000" w:sz="2" w:space="0"/>
              <w:left w:val="single" w:color="000000" w:sz="2" w:space="0"/>
              <w:bottom w:val="single" w:color="000000" w:sz="2" w:space="0"/>
              <w:right w:val="single" w:color="000000" w:sz="2" w:space="0"/>
            </w:tcBorders>
            <w:noWrap w:val="0"/>
            <w:vAlign w:val="top"/>
          </w:tcPr>
          <w:p>
            <w:pPr>
              <w:pStyle w:val="64"/>
              <w:kinsoku w:val="0"/>
              <w:overflowPunct w:val="0"/>
              <w:spacing w:before="112"/>
              <w:ind w:left="2"/>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822" w:type="dxa"/>
            <w:gridSpan w:val="2"/>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589" w:type="dxa"/>
            <w:gridSpan w:val="2"/>
            <w:tcBorders>
              <w:top w:val="single" w:color="000000" w:sz="2" w:space="0"/>
              <w:left w:val="single" w:color="000000" w:sz="2" w:space="0"/>
              <w:bottom w:val="single" w:color="000000" w:sz="2" w:space="0"/>
              <w:right w:val="single" w:color="000000" w:sz="2" w:space="0"/>
            </w:tcBorders>
            <w:noWrap w:val="0"/>
            <w:vAlign w:val="top"/>
          </w:tcPr>
          <w:p>
            <w:pPr>
              <w:pStyle w:val="64"/>
              <w:kinsoku w:val="0"/>
              <w:overflowPunct w:val="0"/>
              <w:spacing w:before="112"/>
              <w:ind w:left="4"/>
              <w:jc w:val="center"/>
              <w:rPr>
                <w:rFonts w:hint="eastAsia" w:ascii="宋体" w:hAnsi="宋体" w:eastAsia="宋体" w:cs="宋体"/>
                <w:color w:val="auto"/>
                <w:sz w:val="24"/>
                <w:szCs w:val="24"/>
              </w:rPr>
            </w:pPr>
            <w:r>
              <w:rPr>
                <w:rFonts w:hint="eastAsia" w:ascii="宋体" w:hAnsi="宋体" w:eastAsia="宋体" w:cs="宋体"/>
                <w:color w:val="auto"/>
                <w:sz w:val="24"/>
                <w:szCs w:val="24"/>
              </w:rPr>
              <w:t>年龄</w:t>
            </w:r>
          </w:p>
        </w:tc>
        <w:tc>
          <w:tcPr>
            <w:tcW w:w="1676"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3003" w:type="dxa"/>
            <w:gridSpan w:val="2"/>
            <w:tcBorders>
              <w:top w:val="single" w:color="000000" w:sz="2" w:space="0"/>
              <w:left w:val="single" w:color="000000" w:sz="2" w:space="0"/>
              <w:bottom w:val="single" w:color="000000" w:sz="2" w:space="0"/>
              <w:right w:val="single" w:color="000000" w:sz="2" w:space="0"/>
            </w:tcBorders>
            <w:noWrap w:val="0"/>
            <w:vAlign w:val="top"/>
          </w:tcPr>
          <w:p>
            <w:pPr>
              <w:pStyle w:val="64"/>
              <w:kinsoku w:val="0"/>
              <w:overflowPunct w:val="0"/>
              <w:spacing w:before="112"/>
              <w:ind w:left="1"/>
              <w:jc w:val="center"/>
              <w:rPr>
                <w:rFonts w:hint="eastAsia" w:ascii="宋体" w:hAnsi="宋体" w:eastAsia="宋体" w:cs="宋体"/>
                <w:color w:val="auto"/>
                <w:sz w:val="24"/>
                <w:szCs w:val="24"/>
              </w:rPr>
            </w:pPr>
            <w:r>
              <w:rPr>
                <w:rFonts w:hint="eastAsia" w:ascii="宋体" w:hAnsi="宋体" w:eastAsia="宋体" w:cs="宋体"/>
                <w:color w:val="auto"/>
                <w:sz w:val="24"/>
                <w:szCs w:val="24"/>
              </w:rPr>
              <w:t>学历</w:t>
            </w:r>
          </w:p>
        </w:tc>
        <w:tc>
          <w:tcPr>
            <w:tcW w:w="90"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71" w:hRule="exact"/>
        </w:trPr>
        <w:tc>
          <w:tcPr>
            <w:tcW w:w="1476" w:type="dxa"/>
            <w:gridSpan w:val="2"/>
            <w:tcBorders>
              <w:top w:val="single" w:color="000000" w:sz="2" w:space="0"/>
              <w:left w:val="single" w:color="000000" w:sz="2" w:space="0"/>
              <w:bottom w:val="single" w:color="000000" w:sz="2" w:space="0"/>
              <w:right w:val="single" w:color="000000" w:sz="2" w:space="0"/>
            </w:tcBorders>
            <w:noWrap w:val="0"/>
            <w:vAlign w:val="top"/>
          </w:tcPr>
          <w:p>
            <w:pPr>
              <w:pStyle w:val="64"/>
              <w:kinsoku w:val="0"/>
              <w:overflowPunct w:val="0"/>
              <w:spacing w:before="114"/>
              <w:ind w:left="314"/>
              <w:rPr>
                <w:rFonts w:hint="eastAsia" w:ascii="宋体" w:hAnsi="宋体" w:eastAsia="宋体" w:cs="宋体"/>
                <w:color w:val="auto"/>
                <w:sz w:val="24"/>
                <w:szCs w:val="24"/>
              </w:rPr>
            </w:pPr>
            <w:r>
              <w:rPr>
                <w:rFonts w:hint="eastAsia" w:ascii="宋体" w:hAnsi="宋体" w:eastAsia="宋体" w:cs="宋体"/>
                <w:color w:val="auto"/>
                <w:sz w:val="24"/>
                <w:szCs w:val="24"/>
              </w:rPr>
              <w:t>毕业学校</w:t>
            </w:r>
          </w:p>
        </w:tc>
        <w:tc>
          <w:tcPr>
            <w:tcW w:w="1822" w:type="dxa"/>
            <w:gridSpan w:val="2"/>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589" w:type="dxa"/>
            <w:gridSpan w:val="2"/>
            <w:tcBorders>
              <w:top w:val="single" w:color="000000" w:sz="2" w:space="0"/>
              <w:left w:val="single" w:color="000000" w:sz="2" w:space="0"/>
              <w:bottom w:val="single" w:color="000000" w:sz="2" w:space="0"/>
              <w:right w:val="single" w:color="000000" w:sz="2" w:space="0"/>
            </w:tcBorders>
            <w:noWrap w:val="0"/>
            <w:vAlign w:val="top"/>
          </w:tcPr>
          <w:p>
            <w:pPr>
              <w:pStyle w:val="64"/>
              <w:kinsoku w:val="0"/>
              <w:overflowPunct w:val="0"/>
              <w:spacing w:before="114"/>
              <w:ind w:left="4"/>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w:t>
            </w:r>
          </w:p>
        </w:tc>
        <w:tc>
          <w:tcPr>
            <w:tcW w:w="1676"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3003" w:type="dxa"/>
            <w:gridSpan w:val="2"/>
            <w:tcBorders>
              <w:top w:val="single" w:color="000000" w:sz="2" w:space="0"/>
              <w:left w:val="single" w:color="000000" w:sz="2" w:space="0"/>
              <w:bottom w:val="single" w:color="000000" w:sz="2" w:space="0"/>
              <w:right w:val="single" w:color="000000" w:sz="2" w:space="0"/>
            </w:tcBorders>
            <w:noWrap w:val="0"/>
            <w:vAlign w:val="top"/>
          </w:tcPr>
          <w:p>
            <w:pPr>
              <w:pStyle w:val="64"/>
              <w:kinsoku w:val="0"/>
              <w:overflowPunct w:val="0"/>
              <w:spacing w:before="114"/>
              <w:ind w:left="1"/>
              <w:jc w:val="center"/>
              <w:rPr>
                <w:rFonts w:hint="eastAsia" w:ascii="宋体" w:hAnsi="宋体" w:eastAsia="宋体" w:cs="宋体"/>
                <w:color w:val="auto"/>
                <w:sz w:val="24"/>
                <w:szCs w:val="24"/>
              </w:rPr>
            </w:pPr>
            <w:r>
              <w:rPr>
                <w:rFonts w:hint="eastAsia" w:ascii="宋体" w:hAnsi="宋体" w:eastAsia="宋体" w:cs="宋体"/>
                <w:color w:val="auto"/>
                <w:sz w:val="24"/>
                <w:szCs w:val="24"/>
              </w:rPr>
              <w:t>职务</w:t>
            </w:r>
          </w:p>
        </w:tc>
        <w:tc>
          <w:tcPr>
            <w:tcW w:w="90"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629" w:hRule="exact"/>
        </w:trPr>
        <w:tc>
          <w:tcPr>
            <w:tcW w:w="1476" w:type="dxa"/>
            <w:gridSpan w:val="2"/>
            <w:tcBorders>
              <w:top w:val="single" w:color="000000" w:sz="2" w:space="0"/>
              <w:left w:val="single" w:color="000000" w:sz="2" w:space="0"/>
              <w:bottom w:val="single" w:color="000000" w:sz="2" w:space="0"/>
              <w:right w:val="single" w:color="000000" w:sz="2" w:space="0"/>
            </w:tcBorders>
            <w:noWrap w:val="0"/>
            <w:vAlign w:val="top"/>
          </w:tcPr>
          <w:p>
            <w:pPr>
              <w:pStyle w:val="64"/>
              <w:kinsoku w:val="0"/>
              <w:overflowPunct w:val="0"/>
              <w:spacing w:line="273" w:lineRule="auto"/>
              <w:ind w:left="526" w:right="101" w:hanging="421"/>
              <w:rPr>
                <w:rFonts w:hint="eastAsia" w:ascii="宋体" w:hAnsi="宋体" w:eastAsia="宋体" w:cs="宋体"/>
                <w:color w:val="auto"/>
                <w:sz w:val="24"/>
                <w:szCs w:val="24"/>
              </w:rPr>
            </w:pPr>
            <w:r>
              <w:rPr>
                <w:rFonts w:hint="eastAsia" w:ascii="宋体" w:hAnsi="宋体" w:eastAsia="宋体" w:cs="宋体"/>
                <w:color w:val="auto"/>
                <w:sz w:val="24"/>
                <w:szCs w:val="24"/>
              </w:rPr>
              <w:t>专业技术任职资格</w:t>
            </w:r>
          </w:p>
        </w:tc>
        <w:tc>
          <w:tcPr>
            <w:tcW w:w="1822" w:type="dxa"/>
            <w:gridSpan w:val="2"/>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589" w:type="dxa"/>
            <w:gridSpan w:val="2"/>
            <w:tcBorders>
              <w:top w:val="single" w:color="000000" w:sz="2" w:space="0"/>
              <w:left w:val="single" w:color="000000" w:sz="2" w:space="0"/>
              <w:bottom w:val="single" w:color="000000" w:sz="2" w:space="0"/>
              <w:right w:val="single" w:color="000000" w:sz="2" w:space="0"/>
            </w:tcBorders>
            <w:noWrap w:val="0"/>
            <w:vAlign w:val="top"/>
          </w:tcPr>
          <w:p>
            <w:pPr>
              <w:pStyle w:val="64"/>
              <w:kinsoku w:val="0"/>
              <w:overflowPunct w:val="0"/>
              <w:spacing w:before="143"/>
              <w:ind w:left="372"/>
              <w:rPr>
                <w:rFonts w:hint="eastAsia" w:ascii="宋体" w:hAnsi="宋体" w:eastAsia="宋体" w:cs="宋体"/>
                <w:color w:val="auto"/>
                <w:sz w:val="24"/>
                <w:szCs w:val="24"/>
              </w:rPr>
            </w:pPr>
            <w:r>
              <w:rPr>
                <w:rFonts w:hint="eastAsia" w:ascii="宋体" w:hAnsi="宋体" w:eastAsia="宋体" w:cs="宋体"/>
                <w:color w:val="auto"/>
                <w:sz w:val="24"/>
                <w:szCs w:val="24"/>
              </w:rPr>
              <w:t>拟任何职</w:t>
            </w:r>
          </w:p>
        </w:tc>
        <w:tc>
          <w:tcPr>
            <w:tcW w:w="1676"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3003" w:type="dxa"/>
            <w:gridSpan w:val="2"/>
            <w:tcBorders>
              <w:top w:val="single" w:color="000000" w:sz="2" w:space="0"/>
              <w:left w:val="single" w:color="000000" w:sz="2" w:space="0"/>
              <w:bottom w:val="single" w:color="000000" w:sz="2" w:space="0"/>
              <w:right w:val="single" w:color="000000" w:sz="2" w:space="0"/>
            </w:tcBorders>
            <w:noWrap w:val="0"/>
            <w:vAlign w:val="top"/>
          </w:tcPr>
          <w:p>
            <w:pPr>
              <w:pStyle w:val="64"/>
              <w:kinsoku w:val="0"/>
              <w:overflowPunct w:val="0"/>
              <w:spacing w:line="273" w:lineRule="auto"/>
              <w:ind w:left="960" w:right="953"/>
              <w:jc w:val="center"/>
              <w:rPr>
                <w:rFonts w:hint="eastAsia" w:ascii="宋体" w:hAnsi="宋体" w:eastAsia="宋体" w:cs="宋体"/>
                <w:color w:val="auto"/>
                <w:sz w:val="24"/>
                <w:szCs w:val="24"/>
              </w:rPr>
            </w:pPr>
            <w:r>
              <w:rPr>
                <w:rFonts w:hint="eastAsia" w:ascii="宋体" w:hAnsi="宋体" w:eastAsia="宋体" w:cs="宋体"/>
                <w:color w:val="auto"/>
                <w:spacing w:val="-1"/>
                <w:sz w:val="24"/>
                <w:szCs w:val="24"/>
              </w:rPr>
              <w:t>参加工作</w:t>
            </w:r>
            <w:r>
              <w:rPr>
                <w:rFonts w:hint="eastAsia" w:ascii="宋体" w:hAnsi="宋体" w:eastAsia="宋体" w:cs="宋体"/>
                <w:color w:val="auto"/>
                <w:sz w:val="24"/>
                <w:szCs w:val="24"/>
              </w:rPr>
              <w:t>时间</w:t>
            </w:r>
          </w:p>
        </w:tc>
        <w:tc>
          <w:tcPr>
            <w:tcW w:w="90"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r>
      <w:tr>
        <w:tblPrEx>
          <w:tblCellMar>
            <w:top w:w="0" w:type="dxa"/>
            <w:left w:w="0" w:type="dxa"/>
            <w:bottom w:w="0" w:type="dxa"/>
            <w:right w:w="0" w:type="dxa"/>
          </w:tblCellMar>
        </w:tblPrEx>
        <w:trPr>
          <w:gridAfter w:val="1"/>
          <w:wAfter w:w="90" w:type="dxa"/>
          <w:trHeight w:val="574" w:hRule="exact"/>
        </w:trPr>
        <w:tc>
          <w:tcPr>
            <w:tcW w:w="9566" w:type="dxa"/>
            <w:gridSpan w:val="9"/>
            <w:tcBorders>
              <w:top w:val="single" w:color="000000" w:sz="2" w:space="0"/>
              <w:left w:val="single" w:color="000000" w:sz="2" w:space="0"/>
              <w:bottom w:val="single" w:color="000000" w:sz="2" w:space="0"/>
              <w:right w:val="single" w:color="000000" w:sz="2" w:space="0"/>
            </w:tcBorders>
            <w:noWrap w:val="0"/>
            <w:vAlign w:val="top"/>
          </w:tcPr>
          <w:p>
            <w:pPr>
              <w:pStyle w:val="64"/>
              <w:kinsoku w:val="0"/>
              <w:overflowPunct w:val="0"/>
              <w:spacing w:before="114"/>
              <w:jc w:val="center"/>
              <w:rPr>
                <w:rFonts w:hint="eastAsia" w:ascii="宋体" w:hAnsi="宋体" w:eastAsia="宋体" w:cs="宋体"/>
                <w:color w:val="auto"/>
                <w:sz w:val="24"/>
                <w:szCs w:val="24"/>
              </w:rPr>
            </w:pPr>
            <w:r>
              <w:rPr>
                <w:rFonts w:hint="eastAsia" w:ascii="宋体" w:hAnsi="宋体" w:eastAsia="宋体" w:cs="宋体"/>
                <w:color w:val="auto"/>
                <w:sz w:val="24"/>
                <w:szCs w:val="24"/>
              </w:rPr>
              <w:t>2、个人简历</w:t>
            </w:r>
          </w:p>
        </w:tc>
      </w:tr>
      <w:tr>
        <w:tblPrEx>
          <w:tblCellMar>
            <w:top w:w="0" w:type="dxa"/>
            <w:left w:w="0" w:type="dxa"/>
            <w:bottom w:w="0" w:type="dxa"/>
            <w:right w:w="0" w:type="dxa"/>
          </w:tblCellMar>
        </w:tblPrEx>
        <w:trPr>
          <w:gridAfter w:val="1"/>
          <w:wAfter w:w="90" w:type="dxa"/>
          <w:trHeight w:val="572" w:hRule="exact"/>
        </w:trPr>
        <w:tc>
          <w:tcPr>
            <w:tcW w:w="1476" w:type="dxa"/>
            <w:gridSpan w:val="2"/>
            <w:tcBorders>
              <w:top w:val="single" w:color="000000" w:sz="2" w:space="0"/>
              <w:left w:val="single" w:color="000000" w:sz="2" w:space="0"/>
              <w:bottom w:val="single" w:color="000000" w:sz="2" w:space="0"/>
              <w:right w:val="single" w:color="000000" w:sz="2" w:space="0"/>
            </w:tcBorders>
            <w:noWrap w:val="0"/>
            <w:vAlign w:val="top"/>
          </w:tcPr>
          <w:p>
            <w:pPr>
              <w:pStyle w:val="64"/>
              <w:kinsoku w:val="0"/>
              <w:overflowPunct w:val="0"/>
              <w:spacing w:before="115"/>
              <w:ind w:left="2"/>
              <w:jc w:val="center"/>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8090" w:type="dxa"/>
            <w:gridSpan w:val="7"/>
            <w:tcBorders>
              <w:top w:val="single" w:color="000000" w:sz="2" w:space="0"/>
              <w:left w:val="single" w:color="000000" w:sz="2" w:space="0"/>
              <w:bottom w:val="single" w:color="000000" w:sz="2" w:space="0"/>
              <w:right w:val="single" w:color="000000" w:sz="2" w:space="0"/>
            </w:tcBorders>
            <w:noWrap w:val="0"/>
            <w:vAlign w:val="top"/>
          </w:tcPr>
          <w:p>
            <w:pPr>
              <w:pStyle w:val="64"/>
              <w:kinsoku w:val="0"/>
              <w:overflowPunct w:val="0"/>
              <w:spacing w:before="115"/>
              <w:ind w:left="2"/>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专业工作经历</w:t>
            </w:r>
          </w:p>
        </w:tc>
      </w:tr>
      <w:tr>
        <w:tblPrEx>
          <w:tblCellMar>
            <w:top w:w="0" w:type="dxa"/>
            <w:left w:w="0" w:type="dxa"/>
            <w:bottom w:w="0" w:type="dxa"/>
            <w:right w:w="0" w:type="dxa"/>
          </w:tblCellMar>
        </w:tblPrEx>
        <w:trPr>
          <w:gridAfter w:val="1"/>
          <w:wAfter w:w="90" w:type="dxa"/>
          <w:trHeight w:val="571" w:hRule="exact"/>
        </w:trPr>
        <w:tc>
          <w:tcPr>
            <w:tcW w:w="1476" w:type="dxa"/>
            <w:gridSpan w:val="2"/>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8090" w:type="dxa"/>
            <w:gridSpan w:val="7"/>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r>
      <w:tr>
        <w:tblPrEx>
          <w:tblCellMar>
            <w:top w:w="0" w:type="dxa"/>
            <w:left w:w="0" w:type="dxa"/>
            <w:bottom w:w="0" w:type="dxa"/>
            <w:right w:w="0" w:type="dxa"/>
          </w:tblCellMar>
        </w:tblPrEx>
        <w:trPr>
          <w:gridAfter w:val="1"/>
          <w:wAfter w:w="90" w:type="dxa"/>
          <w:trHeight w:val="574" w:hRule="exact"/>
        </w:trPr>
        <w:tc>
          <w:tcPr>
            <w:tcW w:w="1476" w:type="dxa"/>
            <w:gridSpan w:val="2"/>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8090" w:type="dxa"/>
            <w:gridSpan w:val="7"/>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r>
      <w:tr>
        <w:tblPrEx>
          <w:tblCellMar>
            <w:top w:w="0" w:type="dxa"/>
            <w:left w:w="0" w:type="dxa"/>
            <w:bottom w:w="0" w:type="dxa"/>
            <w:right w:w="0" w:type="dxa"/>
          </w:tblCellMar>
        </w:tblPrEx>
        <w:trPr>
          <w:gridAfter w:val="1"/>
          <w:wAfter w:w="90" w:type="dxa"/>
          <w:trHeight w:val="571" w:hRule="exact"/>
        </w:trPr>
        <w:tc>
          <w:tcPr>
            <w:tcW w:w="9566" w:type="dxa"/>
            <w:gridSpan w:val="9"/>
            <w:tcBorders>
              <w:top w:val="single" w:color="000000" w:sz="2" w:space="0"/>
              <w:left w:val="single" w:color="000000" w:sz="2" w:space="0"/>
              <w:bottom w:val="single" w:color="000000" w:sz="2" w:space="0"/>
              <w:right w:val="single" w:color="000000" w:sz="2" w:space="0"/>
            </w:tcBorders>
            <w:noWrap w:val="0"/>
            <w:vAlign w:val="top"/>
          </w:tcPr>
          <w:p>
            <w:pPr>
              <w:pStyle w:val="64"/>
              <w:kinsoku w:val="0"/>
              <w:overflowPunct w:val="0"/>
              <w:spacing w:before="114"/>
              <w:ind w:left="3891"/>
              <w:rPr>
                <w:rFonts w:hint="eastAsia" w:ascii="宋体" w:hAnsi="宋体" w:eastAsia="宋体" w:cs="宋体"/>
                <w:color w:val="auto"/>
                <w:sz w:val="24"/>
                <w:szCs w:val="24"/>
              </w:rPr>
            </w:pPr>
            <w:r>
              <w:rPr>
                <w:rFonts w:hint="eastAsia" w:ascii="宋体" w:hAnsi="宋体" w:eastAsia="宋体" w:cs="宋体"/>
                <w:color w:val="auto"/>
                <w:sz w:val="24"/>
                <w:szCs w:val="24"/>
              </w:rPr>
              <w:t>3、近年负责工程项目业绩情况</w:t>
            </w:r>
          </w:p>
        </w:tc>
      </w:tr>
      <w:tr>
        <w:tblPrEx>
          <w:tblCellMar>
            <w:top w:w="0" w:type="dxa"/>
            <w:left w:w="0" w:type="dxa"/>
            <w:bottom w:w="0" w:type="dxa"/>
            <w:right w:w="0" w:type="dxa"/>
          </w:tblCellMar>
        </w:tblPrEx>
        <w:trPr>
          <w:gridAfter w:val="1"/>
          <w:wAfter w:w="90" w:type="dxa"/>
          <w:trHeight w:val="754" w:hRule="exact"/>
        </w:trPr>
        <w:tc>
          <w:tcPr>
            <w:tcW w:w="1032" w:type="dxa"/>
            <w:tcBorders>
              <w:top w:val="single" w:color="000000" w:sz="2" w:space="0"/>
              <w:left w:val="single" w:color="000000" w:sz="2" w:space="0"/>
              <w:bottom w:val="single" w:color="000000" w:sz="2" w:space="0"/>
              <w:right w:val="single" w:color="000000" w:sz="2" w:space="0"/>
            </w:tcBorders>
            <w:noWrap w:val="0"/>
            <w:vAlign w:val="top"/>
          </w:tcPr>
          <w:p>
            <w:pPr>
              <w:pStyle w:val="64"/>
              <w:kinsoku w:val="0"/>
              <w:overflowPunct w:val="0"/>
              <w:spacing w:before="14"/>
              <w:rPr>
                <w:rFonts w:hint="eastAsia" w:ascii="宋体" w:hAnsi="宋体" w:eastAsia="宋体" w:cs="宋体"/>
                <w:b/>
                <w:bCs/>
                <w:color w:val="auto"/>
                <w:sz w:val="24"/>
                <w:szCs w:val="24"/>
              </w:rPr>
            </w:pPr>
          </w:p>
          <w:p>
            <w:pPr>
              <w:pStyle w:val="64"/>
              <w:kinsoku w:val="0"/>
              <w:overflowPunct w:val="0"/>
              <w:ind w:left="302"/>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930" w:type="dxa"/>
            <w:gridSpan w:val="2"/>
            <w:tcBorders>
              <w:top w:val="single" w:color="000000" w:sz="2" w:space="0"/>
              <w:left w:val="single" w:color="000000" w:sz="2" w:space="0"/>
              <w:bottom w:val="single" w:color="000000" w:sz="2" w:space="0"/>
              <w:right w:val="single" w:color="000000" w:sz="2" w:space="0"/>
            </w:tcBorders>
            <w:noWrap w:val="0"/>
            <w:vAlign w:val="top"/>
          </w:tcPr>
          <w:p>
            <w:pPr>
              <w:pStyle w:val="64"/>
              <w:kinsoku w:val="0"/>
              <w:overflowPunct w:val="0"/>
              <w:spacing w:before="14"/>
              <w:rPr>
                <w:rFonts w:hint="eastAsia" w:ascii="宋体" w:hAnsi="宋体" w:eastAsia="宋体" w:cs="宋体"/>
                <w:b/>
                <w:bCs/>
                <w:color w:val="auto"/>
                <w:sz w:val="24"/>
                <w:szCs w:val="24"/>
              </w:rPr>
            </w:pPr>
          </w:p>
          <w:p>
            <w:pPr>
              <w:pStyle w:val="64"/>
              <w:kinsoku w:val="0"/>
              <w:overflowPunct w:val="0"/>
              <w:ind w:left="542"/>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44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64"/>
              <w:keepNext w:val="0"/>
              <w:keepLines w:val="0"/>
              <w:pageBreakBefore w:val="0"/>
              <w:widowControl w:val="0"/>
              <w:kinsoku w:val="0"/>
              <w:wordWrap/>
              <w:overflowPunct w:val="0"/>
              <w:topLinePunct w:val="0"/>
              <w:autoSpaceDE/>
              <w:autoSpaceDN/>
              <w:bidi w:val="0"/>
              <w:adjustRightInd/>
              <w:snapToGrid/>
              <w:spacing w:before="50" w:line="240" w:lineRule="exact"/>
              <w:ind w:left="397" w:right="295" w:hanging="102"/>
              <w:jc w:val="center"/>
              <w:textAlignment w:val="auto"/>
              <w:rPr>
                <w:rFonts w:hint="eastAsia" w:ascii="宋体" w:hAnsi="宋体" w:eastAsia="宋体" w:cs="宋体"/>
                <w:color w:val="auto"/>
                <w:sz w:val="24"/>
                <w:szCs w:val="24"/>
              </w:rPr>
            </w:pPr>
            <w:r>
              <w:rPr>
                <w:rFonts w:hint="eastAsia" w:ascii="宋体" w:hAnsi="宋体" w:eastAsia="宋体" w:cs="宋体"/>
                <w:color w:val="auto"/>
                <w:sz w:val="21"/>
                <w:szCs w:val="21"/>
              </w:rPr>
              <w:t>该项目中任何</w:t>
            </w:r>
            <w:r>
              <w:rPr>
                <w:rFonts w:hint="eastAsia" w:ascii="宋体" w:hAnsi="宋体" w:eastAsia="宋体" w:cs="宋体"/>
                <w:color w:val="auto"/>
                <w:sz w:val="22"/>
                <w:szCs w:val="22"/>
                <w:lang w:eastAsia="zh-CN"/>
              </w:rPr>
              <w:t>职</w:t>
            </w:r>
          </w:p>
        </w:tc>
        <w:tc>
          <w:tcPr>
            <w:tcW w:w="2161" w:type="dxa"/>
            <w:gridSpan w:val="2"/>
            <w:tcBorders>
              <w:top w:val="single" w:color="000000" w:sz="2" w:space="0"/>
              <w:left w:val="single" w:color="000000" w:sz="2" w:space="0"/>
              <w:bottom w:val="single" w:color="000000" w:sz="2" w:space="0"/>
              <w:right w:val="single" w:color="000000" w:sz="2" w:space="0"/>
            </w:tcBorders>
            <w:noWrap w:val="0"/>
            <w:vAlign w:val="top"/>
          </w:tcPr>
          <w:p>
            <w:pPr>
              <w:pStyle w:val="64"/>
              <w:kinsoku w:val="0"/>
              <w:overflowPunct w:val="0"/>
              <w:spacing w:before="14"/>
              <w:rPr>
                <w:rFonts w:hint="eastAsia" w:ascii="宋体" w:hAnsi="宋体" w:eastAsia="宋体" w:cs="宋体"/>
                <w:b/>
                <w:bCs/>
                <w:color w:val="auto"/>
                <w:sz w:val="24"/>
                <w:szCs w:val="24"/>
              </w:rPr>
            </w:pPr>
          </w:p>
          <w:p>
            <w:pPr>
              <w:pStyle w:val="64"/>
              <w:kinsoku w:val="0"/>
              <w:overflowPunct w:val="0"/>
              <w:ind w:left="551"/>
              <w:rPr>
                <w:rFonts w:hint="eastAsia" w:ascii="宋体" w:hAnsi="宋体" w:eastAsia="宋体" w:cs="宋体"/>
                <w:color w:val="auto"/>
                <w:sz w:val="24"/>
                <w:szCs w:val="24"/>
              </w:rPr>
            </w:pPr>
            <w:r>
              <w:rPr>
                <w:rFonts w:hint="eastAsia" w:ascii="宋体" w:hAnsi="宋体" w:eastAsia="宋体" w:cs="宋体"/>
                <w:color w:val="auto"/>
                <w:sz w:val="24"/>
                <w:szCs w:val="24"/>
              </w:rPr>
              <w:t>开竣工时间</w:t>
            </w:r>
          </w:p>
        </w:tc>
        <w:tc>
          <w:tcPr>
            <w:tcW w:w="1800" w:type="dxa"/>
            <w:tcBorders>
              <w:top w:val="single" w:color="000000" w:sz="2" w:space="0"/>
              <w:left w:val="single" w:color="000000" w:sz="2" w:space="0"/>
              <w:bottom w:val="single" w:color="000000" w:sz="2" w:space="0"/>
              <w:right w:val="single" w:color="000000" w:sz="2" w:space="0"/>
            </w:tcBorders>
            <w:noWrap w:val="0"/>
            <w:vAlign w:val="top"/>
          </w:tcPr>
          <w:p>
            <w:pPr>
              <w:pStyle w:val="64"/>
              <w:kinsoku w:val="0"/>
              <w:overflowPunct w:val="0"/>
              <w:spacing w:before="14"/>
              <w:rPr>
                <w:rFonts w:hint="eastAsia" w:ascii="宋体" w:hAnsi="宋体" w:eastAsia="宋体" w:cs="宋体"/>
                <w:b/>
                <w:bCs/>
                <w:color w:val="auto"/>
                <w:sz w:val="24"/>
                <w:szCs w:val="24"/>
              </w:rPr>
            </w:pPr>
          </w:p>
          <w:p>
            <w:pPr>
              <w:pStyle w:val="64"/>
              <w:kinsoku w:val="0"/>
              <w:overflowPunct w:val="0"/>
              <w:ind w:left="477"/>
              <w:rPr>
                <w:rFonts w:hint="eastAsia" w:ascii="宋体" w:hAnsi="宋体" w:eastAsia="宋体" w:cs="宋体"/>
                <w:color w:val="auto"/>
                <w:sz w:val="24"/>
                <w:szCs w:val="24"/>
              </w:rPr>
            </w:pPr>
            <w:r>
              <w:rPr>
                <w:rFonts w:hint="eastAsia" w:ascii="宋体" w:hAnsi="宋体" w:eastAsia="宋体" w:cs="宋体"/>
                <w:color w:val="auto"/>
                <w:sz w:val="24"/>
                <w:szCs w:val="24"/>
              </w:rPr>
              <w:t>质量等级</w:t>
            </w:r>
          </w:p>
        </w:tc>
        <w:tc>
          <w:tcPr>
            <w:tcW w:w="1203" w:type="dxa"/>
            <w:tcBorders>
              <w:top w:val="single" w:color="000000" w:sz="2" w:space="0"/>
              <w:left w:val="single" w:color="000000" w:sz="2" w:space="0"/>
              <w:bottom w:val="single" w:color="000000" w:sz="2" w:space="0"/>
              <w:right w:val="single" w:color="000000" w:sz="2" w:space="0"/>
            </w:tcBorders>
            <w:noWrap w:val="0"/>
            <w:vAlign w:val="top"/>
          </w:tcPr>
          <w:p>
            <w:pPr>
              <w:pStyle w:val="64"/>
              <w:kinsoku w:val="0"/>
              <w:overflowPunct w:val="0"/>
              <w:spacing w:before="14"/>
              <w:rPr>
                <w:rFonts w:hint="eastAsia" w:ascii="宋体" w:hAnsi="宋体" w:eastAsia="宋体" w:cs="宋体"/>
                <w:b/>
                <w:bCs/>
                <w:color w:val="auto"/>
                <w:sz w:val="24"/>
                <w:szCs w:val="24"/>
              </w:rPr>
            </w:pPr>
          </w:p>
          <w:p>
            <w:pPr>
              <w:pStyle w:val="64"/>
              <w:kinsoku w:val="0"/>
              <w:overflowPunct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规模</w:t>
            </w:r>
          </w:p>
        </w:tc>
      </w:tr>
      <w:tr>
        <w:tblPrEx>
          <w:tblCellMar>
            <w:top w:w="0" w:type="dxa"/>
            <w:left w:w="0" w:type="dxa"/>
            <w:bottom w:w="0" w:type="dxa"/>
            <w:right w:w="0" w:type="dxa"/>
          </w:tblCellMar>
        </w:tblPrEx>
        <w:trPr>
          <w:gridAfter w:val="1"/>
          <w:wAfter w:w="90" w:type="dxa"/>
          <w:trHeight w:val="571" w:hRule="exact"/>
        </w:trPr>
        <w:tc>
          <w:tcPr>
            <w:tcW w:w="1032"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930" w:type="dxa"/>
            <w:gridSpan w:val="2"/>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440" w:type="dxa"/>
            <w:gridSpan w:val="2"/>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2161" w:type="dxa"/>
            <w:gridSpan w:val="2"/>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800"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203"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r>
      <w:tr>
        <w:tblPrEx>
          <w:tblCellMar>
            <w:top w:w="0" w:type="dxa"/>
            <w:left w:w="0" w:type="dxa"/>
            <w:bottom w:w="0" w:type="dxa"/>
            <w:right w:w="0" w:type="dxa"/>
          </w:tblCellMar>
        </w:tblPrEx>
        <w:trPr>
          <w:gridAfter w:val="1"/>
          <w:wAfter w:w="90" w:type="dxa"/>
          <w:trHeight w:val="574" w:hRule="exact"/>
        </w:trPr>
        <w:tc>
          <w:tcPr>
            <w:tcW w:w="1032"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930" w:type="dxa"/>
            <w:gridSpan w:val="2"/>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440" w:type="dxa"/>
            <w:gridSpan w:val="2"/>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2161" w:type="dxa"/>
            <w:gridSpan w:val="2"/>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800"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203"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r>
      <w:tr>
        <w:tblPrEx>
          <w:tblCellMar>
            <w:top w:w="0" w:type="dxa"/>
            <w:left w:w="0" w:type="dxa"/>
            <w:bottom w:w="0" w:type="dxa"/>
            <w:right w:w="0" w:type="dxa"/>
          </w:tblCellMar>
        </w:tblPrEx>
        <w:trPr>
          <w:gridAfter w:val="1"/>
          <w:wAfter w:w="90" w:type="dxa"/>
          <w:trHeight w:val="571" w:hRule="exact"/>
        </w:trPr>
        <w:tc>
          <w:tcPr>
            <w:tcW w:w="1032"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930" w:type="dxa"/>
            <w:gridSpan w:val="2"/>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440" w:type="dxa"/>
            <w:gridSpan w:val="2"/>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2161" w:type="dxa"/>
            <w:gridSpan w:val="2"/>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800"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203"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r>
      <w:tr>
        <w:tblPrEx>
          <w:tblCellMar>
            <w:top w:w="0" w:type="dxa"/>
            <w:left w:w="0" w:type="dxa"/>
            <w:bottom w:w="0" w:type="dxa"/>
            <w:right w:w="0" w:type="dxa"/>
          </w:tblCellMar>
        </w:tblPrEx>
        <w:trPr>
          <w:gridAfter w:val="1"/>
          <w:wAfter w:w="90" w:type="dxa"/>
          <w:trHeight w:val="571" w:hRule="exact"/>
        </w:trPr>
        <w:tc>
          <w:tcPr>
            <w:tcW w:w="1032"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930" w:type="dxa"/>
            <w:gridSpan w:val="2"/>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440" w:type="dxa"/>
            <w:gridSpan w:val="2"/>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2161" w:type="dxa"/>
            <w:gridSpan w:val="2"/>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800"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203"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r>
      <w:tr>
        <w:tblPrEx>
          <w:tblCellMar>
            <w:top w:w="0" w:type="dxa"/>
            <w:left w:w="0" w:type="dxa"/>
            <w:bottom w:w="0" w:type="dxa"/>
            <w:right w:w="0" w:type="dxa"/>
          </w:tblCellMar>
        </w:tblPrEx>
        <w:trPr>
          <w:gridAfter w:val="1"/>
          <w:wAfter w:w="90" w:type="dxa"/>
          <w:trHeight w:val="574" w:hRule="exact"/>
        </w:trPr>
        <w:tc>
          <w:tcPr>
            <w:tcW w:w="1032"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930" w:type="dxa"/>
            <w:gridSpan w:val="2"/>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440" w:type="dxa"/>
            <w:gridSpan w:val="2"/>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2161" w:type="dxa"/>
            <w:gridSpan w:val="2"/>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800"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203"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r>
    </w:tbl>
    <w:p>
      <w:pPr>
        <w:pStyle w:val="5"/>
        <w:kinsoku w:val="0"/>
        <w:overflowPunct w:val="0"/>
        <w:spacing w:before="93" w:line="348" w:lineRule="auto"/>
        <w:ind w:left="114"/>
        <w:rPr>
          <w:rFonts w:hint="eastAsia" w:ascii="宋体" w:hAnsi="宋体" w:eastAsia="宋体" w:cs="宋体"/>
          <w:color w:val="auto"/>
          <w:sz w:val="24"/>
          <w:szCs w:val="24"/>
        </w:rPr>
      </w:pPr>
      <w:r>
        <w:rPr>
          <w:rFonts w:hint="eastAsia" w:ascii="宋体" w:hAnsi="宋体" w:eastAsia="宋体" w:cs="宋体"/>
          <w:color w:val="auto"/>
          <w:spacing w:val="-1"/>
          <w:sz w:val="24"/>
          <w:szCs w:val="24"/>
        </w:rPr>
        <w:t>注：1.附</w:t>
      </w:r>
      <w:r>
        <w:rPr>
          <w:rFonts w:hint="eastAsia" w:ascii="宋体" w:hAnsi="宋体" w:eastAsia="宋体" w:cs="宋体"/>
          <w:color w:val="auto"/>
          <w:spacing w:val="-1"/>
          <w:sz w:val="24"/>
          <w:szCs w:val="24"/>
          <w:lang w:eastAsia="zh-CN"/>
        </w:rPr>
        <w:t>相关证件</w:t>
      </w:r>
      <w:r>
        <w:rPr>
          <w:rFonts w:hint="eastAsia" w:ascii="宋体" w:hAnsi="宋体" w:eastAsia="宋体" w:cs="宋体"/>
          <w:color w:val="auto"/>
          <w:spacing w:val="-1"/>
          <w:sz w:val="24"/>
          <w:szCs w:val="24"/>
        </w:rPr>
        <w:t>（</w:t>
      </w:r>
      <w:r>
        <w:rPr>
          <w:rFonts w:hint="eastAsia" w:ascii="宋体" w:hAnsi="宋体" w:eastAsia="宋体" w:cs="宋体"/>
          <w:color w:val="auto"/>
          <w:spacing w:val="-1"/>
          <w:sz w:val="24"/>
          <w:szCs w:val="24"/>
          <w:lang w:eastAsia="zh-CN"/>
        </w:rPr>
        <w:t>毕业证、学位证、职称证等</w:t>
      </w:r>
      <w:r>
        <w:rPr>
          <w:rFonts w:hint="eastAsia" w:ascii="宋体" w:hAnsi="宋体" w:eastAsia="宋体" w:cs="宋体"/>
          <w:color w:val="auto"/>
          <w:sz w:val="24"/>
          <w:szCs w:val="24"/>
        </w:rPr>
        <w:t>）。</w:t>
      </w:r>
    </w:p>
    <w:p>
      <w:pPr>
        <w:pStyle w:val="5"/>
        <w:kinsoku w:val="0"/>
        <w:overflowPunct w:val="0"/>
        <w:spacing w:before="31"/>
        <w:ind w:left="114"/>
        <w:rPr>
          <w:rFonts w:hint="eastAsia" w:ascii="宋体" w:hAnsi="宋体" w:eastAsia="宋体" w:cs="宋体"/>
          <w:color w:val="auto"/>
          <w:sz w:val="24"/>
          <w:szCs w:val="24"/>
        </w:rPr>
      </w:pPr>
      <w:r>
        <w:rPr>
          <w:rFonts w:hint="eastAsia" w:ascii="宋体" w:hAnsi="宋体" w:eastAsia="宋体" w:cs="宋体"/>
          <w:color w:val="auto"/>
          <w:sz w:val="24"/>
          <w:szCs w:val="24"/>
        </w:rPr>
        <w:t>2.本表可在不改变格式的情况下根据具体需要自行增减。</w:t>
      </w:r>
    </w:p>
    <w:p>
      <w:pPr>
        <w:pStyle w:val="5"/>
        <w:kinsoku w:val="0"/>
        <w:overflowPunct w:val="0"/>
        <w:ind w:left="0"/>
        <w:rPr>
          <w:rFonts w:hint="eastAsia" w:ascii="宋体" w:hAnsi="宋体" w:eastAsia="宋体" w:cs="宋体"/>
          <w:color w:val="auto"/>
          <w:sz w:val="24"/>
          <w:szCs w:val="24"/>
        </w:rPr>
      </w:pPr>
    </w:p>
    <w:p>
      <w:pPr>
        <w:pStyle w:val="5"/>
        <w:kinsoku w:val="0"/>
        <w:overflowPunct w:val="0"/>
        <w:spacing w:before="142" w:line="350" w:lineRule="auto"/>
        <w:ind w:left="0" w:leftChars="0" w:right="51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全称（盖章）：</w:t>
      </w:r>
    </w:p>
    <w:p>
      <w:pPr>
        <w:pStyle w:val="5"/>
        <w:kinsoku w:val="0"/>
        <w:overflowPunct w:val="0"/>
        <w:spacing w:before="142" w:line="350" w:lineRule="auto"/>
        <w:ind w:left="0" w:leftChars="0" w:right="510" w:firstLine="0" w:firstLineChars="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法定代表人或其委托代理人（签字）：</w:t>
      </w:r>
    </w:p>
    <w:p>
      <w:pPr>
        <w:pStyle w:val="5"/>
        <w:tabs>
          <w:tab w:val="left" w:pos="422"/>
          <w:tab w:val="left" w:pos="842"/>
          <w:tab w:val="clear" w:pos="567"/>
        </w:tabs>
        <w:kinsoku w:val="0"/>
        <w:overflowPunct w:val="0"/>
        <w:spacing w:before="166"/>
        <w:ind w:left="0" w:right="708"/>
        <w:jc w:val="both"/>
        <w:rPr>
          <w:rFonts w:hint="eastAsia" w:ascii="宋体" w:hAnsi="宋体" w:eastAsia="宋体" w:cs="宋体"/>
          <w:color w:val="auto"/>
          <w:sz w:val="24"/>
          <w:szCs w:val="24"/>
        </w:rPr>
      </w:pPr>
      <w:r>
        <w:rPr>
          <w:rFonts w:hint="eastAsia" w:ascii="宋体" w:hAnsi="宋体" w:eastAsia="宋体" w:cs="宋体"/>
          <w:color w:val="auto"/>
          <w:sz w:val="24"/>
          <w:szCs w:val="24"/>
        </w:rPr>
        <w:t>年</w:t>
      </w:r>
      <w:r>
        <w:rPr>
          <w:rFonts w:hint="eastAsia" w:ascii="宋体" w:hAnsi="宋体" w:eastAsia="宋体" w:cs="宋体"/>
          <w:color w:val="auto"/>
          <w:sz w:val="24"/>
          <w:szCs w:val="24"/>
        </w:rPr>
        <w:tab/>
      </w:r>
      <w:r>
        <w:rPr>
          <w:rFonts w:hint="eastAsia" w:ascii="宋体" w:hAnsi="宋体" w:eastAsia="宋体" w:cs="宋体"/>
          <w:color w:val="auto"/>
          <w:sz w:val="24"/>
          <w:szCs w:val="24"/>
        </w:rPr>
        <w:t>月</w:t>
      </w:r>
      <w:r>
        <w:rPr>
          <w:rFonts w:hint="eastAsia" w:ascii="宋体" w:hAnsi="宋体" w:eastAsia="宋体" w:cs="宋体"/>
          <w:color w:val="auto"/>
          <w:sz w:val="24"/>
          <w:szCs w:val="24"/>
        </w:rPr>
        <w:tab/>
      </w:r>
      <w:r>
        <w:rPr>
          <w:rFonts w:hint="eastAsia" w:ascii="宋体" w:hAnsi="宋体" w:eastAsia="宋体" w:cs="宋体"/>
          <w:color w:val="auto"/>
          <w:sz w:val="24"/>
          <w:szCs w:val="24"/>
        </w:rPr>
        <w:t>日</w:t>
      </w:r>
    </w:p>
    <w:p>
      <w:pPr>
        <w:pStyle w:val="14"/>
        <w:tabs>
          <w:tab w:val="left" w:pos="5580"/>
        </w:tabs>
        <w:spacing w:line="240" w:lineRule="atLeast"/>
        <w:jc w:val="both"/>
        <w:rPr>
          <w:rFonts w:hint="eastAsia" w:ascii="宋体" w:hAnsi="宋体" w:eastAsia="宋体" w:cs="宋体"/>
          <w:b/>
          <w:i w:val="0"/>
          <w:iCs w:val="0"/>
          <w:color w:val="auto"/>
          <w:kern w:val="0"/>
          <w:sz w:val="28"/>
          <w:szCs w:val="21"/>
          <w:lang w:val="en-US" w:eastAsia="zh-CN" w:bidi="ar-SA"/>
        </w:rPr>
        <w:sectPr>
          <w:footerReference r:id="rId7" w:type="first"/>
          <w:footerReference r:id="rId5" w:type="default"/>
          <w:footerReference r:id="rId6" w:type="even"/>
          <w:pgSz w:w="11906" w:h="16838"/>
          <w:pgMar w:top="1440" w:right="1797" w:bottom="1440" w:left="1797" w:header="851" w:footer="992" w:gutter="0"/>
          <w:pgNumType w:fmt="decimal"/>
          <w:cols w:space="720" w:num="1"/>
          <w:docGrid w:type="linesAndChars" w:linePitch="312" w:charSpace="0"/>
        </w:sectPr>
      </w:pPr>
    </w:p>
    <w:p>
      <w:pPr>
        <w:pStyle w:val="4"/>
        <w:numPr>
          <w:ilvl w:val="0"/>
          <w:numId w:val="3"/>
        </w:numPr>
        <w:spacing w:line="360" w:lineRule="auto"/>
        <w:jc w:val="left"/>
        <w:rPr>
          <w:rFonts w:hint="eastAsia" w:ascii="宋体" w:hAnsi="宋体" w:eastAsia="宋体" w:cs="宋体"/>
          <w:color w:val="auto"/>
          <w:sz w:val="24"/>
          <w:szCs w:val="24"/>
        </w:rPr>
      </w:pPr>
      <w:bookmarkStart w:id="189" w:name="_Toc500369487"/>
      <w:bookmarkStart w:id="190" w:name="_Toc22994"/>
      <w:bookmarkStart w:id="191" w:name="_Toc32759"/>
      <w:r>
        <w:rPr>
          <w:rFonts w:hint="eastAsia" w:ascii="宋体" w:hAnsi="宋体" w:eastAsia="宋体" w:cs="宋体"/>
          <w:color w:val="auto"/>
          <w:sz w:val="24"/>
          <w:szCs w:val="24"/>
        </w:rPr>
        <w:t>本项目主要技术人员一览表</w:t>
      </w:r>
      <w:bookmarkEnd w:id="189"/>
      <w:bookmarkEnd w:id="190"/>
      <w:bookmarkEnd w:id="191"/>
    </w:p>
    <w:p>
      <w:pPr>
        <w:pStyle w:val="5"/>
        <w:numPr>
          <w:ilvl w:val="0"/>
          <w:numId w:val="0"/>
        </w:numPr>
        <w:rPr>
          <w:rFonts w:hint="eastAsia"/>
          <w:color w:val="auto"/>
        </w:rPr>
      </w:pPr>
    </w:p>
    <w:tbl>
      <w:tblPr>
        <w:tblStyle w:val="33"/>
        <w:tblW w:w="0" w:type="auto"/>
        <w:jc w:val="center"/>
        <w:tblLayout w:type="fixed"/>
        <w:tblCellMar>
          <w:top w:w="0" w:type="dxa"/>
          <w:left w:w="0" w:type="dxa"/>
          <w:bottom w:w="0" w:type="dxa"/>
          <w:right w:w="0" w:type="dxa"/>
        </w:tblCellMar>
      </w:tblPr>
      <w:tblGrid>
        <w:gridCol w:w="807"/>
        <w:gridCol w:w="1461"/>
        <w:gridCol w:w="932"/>
        <w:gridCol w:w="900"/>
        <w:gridCol w:w="1118"/>
        <w:gridCol w:w="1911"/>
        <w:gridCol w:w="1486"/>
        <w:gridCol w:w="1025"/>
      </w:tblGrid>
      <w:tr>
        <w:tblPrEx>
          <w:tblCellMar>
            <w:top w:w="0" w:type="dxa"/>
            <w:left w:w="0" w:type="dxa"/>
            <w:bottom w:w="0" w:type="dxa"/>
            <w:right w:w="0" w:type="dxa"/>
          </w:tblCellMar>
        </w:tblPrEx>
        <w:trPr>
          <w:trHeight w:val="787" w:hRule="exact"/>
          <w:jc w:val="center"/>
        </w:trPr>
        <w:tc>
          <w:tcPr>
            <w:tcW w:w="807" w:type="dxa"/>
            <w:tcBorders>
              <w:top w:val="single" w:color="000000" w:sz="2" w:space="0"/>
              <w:left w:val="single" w:color="000000" w:sz="2" w:space="0"/>
              <w:bottom w:val="single" w:color="000000" w:sz="2" w:space="0"/>
              <w:right w:val="single" w:color="000000" w:sz="2" w:space="0"/>
            </w:tcBorders>
            <w:noWrap w:val="0"/>
            <w:vAlign w:val="top"/>
          </w:tcPr>
          <w:p>
            <w:pPr>
              <w:pStyle w:val="64"/>
              <w:kinsoku w:val="0"/>
              <w:overflowPunct w:val="0"/>
              <w:spacing w:before="14"/>
              <w:rPr>
                <w:rFonts w:hint="eastAsia" w:ascii="宋体" w:hAnsi="宋体" w:eastAsia="宋体" w:cs="宋体"/>
                <w:b/>
                <w:bCs/>
                <w:color w:val="auto"/>
                <w:sz w:val="24"/>
                <w:szCs w:val="24"/>
              </w:rPr>
            </w:pPr>
          </w:p>
          <w:p>
            <w:pPr>
              <w:pStyle w:val="64"/>
              <w:kinsoku w:val="0"/>
              <w:overflowPunct w:val="0"/>
              <w:ind w:left="190"/>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461" w:type="dxa"/>
            <w:tcBorders>
              <w:top w:val="single" w:color="000000" w:sz="2" w:space="0"/>
              <w:left w:val="single" w:color="000000" w:sz="2" w:space="0"/>
              <w:bottom w:val="single" w:color="000000" w:sz="2" w:space="0"/>
              <w:right w:val="single" w:color="000000" w:sz="2" w:space="0"/>
            </w:tcBorders>
            <w:noWrap w:val="0"/>
            <w:vAlign w:val="top"/>
          </w:tcPr>
          <w:p>
            <w:pPr>
              <w:pStyle w:val="64"/>
              <w:kinsoku w:val="0"/>
              <w:overflowPunct w:val="0"/>
              <w:spacing w:before="14"/>
              <w:rPr>
                <w:rFonts w:hint="eastAsia" w:ascii="宋体" w:hAnsi="宋体" w:eastAsia="宋体" w:cs="宋体"/>
                <w:b/>
                <w:bCs/>
                <w:color w:val="auto"/>
                <w:sz w:val="24"/>
                <w:szCs w:val="24"/>
              </w:rPr>
            </w:pPr>
          </w:p>
          <w:p>
            <w:pPr>
              <w:pStyle w:val="64"/>
              <w:kinsoku w:val="0"/>
              <w:overflowPunct w:val="0"/>
              <w:ind w:left="309"/>
              <w:rPr>
                <w:rFonts w:hint="eastAsia" w:ascii="宋体" w:hAnsi="宋体" w:eastAsia="宋体" w:cs="宋体"/>
                <w:color w:val="auto"/>
                <w:sz w:val="24"/>
                <w:szCs w:val="24"/>
              </w:rPr>
            </w:pPr>
            <w:r>
              <w:rPr>
                <w:rFonts w:hint="eastAsia" w:ascii="宋体" w:hAnsi="宋体" w:eastAsia="宋体" w:cs="宋体"/>
                <w:color w:val="auto"/>
                <w:sz w:val="24"/>
                <w:szCs w:val="24"/>
              </w:rPr>
              <w:t>专业学历</w:t>
            </w:r>
          </w:p>
        </w:tc>
        <w:tc>
          <w:tcPr>
            <w:tcW w:w="932" w:type="dxa"/>
            <w:tcBorders>
              <w:top w:val="single" w:color="000000" w:sz="2" w:space="0"/>
              <w:left w:val="single" w:color="000000" w:sz="2" w:space="0"/>
              <w:bottom w:val="single" w:color="000000" w:sz="2" w:space="0"/>
              <w:right w:val="single" w:color="000000" w:sz="2" w:space="0"/>
            </w:tcBorders>
            <w:noWrap w:val="0"/>
            <w:vAlign w:val="top"/>
          </w:tcPr>
          <w:p>
            <w:pPr>
              <w:pStyle w:val="64"/>
              <w:kinsoku w:val="0"/>
              <w:overflowPunct w:val="0"/>
              <w:spacing w:before="14"/>
              <w:rPr>
                <w:rFonts w:hint="eastAsia" w:ascii="宋体" w:hAnsi="宋体" w:eastAsia="宋体" w:cs="宋体"/>
                <w:b/>
                <w:bCs/>
                <w:color w:val="auto"/>
                <w:sz w:val="24"/>
                <w:szCs w:val="24"/>
              </w:rPr>
            </w:pPr>
          </w:p>
          <w:p>
            <w:pPr>
              <w:pStyle w:val="64"/>
              <w:kinsoku w:val="0"/>
              <w:overflowPunct w:val="0"/>
              <w:ind w:left="252"/>
              <w:rPr>
                <w:rFonts w:hint="eastAsia" w:ascii="宋体" w:hAnsi="宋体" w:eastAsia="宋体" w:cs="宋体"/>
                <w:color w:val="auto"/>
                <w:sz w:val="24"/>
                <w:szCs w:val="24"/>
              </w:rPr>
            </w:pPr>
            <w:r>
              <w:rPr>
                <w:rFonts w:hint="eastAsia" w:ascii="宋体" w:hAnsi="宋体" w:eastAsia="宋体" w:cs="宋体"/>
                <w:color w:val="auto"/>
                <w:sz w:val="24"/>
                <w:szCs w:val="24"/>
              </w:rPr>
              <w:t>性别</w:t>
            </w:r>
          </w:p>
        </w:tc>
        <w:tc>
          <w:tcPr>
            <w:tcW w:w="900" w:type="dxa"/>
            <w:tcBorders>
              <w:top w:val="single" w:color="000000" w:sz="2" w:space="0"/>
              <w:left w:val="single" w:color="000000" w:sz="2" w:space="0"/>
              <w:bottom w:val="single" w:color="000000" w:sz="2" w:space="0"/>
              <w:right w:val="single" w:color="000000" w:sz="2" w:space="0"/>
            </w:tcBorders>
            <w:noWrap w:val="0"/>
            <w:vAlign w:val="top"/>
          </w:tcPr>
          <w:p>
            <w:pPr>
              <w:pStyle w:val="64"/>
              <w:kinsoku w:val="0"/>
              <w:overflowPunct w:val="0"/>
              <w:spacing w:before="14"/>
              <w:rPr>
                <w:rFonts w:hint="eastAsia" w:ascii="宋体" w:hAnsi="宋体" w:eastAsia="宋体" w:cs="宋体"/>
                <w:b/>
                <w:bCs/>
                <w:color w:val="auto"/>
                <w:sz w:val="24"/>
                <w:szCs w:val="24"/>
              </w:rPr>
            </w:pPr>
          </w:p>
          <w:p>
            <w:pPr>
              <w:pStyle w:val="64"/>
              <w:kinsoku w:val="0"/>
              <w:overflowPunct w:val="0"/>
              <w:ind w:left="237"/>
              <w:rPr>
                <w:rFonts w:hint="eastAsia" w:ascii="宋体" w:hAnsi="宋体" w:eastAsia="宋体" w:cs="宋体"/>
                <w:color w:val="auto"/>
                <w:sz w:val="24"/>
                <w:szCs w:val="24"/>
              </w:rPr>
            </w:pPr>
            <w:r>
              <w:rPr>
                <w:rFonts w:hint="eastAsia" w:ascii="宋体" w:hAnsi="宋体" w:eastAsia="宋体" w:cs="宋体"/>
                <w:color w:val="auto"/>
                <w:sz w:val="24"/>
                <w:szCs w:val="24"/>
              </w:rPr>
              <w:t>年龄</w:t>
            </w:r>
          </w:p>
        </w:tc>
        <w:tc>
          <w:tcPr>
            <w:tcW w:w="1118" w:type="dxa"/>
            <w:tcBorders>
              <w:top w:val="single" w:color="000000" w:sz="2" w:space="0"/>
              <w:left w:val="single" w:color="000000" w:sz="2" w:space="0"/>
              <w:bottom w:val="single" w:color="000000" w:sz="2" w:space="0"/>
              <w:right w:val="single" w:color="000000" w:sz="2" w:space="0"/>
            </w:tcBorders>
            <w:noWrap w:val="0"/>
            <w:vAlign w:val="top"/>
          </w:tcPr>
          <w:p>
            <w:pPr>
              <w:pStyle w:val="64"/>
              <w:kinsoku w:val="0"/>
              <w:overflowPunct w:val="0"/>
              <w:spacing w:before="14"/>
              <w:rPr>
                <w:rFonts w:hint="eastAsia" w:ascii="宋体" w:hAnsi="宋体" w:eastAsia="宋体" w:cs="宋体"/>
                <w:b/>
                <w:bCs/>
                <w:color w:val="auto"/>
                <w:sz w:val="24"/>
                <w:szCs w:val="24"/>
              </w:rPr>
            </w:pPr>
          </w:p>
          <w:p>
            <w:pPr>
              <w:pStyle w:val="64"/>
              <w:kinsoku w:val="0"/>
              <w:overflowPunct w:val="0"/>
              <w:ind w:left="136"/>
              <w:rPr>
                <w:rFonts w:hint="eastAsia" w:ascii="宋体" w:hAnsi="宋体" w:eastAsia="宋体" w:cs="宋体"/>
                <w:color w:val="auto"/>
                <w:sz w:val="24"/>
                <w:szCs w:val="24"/>
              </w:rPr>
            </w:pPr>
            <w:r>
              <w:rPr>
                <w:rFonts w:hint="eastAsia" w:ascii="宋体" w:hAnsi="宋体" w:eastAsia="宋体" w:cs="宋体"/>
                <w:color w:val="auto"/>
                <w:sz w:val="24"/>
                <w:szCs w:val="24"/>
              </w:rPr>
              <w:t>职称职务</w:t>
            </w:r>
          </w:p>
        </w:tc>
        <w:tc>
          <w:tcPr>
            <w:tcW w:w="1911" w:type="dxa"/>
            <w:tcBorders>
              <w:top w:val="single" w:color="000000" w:sz="2" w:space="0"/>
              <w:left w:val="single" w:color="000000" w:sz="2" w:space="0"/>
              <w:bottom w:val="single" w:color="000000" w:sz="2" w:space="0"/>
              <w:right w:val="single" w:color="000000" w:sz="2" w:space="0"/>
            </w:tcBorders>
            <w:noWrap w:val="0"/>
            <w:vAlign w:val="top"/>
          </w:tcPr>
          <w:p>
            <w:pPr>
              <w:pStyle w:val="64"/>
              <w:kinsoku w:val="0"/>
              <w:overflowPunct w:val="0"/>
              <w:spacing w:before="14"/>
              <w:rPr>
                <w:rFonts w:hint="eastAsia" w:ascii="宋体" w:hAnsi="宋体" w:eastAsia="宋体" w:cs="宋体"/>
                <w:b/>
                <w:bCs/>
                <w:color w:val="auto"/>
                <w:sz w:val="24"/>
                <w:szCs w:val="24"/>
              </w:rPr>
            </w:pPr>
          </w:p>
          <w:p>
            <w:pPr>
              <w:pStyle w:val="64"/>
              <w:kinsoku w:val="0"/>
              <w:overflowPunct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专业工作年限</w:t>
            </w:r>
          </w:p>
        </w:tc>
        <w:tc>
          <w:tcPr>
            <w:tcW w:w="1486" w:type="dxa"/>
            <w:tcBorders>
              <w:top w:val="single" w:color="000000" w:sz="2" w:space="0"/>
              <w:left w:val="single" w:color="000000" w:sz="2" w:space="0"/>
              <w:bottom w:val="single" w:color="000000" w:sz="2" w:space="0"/>
              <w:right w:val="single" w:color="000000" w:sz="2" w:space="0"/>
            </w:tcBorders>
            <w:noWrap w:val="0"/>
            <w:vAlign w:val="top"/>
          </w:tcPr>
          <w:p>
            <w:pPr>
              <w:pStyle w:val="64"/>
              <w:keepNext w:val="0"/>
              <w:keepLines w:val="0"/>
              <w:pageBreakBefore w:val="0"/>
              <w:widowControl w:val="0"/>
              <w:kinsoku w:val="0"/>
              <w:wordWrap/>
              <w:overflowPunct w:val="0"/>
              <w:topLinePunct w:val="0"/>
              <w:autoSpaceDE/>
              <w:autoSpaceDN/>
              <w:bidi w:val="0"/>
              <w:adjustRightInd/>
              <w:snapToGrid/>
              <w:spacing w:before="66" w:line="240" w:lineRule="exact"/>
              <w:ind w:left="317" w:right="317"/>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在本项目分工职</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责</w:t>
            </w:r>
          </w:p>
        </w:tc>
        <w:tc>
          <w:tcPr>
            <w:tcW w:w="1025" w:type="dxa"/>
            <w:tcBorders>
              <w:top w:val="single" w:color="000000" w:sz="2" w:space="0"/>
              <w:left w:val="single" w:color="000000" w:sz="2" w:space="0"/>
              <w:bottom w:val="single" w:color="000000" w:sz="2" w:space="0"/>
              <w:right w:val="single" w:color="000000" w:sz="2" w:space="0"/>
            </w:tcBorders>
            <w:noWrap w:val="0"/>
            <w:vAlign w:val="top"/>
          </w:tcPr>
          <w:p>
            <w:pPr>
              <w:pStyle w:val="64"/>
              <w:kinsoku w:val="0"/>
              <w:overflowPunct w:val="0"/>
              <w:spacing w:before="14"/>
              <w:rPr>
                <w:rFonts w:hint="eastAsia" w:ascii="宋体" w:hAnsi="宋体" w:eastAsia="宋体" w:cs="宋体"/>
                <w:b/>
                <w:bCs/>
                <w:color w:val="auto"/>
                <w:sz w:val="24"/>
                <w:szCs w:val="24"/>
              </w:rPr>
            </w:pPr>
          </w:p>
          <w:p>
            <w:pPr>
              <w:pStyle w:val="64"/>
              <w:kinsoku w:val="0"/>
              <w:overflowPunct w:val="0"/>
              <w:ind w:left="300"/>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CellMar>
            <w:top w:w="0" w:type="dxa"/>
            <w:left w:w="0" w:type="dxa"/>
            <w:bottom w:w="0" w:type="dxa"/>
            <w:right w:w="0" w:type="dxa"/>
          </w:tblCellMar>
        </w:tblPrEx>
        <w:trPr>
          <w:trHeight w:val="686" w:hRule="exact"/>
          <w:jc w:val="center"/>
        </w:trPr>
        <w:tc>
          <w:tcPr>
            <w:tcW w:w="807"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461"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932"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900"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118"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911"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486"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025"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684" w:hRule="exact"/>
          <w:jc w:val="center"/>
        </w:trPr>
        <w:tc>
          <w:tcPr>
            <w:tcW w:w="807"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461"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932"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900"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118"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911"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486"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025"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686" w:hRule="exact"/>
          <w:jc w:val="center"/>
        </w:trPr>
        <w:tc>
          <w:tcPr>
            <w:tcW w:w="807"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461"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932"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900"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118"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911"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486"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025"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685" w:hRule="exact"/>
          <w:jc w:val="center"/>
        </w:trPr>
        <w:tc>
          <w:tcPr>
            <w:tcW w:w="807"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461"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932"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900"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118"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911"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486"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025"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684" w:hRule="exact"/>
          <w:jc w:val="center"/>
        </w:trPr>
        <w:tc>
          <w:tcPr>
            <w:tcW w:w="807"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461"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932"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900"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118"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911"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486"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025"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686" w:hRule="exact"/>
          <w:jc w:val="center"/>
        </w:trPr>
        <w:tc>
          <w:tcPr>
            <w:tcW w:w="807"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461"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932"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900"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118"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911"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486"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025"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684" w:hRule="exact"/>
          <w:jc w:val="center"/>
        </w:trPr>
        <w:tc>
          <w:tcPr>
            <w:tcW w:w="807"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461"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932"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900"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118"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911"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486"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025"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686" w:hRule="exact"/>
          <w:jc w:val="center"/>
        </w:trPr>
        <w:tc>
          <w:tcPr>
            <w:tcW w:w="807"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461"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932"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900"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118"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911"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486"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025"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684" w:hRule="exact"/>
          <w:jc w:val="center"/>
        </w:trPr>
        <w:tc>
          <w:tcPr>
            <w:tcW w:w="807"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461"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932"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900"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118"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911"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486"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025"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r>
      <w:tr>
        <w:trPr>
          <w:trHeight w:val="684" w:hRule="exact"/>
          <w:jc w:val="center"/>
        </w:trPr>
        <w:tc>
          <w:tcPr>
            <w:tcW w:w="807"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461"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932"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900"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118"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911"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486"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025"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686" w:hRule="exact"/>
          <w:jc w:val="center"/>
        </w:trPr>
        <w:tc>
          <w:tcPr>
            <w:tcW w:w="807"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461"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932"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900"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118"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911"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486"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c>
          <w:tcPr>
            <w:tcW w:w="1025"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color w:val="auto"/>
                <w:sz w:val="24"/>
                <w:szCs w:val="24"/>
              </w:rPr>
            </w:pPr>
          </w:p>
        </w:tc>
      </w:tr>
    </w:tbl>
    <w:p>
      <w:pPr>
        <w:pStyle w:val="67"/>
        <w:spacing w:line="360" w:lineRule="auto"/>
        <w:ind w:left="0" w:leftChars="0" w:firstLine="0" w:firstLineChars="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项目主要技术管理人员应为专业技术人员和</w:t>
      </w:r>
      <w:r>
        <w:rPr>
          <w:rFonts w:hint="eastAsia" w:ascii="宋体" w:hAnsi="宋体" w:eastAsia="宋体" w:cs="宋体"/>
          <w:color w:val="auto"/>
          <w:spacing w:val="-2"/>
          <w:sz w:val="24"/>
          <w:szCs w:val="24"/>
          <w:lang w:val="en-US" w:eastAsia="zh-CN"/>
        </w:rPr>
        <w:t>与本项目</w:t>
      </w:r>
      <w:r>
        <w:rPr>
          <w:rFonts w:hint="eastAsia" w:ascii="宋体" w:hAnsi="宋体" w:eastAsia="宋体" w:cs="宋体"/>
          <w:color w:val="auto"/>
          <w:spacing w:val="-2"/>
          <w:sz w:val="24"/>
          <w:szCs w:val="24"/>
        </w:rPr>
        <w:t>相关专业技术人员，是指取得</w:t>
      </w:r>
      <w:r>
        <w:rPr>
          <w:rFonts w:hint="eastAsia" w:ascii="宋体" w:hAnsi="宋体" w:eastAsia="宋体" w:cs="宋体"/>
          <w:color w:val="auto"/>
          <w:spacing w:val="-2"/>
          <w:sz w:val="24"/>
          <w:szCs w:val="24"/>
          <w:lang w:val="en-US" w:eastAsia="zh-CN"/>
        </w:rPr>
        <w:t>与本项目</w:t>
      </w:r>
      <w:r>
        <w:rPr>
          <w:rFonts w:hint="eastAsia" w:ascii="宋体" w:hAnsi="宋体" w:eastAsia="宋体" w:cs="宋体"/>
          <w:color w:val="auto"/>
          <w:spacing w:val="-2"/>
          <w:sz w:val="24"/>
          <w:szCs w:val="24"/>
        </w:rPr>
        <w:t>相关专业技术任职资格的人员。</w:t>
      </w:r>
    </w:p>
    <w:p>
      <w:pPr>
        <w:pStyle w:val="5"/>
        <w:kinsoku w:val="0"/>
        <w:overflowPunct w:val="0"/>
        <w:ind w:left="0"/>
        <w:rPr>
          <w:rFonts w:hint="eastAsia" w:ascii="宋体" w:hAnsi="宋体" w:eastAsia="宋体" w:cs="宋体"/>
          <w:color w:val="auto"/>
          <w:sz w:val="24"/>
          <w:szCs w:val="24"/>
        </w:rPr>
      </w:pPr>
    </w:p>
    <w:p>
      <w:pPr>
        <w:pStyle w:val="5"/>
        <w:kinsoku w:val="0"/>
        <w:overflowPunct w:val="0"/>
        <w:spacing w:before="170" w:line="350" w:lineRule="auto"/>
        <w:ind w:left="0" w:leftChars="0" w:right="9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全称（盖章）：</w:t>
      </w:r>
    </w:p>
    <w:p>
      <w:pPr>
        <w:pStyle w:val="5"/>
        <w:kinsoku w:val="0"/>
        <w:overflowPunct w:val="0"/>
        <w:spacing w:before="170" w:line="350" w:lineRule="auto"/>
        <w:ind w:left="0" w:leftChars="0" w:right="90" w:firstLine="0" w:firstLineChars="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法定代表人或其委托代理人（签字）：</w:t>
      </w:r>
    </w:p>
    <w:p>
      <w:pPr>
        <w:pStyle w:val="5"/>
        <w:tabs>
          <w:tab w:val="left" w:pos="422"/>
          <w:tab w:val="left" w:pos="842"/>
          <w:tab w:val="clear" w:pos="567"/>
        </w:tabs>
        <w:kinsoku w:val="0"/>
        <w:overflowPunct w:val="0"/>
        <w:spacing w:before="166"/>
        <w:ind w:left="0" w:right="288"/>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年</w:t>
      </w:r>
      <w:r>
        <w:rPr>
          <w:rFonts w:hint="eastAsia" w:ascii="宋体" w:hAnsi="宋体" w:eastAsia="宋体" w:cs="宋体"/>
          <w:color w:val="auto"/>
          <w:sz w:val="24"/>
          <w:szCs w:val="24"/>
        </w:rPr>
        <w:tab/>
      </w:r>
      <w:r>
        <w:rPr>
          <w:rFonts w:hint="eastAsia" w:ascii="宋体" w:hAnsi="宋体" w:eastAsia="宋体" w:cs="宋体"/>
          <w:color w:val="auto"/>
          <w:sz w:val="24"/>
          <w:szCs w:val="24"/>
        </w:rPr>
        <w:t>月</w:t>
      </w:r>
      <w:r>
        <w:rPr>
          <w:rFonts w:hint="eastAsia" w:ascii="宋体" w:hAnsi="宋体" w:eastAsia="宋体" w:cs="宋体"/>
          <w:color w:val="auto"/>
          <w:sz w:val="24"/>
          <w:szCs w:val="24"/>
        </w:rPr>
        <w:tab/>
      </w:r>
      <w:r>
        <w:rPr>
          <w:rFonts w:hint="eastAsia" w:ascii="宋体" w:hAnsi="宋体" w:eastAsia="宋体" w:cs="宋体"/>
          <w:color w:val="auto"/>
          <w:sz w:val="24"/>
          <w:szCs w:val="24"/>
          <w:lang w:eastAsia="zh-CN"/>
        </w:rPr>
        <w:t>日</w:t>
      </w:r>
    </w:p>
    <w:p>
      <w:pPr>
        <w:pStyle w:val="14"/>
        <w:numPr>
          <w:ilvl w:val="0"/>
          <w:numId w:val="0"/>
        </w:numPr>
        <w:tabs>
          <w:tab w:val="left" w:pos="5580"/>
        </w:tabs>
        <w:spacing w:line="360" w:lineRule="auto"/>
        <w:rPr>
          <w:rFonts w:hint="eastAsia" w:hAnsi="宋体" w:eastAsia="宋体" w:cs="宋体"/>
          <w:b w:val="0"/>
          <w:bCs/>
          <w:i w:val="0"/>
          <w:iCs w:val="0"/>
          <w:color w:val="auto"/>
          <w:kern w:val="0"/>
          <w:sz w:val="24"/>
          <w:szCs w:val="20"/>
          <w:lang w:val="en-US" w:eastAsia="zh-CN" w:bidi="ar-SA"/>
        </w:rPr>
      </w:pPr>
    </w:p>
    <w:p>
      <w:pPr>
        <w:pStyle w:val="14"/>
        <w:numPr>
          <w:ilvl w:val="0"/>
          <w:numId w:val="0"/>
        </w:numPr>
        <w:tabs>
          <w:tab w:val="left" w:pos="5580"/>
        </w:tabs>
        <w:spacing w:line="360" w:lineRule="auto"/>
        <w:ind w:leftChars="257"/>
        <w:rPr>
          <w:rFonts w:hint="eastAsia" w:hAnsi="宋体" w:eastAsia="宋体" w:cs="宋体"/>
          <w:b w:val="0"/>
          <w:bCs/>
          <w:i w:val="0"/>
          <w:iCs w:val="0"/>
          <w:color w:val="auto"/>
          <w:kern w:val="0"/>
          <w:sz w:val="24"/>
          <w:szCs w:val="20"/>
          <w:lang w:val="en-US" w:eastAsia="zh-CN" w:bidi="ar-SA"/>
        </w:rPr>
      </w:pPr>
    </w:p>
    <w:p>
      <w:pPr>
        <w:pStyle w:val="14"/>
        <w:numPr>
          <w:ilvl w:val="0"/>
          <w:numId w:val="0"/>
        </w:numPr>
        <w:tabs>
          <w:tab w:val="left" w:pos="5580"/>
        </w:tabs>
        <w:spacing w:line="360" w:lineRule="auto"/>
        <w:rPr>
          <w:rFonts w:hint="eastAsia" w:hAnsi="宋体" w:eastAsia="宋体" w:cs="宋体"/>
          <w:b w:val="0"/>
          <w:bCs/>
          <w:i w:val="0"/>
          <w:iCs w:val="0"/>
          <w:color w:val="auto"/>
          <w:kern w:val="0"/>
          <w:sz w:val="24"/>
          <w:szCs w:val="20"/>
          <w:lang w:val="en-US" w:eastAsia="zh-CN" w:bidi="ar-SA"/>
        </w:rPr>
      </w:pPr>
    </w:p>
    <w:p>
      <w:pPr>
        <w:pStyle w:val="14"/>
        <w:numPr>
          <w:ilvl w:val="0"/>
          <w:numId w:val="0"/>
        </w:numPr>
        <w:tabs>
          <w:tab w:val="left" w:pos="5580"/>
        </w:tabs>
        <w:spacing w:line="360" w:lineRule="auto"/>
        <w:ind w:leftChars="257"/>
        <w:rPr>
          <w:rFonts w:hint="eastAsia" w:ascii="宋体" w:hAnsi="宋体" w:eastAsia="宋体" w:cs="宋体"/>
          <w:b w:val="0"/>
          <w:bCs/>
          <w:i w:val="0"/>
          <w:iCs w:val="0"/>
          <w:color w:val="auto"/>
          <w:kern w:val="0"/>
          <w:sz w:val="24"/>
          <w:szCs w:val="20"/>
          <w:lang w:val="en-US" w:eastAsia="zh-CN" w:bidi="ar-SA"/>
        </w:rPr>
      </w:pPr>
      <w:r>
        <w:rPr>
          <w:rFonts w:hint="eastAsia" w:hAnsi="宋体" w:eastAsia="宋体" w:cs="宋体"/>
          <w:b w:val="0"/>
          <w:bCs/>
          <w:i w:val="0"/>
          <w:iCs w:val="0"/>
          <w:color w:val="auto"/>
          <w:kern w:val="0"/>
          <w:sz w:val="24"/>
          <w:szCs w:val="20"/>
          <w:lang w:val="en-US" w:eastAsia="zh-CN" w:bidi="ar-SA"/>
        </w:rPr>
        <w:t>9、</w:t>
      </w:r>
      <w:r>
        <w:rPr>
          <w:rFonts w:hint="eastAsia" w:ascii="宋体" w:hAnsi="宋体" w:eastAsia="宋体" w:cs="宋体"/>
          <w:b w:val="0"/>
          <w:bCs/>
          <w:i w:val="0"/>
          <w:iCs w:val="0"/>
          <w:color w:val="auto"/>
          <w:kern w:val="0"/>
          <w:sz w:val="24"/>
          <w:szCs w:val="20"/>
          <w:lang w:val="en-US" w:eastAsia="zh-CN" w:bidi="ar-SA"/>
        </w:rPr>
        <w:t>参加采购活动前三年内，在经营活动中没有重大违法记录(受行政主管</w:t>
      </w:r>
    </w:p>
    <w:p>
      <w:pPr>
        <w:pStyle w:val="14"/>
        <w:numPr>
          <w:ilvl w:val="0"/>
          <w:numId w:val="0"/>
        </w:numPr>
        <w:tabs>
          <w:tab w:val="left" w:pos="5580"/>
        </w:tabs>
        <w:spacing w:line="360" w:lineRule="auto"/>
        <w:ind w:leftChars="257"/>
        <w:rPr>
          <w:rFonts w:hint="eastAsia" w:ascii="宋体" w:hAnsi="宋体" w:eastAsia="宋体" w:cs="宋体"/>
          <w:b w:val="0"/>
          <w:bCs/>
          <w:i w:val="0"/>
          <w:iCs w:val="0"/>
          <w:color w:val="auto"/>
          <w:kern w:val="0"/>
          <w:sz w:val="24"/>
          <w:szCs w:val="20"/>
          <w:lang w:val="en-US" w:eastAsia="zh-CN" w:bidi="ar-SA"/>
        </w:rPr>
        <w:sectPr>
          <w:pgSz w:w="11906" w:h="16838"/>
          <w:pgMar w:top="1440" w:right="1797" w:bottom="1440" w:left="1797" w:header="851" w:footer="992" w:gutter="0"/>
          <w:pgNumType w:fmt="decimal"/>
          <w:cols w:space="720" w:num="1"/>
          <w:docGrid w:type="linesAndChars" w:linePitch="312" w:charSpace="0"/>
        </w:sectPr>
      </w:pPr>
      <w:r>
        <w:rPr>
          <w:rFonts w:hint="eastAsia" w:ascii="宋体" w:hAnsi="宋体" w:eastAsia="宋体" w:cs="宋体"/>
          <w:b w:val="0"/>
          <w:bCs/>
          <w:i w:val="0"/>
          <w:iCs w:val="0"/>
          <w:color w:val="auto"/>
          <w:kern w:val="0"/>
          <w:sz w:val="24"/>
          <w:szCs w:val="20"/>
          <w:lang w:val="en-US" w:eastAsia="zh-CN" w:bidi="ar-SA"/>
        </w:rPr>
        <w:t>部门的处罚不能参加投标)，供应商须提供“中国政府采购网”（http://www.ccgp.gov.cn）及信用中国（www.creditchina.gov.cn）无违法违规行为的查询结果纪录（提供查询结果网页截图并加盖供应商公章）。</w:t>
      </w:r>
    </w:p>
    <w:p>
      <w:pPr>
        <w:pStyle w:val="14"/>
        <w:tabs>
          <w:tab w:val="left" w:pos="5580"/>
        </w:tabs>
        <w:spacing w:line="240" w:lineRule="atLeast"/>
        <w:rPr>
          <w:rFonts w:hint="eastAsia" w:ascii="宋体" w:hAnsi="宋体" w:eastAsia="宋体" w:cs="宋体"/>
          <w:i w:val="0"/>
          <w:iCs w:val="0"/>
          <w:color w:val="auto"/>
          <w:sz w:val="24"/>
        </w:rPr>
      </w:pPr>
    </w:p>
    <w:p>
      <w:pPr>
        <w:pStyle w:val="4"/>
        <w:spacing w:before="0" w:line="240" w:lineRule="atLeast"/>
        <w:jc w:val="center"/>
        <w:rPr>
          <w:rFonts w:hint="eastAsia" w:ascii="宋体" w:hAnsi="宋体" w:eastAsia="宋体" w:cs="宋体"/>
          <w:i w:val="0"/>
          <w:iCs w:val="0"/>
          <w:color w:val="auto"/>
          <w:sz w:val="28"/>
          <w:szCs w:val="21"/>
        </w:rPr>
      </w:pPr>
      <w:bookmarkStart w:id="192" w:name="_Toc518923114"/>
      <w:bookmarkStart w:id="193" w:name="_Toc9691"/>
      <w:r>
        <w:rPr>
          <w:rFonts w:hint="eastAsia" w:ascii="宋体" w:hAnsi="宋体" w:eastAsia="宋体" w:cs="宋体"/>
          <w:i w:val="0"/>
          <w:iCs w:val="0"/>
          <w:color w:val="auto"/>
          <w:sz w:val="28"/>
          <w:szCs w:val="21"/>
          <w:lang w:val="en-US" w:eastAsia="zh-CN"/>
        </w:rPr>
        <w:t>10</w:t>
      </w:r>
      <w:r>
        <w:rPr>
          <w:rFonts w:hint="eastAsia" w:ascii="宋体" w:hAnsi="宋体" w:eastAsia="宋体" w:cs="宋体"/>
          <w:i w:val="0"/>
          <w:iCs w:val="0"/>
          <w:color w:val="auto"/>
          <w:sz w:val="28"/>
          <w:szCs w:val="21"/>
          <w:lang w:eastAsia="zh-CN"/>
        </w:rPr>
        <w:t>、</w:t>
      </w:r>
      <w:r>
        <w:rPr>
          <w:rFonts w:hint="eastAsia" w:ascii="宋体" w:hAnsi="宋体" w:eastAsia="宋体" w:cs="宋体"/>
          <w:i w:val="0"/>
          <w:iCs w:val="0"/>
          <w:color w:val="auto"/>
          <w:sz w:val="28"/>
          <w:szCs w:val="21"/>
        </w:rPr>
        <w:t>投标人须知资料表要求的其他资格证明文件</w:t>
      </w:r>
      <w:bookmarkEnd w:id="192"/>
      <w:bookmarkEnd w:id="193"/>
    </w:p>
    <w:p>
      <w:pPr>
        <w:spacing w:line="240" w:lineRule="atLeast"/>
        <w:ind w:left="1079" w:leftChars="257" w:hanging="540"/>
        <w:jc w:val="center"/>
        <w:rPr>
          <w:rFonts w:hint="eastAsia" w:ascii="宋体" w:hAnsi="宋体" w:eastAsia="宋体" w:cs="宋体"/>
          <w:b/>
          <w:bCs/>
          <w:i w:val="0"/>
          <w:iCs w:val="0"/>
          <w:color w:val="auto"/>
          <w:sz w:val="24"/>
        </w:rPr>
      </w:pPr>
    </w:p>
    <w:p>
      <w:pPr>
        <w:spacing w:line="240" w:lineRule="atLeast"/>
        <w:ind w:left="1079" w:leftChars="257" w:hanging="540"/>
        <w:jc w:val="center"/>
        <w:rPr>
          <w:rFonts w:hint="eastAsia" w:ascii="宋体" w:hAnsi="宋体" w:eastAsia="宋体" w:cs="宋体"/>
          <w:b/>
          <w:bCs/>
          <w:i w:val="0"/>
          <w:iCs w:val="0"/>
          <w:color w:val="auto"/>
          <w:sz w:val="24"/>
        </w:rPr>
      </w:pPr>
    </w:p>
    <w:p>
      <w:pPr>
        <w:spacing w:line="240" w:lineRule="atLeast"/>
        <w:ind w:left="1079" w:leftChars="257" w:hanging="540"/>
        <w:jc w:val="center"/>
        <w:rPr>
          <w:rFonts w:hint="eastAsia" w:ascii="宋体" w:hAnsi="宋体" w:eastAsia="宋体" w:cs="宋体"/>
          <w:b/>
          <w:bCs/>
          <w:i w:val="0"/>
          <w:iCs w:val="0"/>
          <w:color w:val="auto"/>
          <w:sz w:val="24"/>
        </w:rPr>
      </w:pPr>
    </w:p>
    <w:p>
      <w:pPr>
        <w:pStyle w:val="14"/>
        <w:tabs>
          <w:tab w:val="left" w:pos="5580"/>
        </w:tabs>
        <w:spacing w:line="360" w:lineRule="auto"/>
        <w:ind w:left="1079"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说明：1.应提供</w:t>
      </w:r>
      <w:r>
        <w:rPr>
          <w:rFonts w:hint="eastAsia" w:ascii="宋体" w:hAnsi="宋体" w:eastAsia="宋体" w:cs="宋体"/>
          <w:i w:val="0"/>
          <w:iCs w:val="0"/>
          <w:color w:val="auto"/>
          <w:sz w:val="24"/>
          <w:u w:val="single"/>
        </w:rPr>
        <w:t>投标人须知资料表</w:t>
      </w:r>
      <w:r>
        <w:rPr>
          <w:rFonts w:hint="eastAsia" w:ascii="宋体" w:hAnsi="宋体" w:eastAsia="宋体" w:cs="宋体"/>
          <w:i w:val="0"/>
          <w:iCs w:val="0"/>
          <w:color w:val="auto"/>
          <w:sz w:val="24"/>
        </w:rPr>
        <w:t>要求的其他资格证明文件。</w:t>
      </w:r>
    </w:p>
    <w:p>
      <w:pPr>
        <w:pStyle w:val="14"/>
        <w:tabs>
          <w:tab w:val="left" w:pos="5580"/>
        </w:tabs>
        <w:spacing w:line="360" w:lineRule="auto"/>
        <w:ind w:left="1079"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      2.复印件上应加盖本单位章（自然人投标的无需盖章，需要签字）。</w:t>
      </w:r>
    </w:p>
    <w:p>
      <w:pPr>
        <w:pStyle w:val="14"/>
        <w:tabs>
          <w:tab w:val="left" w:pos="5580"/>
        </w:tabs>
        <w:spacing w:line="360" w:lineRule="auto"/>
        <w:ind w:left="1576" w:leftChars="344" w:hanging="854" w:hangingChars="356"/>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    3. 如果是联合体投标，联合体各方需提供的满足招标文件要求的其他资格证明文件。</w:t>
      </w:r>
    </w:p>
    <w:p>
      <w:pPr>
        <w:pStyle w:val="4"/>
        <w:spacing w:before="0" w:line="240" w:lineRule="atLeast"/>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br w:type="page"/>
      </w:r>
      <w:bookmarkStart w:id="194" w:name="_Toc16844"/>
      <w:bookmarkStart w:id="195" w:name="_Toc518923115"/>
      <w:r>
        <w:rPr>
          <w:rFonts w:hint="eastAsia" w:ascii="宋体" w:hAnsi="宋体" w:eastAsia="宋体" w:cs="宋体"/>
          <w:i w:val="0"/>
          <w:iCs w:val="0"/>
          <w:color w:val="auto"/>
          <w:sz w:val="28"/>
          <w:szCs w:val="21"/>
        </w:rPr>
        <w:t>第二部分  商务及技术文件</w:t>
      </w:r>
      <w:bookmarkEnd w:id="194"/>
      <w:bookmarkEnd w:id="195"/>
    </w:p>
    <w:p>
      <w:pPr>
        <w:pStyle w:val="14"/>
        <w:ind w:left="1079" w:leftChars="257" w:hanging="540"/>
        <w:rPr>
          <w:rFonts w:hint="eastAsia" w:ascii="宋体" w:hAnsi="宋体" w:eastAsia="宋体" w:cs="宋体"/>
          <w:i w:val="0"/>
          <w:iCs w:val="0"/>
          <w:color w:val="auto"/>
          <w:sz w:val="24"/>
        </w:rPr>
      </w:pPr>
    </w:p>
    <w:p>
      <w:pPr>
        <w:pStyle w:val="14"/>
        <w:spacing w:line="360" w:lineRule="auto"/>
        <w:ind w:left="1079"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1、投标书（投标文件格式三）</w:t>
      </w:r>
    </w:p>
    <w:p>
      <w:pPr>
        <w:pStyle w:val="14"/>
        <w:spacing w:line="360" w:lineRule="auto"/>
        <w:ind w:left="1079"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2、投标保证金缴纳凭证复印件或政府采购投标担保函（投标文件格式四）</w:t>
      </w:r>
    </w:p>
    <w:p>
      <w:pPr>
        <w:pStyle w:val="14"/>
        <w:spacing w:line="360" w:lineRule="auto"/>
        <w:ind w:left="1079"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3、投标分项报价表（投标文件格式五）</w:t>
      </w:r>
    </w:p>
    <w:p>
      <w:pPr>
        <w:pStyle w:val="14"/>
        <w:spacing w:line="360" w:lineRule="auto"/>
        <w:ind w:left="1079"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4、商务条款偏离表（投标文件格式六）</w:t>
      </w:r>
    </w:p>
    <w:p>
      <w:pPr>
        <w:pStyle w:val="14"/>
        <w:spacing w:line="360" w:lineRule="auto"/>
        <w:ind w:left="1079"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5、符合《政府采购促进中小企业发展暂行办法》、</w:t>
      </w:r>
      <w:r>
        <w:rPr>
          <w:rFonts w:hint="eastAsia" w:ascii="宋体" w:hAnsi="宋体" w:eastAsia="宋体" w:cs="宋体"/>
          <w:b w:val="0"/>
          <w:bCs/>
          <w:color w:val="auto"/>
          <w:kern w:val="2"/>
          <w:sz w:val="24"/>
          <w:szCs w:val="32"/>
          <w:lang w:val="en-US" w:eastAsia="zh-CN" w:bidi="ar-SA"/>
        </w:rPr>
        <w:t>《政府采购促进中小企业发展管理办法》（财库[2020]46号）文件、关于进一步加大政府采购支持中小企业力度的通知财库〔2022〕19号的规定，</w:t>
      </w:r>
      <w:r>
        <w:rPr>
          <w:rFonts w:hint="eastAsia" w:ascii="宋体" w:hAnsi="宋体" w:eastAsia="宋体" w:cs="宋体"/>
          <w:i w:val="0"/>
          <w:iCs w:val="0"/>
          <w:color w:val="auto"/>
          <w:sz w:val="24"/>
        </w:rPr>
        <w:t>《关于政府采购支持监狱企业发展有关问题的通知》和《三部门联合发布关于促进残疾人就业政府采购政策的通知》价格扣减条件的投标人须提交）</w:t>
      </w:r>
    </w:p>
    <w:p>
      <w:pPr>
        <w:pStyle w:val="14"/>
        <w:spacing w:line="360" w:lineRule="auto"/>
        <w:ind w:left="310" w:leftChars="148" w:firstLine="228"/>
        <w:rPr>
          <w:rFonts w:hint="eastAsia" w:ascii="宋体" w:hAnsi="宋体" w:eastAsia="宋体" w:cs="宋体"/>
          <w:i w:val="0"/>
          <w:iCs w:val="0"/>
          <w:color w:val="auto"/>
          <w:sz w:val="24"/>
        </w:rPr>
      </w:pPr>
      <w:r>
        <w:rPr>
          <w:rFonts w:hint="eastAsia" w:ascii="宋体" w:hAnsi="宋体" w:eastAsia="宋体" w:cs="宋体"/>
          <w:i w:val="0"/>
          <w:iCs w:val="0"/>
          <w:color w:val="auto"/>
          <w:sz w:val="24"/>
        </w:rPr>
        <w:t>5</w:t>
      </w:r>
      <w:r>
        <w:rPr>
          <w:rFonts w:hint="eastAsia" w:hAnsi="宋体" w:eastAsia="宋体" w:cs="宋体"/>
          <w:i w:val="0"/>
          <w:iCs w:val="0"/>
          <w:color w:val="auto"/>
          <w:sz w:val="24"/>
          <w:lang w:eastAsia="zh-CN"/>
        </w:rPr>
        <w:t>、</w:t>
      </w:r>
      <w:r>
        <w:rPr>
          <w:rFonts w:hint="eastAsia" w:ascii="宋体" w:hAnsi="宋体" w:eastAsia="宋体" w:cs="宋体"/>
          <w:i w:val="0"/>
          <w:iCs w:val="0"/>
          <w:color w:val="auto"/>
          <w:sz w:val="24"/>
        </w:rPr>
        <w:t>《</w:t>
      </w:r>
      <w:r>
        <w:rPr>
          <w:rFonts w:hint="eastAsia" w:hAnsi="宋体" w:eastAsia="宋体" w:cs="宋体"/>
          <w:i w:val="0"/>
          <w:iCs w:val="0"/>
          <w:color w:val="auto"/>
          <w:sz w:val="24"/>
          <w:lang w:eastAsia="zh-CN"/>
        </w:rPr>
        <w:t>中小企业声明函</w:t>
      </w:r>
      <w:r>
        <w:rPr>
          <w:rFonts w:hint="eastAsia" w:ascii="宋体" w:hAnsi="宋体" w:eastAsia="宋体" w:cs="宋体"/>
          <w:i w:val="0"/>
          <w:iCs w:val="0"/>
          <w:color w:val="auto"/>
          <w:sz w:val="24"/>
        </w:rPr>
        <w:t>》（投标文件格式七）</w:t>
      </w:r>
    </w:p>
    <w:p>
      <w:pPr>
        <w:pStyle w:val="14"/>
        <w:spacing w:line="360" w:lineRule="auto"/>
        <w:ind w:left="1079"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6、投标人关联单位的说明（格式自拟）</w:t>
      </w:r>
    </w:p>
    <w:p>
      <w:pPr>
        <w:pStyle w:val="14"/>
        <w:spacing w:line="360" w:lineRule="auto"/>
        <w:ind w:left="1079"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7、投标文件还应包括投标人须知第10条的所有技术文件</w:t>
      </w:r>
    </w:p>
    <w:p>
      <w:pPr>
        <w:pStyle w:val="14"/>
        <w:tabs>
          <w:tab w:val="left" w:pos="5580"/>
        </w:tabs>
        <w:spacing w:line="240" w:lineRule="atLeast"/>
        <w:ind w:left="1079"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br w:type="page"/>
      </w:r>
    </w:p>
    <w:p>
      <w:pPr>
        <w:pStyle w:val="4"/>
        <w:spacing w:before="0" w:line="240" w:lineRule="atLeast"/>
        <w:jc w:val="center"/>
        <w:rPr>
          <w:rFonts w:hint="eastAsia" w:ascii="宋体" w:hAnsi="宋体" w:eastAsia="宋体" w:cs="宋体"/>
          <w:i w:val="0"/>
          <w:iCs w:val="0"/>
          <w:color w:val="auto"/>
          <w:sz w:val="28"/>
          <w:szCs w:val="21"/>
        </w:rPr>
      </w:pPr>
      <w:bookmarkStart w:id="196" w:name="_Toc518923116"/>
      <w:bookmarkStart w:id="197" w:name="_Toc26126"/>
      <w:r>
        <w:rPr>
          <w:rFonts w:hint="eastAsia" w:ascii="宋体" w:hAnsi="宋体" w:eastAsia="宋体" w:cs="宋体"/>
          <w:i w:val="0"/>
          <w:iCs w:val="0"/>
          <w:color w:val="auto"/>
          <w:sz w:val="28"/>
          <w:szCs w:val="21"/>
        </w:rPr>
        <w:t>1</w:t>
      </w:r>
      <w:bookmarkStart w:id="198" w:name="_Hlt520355504"/>
      <w:bookmarkEnd w:id="198"/>
      <w:r>
        <w:rPr>
          <w:rFonts w:hint="eastAsia" w:ascii="宋体" w:hAnsi="宋体" w:eastAsia="宋体" w:cs="宋体"/>
          <w:i w:val="0"/>
          <w:iCs w:val="0"/>
          <w:color w:val="auto"/>
          <w:sz w:val="28"/>
          <w:szCs w:val="21"/>
          <w:lang w:eastAsia="zh-CN"/>
        </w:rPr>
        <w:t>、</w:t>
      </w:r>
      <w:r>
        <w:rPr>
          <w:rFonts w:hint="eastAsia" w:ascii="宋体" w:hAnsi="宋体" w:eastAsia="宋体" w:cs="宋体"/>
          <w:i w:val="0"/>
          <w:iCs w:val="0"/>
          <w:color w:val="auto"/>
          <w:sz w:val="28"/>
          <w:szCs w:val="21"/>
        </w:rPr>
        <w:t>投标</w:t>
      </w:r>
      <w:bookmarkEnd w:id="175"/>
      <w:bookmarkEnd w:id="176"/>
      <w:r>
        <w:rPr>
          <w:rFonts w:hint="eastAsia" w:ascii="宋体" w:hAnsi="宋体" w:eastAsia="宋体" w:cs="宋体"/>
          <w:i w:val="0"/>
          <w:iCs w:val="0"/>
          <w:color w:val="auto"/>
          <w:sz w:val="28"/>
          <w:szCs w:val="21"/>
        </w:rPr>
        <w:t>书</w:t>
      </w:r>
      <w:bookmarkEnd w:id="177"/>
      <w:r>
        <w:rPr>
          <w:rFonts w:hint="eastAsia" w:ascii="宋体" w:hAnsi="宋体" w:eastAsia="宋体" w:cs="宋体"/>
          <w:i w:val="0"/>
          <w:iCs w:val="0"/>
          <w:color w:val="auto"/>
          <w:sz w:val="28"/>
          <w:szCs w:val="21"/>
        </w:rPr>
        <w:t>（投标文件格式三）</w:t>
      </w:r>
      <w:bookmarkEnd w:id="178"/>
      <w:bookmarkEnd w:id="196"/>
      <w:bookmarkEnd w:id="197"/>
    </w:p>
    <w:p>
      <w:pPr>
        <w:tabs>
          <w:tab w:val="left" w:pos="5580"/>
        </w:tabs>
        <w:spacing w:line="240" w:lineRule="atLeast"/>
        <w:ind w:left="1079" w:leftChars="257" w:hanging="540"/>
        <w:rPr>
          <w:rFonts w:hint="eastAsia" w:ascii="宋体" w:hAnsi="宋体" w:eastAsia="宋体" w:cs="宋体"/>
          <w:i w:val="0"/>
          <w:iCs w:val="0"/>
          <w:color w:val="auto"/>
          <w:sz w:val="24"/>
        </w:rPr>
      </w:pPr>
    </w:p>
    <w:p>
      <w:pPr>
        <w:tabs>
          <w:tab w:val="left" w:pos="5580"/>
        </w:tabs>
        <w:spacing w:line="360" w:lineRule="auto"/>
        <w:ind w:left="1080" w:hanging="1080"/>
        <w:rPr>
          <w:rFonts w:hint="eastAsia" w:ascii="宋体" w:hAnsi="宋体" w:eastAsia="宋体" w:cs="宋体"/>
          <w:i w:val="0"/>
          <w:iCs w:val="0"/>
          <w:color w:val="auto"/>
          <w:sz w:val="24"/>
        </w:rPr>
      </w:pPr>
      <w:r>
        <w:rPr>
          <w:rFonts w:hint="eastAsia" w:ascii="宋体" w:hAnsi="宋体" w:eastAsia="宋体" w:cs="宋体"/>
          <w:i w:val="0"/>
          <w:iCs w:val="0"/>
          <w:color w:val="auto"/>
          <w:sz w:val="24"/>
        </w:rPr>
        <w:t>致：</w:t>
      </w:r>
      <w:r>
        <w:rPr>
          <w:rFonts w:hint="eastAsia" w:ascii="宋体" w:hAnsi="宋体" w:eastAsia="宋体" w:cs="宋体"/>
          <w:i w:val="0"/>
          <w:iCs w:val="0"/>
          <w:color w:val="auto"/>
          <w:sz w:val="24"/>
          <w:u w:val="single"/>
        </w:rPr>
        <w:t>采购代理机构</w:t>
      </w:r>
    </w:p>
    <w:p>
      <w:pPr>
        <w:pStyle w:val="14"/>
        <w:tabs>
          <w:tab w:val="left" w:pos="5580"/>
        </w:tabs>
        <w:spacing w:line="360" w:lineRule="auto"/>
        <w:ind w:left="1079" w:leftChars="257" w:hanging="540"/>
        <w:rPr>
          <w:rFonts w:hint="eastAsia" w:ascii="宋体" w:hAnsi="宋体" w:eastAsia="宋体" w:cs="宋体"/>
          <w:i w:val="0"/>
          <w:iCs w:val="0"/>
          <w:color w:val="auto"/>
          <w:sz w:val="24"/>
        </w:rPr>
      </w:pPr>
    </w:p>
    <w:p>
      <w:pPr>
        <w:pStyle w:val="14"/>
        <w:tabs>
          <w:tab w:val="left" w:pos="5580"/>
        </w:tabs>
        <w:spacing w:line="360" w:lineRule="auto"/>
        <w:ind w:left="2" w:leftChars="1"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根据贵方(</w:t>
      </w:r>
      <w:r>
        <w:rPr>
          <w:rFonts w:hint="eastAsia" w:ascii="宋体" w:hAnsi="宋体" w:eastAsia="宋体" w:cs="宋体"/>
          <w:i w:val="0"/>
          <w:iCs w:val="0"/>
          <w:color w:val="auto"/>
          <w:sz w:val="24"/>
          <w:u w:val="single"/>
        </w:rPr>
        <w:t>项目名称</w:t>
      </w:r>
      <w:r>
        <w:rPr>
          <w:rFonts w:hint="eastAsia" w:ascii="宋体" w:hAnsi="宋体" w:eastAsia="宋体" w:cs="宋体"/>
          <w:i w:val="0"/>
          <w:iCs w:val="0"/>
          <w:color w:val="auto"/>
          <w:sz w:val="24"/>
        </w:rPr>
        <w:t>)项目的投标邀请(</w:t>
      </w:r>
      <w:r>
        <w:rPr>
          <w:rFonts w:hint="eastAsia" w:ascii="宋体" w:hAnsi="宋体" w:eastAsia="宋体" w:cs="宋体"/>
          <w:i w:val="0"/>
          <w:iCs w:val="0"/>
          <w:color w:val="auto"/>
          <w:sz w:val="24"/>
          <w:u w:val="single"/>
        </w:rPr>
        <w:t>招标编号</w:t>
      </w:r>
      <w:r>
        <w:rPr>
          <w:rFonts w:hint="eastAsia" w:ascii="宋体" w:hAnsi="宋体" w:eastAsia="宋体" w:cs="宋体"/>
          <w:i w:val="0"/>
          <w:iCs w:val="0"/>
          <w:color w:val="auto"/>
          <w:sz w:val="24"/>
        </w:rPr>
        <w:t>),签字代表(</w:t>
      </w:r>
      <w:r>
        <w:rPr>
          <w:rFonts w:hint="eastAsia" w:ascii="宋体" w:hAnsi="宋体" w:eastAsia="宋体" w:cs="宋体"/>
          <w:i w:val="0"/>
          <w:iCs w:val="0"/>
          <w:color w:val="auto"/>
          <w:sz w:val="24"/>
          <w:u w:val="single"/>
        </w:rPr>
        <w:t>姓名、职务</w:t>
      </w:r>
      <w:r>
        <w:rPr>
          <w:rFonts w:hint="eastAsia" w:ascii="宋体" w:hAnsi="宋体" w:eastAsia="宋体" w:cs="宋体"/>
          <w:i w:val="0"/>
          <w:iCs w:val="0"/>
          <w:color w:val="auto"/>
          <w:sz w:val="24"/>
        </w:rPr>
        <w:t>)经正式授权并代表投标人（</w:t>
      </w:r>
      <w:r>
        <w:rPr>
          <w:rFonts w:hint="eastAsia" w:ascii="宋体" w:hAnsi="宋体" w:eastAsia="宋体" w:cs="宋体"/>
          <w:i w:val="0"/>
          <w:iCs w:val="0"/>
          <w:color w:val="auto"/>
          <w:sz w:val="24"/>
          <w:u w:val="single"/>
        </w:rPr>
        <w:t>名称、地址</w:t>
      </w:r>
      <w:r>
        <w:rPr>
          <w:rFonts w:hint="eastAsia" w:ascii="宋体" w:hAnsi="宋体" w:eastAsia="宋体" w:cs="宋体"/>
          <w:i w:val="0"/>
          <w:iCs w:val="0"/>
          <w:color w:val="auto"/>
          <w:sz w:val="24"/>
        </w:rPr>
        <w:t>）提交下述文件正本</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份、副本</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份及电子文档</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份，并以</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形式出具的金额为人民币</w:t>
      </w:r>
      <w:r>
        <w:rPr>
          <w:rFonts w:hint="eastAsia" w:ascii="宋体" w:hAnsi="宋体" w:eastAsia="宋体" w:cs="宋体"/>
          <w:i w:val="0"/>
          <w:iCs w:val="0"/>
          <w:color w:val="auto"/>
          <w:sz w:val="24"/>
          <w:u w:val="single"/>
        </w:rPr>
        <w:t>　　　　</w:t>
      </w:r>
      <w:r>
        <w:rPr>
          <w:rFonts w:hint="eastAsia" w:ascii="宋体" w:hAnsi="宋体" w:eastAsia="宋体" w:cs="宋体"/>
          <w:i w:val="0"/>
          <w:iCs w:val="0"/>
          <w:color w:val="auto"/>
          <w:sz w:val="24"/>
        </w:rPr>
        <w:t>元的投标保证金。</w:t>
      </w:r>
    </w:p>
    <w:p>
      <w:pPr>
        <w:pStyle w:val="14"/>
        <w:tabs>
          <w:tab w:val="left" w:pos="5580"/>
        </w:tabs>
        <w:spacing w:line="360" w:lineRule="auto"/>
        <w:ind w:left="1079"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据此，签字代表宣布同意如下：</w:t>
      </w:r>
    </w:p>
    <w:p>
      <w:pPr>
        <w:pStyle w:val="14"/>
        <w:tabs>
          <w:tab w:val="left" w:pos="720"/>
          <w:tab w:val="left" w:pos="900"/>
        </w:tabs>
        <w:spacing w:line="360" w:lineRule="auto"/>
        <w:ind w:left="768" w:leftChars="257" w:hanging="229"/>
        <w:rPr>
          <w:rFonts w:hint="eastAsia" w:ascii="宋体" w:hAnsi="宋体" w:eastAsia="宋体" w:cs="宋体"/>
          <w:i w:val="0"/>
          <w:iCs w:val="0"/>
          <w:color w:val="auto"/>
          <w:sz w:val="24"/>
          <w:u w:val="single"/>
        </w:rPr>
      </w:pPr>
      <w:r>
        <w:rPr>
          <w:rFonts w:hint="eastAsia" w:ascii="宋体" w:hAnsi="宋体" w:eastAsia="宋体" w:cs="宋体"/>
          <w:i w:val="0"/>
          <w:iCs w:val="0"/>
          <w:color w:val="auto"/>
          <w:sz w:val="24"/>
        </w:rPr>
        <w:t>（1）附投标价格表中规定的应提供服务的投标总价详见开标一览表，</w:t>
      </w:r>
      <w:r>
        <w:rPr>
          <w:rFonts w:hint="eastAsia" w:ascii="宋体" w:hAnsi="宋体" w:eastAsia="宋体" w:cs="宋体"/>
          <w:i w:val="0"/>
          <w:iCs w:val="0"/>
          <w:color w:val="auto"/>
          <w:sz w:val="24"/>
          <w:u w:val="single"/>
        </w:rPr>
        <w:t>其中由小型和</w:t>
      </w:r>
      <w:r>
        <w:rPr>
          <w:rFonts w:hint="eastAsia" w:ascii="宋体" w:hAnsi="宋体" w:eastAsia="宋体" w:cs="宋体"/>
          <w:i w:val="0"/>
          <w:iCs w:val="0"/>
          <w:color w:val="auto"/>
          <w:sz w:val="24"/>
        </w:rPr>
        <w:t>微型企业制造产品的价格为</w:t>
      </w:r>
      <w:r>
        <w:rPr>
          <w:rFonts w:hint="eastAsia" w:ascii="宋体" w:hAnsi="宋体" w:eastAsia="宋体" w:cs="宋体"/>
          <w:i w:val="0"/>
          <w:iCs w:val="0"/>
          <w:color w:val="auto"/>
          <w:sz w:val="24"/>
          <w:u w:val="single"/>
        </w:rPr>
        <w:t>　　  （用文字和数字表示），占投标总价   %</w:t>
      </w:r>
      <w:r>
        <w:rPr>
          <w:rFonts w:hint="eastAsia" w:ascii="宋体" w:hAnsi="宋体" w:eastAsia="宋体" w:cs="宋体"/>
          <w:i w:val="0"/>
          <w:iCs w:val="0"/>
          <w:color w:val="auto"/>
          <w:sz w:val="24"/>
        </w:rPr>
        <w:t>。</w:t>
      </w:r>
    </w:p>
    <w:p>
      <w:pPr>
        <w:pStyle w:val="14"/>
        <w:tabs>
          <w:tab w:val="left" w:pos="5580"/>
        </w:tabs>
        <w:spacing w:line="360" w:lineRule="auto"/>
        <w:ind w:left="1079"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（2）本投标有效期为自投标截止之日起</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个日历日。</w:t>
      </w:r>
    </w:p>
    <w:p>
      <w:pPr>
        <w:pStyle w:val="14"/>
        <w:tabs>
          <w:tab w:val="left" w:pos="5580"/>
        </w:tabs>
        <w:spacing w:line="360" w:lineRule="auto"/>
        <w:ind w:left="1079"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（3）联合体中的大中型企业和其他自然人、法人或者非法人组织，与联合体中的小型、微型企业之间</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存在、不存在）投资关系（如果联合体的话）。</w:t>
      </w:r>
    </w:p>
    <w:p>
      <w:pPr>
        <w:pStyle w:val="14"/>
        <w:tabs>
          <w:tab w:val="left" w:pos="5580"/>
        </w:tabs>
        <w:spacing w:line="360" w:lineRule="auto"/>
        <w:ind w:left="1079"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（4）已详细审查全部招标文件，包括所有补充通知（如果有的话），完全理解并同意放弃对这方面有不明、误解和质疑的权力。</w:t>
      </w:r>
    </w:p>
    <w:p>
      <w:pPr>
        <w:pStyle w:val="14"/>
        <w:tabs>
          <w:tab w:val="left" w:pos="5580"/>
        </w:tabs>
        <w:spacing w:line="360" w:lineRule="auto"/>
        <w:ind w:left="1079"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（5）在规定的开标时间后，遵守招标文件中有关保证金的规定。</w:t>
      </w:r>
    </w:p>
    <w:p>
      <w:pPr>
        <w:pStyle w:val="14"/>
        <w:tabs>
          <w:tab w:val="left" w:pos="5580"/>
        </w:tabs>
        <w:spacing w:line="360" w:lineRule="auto"/>
        <w:ind w:left="1079"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（6）根据投标人须知第1条规定，我方不是为本项目提供整体设计、规范编制或者项目管理、监理、检测等服务的供应商，我方不是采购代理机构的附属机构。</w:t>
      </w:r>
    </w:p>
    <w:p>
      <w:pPr>
        <w:pStyle w:val="14"/>
        <w:tabs>
          <w:tab w:val="left" w:pos="5580"/>
        </w:tabs>
        <w:spacing w:line="360" w:lineRule="auto"/>
        <w:ind w:left="1079"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（7）在领取中标通知书的同时按招标文件规定的形式，向贵方一次性支付中标服务费。</w:t>
      </w:r>
    </w:p>
    <w:p>
      <w:pPr>
        <w:pStyle w:val="14"/>
        <w:tabs>
          <w:tab w:val="left" w:pos="5580"/>
        </w:tabs>
        <w:spacing w:line="360" w:lineRule="auto"/>
        <w:ind w:left="1079"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（8）按照贵方可能要求，提供与其投标有关的一切数据或资料，完全理解贵方不一定接受最低价的投标或收到的任何投标。</w:t>
      </w:r>
    </w:p>
    <w:p>
      <w:pPr>
        <w:pStyle w:val="14"/>
        <w:tabs>
          <w:tab w:val="left" w:pos="5580"/>
        </w:tabs>
        <w:spacing w:line="360" w:lineRule="auto"/>
        <w:ind w:left="1079"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（9）按照招标文件的规定履行合同责任和义务。</w:t>
      </w:r>
    </w:p>
    <w:p>
      <w:pPr>
        <w:pStyle w:val="14"/>
        <w:tabs>
          <w:tab w:val="left" w:pos="5580"/>
        </w:tabs>
        <w:spacing w:line="360" w:lineRule="auto"/>
        <w:ind w:left="358" w:leftChars="68" w:hanging="216" w:hangingChars="90"/>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  </w:t>
      </w:r>
    </w:p>
    <w:p>
      <w:pPr>
        <w:pStyle w:val="14"/>
        <w:tabs>
          <w:tab w:val="left" w:pos="5580"/>
        </w:tabs>
        <w:spacing w:line="360" w:lineRule="auto"/>
        <w:ind w:left="358" w:leftChars="68" w:hanging="216" w:hangingChars="90"/>
        <w:rPr>
          <w:rFonts w:hint="eastAsia" w:ascii="宋体" w:hAnsi="宋体" w:eastAsia="宋体" w:cs="宋体"/>
          <w:i w:val="0"/>
          <w:iCs w:val="0"/>
          <w:color w:val="auto"/>
          <w:sz w:val="24"/>
        </w:rPr>
      </w:pPr>
      <w:r>
        <w:rPr>
          <w:rFonts w:hint="eastAsia" w:ascii="宋体" w:hAnsi="宋体" w:eastAsia="宋体" w:cs="宋体"/>
          <w:i w:val="0"/>
          <w:iCs w:val="0"/>
          <w:color w:val="auto"/>
          <w:sz w:val="24"/>
        </w:rPr>
        <w:t>与本投标有关的一切正式往来信函请寄：</w:t>
      </w:r>
    </w:p>
    <w:p>
      <w:pPr>
        <w:pStyle w:val="14"/>
        <w:tabs>
          <w:tab w:val="left" w:pos="5580"/>
        </w:tabs>
        <w:spacing w:line="360" w:lineRule="auto"/>
        <w:ind w:left="1079"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地址：</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 xml:space="preserve">     传真：</w:t>
      </w:r>
      <w:r>
        <w:rPr>
          <w:rFonts w:hint="eastAsia" w:ascii="宋体" w:hAnsi="宋体" w:eastAsia="宋体" w:cs="宋体"/>
          <w:i w:val="0"/>
          <w:iCs w:val="0"/>
          <w:color w:val="auto"/>
          <w:sz w:val="24"/>
          <w:u w:val="single"/>
        </w:rPr>
        <w:t xml:space="preserve">                             </w:t>
      </w:r>
    </w:p>
    <w:p>
      <w:pPr>
        <w:pStyle w:val="14"/>
        <w:tabs>
          <w:tab w:val="left" w:pos="5580"/>
        </w:tabs>
        <w:spacing w:line="360" w:lineRule="auto"/>
        <w:ind w:left="1079" w:leftChars="257" w:hanging="540"/>
        <w:rPr>
          <w:rFonts w:hint="eastAsia" w:ascii="宋体" w:hAnsi="宋体" w:eastAsia="宋体" w:cs="宋体"/>
          <w:b/>
          <w:i w:val="0"/>
          <w:iCs w:val="0"/>
          <w:color w:val="auto"/>
          <w:sz w:val="24"/>
        </w:rPr>
      </w:pPr>
      <w:r>
        <w:rPr>
          <w:rFonts w:hint="eastAsia" w:ascii="宋体" w:hAnsi="宋体" w:eastAsia="宋体" w:cs="宋体"/>
          <w:i w:val="0"/>
          <w:iCs w:val="0"/>
          <w:color w:val="auto"/>
          <w:sz w:val="24"/>
        </w:rPr>
        <w:t>电话：</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 xml:space="preserve">     电子函件：</w:t>
      </w:r>
      <w:r>
        <w:rPr>
          <w:rFonts w:hint="eastAsia" w:ascii="宋体" w:hAnsi="宋体" w:eastAsia="宋体" w:cs="宋体"/>
          <w:i w:val="0"/>
          <w:iCs w:val="0"/>
          <w:color w:val="auto"/>
          <w:sz w:val="24"/>
          <w:u w:val="single"/>
        </w:rPr>
        <w:t xml:space="preserve">                         </w:t>
      </w:r>
    </w:p>
    <w:p>
      <w:pPr>
        <w:pStyle w:val="14"/>
        <w:tabs>
          <w:tab w:val="left" w:pos="5580"/>
        </w:tabs>
        <w:spacing w:line="360" w:lineRule="auto"/>
        <w:ind w:left="1079" w:leftChars="257" w:hanging="540"/>
        <w:rPr>
          <w:rFonts w:hint="eastAsia" w:ascii="宋体" w:hAnsi="宋体" w:eastAsia="宋体" w:cs="宋体"/>
          <w:i w:val="0"/>
          <w:iCs w:val="0"/>
          <w:color w:val="auto"/>
          <w:sz w:val="24"/>
        </w:rPr>
      </w:pPr>
    </w:p>
    <w:p>
      <w:pPr>
        <w:pStyle w:val="14"/>
        <w:tabs>
          <w:tab w:val="left" w:pos="5580"/>
        </w:tabs>
        <w:spacing w:line="360" w:lineRule="auto"/>
        <w:ind w:left="1079"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法定代表人或其委托代理人签字：-----------------</w:t>
      </w:r>
    </w:p>
    <w:p>
      <w:pPr>
        <w:pStyle w:val="14"/>
        <w:tabs>
          <w:tab w:val="left" w:pos="5580"/>
        </w:tabs>
        <w:spacing w:line="360" w:lineRule="auto"/>
        <w:ind w:left="1079"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投标人名称（全称）：-----------------</w:t>
      </w:r>
    </w:p>
    <w:p>
      <w:pPr>
        <w:pStyle w:val="14"/>
        <w:tabs>
          <w:tab w:val="left" w:pos="5580"/>
        </w:tabs>
        <w:spacing w:line="360" w:lineRule="auto"/>
        <w:ind w:left="1079"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投标人开户银行（全称）：</w:t>
      </w:r>
      <w:r>
        <w:rPr>
          <w:rFonts w:hint="eastAsia" w:ascii="宋体" w:hAnsi="宋体" w:eastAsia="宋体" w:cs="宋体"/>
          <w:i w:val="0"/>
          <w:iCs w:val="0"/>
          <w:color w:val="auto"/>
          <w:sz w:val="24"/>
          <w:u w:val="single"/>
        </w:rPr>
        <w:t xml:space="preserve">　　　　　　 </w:t>
      </w:r>
    </w:p>
    <w:p>
      <w:pPr>
        <w:pStyle w:val="14"/>
        <w:tabs>
          <w:tab w:val="left" w:pos="5580"/>
        </w:tabs>
        <w:spacing w:line="360" w:lineRule="auto"/>
        <w:ind w:left="1079"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投标人银行帐号：</w:t>
      </w:r>
      <w:r>
        <w:rPr>
          <w:rFonts w:hint="eastAsia" w:ascii="宋体" w:hAnsi="宋体" w:eastAsia="宋体" w:cs="宋体"/>
          <w:i w:val="0"/>
          <w:iCs w:val="0"/>
          <w:color w:val="auto"/>
          <w:sz w:val="24"/>
          <w:u w:val="single"/>
        </w:rPr>
        <w:t>　　　　　　　　 　　</w:t>
      </w:r>
    </w:p>
    <w:p>
      <w:pPr>
        <w:pStyle w:val="14"/>
        <w:tabs>
          <w:tab w:val="left" w:pos="5580"/>
        </w:tabs>
        <w:spacing w:line="360" w:lineRule="auto"/>
        <w:ind w:left="1079"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投标人单位章：-------------------------</w:t>
      </w:r>
    </w:p>
    <w:p>
      <w:pPr>
        <w:pStyle w:val="14"/>
        <w:tabs>
          <w:tab w:val="left" w:pos="5580"/>
        </w:tabs>
        <w:spacing w:line="360" w:lineRule="auto"/>
        <w:ind w:left="1079"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日期-：------------------------------</w:t>
      </w:r>
    </w:p>
    <w:p>
      <w:pPr>
        <w:pStyle w:val="4"/>
        <w:spacing w:before="0" w:line="240" w:lineRule="atLeast"/>
        <w:jc w:val="center"/>
        <w:rPr>
          <w:rFonts w:hint="eastAsia" w:ascii="宋体" w:hAnsi="宋体" w:eastAsia="宋体" w:cs="宋体"/>
          <w:i w:val="0"/>
          <w:iCs w:val="0"/>
          <w:color w:val="auto"/>
          <w:sz w:val="24"/>
        </w:rPr>
      </w:pPr>
      <w:bookmarkStart w:id="199" w:name="_Hlt520356243"/>
      <w:bookmarkEnd w:id="199"/>
      <w:bookmarkStart w:id="200" w:name="_Hlt520355938"/>
      <w:bookmarkEnd w:id="200"/>
      <w:bookmarkStart w:id="201" w:name="_Toc216582815"/>
      <w:r>
        <w:rPr>
          <w:rFonts w:hint="eastAsia" w:ascii="宋体" w:hAnsi="宋体" w:eastAsia="宋体" w:cs="宋体"/>
          <w:i w:val="0"/>
          <w:iCs w:val="0"/>
          <w:color w:val="auto"/>
          <w:sz w:val="24"/>
        </w:rPr>
        <w:br w:type="page"/>
      </w:r>
      <w:bookmarkStart w:id="202" w:name="_Toc518923117"/>
      <w:bookmarkStart w:id="203" w:name="_Toc24886"/>
      <w:r>
        <w:rPr>
          <w:rFonts w:hint="eastAsia" w:ascii="宋体" w:hAnsi="宋体" w:eastAsia="宋体" w:cs="宋体"/>
          <w:i w:val="0"/>
          <w:iCs w:val="0"/>
          <w:color w:val="auto"/>
          <w:sz w:val="28"/>
          <w:szCs w:val="21"/>
        </w:rPr>
        <w:t>2</w:t>
      </w:r>
      <w:r>
        <w:rPr>
          <w:rFonts w:hint="eastAsia" w:ascii="宋体" w:hAnsi="宋体" w:eastAsia="宋体" w:cs="宋体"/>
          <w:i w:val="0"/>
          <w:iCs w:val="0"/>
          <w:color w:val="auto"/>
          <w:sz w:val="28"/>
          <w:szCs w:val="21"/>
          <w:lang w:eastAsia="zh-CN"/>
        </w:rPr>
        <w:t>、</w:t>
      </w:r>
      <w:r>
        <w:rPr>
          <w:rFonts w:hint="eastAsia" w:ascii="宋体" w:hAnsi="宋体" w:eastAsia="宋体" w:cs="宋体"/>
          <w:i w:val="0"/>
          <w:iCs w:val="0"/>
          <w:color w:val="auto"/>
          <w:sz w:val="28"/>
          <w:szCs w:val="21"/>
        </w:rPr>
        <w:t>投标保证金缴纳凭证复印件或投标担保函</w:t>
      </w:r>
      <w:bookmarkEnd w:id="202"/>
      <w:bookmarkEnd w:id="203"/>
    </w:p>
    <w:p>
      <w:pPr>
        <w:spacing w:line="360" w:lineRule="auto"/>
        <w:ind w:firstLine="480" w:firstLineChars="200"/>
        <w:rPr>
          <w:rFonts w:hint="eastAsia" w:ascii="宋体" w:hAnsi="宋体" w:eastAsia="宋体" w:cs="宋体"/>
          <w:i w:val="0"/>
          <w:iCs w:val="0"/>
          <w:color w:val="auto"/>
          <w:sz w:val="24"/>
          <w:szCs w:val="24"/>
        </w:rPr>
      </w:pPr>
      <w:bookmarkStart w:id="204" w:name="_Toc494296991"/>
      <w:bookmarkStart w:id="205" w:name="_Toc494296665"/>
      <w:r>
        <w:rPr>
          <w:rFonts w:hint="eastAsia" w:ascii="宋体" w:hAnsi="宋体" w:eastAsia="宋体" w:cs="宋体"/>
          <w:i w:val="0"/>
          <w:iCs w:val="0"/>
          <w:color w:val="auto"/>
          <w:sz w:val="24"/>
          <w:szCs w:val="24"/>
        </w:rPr>
        <w:t>投标人可将本项目投标保证金支付的汇款凭证、支票、汇票或保证金收据（如有）的复印件作为缴纳凭证装订在本部分，复印件上应加盖本单位章；使用银行保函等其他投标担保函的，应将担保函正本，装订在本部分正本中；如采用政府采购信用担保形式的，应使用（投标文件格式三）,将原件装订在本部分正本中。</w:t>
      </w:r>
      <w:bookmarkEnd w:id="204"/>
      <w:bookmarkEnd w:id="205"/>
    </w:p>
    <w:p>
      <w:pPr>
        <w:spacing w:line="360" w:lineRule="auto"/>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政府采购投标担保函 （项目用）（投标文件格式四）</w:t>
      </w:r>
    </w:p>
    <w:p>
      <w:pPr>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编号：</w:t>
      </w:r>
    </w:p>
    <w:p>
      <w:pPr>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 xml:space="preserve"> </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（采购人或采购代理机构）：</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鉴于</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（以下简称“投标人”）拟参加编号为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的</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 xml:space="preserve">                            </w:t>
      </w:r>
    </w:p>
    <w:p>
      <w:pPr>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一、保证责任的情形及保证金额</w:t>
      </w:r>
    </w:p>
    <w:p>
      <w:pPr>
        <w:spacing w:line="360" w:lineRule="auto"/>
        <w:ind w:firstLine="240" w:firstLineChars="1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（一）在投标人出现下列情形之一时，我方承担保证责任：</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1．中标后投标人无正当理由不与采购人或者采购代理机构签订《政府采购合同》；</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2．招标文件规定的投标人应当缴纳保证金的其他情形。</w:t>
      </w:r>
    </w:p>
    <w:p>
      <w:pPr>
        <w:spacing w:line="360" w:lineRule="auto"/>
        <w:ind w:firstLine="240" w:firstLineChars="1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（二）我方承担保证责任的最高金额为人民币</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元（大写</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），即本项目的投标保证金金额。</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二、保证的方式及保证期间</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我方保证的方式为：连带责任保证。</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我方的保证期间为：自本保函生效之日起</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个月止。</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三、承担保证责任的程序</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2．我方在收到索赔通知及相关证明材料后，在</w:t>
      </w:r>
      <w:r>
        <w:rPr>
          <w:rFonts w:hint="eastAsia" w:ascii="宋体" w:hAnsi="宋体" w:eastAsia="宋体" w:cs="宋体"/>
          <w:i w:val="0"/>
          <w:iCs w:val="0"/>
          <w:color w:val="auto"/>
          <w:sz w:val="24"/>
          <w:szCs w:val="24"/>
          <w:u w:val="single"/>
        </w:rPr>
        <w:t>　　　</w:t>
      </w:r>
      <w:r>
        <w:rPr>
          <w:rFonts w:hint="eastAsia" w:ascii="宋体" w:hAnsi="宋体" w:eastAsia="宋体" w:cs="宋体"/>
          <w:i w:val="0"/>
          <w:iCs w:val="0"/>
          <w:color w:val="auto"/>
          <w:sz w:val="24"/>
          <w:szCs w:val="24"/>
        </w:rPr>
        <w:t>个工作日内进行审查，符合应承担保证责任情形的，我方应按照你方的要求代投标人向你方支付投标保证金。</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四、保证责任的终止</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1．保证期间届满你方未向我方书面主张保证责任的，自保证期间届满次日起，我方保证责任自动终止。</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2．我方按照本保函向你贵方履行了保证责任后，自我方向你贵方支付款项（支付款项从我方账户划出）之日起，保证责任终止。</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3．按照法律法规的规定或出现我方保证责任终止的其它情形的，我方在本保函项下的保证责任亦终止。</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五、免责条款</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1．依照法律规定或你方与投标人的另行约定，全部或者部分免除投标人投标保证金义务时，我方亦免除相应的保证责任。</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2．因你方原因致使投标人发生本保函第一条第（一）款约定情形的，我方不承担保证责任。</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3．因不可抗力造成投标人发生本保函第一条约定情形的，我方不承担保证责任。</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4．你方或其他有权机关对招标文件进行任何澄清或修改，加重我方保证责任的，我方对加重部分不承担保证责任，但该澄清或修改经我方事先书面同意的除外。</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六、争议的解决</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因本保函发生的纠纷，由你我双方协商解决，协商不成的，通过诉讼程序解决，诉讼管辖地法院为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法院。</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七、保函的生效</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本保函自我方加盖公章之日起生效。</w:t>
      </w:r>
    </w:p>
    <w:p>
      <w:pPr>
        <w:spacing w:line="360" w:lineRule="auto"/>
        <w:ind w:firstLine="6360" w:firstLineChars="265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保证人：（公章）</w:t>
      </w:r>
    </w:p>
    <w:p>
      <w:pPr>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 xml:space="preserve">                               </w:t>
      </w:r>
    </w:p>
    <w:p>
      <w:pPr>
        <w:spacing w:line="360" w:lineRule="auto"/>
        <w:ind w:firstLine="6000" w:firstLineChars="25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年     月      日</w:t>
      </w:r>
    </w:p>
    <w:p>
      <w:pPr>
        <w:spacing w:line="360" w:lineRule="auto"/>
        <w:ind w:firstLine="6600" w:firstLineChars="2750"/>
        <w:rPr>
          <w:rFonts w:hint="eastAsia" w:ascii="宋体" w:hAnsi="宋体" w:eastAsia="宋体" w:cs="宋体"/>
          <w:i w:val="0"/>
          <w:iCs w:val="0"/>
          <w:color w:val="auto"/>
          <w:sz w:val="24"/>
          <w:szCs w:val="24"/>
        </w:rPr>
        <w:sectPr>
          <w:pgSz w:w="11906" w:h="16838"/>
          <w:pgMar w:top="1440" w:right="1797" w:bottom="1440" w:left="1797" w:header="851" w:footer="992" w:gutter="0"/>
          <w:pgNumType w:fmt="decimal"/>
          <w:cols w:space="720" w:num="1"/>
          <w:docGrid w:type="linesAndChars" w:linePitch="312" w:charSpace="0"/>
        </w:sectPr>
      </w:pPr>
    </w:p>
    <w:p>
      <w:pPr>
        <w:pStyle w:val="4"/>
        <w:numPr>
          <w:ilvl w:val="0"/>
          <w:numId w:val="4"/>
        </w:numPr>
        <w:spacing w:before="0" w:line="240" w:lineRule="atLeast"/>
        <w:jc w:val="center"/>
        <w:rPr>
          <w:rFonts w:hint="eastAsia" w:ascii="宋体" w:hAnsi="宋体" w:eastAsia="宋体" w:cs="宋体"/>
          <w:i w:val="0"/>
          <w:iCs w:val="0"/>
          <w:color w:val="auto"/>
          <w:sz w:val="28"/>
          <w:szCs w:val="21"/>
        </w:rPr>
      </w:pPr>
      <w:bookmarkStart w:id="206" w:name="_Toc1893"/>
      <w:bookmarkStart w:id="207" w:name="_Toc518923118"/>
      <w:r>
        <w:rPr>
          <w:rFonts w:hint="eastAsia" w:ascii="宋体" w:hAnsi="宋体" w:eastAsia="宋体" w:cs="宋体"/>
          <w:i w:val="0"/>
          <w:iCs w:val="0"/>
          <w:color w:val="auto"/>
          <w:sz w:val="28"/>
          <w:szCs w:val="21"/>
        </w:rPr>
        <w:t>投标分项报价表</w:t>
      </w:r>
      <w:bookmarkEnd w:id="201"/>
      <w:r>
        <w:rPr>
          <w:rFonts w:hint="eastAsia" w:ascii="宋体" w:hAnsi="宋体" w:eastAsia="宋体" w:cs="宋体"/>
          <w:i w:val="0"/>
          <w:iCs w:val="0"/>
          <w:color w:val="auto"/>
          <w:sz w:val="28"/>
          <w:szCs w:val="21"/>
        </w:rPr>
        <w:t>（投标文件格式五）</w:t>
      </w:r>
      <w:bookmarkEnd w:id="206"/>
      <w:bookmarkEnd w:id="207"/>
    </w:p>
    <w:p>
      <w:pPr>
        <w:pStyle w:val="5"/>
        <w:numPr>
          <w:ilvl w:val="0"/>
          <w:numId w:val="0"/>
        </w:numPr>
        <w:rPr>
          <w:rFonts w:hint="eastAsia"/>
          <w:color w:val="auto"/>
        </w:rPr>
      </w:pPr>
    </w:p>
    <w:p>
      <w:pPr>
        <w:pStyle w:val="14"/>
        <w:spacing w:line="240" w:lineRule="atLeast"/>
        <w:ind w:left="1080" w:leftChars="257" w:hanging="540"/>
        <w:rPr>
          <w:rFonts w:hint="eastAsia" w:ascii="宋体" w:hAnsi="宋体" w:eastAsia="宋体" w:cs="宋体"/>
          <w:i w:val="0"/>
          <w:iCs w:val="0"/>
          <w:color w:val="auto"/>
          <w:sz w:val="24"/>
        </w:rPr>
      </w:pPr>
    </w:p>
    <w:p>
      <w:pPr>
        <w:pStyle w:val="14"/>
        <w:spacing w:line="360" w:lineRule="auto"/>
        <w:ind w:left="-141" w:leftChars="-67"/>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项目名称:                  </w:t>
      </w:r>
      <w:r>
        <w:rPr>
          <w:rFonts w:hint="eastAsia" w:hAnsi="宋体" w:eastAsia="宋体" w:cs="宋体"/>
          <w:i w:val="0"/>
          <w:iCs w:val="0"/>
          <w:color w:val="auto"/>
          <w:sz w:val="24"/>
          <w:lang w:val="en-US" w:eastAsia="zh-CN"/>
        </w:rPr>
        <w:t xml:space="preserve">                              </w:t>
      </w:r>
      <w:r>
        <w:rPr>
          <w:rFonts w:hint="eastAsia" w:ascii="宋体" w:hAnsi="宋体" w:eastAsia="宋体" w:cs="宋体"/>
          <w:i w:val="0"/>
          <w:iCs w:val="0"/>
          <w:color w:val="auto"/>
          <w:sz w:val="24"/>
        </w:rPr>
        <w:t>招标编号:              　        　</w:t>
      </w:r>
    </w:p>
    <w:p>
      <w:pPr>
        <w:pStyle w:val="14"/>
        <w:spacing w:line="360" w:lineRule="auto"/>
        <w:ind w:left="-141" w:leftChars="-67"/>
        <w:rPr>
          <w:rFonts w:hint="eastAsia" w:ascii="宋体" w:hAnsi="宋体" w:eastAsia="宋体" w:cs="宋体"/>
          <w:i w:val="0"/>
          <w:iCs w:val="0"/>
          <w:color w:val="auto"/>
          <w:sz w:val="24"/>
        </w:rPr>
      </w:pPr>
      <w:r>
        <w:rPr>
          <w:rFonts w:hint="eastAsia" w:ascii="宋体" w:hAnsi="宋体" w:eastAsia="宋体" w:cs="宋体"/>
          <w:i w:val="0"/>
          <w:iCs w:val="0"/>
          <w:color w:val="auto"/>
          <w:sz w:val="24"/>
        </w:rPr>
        <w:t>报价单位：人民币</w:t>
      </w:r>
      <w:r>
        <w:rPr>
          <w:rFonts w:hint="eastAsia" w:hAnsi="宋体" w:eastAsia="宋体" w:cs="宋体"/>
          <w:i w:val="0"/>
          <w:iCs w:val="0"/>
          <w:color w:val="auto"/>
          <w:sz w:val="24"/>
          <w:lang w:val="en-US" w:eastAsia="zh-CN"/>
        </w:rPr>
        <w:t>万</w:t>
      </w:r>
      <w:r>
        <w:rPr>
          <w:rFonts w:hint="eastAsia" w:ascii="宋体" w:hAnsi="宋体" w:eastAsia="宋体" w:cs="宋体"/>
          <w:i w:val="0"/>
          <w:iCs w:val="0"/>
          <w:color w:val="auto"/>
          <w:sz w:val="24"/>
        </w:rPr>
        <w:t>元</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3796"/>
        <w:gridCol w:w="2162"/>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91" w:type="dxa"/>
            <w:noWrap w:val="0"/>
            <w:vAlign w:val="center"/>
          </w:tcPr>
          <w:p>
            <w:pPr>
              <w:pStyle w:val="14"/>
              <w:spacing w:line="360" w:lineRule="auto"/>
              <w:ind w:left="269" w:leftChars="128"/>
              <w:jc w:val="center"/>
              <w:rPr>
                <w:rFonts w:hint="eastAsia" w:ascii="宋体" w:hAnsi="宋体" w:eastAsia="宋体" w:cs="宋体"/>
                <w:i w:val="0"/>
                <w:iCs w:val="0"/>
                <w:color w:val="auto"/>
                <w:sz w:val="24"/>
                <w:lang w:val="en-US" w:eastAsia="zh-CN"/>
              </w:rPr>
            </w:pPr>
            <w:r>
              <w:rPr>
                <w:rFonts w:hint="eastAsia" w:ascii="宋体" w:hAnsi="宋体" w:eastAsia="宋体" w:cs="宋体"/>
                <w:i w:val="0"/>
                <w:iCs w:val="0"/>
                <w:color w:val="auto"/>
                <w:sz w:val="24"/>
                <w:lang w:val="en-US" w:eastAsia="zh-CN"/>
              </w:rPr>
              <w:t>序号</w:t>
            </w:r>
          </w:p>
        </w:tc>
        <w:tc>
          <w:tcPr>
            <w:tcW w:w="3796" w:type="dxa"/>
            <w:noWrap w:val="0"/>
            <w:vAlign w:val="center"/>
          </w:tcPr>
          <w:p>
            <w:pPr>
              <w:pStyle w:val="14"/>
              <w:spacing w:line="360" w:lineRule="auto"/>
              <w:jc w:val="center"/>
              <w:rPr>
                <w:rFonts w:hint="eastAsia" w:ascii="宋体" w:hAnsi="宋体" w:eastAsia="宋体" w:cs="宋体"/>
                <w:i w:val="0"/>
                <w:iCs w:val="0"/>
                <w:color w:val="auto"/>
                <w:sz w:val="24"/>
                <w:lang w:val="en-US" w:eastAsia="zh-CN"/>
              </w:rPr>
            </w:pPr>
            <w:r>
              <w:rPr>
                <w:rFonts w:hint="eastAsia" w:ascii="宋体" w:hAnsi="宋体" w:eastAsia="宋体" w:cs="宋体"/>
                <w:i w:val="0"/>
                <w:iCs w:val="0"/>
                <w:color w:val="auto"/>
                <w:sz w:val="24"/>
                <w:lang w:val="en-US" w:eastAsia="zh-CN"/>
              </w:rPr>
              <w:t>名称</w:t>
            </w:r>
          </w:p>
        </w:tc>
        <w:tc>
          <w:tcPr>
            <w:tcW w:w="2162" w:type="dxa"/>
            <w:noWrap w:val="0"/>
            <w:vAlign w:val="center"/>
          </w:tcPr>
          <w:p>
            <w:pPr>
              <w:pStyle w:val="14"/>
              <w:spacing w:line="360" w:lineRule="auto"/>
              <w:jc w:val="center"/>
              <w:rPr>
                <w:rFonts w:hint="eastAsia" w:ascii="宋体" w:hAnsi="宋体" w:eastAsia="宋体" w:cs="宋体"/>
                <w:i w:val="0"/>
                <w:iCs w:val="0"/>
                <w:color w:val="auto"/>
                <w:sz w:val="24"/>
                <w:lang w:val="en-US" w:eastAsia="zh-CN"/>
              </w:rPr>
            </w:pPr>
            <w:r>
              <w:rPr>
                <w:rFonts w:hint="eastAsia" w:ascii="宋体" w:hAnsi="宋体" w:eastAsia="宋体" w:cs="宋体"/>
                <w:i w:val="0"/>
                <w:iCs w:val="0"/>
                <w:color w:val="auto"/>
                <w:sz w:val="24"/>
                <w:lang w:val="en-US" w:eastAsia="zh-CN"/>
              </w:rPr>
              <w:t>报价</w:t>
            </w:r>
          </w:p>
        </w:tc>
        <w:tc>
          <w:tcPr>
            <w:tcW w:w="1667" w:type="dxa"/>
            <w:noWrap w:val="0"/>
            <w:vAlign w:val="center"/>
          </w:tcPr>
          <w:p>
            <w:pPr>
              <w:pStyle w:val="14"/>
              <w:spacing w:line="360" w:lineRule="auto"/>
              <w:jc w:val="center"/>
              <w:rPr>
                <w:rFonts w:hint="eastAsia" w:ascii="宋体" w:hAnsi="宋体" w:eastAsia="宋体" w:cs="宋体"/>
                <w:i w:val="0"/>
                <w:iCs w:val="0"/>
                <w:color w:val="auto"/>
                <w:sz w:val="24"/>
                <w:lang w:val="en-US" w:eastAsia="zh-CN"/>
              </w:rPr>
            </w:pPr>
            <w:r>
              <w:rPr>
                <w:rFonts w:hint="eastAsia" w:ascii="宋体" w:hAnsi="宋体" w:eastAsia="宋体" w:cs="宋体"/>
                <w:i w:val="0"/>
                <w:iCs w:val="0"/>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091" w:type="dxa"/>
            <w:noWrap w:val="0"/>
            <w:vAlign w:val="center"/>
          </w:tcPr>
          <w:p>
            <w:pPr>
              <w:pStyle w:val="14"/>
              <w:spacing w:line="360" w:lineRule="auto"/>
              <w:ind w:left="269" w:leftChars="128"/>
              <w:jc w:val="center"/>
              <w:rPr>
                <w:rFonts w:hint="eastAsia" w:ascii="宋体" w:hAnsi="宋体" w:eastAsia="宋体" w:cs="宋体"/>
                <w:i w:val="0"/>
                <w:iCs w:val="0"/>
                <w:color w:val="auto"/>
                <w:sz w:val="24"/>
                <w:lang w:val="en-US" w:eastAsia="zh-CN"/>
              </w:rPr>
            </w:pPr>
            <w:r>
              <w:rPr>
                <w:rFonts w:hint="eastAsia" w:ascii="宋体" w:hAnsi="宋体" w:eastAsia="宋体" w:cs="宋体"/>
                <w:i w:val="0"/>
                <w:iCs w:val="0"/>
                <w:color w:val="auto"/>
                <w:sz w:val="24"/>
                <w:lang w:val="en-US" w:eastAsia="zh-CN"/>
              </w:rPr>
              <w:t>1.</w:t>
            </w:r>
          </w:p>
        </w:tc>
        <w:tc>
          <w:tcPr>
            <w:tcW w:w="3796" w:type="dxa"/>
            <w:noWrap w:val="0"/>
            <w:vAlign w:val="center"/>
          </w:tcPr>
          <w:p>
            <w:pPr>
              <w:pStyle w:val="14"/>
              <w:spacing w:line="360" w:lineRule="auto"/>
              <w:jc w:val="center"/>
              <w:rPr>
                <w:rFonts w:hint="eastAsia" w:ascii="宋体" w:hAnsi="宋体" w:eastAsia="宋体" w:cs="宋体"/>
                <w:i w:val="0"/>
                <w:iCs w:val="0"/>
                <w:color w:val="auto"/>
                <w:sz w:val="24"/>
                <w:lang w:val="en-US" w:eastAsia="zh-CN"/>
              </w:rPr>
            </w:pPr>
          </w:p>
        </w:tc>
        <w:tc>
          <w:tcPr>
            <w:tcW w:w="2162" w:type="dxa"/>
            <w:noWrap w:val="0"/>
            <w:vAlign w:val="center"/>
          </w:tcPr>
          <w:p>
            <w:pPr>
              <w:pStyle w:val="14"/>
              <w:spacing w:line="360" w:lineRule="auto"/>
              <w:ind w:left="1080" w:leftChars="257" w:hanging="540"/>
              <w:jc w:val="center"/>
              <w:rPr>
                <w:rFonts w:hint="eastAsia" w:ascii="宋体" w:hAnsi="宋体" w:eastAsia="宋体" w:cs="宋体"/>
                <w:i w:val="0"/>
                <w:iCs w:val="0"/>
                <w:color w:val="auto"/>
                <w:sz w:val="24"/>
                <w:lang w:val="en-US" w:eastAsia="zh-CN"/>
              </w:rPr>
            </w:pPr>
          </w:p>
        </w:tc>
        <w:tc>
          <w:tcPr>
            <w:tcW w:w="1667" w:type="dxa"/>
            <w:noWrap w:val="0"/>
            <w:vAlign w:val="center"/>
          </w:tcPr>
          <w:p>
            <w:pPr>
              <w:pStyle w:val="14"/>
              <w:spacing w:line="360" w:lineRule="auto"/>
              <w:ind w:left="1080" w:leftChars="257" w:hanging="540"/>
              <w:jc w:val="center"/>
              <w:rPr>
                <w:rFonts w:hint="eastAsia" w:ascii="宋体" w:hAnsi="宋体" w:eastAsia="宋体" w:cs="宋体"/>
                <w:i w:val="0"/>
                <w:iCs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noWrap w:val="0"/>
            <w:vAlign w:val="center"/>
          </w:tcPr>
          <w:p>
            <w:pPr>
              <w:pStyle w:val="14"/>
              <w:spacing w:line="360" w:lineRule="auto"/>
              <w:ind w:left="269" w:leftChars="128"/>
              <w:jc w:val="center"/>
              <w:rPr>
                <w:rFonts w:hint="eastAsia" w:ascii="宋体" w:hAnsi="宋体" w:eastAsia="宋体" w:cs="宋体"/>
                <w:i w:val="0"/>
                <w:iCs w:val="0"/>
                <w:color w:val="auto"/>
                <w:sz w:val="24"/>
                <w:lang w:val="en-US" w:eastAsia="zh-CN"/>
              </w:rPr>
            </w:pPr>
            <w:r>
              <w:rPr>
                <w:rFonts w:hint="eastAsia" w:ascii="宋体" w:hAnsi="宋体" w:eastAsia="宋体" w:cs="宋体"/>
                <w:i w:val="0"/>
                <w:iCs w:val="0"/>
                <w:color w:val="auto"/>
                <w:sz w:val="24"/>
                <w:lang w:val="en-US" w:eastAsia="zh-CN"/>
              </w:rPr>
              <w:t>2.</w:t>
            </w:r>
          </w:p>
        </w:tc>
        <w:tc>
          <w:tcPr>
            <w:tcW w:w="3796" w:type="dxa"/>
            <w:noWrap w:val="0"/>
            <w:vAlign w:val="center"/>
          </w:tcPr>
          <w:p>
            <w:pPr>
              <w:pStyle w:val="14"/>
              <w:spacing w:line="360" w:lineRule="auto"/>
              <w:jc w:val="center"/>
              <w:rPr>
                <w:rFonts w:hint="eastAsia" w:ascii="宋体" w:hAnsi="宋体" w:eastAsia="宋体" w:cs="宋体"/>
                <w:i w:val="0"/>
                <w:iCs w:val="0"/>
                <w:color w:val="auto"/>
                <w:sz w:val="24"/>
                <w:lang w:val="en-US" w:eastAsia="zh-CN"/>
              </w:rPr>
            </w:pPr>
          </w:p>
        </w:tc>
        <w:tc>
          <w:tcPr>
            <w:tcW w:w="2162" w:type="dxa"/>
            <w:noWrap w:val="0"/>
            <w:vAlign w:val="center"/>
          </w:tcPr>
          <w:p>
            <w:pPr>
              <w:pStyle w:val="14"/>
              <w:spacing w:line="360" w:lineRule="auto"/>
              <w:ind w:left="1080" w:leftChars="257" w:hanging="540"/>
              <w:jc w:val="center"/>
              <w:rPr>
                <w:rFonts w:hint="eastAsia" w:ascii="宋体" w:hAnsi="宋体" w:eastAsia="宋体" w:cs="宋体"/>
                <w:i w:val="0"/>
                <w:iCs w:val="0"/>
                <w:color w:val="auto"/>
                <w:sz w:val="24"/>
                <w:lang w:val="en-US" w:eastAsia="zh-CN"/>
              </w:rPr>
            </w:pPr>
          </w:p>
        </w:tc>
        <w:tc>
          <w:tcPr>
            <w:tcW w:w="1667" w:type="dxa"/>
            <w:noWrap w:val="0"/>
            <w:vAlign w:val="center"/>
          </w:tcPr>
          <w:p>
            <w:pPr>
              <w:pStyle w:val="14"/>
              <w:spacing w:line="360" w:lineRule="auto"/>
              <w:ind w:left="1080" w:leftChars="257" w:hanging="540"/>
              <w:jc w:val="center"/>
              <w:rPr>
                <w:rFonts w:hint="eastAsia" w:ascii="宋体" w:hAnsi="宋体" w:eastAsia="宋体" w:cs="宋体"/>
                <w:i w:val="0"/>
                <w:iCs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noWrap w:val="0"/>
            <w:vAlign w:val="center"/>
          </w:tcPr>
          <w:p>
            <w:pPr>
              <w:pStyle w:val="14"/>
              <w:spacing w:line="360" w:lineRule="auto"/>
              <w:ind w:left="269" w:leftChars="128"/>
              <w:jc w:val="center"/>
              <w:rPr>
                <w:rFonts w:hint="eastAsia" w:ascii="宋体" w:hAnsi="宋体" w:eastAsia="宋体" w:cs="宋体"/>
                <w:i w:val="0"/>
                <w:iCs w:val="0"/>
                <w:color w:val="auto"/>
                <w:sz w:val="24"/>
                <w:lang w:val="en-US" w:eastAsia="zh-CN"/>
              </w:rPr>
            </w:pPr>
            <w:r>
              <w:rPr>
                <w:rFonts w:hint="eastAsia" w:ascii="宋体" w:hAnsi="宋体" w:eastAsia="宋体" w:cs="宋体"/>
                <w:i w:val="0"/>
                <w:iCs w:val="0"/>
                <w:color w:val="auto"/>
                <w:sz w:val="24"/>
                <w:lang w:val="en-US" w:eastAsia="zh-CN"/>
              </w:rPr>
              <w:t>3.</w:t>
            </w:r>
          </w:p>
        </w:tc>
        <w:tc>
          <w:tcPr>
            <w:tcW w:w="3796" w:type="dxa"/>
            <w:noWrap w:val="0"/>
            <w:vAlign w:val="center"/>
          </w:tcPr>
          <w:p>
            <w:pPr>
              <w:pStyle w:val="14"/>
              <w:spacing w:line="360" w:lineRule="auto"/>
              <w:jc w:val="center"/>
              <w:rPr>
                <w:rFonts w:hint="eastAsia" w:ascii="宋体" w:hAnsi="宋体" w:eastAsia="宋体" w:cs="宋体"/>
                <w:i w:val="0"/>
                <w:iCs w:val="0"/>
                <w:color w:val="auto"/>
                <w:sz w:val="24"/>
                <w:lang w:val="en-US" w:eastAsia="zh-CN"/>
              </w:rPr>
            </w:pPr>
          </w:p>
        </w:tc>
        <w:tc>
          <w:tcPr>
            <w:tcW w:w="2162" w:type="dxa"/>
            <w:noWrap w:val="0"/>
            <w:vAlign w:val="center"/>
          </w:tcPr>
          <w:p>
            <w:pPr>
              <w:pStyle w:val="14"/>
              <w:spacing w:line="360" w:lineRule="auto"/>
              <w:ind w:left="1080" w:leftChars="257" w:hanging="540"/>
              <w:jc w:val="center"/>
              <w:rPr>
                <w:rFonts w:hint="eastAsia" w:ascii="宋体" w:hAnsi="宋体" w:eastAsia="宋体" w:cs="宋体"/>
                <w:i w:val="0"/>
                <w:iCs w:val="0"/>
                <w:color w:val="auto"/>
                <w:sz w:val="24"/>
                <w:lang w:val="en-US" w:eastAsia="zh-CN"/>
              </w:rPr>
            </w:pPr>
          </w:p>
        </w:tc>
        <w:tc>
          <w:tcPr>
            <w:tcW w:w="1667" w:type="dxa"/>
            <w:noWrap w:val="0"/>
            <w:vAlign w:val="center"/>
          </w:tcPr>
          <w:p>
            <w:pPr>
              <w:pStyle w:val="14"/>
              <w:spacing w:line="360" w:lineRule="auto"/>
              <w:ind w:left="1080" w:leftChars="257" w:hanging="540"/>
              <w:jc w:val="center"/>
              <w:rPr>
                <w:rFonts w:hint="eastAsia" w:ascii="宋体" w:hAnsi="宋体" w:eastAsia="宋体" w:cs="宋体"/>
                <w:i w:val="0"/>
                <w:iCs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noWrap w:val="0"/>
            <w:vAlign w:val="center"/>
          </w:tcPr>
          <w:p>
            <w:pPr>
              <w:pStyle w:val="14"/>
              <w:spacing w:line="360" w:lineRule="auto"/>
              <w:ind w:left="269" w:leftChars="128"/>
              <w:jc w:val="center"/>
              <w:rPr>
                <w:rFonts w:hint="eastAsia" w:ascii="宋体" w:hAnsi="宋体" w:eastAsia="宋体" w:cs="宋体"/>
                <w:i w:val="0"/>
                <w:iCs w:val="0"/>
                <w:color w:val="auto"/>
                <w:sz w:val="24"/>
                <w:lang w:val="en-US" w:eastAsia="zh-CN"/>
              </w:rPr>
            </w:pPr>
            <w:r>
              <w:rPr>
                <w:rFonts w:hint="eastAsia" w:ascii="宋体" w:hAnsi="宋体" w:eastAsia="宋体" w:cs="宋体"/>
                <w:i w:val="0"/>
                <w:iCs w:val="0"/>
                <w:color w:val="auto"/>
                <w:sz w:val="24"/>
                <w:lang w:val="en-US" w:eastAsia="zh-CN"/>
              </w:rPr>
              <w:t>4.</w:t>
            </w:r>
          </w:p>
        </w:tc>
        <w:tc>
          <w:tcPr>
            <w:tcW w:w="3796" w:type="dxa"/>
            <w:noWrap w:val="0"/>
            <w:vAlign w:val="center"/>
          </w:tcPr>
          <w:p>
            <w:pPr>
              <w:pStyle w:val="14"/>
              <w:spacing w:line="360" w:lineRule="auto"/>
              <w:jc w:val="center"/>
              <w:rPr>
                <w:rFonts w:hint="eastAsia" w:ascii="宋体" w:hAnsi="宋体" w:eastAsia="宋体" w:cs="宋体"/>
                <w:i w:val="0"/>
                <w:iCs w:val="0"/>
                <w:color w:val="auto"/>
                <w:sz w:val="24"/>
                <w:lang w:val="en-US" w:eastAsia="zh-CN"/>
              </w:rPr>
            </w:pPr>
          </w:p>
        </w:tc>
        <w:tc>
          <w:tcPr>
            <w:tcW w:w="2162" w:type="dxa"/>
            <w:noWrap w:val="0"/>
            <w:vAlign w:val="center"/>
          </w:tcPr>
          <w:p>
            <w:pPr>
              <w:pStyle w:val="14"/>
              <w:spacing w:line="360" w:lineRule="auto"/>
              <w:ind w:left="1080" w:leftChars="257" w:hanging="540"/>
              <w:jc w:val="center"/>
              <w:rPr>
                <w:rFonts w:hint="eastAsia" w:ascii="宋体" w:hAnsi="宋体" w:eastAsia="宋体" w:cs="宋体"/>
                <w:i w:val="0"/>
                <w:iCs w:val="0"/>
                <w:color w:val="auto"/>
                <w:sz w:val="24"/>
                <w:lang w:val="en-US" w:eastAsia="zh-CN"/>
              </w:rPr>
            </w:pPr>
          </w:p>
        </w:tc>
        <w:tc>
          <w:tcPr>
            <w:tcW w:w="1667" w:type="dxa"/>
            <w:noWrap w:val="0"/>
            <w:vAlign w:val="center"/>
          </w:tcPr>
          <w:p>
            <w:pPr>
              <w:pStyle w:val="14"/>
              <w:spacing w:line="360" w:lineRule="auto"/>
              <w:ind w:left="1080" w:leftChars="257" w:hanging="540"/>
              <w:jc w:val="center"/>
              <w:rPr>
                <w:rFonts w:hint="eastAsia" w:ascii="宋体" w:hAnsi="宋体" w:eastAsia="宋体" w:cs="宋体"/>
                <w:i w:val="0"/>
                <w:iCs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91" w:type="dxa"/>
            <w:noWrap w:val="0"/>
            <w:vAlign w:val="center"/>
          </w:tcPr>
          <w:p>
            <w:pPr>
              <w:pStyle w:val="14"/>
              <w:spacing w:line="360" w:lineRule="auto"/>
              <w:ind w:left="269" w:leftChars="128"/>
              <w:jc w:val="center"/>
              <w:rPr>
                <w:rFonts w:hint="eastAsia" w:ascii="宋体" w:hAnsi="宋体" w:eastAsia="宋体" w:cs="宋体"/>
                <w:i w:val="0"/>
                <w:iCs w:val="0"/>
                <w:color w:val="auto"/>
                <w:sz w:val="24"/>
                <w:lang w:val="en-US" w:eastAsia="zh-CN"/>
              </w:rPr>
            </w:pPr>
            <w:r>
              <w:rPr>
                <w:rFonts w:hint="eastAsia" w:ascii="宋体" w:hAnsi="宋体" w:eastAsia="宋体" w:cs="宋体"/>
                <w:i w:val="0"/>
                <w:iCs w:val="0"/>
                <w:color w:val="auto"/>
                <w:sz w:val="24"/>
                <w:lang w:val="en-US" w:eastAsia="zh-CN"/>
              </w:rPr>
              <w:t>5.</w:t>
            </w:r>
          </w:p>
        </w:tc>
        <w:tc>
          <w:tcPr>
            <w:tcW w:w="3796" w:type="dxa"/>
            <w:noWrap w:val="0"/>
            <w:vAlign w:val="center"/>
          </w:tcPr>
          <w:p>
            <w:pPr>
              <w:pStyle w:val="14"/>
              <w:spacing w:line="360" w:lineRule="auto"/>
              <w:jc w:val="center"/>
              <w:rPr>
                <w:rFonts w:hint="eastAsia" w:ascii="宋体" w:hAnsi="宋体" w:eastAsia="宋体" w:cs="宋体"/>
                <w:i w:val="0"/>
                <w:iCs w:val="0"/>
                <w:color w:val="auto"/>
                <w:sz w:val="24"/>
                <w:lang w:val="en-US" w:eastAsia="zh-CN"/>
              </w:rPr>
            </w:pPr>
          </w:p>
        </w:tc>
        <w:tc>
          <w:tcPr>
            <w:tcW w:w="2162" w:type="dxa"/>
            <w:noWrap w:val="0"/>
            <w:vAlign w:val="center"/>
          </w:tcPr>
          <w:p>
            <w:pPr>
              <w:pStyle w:val="14"/>
              <w:spacing w:line="360" w:lineRule="auto"/>
              <w:ind w:left="1080" w:leftChars="257" w:hanging="540"/>
              <w:jc w:val="center"/>
              <w:rPr>
                <w:rFonts w:hint="eastAsia" w:ascii="宋体" w:hAnsi="宋体" w:eastAsia="宋体" w:cs="宋体"/>
                <w:i w:val="0"/>
                <w:iCs w:val="0"/>
                <w:color w:val="auto"/>
                <w:sz w:val="24"/>
                <w:lang w:val="en-US" w:eastAsia="zh-CN"/>
              </w:rPr>
            </w:pPr>
          </w:p>
        </w:tc>
        <w:tc>
          <w:tcPr>
            <w:tcW w:w="1667" w:type="dxa"/>
            <w:noWrap w:val="0"/>
            <w:vAlign w:val="center"/>
          </w:tcPr>
          <w:p>
            <w:pPr>
              <w:pStyle w:val="14"/>
              <w:spacing w:line="360" w:lineRule="auto"/>
              <w:ind w:left="1080" w:leftChars="257" w:hanging="540"/>
              <w:jc w:val="center"/>
              <w:rPr>
                <w:rFonts w:hint="eastAsia" w:ascii="宋体" w:hAnsi="宋体" w:eastAsia="宋体" w:cs="宋体"/>
                <w:i w:val="0"/>
                <w:iCs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noWrap w:val="0"/>
            <w:vAlign w:val="center"/>
          </w:tcPr>
          <w:p>
            <w:pPr>
              <w:pStyle w:val="14"/>
              <w:spacing w:line="360" w:lineRule="auto"/>
              <w:ind w:left="269" w:leftChars="128"/>
              <w:jc w:val="center"/>
              <w:rPr>
                <w:rFonts w:hint="eastAsia" w:ascii="宋体" w:hAnsi="宋体" w:eastAsia="宋体" w:cs="宋体"/>
                <w:i w:val="0"/>
                <w:iCs w:val="0"/>
                <w:color w:val="auto"/>
                <w:sz w:val="24"/>
                <w:lang w:val="en-US" w:eastAsia="zh-CN"/>
              </w:rPr>
            </w:pPr>
            <w:r>
              <w:rPr>
                <w:rFonts w:hint="eastAsia" w:ascii="宋体" w:hAnsi="宋体" w:eastAsia="宋体" w:cs="宋体"/>
                <w:i w:val="0"/>
                <w:iCs w:val="0"/>
                <w:color w:val="auto"/>
                <w:sz w:val="24"/>
                <w:lang w:val="en-US" w:eastAsia="zh-CN"/>
              </w:rPr>
              <w:t>6.</w:t>
            </w:r>
          </w:p>
        </w:tc>
        <w:tc>
          <w:tcPr>
            <w:tcW w:w="3796" w:type="dxa"/>
            <w:noWrap w:val="0"/>
            <w:vAlign w:val="center"/>
          </w:tcPr>
          <w:p>
            <w:pPr>
              <w:pStyle w:val="14"/>
              <w:spacing w:line="360" w:lineRule="auto"/>
              <w:jc w:val="center"/>
              <w:rPr>
                <w:rFonts w:hint="eastAsia" w:ascii="宋体" w:hAnsi="宋体" w:eastAsia="宋体" w:cs="宋体"/>
                <w:i w:val="0"/>
                <w:iCs w:val="0"/>
                <w:color w:val="auto"/>
                <w:sz w:val="24"/>
                <w:lang w:val="en-US" w:eastAsia="zh-CN"/>
              </w:rPr>
            </w:pPr>
          </w:p>
        </w:tc>
        <w:tc>
          <w:tcPr>
            <w:tcW w:w="2162" w:type="dxa"/>
            <w:noWrap w:val="0"/>
            <w:vAlign w:val="center"/>
          </w:tcPr>
          <w:p>
            <w:pPr>
              <w:pStyle w:val="14"/>
              <w:spacing w:line="360" w:lineRule="auto"/>
              <w:ind w:left="1080" w:leftChars="257" w:hanging="540"/>
              <w:jc w:val="center"/>
              <w:rPr>
                <w:rFonts w:hint="eastAsia" w:ascii="宋体" w:hAnsi="宋体" w:eastAsia="宋体" w:cs="宋体"/>
                <w:i w:val="0"/>
                <w:iCs w:val="0"/>
                <w:color w:val="auto"/>
                <w:sz w:val="24"/>
                <w:lang w:val="en-US" w:eastAsia="zh-CN"/>
              </w:rPr>
            </w:pPr>
          </w:p>
        </w:tc>
        <w:tc>
          <w:tcPr>
            <w:tcW w:w="1667" w:type="dxa"/>
            <w:noWrap w:val="0"/>
            <w:vAlign w:val="center"/>
          </w:tcPr>
          <w:p>
            <w:pPr>
              <w:pStyle w:val="14"/>
              <w:spacing w:line="360" w:lineRule="auto"/>
              <w:ind w:left="1080" w:leftChars="257" w:hanging="540"/>
              <w:jc w:val="center"/>
              <w:rPr>
                <w:rFonts w:hint="eastAsia" w:ascii="宋体" w:hAnsi="宋体" w:eastAsia="宋体" w:cs="宋体"/>
                <w:i w:val="0"/>
                <w:iCs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7049" w:type="dxa"/>
            <w:gridSpan w:val="3"/>
            <w:noWrap w:val="0"/>
            <w:vAlign w:val="center"/>
          </w:tcPr>
          <w:p>
            <w:pPr>
              <w:pStyle w:val="14"/>
              <w:tabs>
                <w:tab w:val="center" w:pos="3416"/>
              </w:tabs>
              <w:spacing w:line="360" w:lineRule="auto"/>
              <w:rPr>
                <w:rFonts w:hint="default" w:ascii="宋体" w:hAnsi="宋体" w:eastAsia="宋体" w:cs="宋体"/>
                <w:i w:val="0"/>
                <w:iCs w:val="0"/>
                <w:color w:val="auto"/>
                <w:sz w:val="24"/>
                <w:lang w:val="en-US" w:eastAsia="zh-CN"/>
              </w:rPr>
            </w:pPr>
            <w:r>
              <w:rPr>
                <w:rFonts w:hint="eastAsia" w:ascii="宋体" w:hAnsi="宋体" w:eastAsia="宋体" w:cs="宋体"/>
                <w:i w:val="0"/>
                <w:iCs w:val="0"/>
                <w:color w:val="auto"/>
                <w:sz w:val="24"/>
                <w:lang w:val="en-US" w:eastAsia="zh-CN"/>
              </w:rPr>
              <w:t>总价：</w:t>
            </w:r>
            <w:r>
              <w:rPr>
                <w:rFonts w:hint="eastAsia" w:hAnsi="宋体" w:eastAsia="宋体" w:cs="宋体"/>
                <w:i w:val="0"/>
                <w:iCs w:val="0"/>
                <w:color w:val="auto"/>
                <w:sz w:val="24"/>
                <w:lang w:val="en-US" w:eastAsia="zh-CN"/>
              </w:rPr>
              <w:tab/>
            </w:r>
            <w:r>
              <w:rPr>
                <w:rFonts w:hint="eastAsia" w:hAnsi="宋体" w:eastAsia="宋体" w:cs="宋体"/>
                <w:i w:val="0"/>
                <w:iCs w:val="0"/>
                <w:color w:val="auto"/>
                <w:sz w:val="24"/>
                <w:lang w:val="en-US" w:eastAsia="zh-CN"/>
              </w:rPr>
              <w:t>大写：</w:t>
            </w:r>
          </w:p>
        </w:tc>
        <w:tc>
          <w:tcPr>
            <w:tcW w:w="1667" w:type="dxa"/>
            <w:noWrap w:val="0"/>
            <w:vAlign w:val="center"/>
          </w:tcPr>
          <w:p>
            <w:pPr>
              <w:pStyle w:val="14"/>
              <w:spacing w:line="360" w:lineRule="auto"/>
              <w:ind w:left="1080" w:leftChars="257" w:hanging="540"/>
              <w:jc w:val="center"/>
              <w:rPr>
                <w:rFonts w:hint="eastAsia" w:ascii="宋体" w:hAnsi="宋体" w:eastAsia="宋体" w:cs="宋体"/>
                <w:i w:val="0"/>
                <w:iCs w:val="0"/>
                <w:color w:val="auto"/>
                <w:sz w:val="24"/>
                <w:lang w:val="en-US" w:eastAsia="zh-CN"/>
              </w:rPr>
            </w:pPr>
          </w:p>
        </w:tc>
      </w:tr>
    </w:tbl>
    <w:p>
      <w:pPr>
        <w:pStyle w:val="14"/>
        <w:spacing w:line="360" w:lineRule="auto"/>
        <w:ind w:left="1080" w:leftChars="257" w:hanging="540"/>
        <w:rPr>
          <w:rFonts w:hint="eastAsia" w:ascii="宋体" w:hAnsi="宋体" w:eastAsia="宋体" w:cs="宋体"/>
          <w:i w:val="0"/>
          <w:iCs w:val="0"/>
          <w:color w:val="auto"/>
          <w:sz w:val="24"/>
        </w:rPr>
      </w:pPr>
    </w:p>
    <w:p>
      <w:pPr>
        <w:pStyle w:val="14"/>
        <w:spacing w:line="360" w:lineRule="auto"/>
        <w:ind w:left="1080"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法定代表人或其委托代理人签字</w:t>
      </w:r>
      <w:r>
        <w:rPr>
          <w:rFonts w:hint="eastAsia" w:hAnsi="宋体" w:eastAsia="宋体" w:cs="宋体"/>
          <w:i w:val="0"/>
          <w:iCs w:val="0"/>
          <w:color w:val="auto"/>
          <w:sz w:val="24"/>
          <w:lang w:eastAsia="zh-CN"/>
        </w:rPr>
        <w:t>：</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u w:val="single"/>
        </w:rPr>
        <w:tab/>
      </w:r>
      <w:r>
        <w:rPr>
          <w:rFonts w:hint="eastAsia" w:ascii="宋体" w:hAnsi="宋体" w:eastAsia="宋体" w:cs="宋体"/>
          <w:i w:val="0"/>
          <w:iCs w:val="0"/>
          <w:color w:val="auto"/>
          <w:sz w:val="24"/>
          <w:u w:val="single"/>
        </w:rPr>
        <w:t xml:space="preserve">                 </w:t>
      </w:r>
    </w:p>
    <w:p>
      <w:pPr>
        <w:pStyle w:val="14"/>
        <w:tabs>
          <w:tab w:val="left" w:pos="5370"/>
        </w:tabs>
        <w:spacing w:line="360" w:lineRule="auto"/>
        <w:ind w:left="1080" w:leftChars="257" w:hanging="540"/>
        <w:rPr>
          <w:rFonts w:hint="eastAsia" w:ascii="宋体" w:hAnsi="宋体" w:eastAsia="宋体" w:cs="宋体"/>
          <w:i w:val="0"/>
          <w:iCs w:val="0"/>
          <w:color w:val="auto"/>
          <w:sz w:val="24"/>
          <w:u w:val="single"/>
        </w:rPr>
      </w:pPr>
      <w:r>
        <w:rPr>
          <w:rFonts w:hint="eastAsia" w:ascii="宋体" w:hAnsi="宋体" w:eastAsia="宋体" w:cs="宋体"/>
          <w:i w:val="0"/>
          <w:iCs w:val="0"/>
          <w:color w:val="auto"/>
          <w:sz w:val="24"/>
        </w:rPr>
        <w:t>投标人(盖单位章)</w:t>
      </w:r>
      <w:r>
        <w:rPr>
          <w:rFonts w:hint="eastAsia" w:hAnsi="宋体" w:eastAsia="宋体" w:cs="宋体"/>
          <w:i w:val="0"/>
          <w:iCs w:val="0"/>
          <w:color w:val="auto"/>
          <w:sz w:val="24"/>
          <w:lang w:eastAsia="zh-CN"/>
        </w:rPr>
        <w:t>：</w:t>
      </w:r>
      <w:r>
        <w:rPr>
          <w:rFonts w:hint="eastAsia" w:ascii="宋体" w:hAnsi="宋体" w:eastAsia="宋体" w:cs="宋体"/>
          <w:i w:val="0"/>
          <w:iCs w:val="0"/>
          <w:color w:val="auto"/>
          <w:sz w:val="24"/>
          <w:u w:val="single"/>
        </w:rPr>
        <w:tab/>
      </w:r>
    </w:p>
    <w:p>
      <w:pPr>
        <w:pStyle w:val="14"/>
        <w:spacing w:line="360" w:lineRule="auto"/>
        <w:ind w:left="1080" w:leftChars="257" w:hanging="540"/>
        <w:rPr>
          <w:rFonts w:hint="eastAsia" w:ascii="宋体" w:hAnsi="宋体" w:eastAsia="宋体" w:cs="宋体"/>
          <w:i w:val="0"/>
          <w:iCs w:val="0"/>
          <w:color w:val="auto"/>
          <w:sz w:val="24"/>
        </w:rPr>
      </w:pPr>
    </w:p>
    <w:p>
      <w:pPr>
        <w:pStyle w:val="14"/>
        <w:spacing w:line="360" w:lineRule="auto"/>
        <w:ind w:left="1080"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注:1. 如果按分项报价计算的结果与总价不一致,以分项报价为准修正总价。</w:t>
      </w:r>
    </w:p>
    <w:p>
      <w:pPr>
        <w:pStyle w:val="14"/>
        <w:spacing w:line="360" w:lineRule="auto"/>
        <w:ind w:left="1079" w:leftChars="428" w:hanging="180" w:hangingChars="75"/>
        <w:rPr>
          <w:rFonts w:hint="eastAsia" w:ascii="宋体" w:hAnsi="宋体" w:eastAsia="宋体" w:cs="宋体"/>
          <w:i w:val="0"/>
          <w:iCs w:val="0"/>
          <w:color w:val="auto"/>
          <w:sz w:val="24"/>
        </w:rPr>
      </w:pPr>
      <w:r>
        <w:rPr>
          <w:rFonts w:hint="eastAsia" w:ascii="宋体" w:hAnsi="宋体" w:eastAsia="宋体" w:cs="宋体"/>
          <w:i w:val="0"/>
          <w:iCs w:val="0"/>
          <w:color w:val="auto"/>
          <w:sz w:val="24"/>
        </w:rPr>
        <w:t>2. 上述各项的详细分项报价，可另页描述。</w:t>
      </w:r>
    </w:p>
    <w:p>
      <w:pPr>
        <w:pStyle w:val="14"/>
        <w:spacing w:line="360" w:lineRule="auto"/>
        <w:ind w:left="1080"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   3. 如果开标一览表（报价表）内容与投标文件中明细表内容不一致的，以开标一览表（报价表）内容为准。  </w:t>
      </w:r>
    </w:p>
    <w:p>
      <w:pPr>
        <w:pStyle w:val="14"/>
        <w:spacing w:line="360" w:lineRule="auto"/>
        <w:ind w:left="1080"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br w:type="page"/>
      </w:r>
    </w:p>
    <w:p>
      <w:pPr>
        <w:pStyle w:val="4"/>
        <w:spacing w:before="0" w:line="240" w:lineRule="atLeast"/>
        <w:jc w:val="center"/>
        <w:rPr>
          <w:rFonts w:hint="eastAsia" w:ascii="宋体" w:hAnsi="宋体" w:eastAsia="宋体" w:cs="宋体"/>
          <w:i w:val="0"/>
          <w:iCs w:val="0"/>
          <w:color w:val="auto"/>
          <w:sz w:val="28"/>
          <w:szCs w:val="21"/>
        </w:rPr>
      </w:pPr>
      <w:bookmarkStart w:id="208" w:name="_Toc216582818"/>
      <w:bookmarkStart w:id="209" w:name="_Toc8079"/>
      <w:bookmarkStart w:id="210" w:name="_Toc518923119"/>
      <w:r>
        <w:rPr>
          <w:rFonts w:hint="eastAsia" w:ascii="宋体" w:hAnsi="宋体" w:eastAsia="宋体" w:cs="宋体"/>
          <w:i w:val="0"/>
          <w:iCs w:val="0"/>
          <w:color w:val="auto"/>
          <w:sz w:val="28"/>
          <w:szCs w:val="21"/>
        </w:rPr>
        <w:t>4</w:t>
      </w:r>
      <w:r>
        <w:rPr>
          <w:rFonts w:hint="eastAsia" w:ascii="宋体" w:hAnsi="宋体" w:eastAsia="宋体" w:cs="宋体"/>
          <w:i w:val="0"/>
          <w:iCs w:val="0"/>
          <w:color w:val="auto"/>
          <w:sz w:val="28"/>
          <w:szCs w:val="21"/>
          <w:lang w:eastAsia="zh-CN"/>
        </w:rPr>
        <w:t>、</w:t>
      </w:r>
      <w:r>
        <w:rPr>
          <w:rFonts w:hint="eastAsia" w:ascii="宋体" w:hAnsi="宋体" w:eastAsia="宋体" w:cs="宋体"/>
          <w:i w:val="0"/>
          <w:iCs w:val="0"/>
          <w:color w:val="auto"/>
          <w:sz w:val="28"/>
          <w:szCs w:val="21"/>
        </w:rPr>
        <w:t>商务</w:t>
      </w:r>
      <w:r>
        <w:rPr>
          <w:rFonts w:hint="eastAsia" w:ascii="宋体" w:hAnsi="宋体" w:eastAsia="宋体" w:cs="宋体"/>
          <w:i w:val="0"/>
          <w:iCs w:val="0"/>
          <w:color w:val="auto"/>
          <w:sz w:val="28"/>
          <w:szCs w:val="21"/>
          <w:lang w:eastAsia="zh-CN"/>
        </w:rPr>
        <w:t>、</w:t>
      </w:r>
      <w:r>
        <w:rPr>
          <w:rFonts w:hint="eastAsia" w:ascii="宋体" w:hAnsi="宋体" w:eastAsia="宋体" w:cs="宋体"/>
          <w:i w:val="0"/>
          <w:iCs w:val="0"/>
          <w:color w:val="auto"/>
          <w:sz w:val="28"/>
          <w:szCs w:val="21"/>
          <w:lang w:val="en-US" w:eastAsia="zh-CN"/>
        </w:rPr>
        <w:t>技术</w:t>
      </w:r>
      <w:r>
        <w:rPr>
          <w:rFonts w:hint="eastAsia" w:ascii="宋体" w:hAnsi="宋体" w:eastAsia="宋体" w:cs="宋体"/>
          <w:i w:val="0"/>
          <w:iCs w:val="0"/>
          <w:color w:val="auto"/>
          <w:sz w:val="28"/>
          <w:szCs w:val="21"/>
        </w:rPr>
        <w:t>条款偏离表</w:t>
      </w:r>
      <w:bookmarkEnd w:id="208"/>
      <w:r>
        <w:rPr>
          <w:rFonts w:hint="eastAsia" w:ascii="宋体" w:hAnsi="宋体" w:eastAsia="宋体" w:cs="宋体"/>
          <w:i w:val="0"/>
          <w:iCs w:val="0"/>
          <w:color w:val="auto"/>
          <w:sz w:val="28"/>
          <w:szCs w:val="21"/>
        </w:rPr>
        <w:t>（投标文件格式六）</w:t>
      </w:r>
      <w:bookmarkEnd w:id="209"/>
      <w:bookmarkEnd w:id="210"/>
    </w:p>
    <w:p>
      <w:pPr>
        <w:pStyle w:val="14"/>
        <w:spacing w:line="240" w:lineRule="atLeast"/>
        <w:ind w:left="1080" w:leftChars="257" w:hanging="540"/>
        <w:rPr>
          <w:rFonts w:hint="eastAsia" w:ascii="宋体" w:hAnsi="宋体" w:eastAsia="宋体" w:cs="宋体"/>
          <w:i w:val="0"/>
          <w:iCs w:val="0"/>
          <w:color w:val="auto"/>
          <w:sz w:val="24"/>
        </w:rPr>
      </w:pPr>
    </w:p>
    <w:p>
      <w:pPr>
        <w:pStyle w:val="14"/>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项目名称:                      </w:t>
      </w:r>
      <w:r>
        <w:rPr>
          <w:rFonts w:hint="eastAsia" w:hAnsi="宋体" w:eastAsia="宋体" w:cs="宋体"/>
          <w:i w:val="0"/>
          <w:iCs w:val="0"/>
          <w:color w:val="auto"/>
          <w:sz w:val="24"/>
          <w:lang w:val="en-US" w:eastAsia="zh-CN"/>
        </w:rPr>
        <w:t xml:space="preserve">           </w:t>
      </w:r>
      <w:r>
        <w:rPr>
          <w:rFonts w:hint="eastAsia" w:ascii="宋体" w:hAnsi="宋体" w:eastAsia="宋体" w:cs="宋体"/>
          <w:i w:val="0"/>
          <w:iCs w:val="0"/>
          <w:color w:val="auto"/>
          <w:sz w:val="24"/>
        </w:rPr>
        <w:t xml:space="preserve">招标编号: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4"/>
              <w:spacing w:line="360" w:lineRule="auto"/>
              <w:jc w:val="center"/>
              <w:rPr>
                <w:rFonts w:hint="eastAsia" w:ascii="宋体" w:hAnsi="宋体" w:eastAsia="宋体" w:cs="宋体"/>
                <w:i w:val="0"/>
                <w:iCs w:val="0"/>
                <w:color w:val="auto"/>
                <w:sz w:val="24"/>
                <w:lang w:val="en-US" w:eastAsia="zh-CN"/>
              </w:rPr>
            </w:pPr>
            <w:r>
              <w:rPr>
                <w:rFonts w:hint="eastAsia" w:ascii="宋体" w:hAnsi="宋体" w:eastAsia="宋体" w:cs="宋体"/>
                <w:i w:val="0"/>
                <w:iCs w:val="0"/>
                <w:color w:val="auto"/>
                <w:sz w:val="24"/>
                <w:lang w:val="en-US" w:eastAsia="zh-CN"/>
              </w:rPr>
              <w:t>序号</w:t>
            </w:r>
          </w:p>
        </w:tc>
        <w:tc>
          <w:tcPr>
            <w:tcW w:w="2040" w:type="dxa"/>
            <w:noWrap w:val="0"/>
            <w:vAlign w:val="top"/>
          </w:tcPr>
          <w:p>
            <w:pPr>
              <w:pStyle w:val="14"/>
              <w:spacing w:line="360" w:lineRule="auto"/>
              <w:jc w:val="center"/>
              <w:rPr>
                <w:rFonts w:hint="eastAsia" w:ascii="宋体" w:hAnsi="宋体" w:eastAsia="宋体" w:cs="宋体"/>
                <w:i w:val="0"/>
                <w:iCs w:val="0"/>
                <w:color w:val="auto"/>
                <w:sz w:val="24"/>
                <w:lang w:val="en-US" w:eastAsia="zh-CN"/>
              </w:rPr>
            </w:pPr>
            <w:r>
              <w:rPr>
                <w:rFonts w:hint="eastAsia" w:ascii="宋体" w:hAnsi="宋体" w:eastAsia="宋体" w:cs="宋体"/>
                <w:i w:val="0"/>
                <w:iCs w:val="0"/>
                <w:color w:val="auto"/>
                <w:sz w:val="24"/>
                <w:lang w:val="en-US" w:eastAsia="zh-CN"/>
              </w:rPr>
              <w:t>招标文件条款号</w:t>
            </w:r>
          </w:p>
        </w:tc>
        <w:tc>
          <w:tcPr>
            <w:tcW w:w="2520" w:type="dxa"/>
            <w:noWrap w:val="0"/>
            <w:vAlign w:val="top"/>
          </w:tcPr>
          <w:p>
            <w:pPr>
              <w:pStyle w:val="14"/>
              <w:spacing w:line="360" w:lineRule="auto"/>
              <w:jc w:val="center"/>
              <w:rPr>
                <w:rFonts w:hint="eastAsia" w:ascii="宋体" w:hAnsi="宋体" w:eastAsia="宋体" w:cs="宋体"/>
                <w:i w:val="0"/>
                <w:iCs w:val="0"/>
                <w:color w:val="auto"/>
                <w:sz w:val="24"/>
                <w:lang w:val="en-US" w:eastAsia="zh-CN"/>
              </w:rPr>
            </w:pPr>
            <w:r>
              <w:rPr>
                <w:rFonts w:hint="eastAsia" w:ascii="宋体" w:hAnsi="宋体" w:eastAsia="宋体" w:cs="宋体"/>
                <w:i w:val="0"/>
                <w:iCs w:val="0"/>
                <w:color w:val="auto"/>
                <w:sz w:val="24"/>
                <w:lang w:val="en-US" w:eastAsia="zh-CN"/>
              </w:rPr>
              <w:t>招标文件的商务</w:t>
            </w:r>
            <w:r>
              <w:rPr>
                <w:rFonts w:hint="eastAsia" w:hAnsi="宋体" w:cs="宋体"/>
                <w:i w:val="0"/>
                <w:iCs w:val="0"/>
                <w:color w:val="auto"/>
                <w:sz w:val="24"/>
                <w:lang w:val="en-US" w:eastAsia="zh-CN"/>
              </w:rPr>
              <w:t>、技术</w:t>
            </w:r>
            <w:r>
              <w:rPr>
                <w:rFonts w:hint="eastAsia" w:ascii="宋体" w:hAnsi="宋体" w:eastAsia="宋体" w:cs="宋体"/>
                <w:i w:val="0"/>
                <w:iCs w:val="0"/>
                <w:color w:val="auto"/>
                <w:sz w:val="24"/>
                <w:lang w:val="en-US" w:eastAsia="zh-CN"/>
              </w:rPr>
              <w:t>条款</w:t>
            </w:r>
          </w:p>
        </w:tc>
        <w:tc>
          <w:tcPr>
            <w:tcW w:w="2520" w:type="dxa"/>
            <w:noWrap w:val="0"/>
            <w:vAlign w:val="top"/>
          </w:tcPr>
          <w:p>
            <w:pPr>
              <w:pStyle w:val="14"/>
              <w:spacing w:line="360" w:lineRule="auto"/>
              <w:jc w:val="center"/>
              <w:rPr>
                <w:rFonts w:hint="eastAsia" w:ascii="宋体" w:hAnsi="宋体" w:eastAsia="宋体" w:cs="宋体"/>
                <w:i w:val="0"/>
                <w:iCs w:val="0"/>
                <w:color w:val="auto"/>
                <w:sz w:val="24"/>
                <w:lang w:val="en-US" w:eastAsia="zh-CN"/>
              </w:rPr>
            </w:pPr>
            <w:r>
              <w:rPr>
                <w:rFonts w:hint="eastAsia" w:ascii="宋体" w:hAnsi="宋体" w:eastAsia="宋体" w:cs="宋体"/>
                <w:i w:val="0"/>
                <w:iCs w:val="0"/>
                <w:color w:val="auto"/>
                <w:sz w:val="24"/>
                <w:lang w:val="en-US" w:eastAsia="zh-CN"/>
              </w:rPr>
              <w:t>投标文件的商务</w:t>
            </w:r>
            <w:r>
              <w:rPr>
                <w:rFonts w:hint="eastAsia" w:hAnsi="宋体" w:cs="宋体"/>
                <w:i w:val="0"/>
                <w:iCs w:val="0"/>
                <w:color w:val="auto"/>
                <w:sz w:val="24"/>
                <w:lang w:val="en-US" w:eastAsia="zh-CN"/>
              </w:rPr>
              <w:t>、技术</w:t>
            </w:r>
            <w:r>
              <w:rPr>
                <w:rFonts w:hint="eastAsia" w:ascii="宋体" w:hAnsi="宋体" w:eastAsia="宋体" w:cs="宋体"/>
                <w:i w:val="0"/>
                <w:iCs w:val="0"/>
                <w:color w:val="auto"/>
                <w:sz w:val="24"/>
                <w:lang w:val="en-US" w:eastAsia="zh-CN"/>
              </w:rPr>
              <w:t>条款</w:t>
            </w:r>
          </w:p>
        </w:tc>
        <w:tc>
          <w:tcPr>
            <w:tcW w:w="900" w:type="dxa"/>
            <w:noWrap w:val="0"/>
            <w:vAlign w:val="top"/>
          </w:tcPr>
          <w:p>
            <w:pPr>
              <w:pStyle w:val="14"/>
              <w:spacing w:line="360" w:lineRule="auto"/>
              <w:jc w:val="center"/>
              <w:rPr>
                <w:rFonts w:hint="eastAsia" w:ascii="宋体" w:hAnsi="宋体" w:eastAsia="宋体" w:cs="宋体"/>
                <w:i w:val="0"/>
                <w:iCs w:val="0"/>
                <w:color w:val="auto"/>
                <w:sz w:val="24"/>
                <w:lang w:val="en-US" w:eastAsia="zh-CN"/>
              </w:rPr>
            </w:pPr>
            <w:r>
              <w:rPr>
                <w:rFonts w:hint="eastAsia" w:ascii="宋体" w:hAnsi="宋体" w:eastAsia="宋体" w:cs="宋体"/>
                <w:i w:val="0"/>
                <w:iCs w:val="0"/>
                <w:color w:val="auto"/>
                <w:sz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04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520" w:type="dxa"/>
            <w:noWrap w:val="0"/>
            <w:vAlign w:val="top"/>
          </w:tcPr>
          <w:p>
            <w:pPr>
              <w:pStyle w:val="14"/>
              <w:spacing w:line="360" w:lineRule="auto"/>
              <w:ind w:left="1080" w:leftChars="257" w:hanging="540"/>
              <w:jc w:val="center"/>
              <w:rPr>
                <w:rFonts w:hint="eastAsia" w:ascii="宋体" w:hAnsi="宋体" w:eastAsia="宋体" w:cs="宋体"/>
                <w:i w:val="0"/>
                <w:iCs w:val="0"/>
                <w:color w:val="auto"/>
                <w:sz w:val="24"/>
                <w:lang w:val="en-US" w:eastAsia="zh-CN"/>
              </w:rPr>
            </w:pPr>
          </w:p>
        </w:tc>
        <w:tc>
          <w:tcPr>
            <w:tcW w:w="2520" w:type="dxa"/>
            <w:noWrap w:val="0"/>
            <w:vAlign w:val="top"/>
          </w:tcPr>
          <w:p>
            <w:pPr>
              <w:pStyle w:val="14"/>
              <w:spacing w:line="360" w:lineRule="auto"/>
              <w:ind w:left="1080" w:leftChars="257" w:hanging="540"/>
              <w:jc w:val="center"/>
              <w:rPr>
                <w:rFonts w:hint="eastAsia" w:ascii="宋体" w:hAnsi="宋体" w:eastAsia="宋体" w:cs="宋体"/>
                <w:i w:val="0"/>
                <w:iCs w:val="0"/>
                <w:color w:val="auto"/>
                <w:sz w:val="24"/>
                <w:lang w:val="en-US" w:eastAsia="zh-CN"/>
              </w:rPr>
            </w:pPr>
          </w:p>
        </w:tc>
        <w:tc>
          <w:tcPr>
            <w:tcW w:w="90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04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52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52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90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04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52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52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90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04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52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52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90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04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52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52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90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04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52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52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90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04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52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52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90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04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52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52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90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04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52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52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90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04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52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52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90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04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52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52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90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04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52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52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90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04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52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52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90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04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52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52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90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04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52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52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90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04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52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52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90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04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52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252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c>
          <w:tcPr>
            <w:tcW w:w="900" w:type="dxa"/>
            <w:noWrap w:val="0"/>
            <w:vAlign w:val="top"/>
          </w:tcPr>
          <w:p>
            <w:pPr>
              <w:pStyle w:val="14"/>
              <w:spacing w:line="360" w:lineRule="auto"/>
              <w:ind w:left="1080" w:leftChars="257" w:hanging="540"/>
              <w:rPr>
                <w:rFonts w:hint="eastAsia" w:ascii="宋体" w:hAnsi="宋体" w:eastAsia="宋体" w:cs="宋体"/>
                <w:i w:val="0"/>
                <w:iCs w:val="0"/>
                <w:color w:val="auto"/>
                <w:sz w:val="24"/>
                <w:lang w:val="en-US" w:eastAsia="zh-CN"/>
              </w:rPr>
            </w:pPr>
          </w:p>
        </w:tc>
      </w:tr>
    </w:tbl>
    <w:p>
      <w:pPr>
        <w:pStyle w:val="14"/>
        <w:spacing w:line="360" w:lineRule="auto"/>
        <w:ind w:left="1080" w:leftChars="257" w:hanging="540"/>
        <w:rPr>
          <w:rFonts w:hint="eastAsia" w:ascii="宋体" w:hAnsi="宋体" w:eastAsia="宋体" w:cs="宋体"/>
          <w:i w:val="0"/>
          <w:iCs w:val="0"/>
          <w:color w:val="auto"/>
          <w:sz w:val="24"/>
        </w:rPr>
      </w:pPr>
    </w:p>
    <w:p>
      <w:pPr>
        <w:pStyle w:val="14"/>
        <w:spacing w:line="360" w:lineRule="auto"/>
        <w:rPr>
          <w:rFonts w:hint="eastAsia" w:ascii="宋体" w:hAnsi="宋体" w:eastAsia="宋体" w:cs="宋体"/>
          <w:i w:val="0"/>
          <w:iCs w:val="0"/>
          <w:color w:val="auto"/>
          <w:sz w:val="24"/>
        </w:rPr>
      </w:pPr>
    </w:p>
    <w:p>
      <w:pPr>
        <w:pStyle w:val="14"/>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法定代表人或其委托代理人签字:</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u w:val="single"/>
        </w:rPr>
        <w:tab/>
      </w:r>
      <w:r>
        <w:rPr>
          <w:rFonts w:hint="eastAsia" w:ascii="宋体" w:hAnsi="宋体" w:eastAsia="宋体" w:cs="宋体"/>
          <w:i w:val="0"/>
          <w:iCs w:val="0"/>
          <w:color w:val="auto"/>
          <w:sz w:val="24"/>
          <w:u w:val="single"/>
        </w:rPr>
        <w:t xml:space="preserve">                 </w:t>
      </w:r>
    </w:p>
    <w:p>
      <w:pPr>
        <w:pStyle w:val="14"/>
        <w:tabs>
          <w:tab w:val="left" w:pos="5370"/>
        </w:tabs>
        <w:spacing w:line="360" w:lineRule="auto"/>
        <w:rPr>
          <w:rFonts w:hint="eastAsia" w:ascii="宋体" w:hAnsi="宋体" w:eastAsia="宋体" w:cs="宋体"/>
          <w:i w:val="0"/>
          <w:iCs w:val="0"/>
          <w:color w:val="auto"/>
          <w:sz w:val="24"/>
          <w:u w:val="single"/>
        </w:rPr>
      </w:pPr>
      <w:r>
        <w:rPr>
          <w:rFonts w:hint="eastAsia" w:ascii="宋体" w:hAnsi="宋体" w:eastAsia="宋体" w:cs="宋体"/>
          <w:i w:val="0"/>
          <w:iCs w:val="0"/>
          <w:color w:val="auto"/>
          <w:sz w:val="24"/>
        </w:rPr>
        <w:t>投标人(盖单位章):</w:t>
      </w:r>
      <w:r>
        <w:rPr>
          <w:rFonts w:hint="eastAsia" w:ascii="宋体" w:hAnsi="宋体" w:eastAsia="宋体" w:cs="宋体"/>
          <w:i w:val="0"/>
          <w:iCs w:val="0"/>
          <w:color w:val="auto"/>
          <w:sz w:val="24"/>
          <w:u w:val="single"/>
        </w:rPr>
        <w:tab/>
      </w:r>
    </w:p>
    <w:p>
      <w:pPr>
        <w:pStyle w:val="14"/>
        <w:spacing w:line="360" w:lineRule="auto"/>
        <w:ind w:left="1080"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u w:val="single"/>
        </w:rPr>
        <w:br w:type="page"/>
      </w:r>
    </w:p>
    <w:p>
      <w:pPr>
        <w:tabs>
          <w:tab w:val="left" w:pos="3600"/>
        </w:tabs>
        <w:adjustRightInd w:val="0"/>
        <w:snapToGrid w:val="0"/>
        <w:spacing w:line="360" w:lineRule="auto"/>
        <w:jc w:val="center"/>
        <w:outlineLvl w:val="1"/>
        <w:rPr>
          <w:rFonts w:hint="eastAsia" w:ascii="宋体" w:hAnsi="宋体" w:eastAsia="宋体" w:cs="宋体"/>
          <w:b/>
          <w:i w:val="0"/>
          <w:iCs w:val="0"/>
          <w:color w:val="auto"/>
          <w:kern w:val="0"/>
          <w:sz w:val="28"/>
          <w:szCs w:val="21"/>
          <w:lang w:val="en-US" w:eastAsia="zh-CN" w:bidi="ar-SA"/>
        </w:rPr>
      </w:pPr>
      <w:bookmarkStart w:id="211" w:name="_Hlt520350957"/>
      <w:bookmarkEnd w:id="211"/>
      <w:bookmarkStart w:id="212" w:name="_Hlt520274393"/>
      <w:bookmarkEnd w:id="212"/>
      <w:bookmarkStart w:id="213" w:name="_Hlt520273711"/>
      <w:bookmarkEnd w:id="213"/>
      <w:bookmarkStart w:id="214" w:name="_Hlt520271212"/>
      <w:bookmarkEnd w:id="214"/>
      <w:bookmarkStart w:id="215" w:name="_Hlt520274407"/>
      <w:bookmarkEnd w:id="215"/>
      <w:bookmarkStart w:id="216" w:name="_Hlt520350918"/>
      <w:bookmarkEnd w:id="216"/>
      <w:bookmarkStart w:id="217" w:name="_Hlt520343000"/>
      <w:bookmarkEnd w:id="217"/>
      <w:bookmarkStart w:id="218" w:name="_Hlt520274911"/>
      <w:bookmarkEnd w:id="218"/>
      <w:bookmarkStart w:id="219" w:name="_Hlt520273973"/>
      <w:bookmarkEnd w:id="219"/>
      <w:bookmarkStart w:id="220" w:name="_Hlt520274065"/>
      <w:bookmarkEnd w:id="220"/>
      <w:bookmarkStart w:id="221" w:name="_Hlt520343392"/>
      <w:bookmarkEnd w:id="221"/>
      <w:bookmarkStart w:id="222" w:name="_Toc518923120"/>
      <w:bookmarkStart w:id="223" w:name="_Toc480"/>
      <w:r>
        <w:rPr>
          <w:rFonts w:hint="eastAsia" w:ascii="宋体" w:hAnsi="宋体" w:eastAsia="宋体" w:cs="宋体"/>
          <w:b/>
          <w:i w:val="0"/>
          <w:iCs w:val="0"/>
          <w:color w:val="auto"/>
          <w:kern w:val="0"/>
          <w:sz w:val="28"/>
          <w:szCs w:val="21"/>
          <w:lang w:val="en-US" w:eastAsia="zh-CN" w:bidi="ar-SA"/>
        </w:rPr>
        <w:t>5、中小企业声明函（投标文件格式七）</w:t>
      </w:r>
      <w:bookmarkEnd w:id="222"/>
      <w:bookmarkEnd w:id="223"/>
    </w:p>
    <w:p>
      <w:pPr>
        <w:spacing w:line="240" w:lineRule="atLeast"/>
        <w:ind w:left="1080" w:leftChars="257" w:hanging="540"/>
        <w:jc w:val="center"/>
        <w:rPr>
          <w:rFonts w:hint="eastAsia" w:ascii="宋体" w:hAnsi="宋体" w:eastAsia="宋体" w:cs="宋体"/>
          <w:b/>
          <w:i w:val="0"/>
          <w:iCs w:val="0"/>
          <w:color w:val="auto"/>
          <w:kern w:val="0"/>
          <w:sz w:val="24"/>
          <w:szCs w:val="20"/>
        </w:rPr>
      </w:pPr>
    </w:p>
    <w:p>
      <w:pPr>
        <w:widowControl/>
        <w:spacing w:line="5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本公司（联合体）郑重声明，根据《政府采购促进中小企业发展管理办法》（财库﹝2020﹞46号）</w:t>
      </w:r>
      <w:r>
        <w:rPr>
          <w:rFonts w:hint="eastAsia" w:ascii="宋体" w:hAnsi="宋体" w:eastAsia="宋体" w:cs="宋体"/>
          <w:color w:val="auto"/>
          <w:sz w:val="24"/>
          <w:szCs w:val="24"/>
          <w:lang w:eastAsia="zh-CN"/>
        </w:rPr>
        <w:t>、</w:t>
      </w:r>
      <w:r>
        <w:rPr>
          <w:rFonts w:hint="eastAsia" w:ascii="宋体" w:hAnsi="宋体" w:eastAsia="宋体" w:cs="宋体"/>
          <w:b w:val="0"/>
          <w:bCs/>
          <w:color w:val="auto"/>
          <w:kern w:val="2"/>
          <w:sz w:val="24"/>
          <w:szCs w:val="32"/>
          <w:lang w:val="en-US" w:eastAsia="zh-CN" w:bidi="ar-SA"/>
        </w:rPr>
        <w:t>关于进一步加大政府采购支持中小企业力度的通知财库〔2022〕19号的规定，</w:t>
      </w:r>
      <w:r>
        <w:rPr>
          <w:rFonts w:hint="eastAsia" w:ascii="宋体" w:hAnsi="宋体" w:eastAsia="宋体" w:cs="宋体"/>
          <w:color w:val="auto"/>
          <w:sz w:val="24"/>
          <w:szCs w:val="24"/>
        </w:rPr>
        <w:t>的规定，本公司（联合体）参加</w:t>
      </w:r>
      <w:r>
        <w:rPr>
          <w:rFonts w:hint="eastAsia" w:ascii="宋体" w:hAnsi="宋体" w:eastAsia="宋体" w:cs="宋体"/>
          <w:color w:val="auto"/>
          <w:sz w:val="24"/>
          <w:szCs w:val="24"/>
          <w:u w:val="single"/>
        </w:rPr>
        <w:t>（</w:t>
      </w:r>
      <w:r>
        <w:rPr>
          <w:rFonts w:hint="eastAsia" w:ascii="宋体" w:hAnsi="宋体" w:eastAsia="宋体" w:cs="宋体"/>
          <w:b/>
          <w:color w:val="auto"/>
          <w:sz w:val="24"/>
          <w:szCs w:val="24"/>
          <w:u w:val="single"/>
        </w:rPr>
        <w:t>请填写项目名称）</w:t>
      </w:r>
      <w:r>
        <w:rPr>
          <w:rFonts w:hint="eastAsia" w:ascii="宋体" w:hAnsi="宋体" w:eastAsia="宋体" w:cs="宋体"/>
          <w:color w:val="auto"/>
          <w:sz w:val="24"/>
          <w:szCs w:val="24"/>
        </w:rPr>
        <w:t>采购活动，</w:t>
      </w:r>
      <w:r>
        <w:rPr>
          <w:rFonts w:hint="eastAsia" w:ascii="宋体" w:hAnsi="宋体" w:eastAsia="宋体" w:cs="宋体"/>
          <w:color w:val="auto"/>
          <w:sz w:val="24"/>
          <w:szCs w:val="24"/>
          <w:lang w:eastAsia="zh-CN"/>
        </w:rPr>
        <w:t>服务全部</w:t>
      </w:r>
      <w:r>
        <w:rPr>
          <w:rFonts w:hint="eastAsia" w:ascii="宋体" w:hAnsi="宋体" w:eastAsia="宋体" w:cs="宋体"/>
          <w:color w:val="auto"/>
          <w:sz w:val="24"/>
          <w:szCs w:val="24"/>
        </w:rPr>
        <w:t>由符合政策要求的中小企业</w:t>
      </w:r>
      <w:r>
        <w:rPr>
          <w:rFonts w:hint="eastAsia" w:ascii="宋体" w:hAnsi="宋体" w:eastAsia="宋体" w:cs="宋体"/>
          <w:color w:val="auto"/>
          <w:sz w:val="24"/>
          <w:szCs w:val="24"/>
          <w:lang w:eastAsia="zh-CN"/>
        </w:rPr>
        <w:t>承接</w:t>
      </w:r>
      <w:r>
        <w:rPr>
          <w:rFonts w:hint="eastAsia" w:ascii="宋体" w:hAnsi="宋体" w:eastAsia="宋体" w:cs="宋体"/>
          <w:color w:val="auto"/>
          <w:sz w:val="24"/>
          <w:szCs w:val="24"/>
        </w:rPr>
        <w:t>。相关企业（含联合体中的中小企业、签订分包意向协议的中小企业）的具体情况如下：</w:t>
      </w:r>
    </w:p>
    <w:p>
      <w:pPr>
        <w:autoSpaceDE w:val="0"/>
        <w:autoSpaceDN w:val="0"/>
        <w:spacing w:line="5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w:t>
      </w:r>
      <w:r>
        <w:rPr>
          <w:rFonts w:hint="eastAsia" w:ascii="宋体" w:hAnsi="宋体" w:eastAsia="宋体" w:cs="宋体"/>
          <w:b/>
          <w:color w:val="auto"/>
          <w:sz w:val="24"/>
          <w:szCs w:val="24"/>
          <w:u w:val="single"/>
        </w:rPr>
        <w:t>请填写标的名称</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，属于</w:t>
      </w:r>
      <w:r>
        <w:rPr>
          <w:rFonts w:hint="eastAsia" w:ascii="宋体" w:hAnsi="宋体" w:eastAsia="宋体" w:cs="宋体"/>
          <w:b/>
          <w:color w:val="auto"/>
          <w:sz w:val="24"/>
          <w:szCs w:val="24"/>
          <w:u w:val="single"/>
        </w:rPr>
        <w:t>（请填写本项目采购文件中明确的所属行业）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w:t>
      </w:r>
      <w:r>
        <w:rPr>
          <w:rFonts w:hint="eastAsia" w:ascii="宋体" w:hAnsi="宋体" w:eastAsia="宋体" w:cs="宋体"/>
          <w:b/>
          <w:color w:val="auto"/>
          <w:sz w:val="24"/>
          <w:szCs w:val="24"/>
          <w:u w:val="single"/>
        </w:rPr>
        <w:t>请填写该标的制造商的企业名称</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w:t>
      </w:r>
      <w:r>
        <w:rPr>
          <w:rFonts w:hint="eastAsia" w:ascii="宋体" w:hAnsi="宋体" w:eastAsia="宋体" w:cs="宋体"/>
          <w:b/>
          <w:color w:val="auto"/>
          <w:sz w:val="24"/>
          <w:szCs w:val="24"/>
          <w:u w:val="single"/>
        </w:rPr>
        <w:t>请根据中小企业划分标准填写中型企业/小型企业/微型企业</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w:t>
      </w:r>
    </w:p>
    <w:p>
      <w:pPr>
        <w:autoSpaceDE w:val="0"/>
        <w:autoSpaceDN w:val="0"/>
        <w:spacing w:line="5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w:t>
      </w:r>
      <w:r>
        <w:rPr>
          <w:rFonts w:hint="eastAsia" w:ascii="宋体" w:hAnsi="宋体" w:eastAsia="宋体" w:cs="宋体"/>
          <w:b/>
          <w:color w:val="auto"/>
          <w:sz w:val="24"/>
          <w:szCs w:val="24"/>
          <w:u w:val="single"/>
        </w:rPr>
        <w:t>请填写标的名称</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，属于</w:t>
      </w:r>
      <w:r>
        <w:rPr>
          <w:rFonts w:hint="eastAsia" w:ascii="宋体" w:hAnsi="宋体" w:eastAsia="宋体" w:cs="宋体"/>
          <w:b/>
          <w:color w:val="auto"/>
          <w:sz w:val="24"/>
          <w:szCs w:val="24"/>
          <w:u w:val="single"/>
        </w:rPr>
        <w:t>（请填写本项目采购文件中明确的所属行业）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w:t>
      </w:r>
      <w:r>
        <w:rPr>
          <w:rFonts w:hint="eastAsia" w:ascii="宋体" w:hAnsi="宋体" w:eastAsia="宋体" w:cs="宋体"/>
          <w:b/>
          <w:color w:val="auto"/>
          <w:sz w:val="24"/>
          <w:szCs w:val="24"/>
          <w:u w:val="single"/>
        </w:rPr>
        <w:t>请填写该标的制造商的企业名称</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w:t>
      </w:r>
      <w:r>
        <w:rPr>
          <w:rFonts w:hint="eastAsia" w:ascii="宋体" w:hAnsi="宋体" w:eastAsia="宋体" w:cs="宋体"/>
          <w:b/>
          <w:color w:val="auto"/>
          <w:sz w:val="24"/>
          <w:szCs w:val="24"/>
          <w:u w:val="single"/>
        </w:rPr>
        <w:t>请根据中小企业划分标准填写中型企业/小型企业/微型企业</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w:t>
      </w:r>
    </w:p>
    <w:p>
      <w:pPr>
        <w:autoSpaceDE w:val="0"/>
        <w:autoSpaceDN w:val="0"/>
        <w:spacing w:line="500" w:lineRule="exact"/>
        <w:ind w:left="641"/>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p>
      <w:pPr>
        <w:autoSpaceDE w:val="0"/>
        <w:autoSpaceDN w:val="0"/>
        <w:spacing w:line="5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以上企业，不属于大型企业的分支机构，不存在控股股东为大型企业的情形，也不存在与大型企业的负责人为同一人的情形。</w:t>
      </w:r>
    </w:p>
    <w:p>
      <w:pPr>
        <w:widowControl/>
        <w:shd w:val="clear" w:color="auto" w:fill="FFFFFF"/>
        <w:spacing w:beforeAutospacing="1" w:afterAutospacing="1" w:line="348" w:lineRule="atLeast"/>
        <w:ind w:firstLine="384"/>
        <w:jc w:val="left"/>
        <w:rPr>
          <w:rFonts w:hint="eastAsia" w:ascii="宋体" w:hAnsi="宋体" w:eastAsia="宋体" w:cs="宋体"/>
          <w:color w:val="auto"/>
          <w:kern w:val="0"/>
          <w:sz w:val="24"/>
          <w:szCs w:val="24"/>
          <w:shd w:val="clear" w:color="auto" w:fill="FFFFFF"/>
          <w:lang w:bidi="ar"/>
        </w:rPr>
      </w:pPr>
      <w:r>
        <w:rPr>
          <w:rFonts w:hint="eastAsia" w:ascii="宋体" w:hAnsi="宋体" w:eastAsia="宋体" w:cs="宋体"/>
          <w:color w:val="auto"/>
          <w:sz w:val="24"/>
          <w:szCs w:val="24"/>
        </w:rPr>
        <w:t>本企业对上述声明内容的真实性负责。如有虚假，将依法承担相应责任。</w:t>
      </w:r>
      <w:r>
        <w:rPr>
          <w:rFonts w:hint="eastAsia" w:ascii="宋体" w:hAnsi="宋体" w:eastAsia="宋体" w:cs="宋体"/>
          <w:color w:val="auto"/>
          <w:kern w:val="0"/>
          <w:sz w:val="24"/>
          <w:szCs w:val="24"/>
          <w:shd w:val="clear" w:color="auto" w:fill="FFFFFF"/>
          <w:lang w:bidi="ar"/>
        </w:rPr>
        <w:t xml:space="preserve">  </w:t>
      </w:r>
    </w:p>
    <w:p>
      <w:pPr>
        <w:widowControl/>
        <w:shd w:val="clear" w:color="auto" w:fill="FFFFFF"/>
        <w:spacing w:beforeAutospacing="1" w:afterAutospacing="1" w:line="348" w:lineRule="atLeast"/>
        <w:ind w:firstLine="5229" w:firstLineChars="2179"/>
        <w:jc w:val="left"/>
        <w:rPr>
          <w:rFonts w:hint="eastAsia"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 xml:space="preserve"> 企业名称（盖章）：</w:t>
      </w:r>
    </w:p>
    <w:p>
      <w:pPr>
        <w:widowControl/>
        <w:shd w:val="clear" w:color="auto" w:fill="FFFFFF"/>
        <w:spacing w:beforeAutospacing="1" w:afterAutospacing="1" w:line="348" w:lineRule="atLeast"/>
        <w:ind w:firstLine="5520" w:firstLineChars="23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lang w:bidi="ar"/>
        </w:rPr>
        <w:t>日 期：</w:t>
      </w:r>
    </w:p>
    <w:p>
      <w:pPr>
        <w:pStyle w:val="51"/>
        <w:ind w:left="0" w:leftChars="0" w:firstLine="0" w:firstLineChars="0"/>
        <w:rPr>
          <w:rFonts w:hint="eastAsia" w:ascii="宋体" w:hAnsi="宋体" w:eastAsia="宋体" w:cs="宋体"/>
          <w:i w:val="0"/>
          <w:iCs w:val="0"/>
          <w:color w:val="auto"/>
          <w:kern w:val="0"/>
          <w:sz w:val="24"/>
          <w:u w:val="single"/>
        </w:rPr>
      </w:pPr>
    </w:p>
    <w:p>
      <w:pPr>
        <w:outlineLvl w:val="9"/>
        <w:rPr>
          <w:rFonts w:hint="eastAsia"/>
          <w:color w:val="auto"/>
        </w:rPr>
      </w:pPr>
    </w:p>
    <w:p>
      <w:pPr>
        <w:spacing w:before="0" w:line="240" w:lineRule="atLeast"/>
        <w:jc w:val="center"/>
        <w:outlineLvl w:val="9"/>
        <w:rPr>
          <w:rFonts w:hint="eastAsia" w:ascii="宋体" w:hAnsi="宋体" w:eastAsia="宋体" w:cs="宋体"/>
          <w:i w:val="0"/>
          <w:iCs w:val="0"/>
          <w:color w:val="auto"/>
          <w:sz w:val="28"/>
          <w:szCs w:val="21"/>
        </w:rPr>
      </w:pPr>
      <w:bookmarkStart w:id="224" w:name="_Toc518923121"/>
      <w:bookmarkStart w:id="225" w:name="_Toc14769"/>
    </w:p>
    <w:p>
      <w:pPr>
        <w:spacing w:before="0" w:line="240" w:lineRule="atLeast"/>
        <w:jc w:val="center"/>
        <w:outlineLvl w:val="9"/>
        <w:rPr>
          <w:rFonts w:hint="eastAsia" w:ascii="宋体" w:hAnsi="宋体" w:eastAsia="宋体" w:cs="宋体"/>
          <w:i w:val="0"/>
          <w:iCs w:val="0"/>
          <w:color w:val="auto"/>
          <w:sz w:val="28"/>
          <w:szCs w:val="21"/>
        </w:rPr>
      </w:pPr>
    </w:p>
    <w:p>
      <w:pPr>
        <w:spacing w:before="0" w:line="240" w:lineRule="atLeast"/>
        <w:jc w:val="center"/>
        <w:outlineLvl w:val="9"/>
        <w:rPr>
          <w:rFonts w:hint="eastAsia" w:ascii="宋体" w:hAnsi="宋体" w:eastAsia="宋体" w:cs="宋体"/>
          <w:i w:val="0"/>
          <w:iCs w:val="0"/>
          <w:color w:val="auto"/>
          <w:sz w:val="28"/>
          <w:szCs w:val="21"/>
        </w:rPr>
      </w:pPr>
    </w:p>
    <w:p>
      <w:pPr>
        <w:spacing w:before="0" w:line="240" w:lineRule="atLeast"/>
        <w:jc w:val="center"/>
        <w:outlineLvl w:val="9"/>
        <w:rPr>
          <w:rFonts w:hint="eastAsia" w:ascii="宋体" w:hAnsi="宋体" w:eastAsia="宋体" w:cs="宋体"/>
          <w:i w:val="0"/>
          <w:iCs w:val="0"/>
          <w:color w:val="auto"/>
          <w:sz w:val="28"/>
          <w:szCs w:val="21"/>
        </w:rPr>
      </w:pPr>
    </w:p>
    <w:bookmarkEnd w:id="224"/>
    <w:bookmarkEnd w:id="225"/>
    <w:p>
      <w:pPr>
        <w:outlineLvl w:val="9"/>
        <w:rPr>
          <w:rFonts w:hint="eastAsia"/>
          <w:color w:val="auto"/>
        </w:rPr>
      </w:pPr>
    </w:p>
    <w:p>
      <w:pPr>
        <w:pStyle w:val="2"/>
        <w:rPr>
          <w:rFonts w:hint="eastAsia"/>
          <w:color w:val="auto"/>
        </w:rPr>
      </w:pPr>
    </w:p>
    <w:p>
      <w:pPr>
        <w:pStyle w:val="4"/>
        <w:spacing w:before="0" w:line="240" w:lineRule="atLeast"/>
        <w:jc w:val="center"/>
        <w:rPr>
          <w:rFonts w:hint="eastAsia" w:ascii="宋体" w:hAnsi="宋体" w:eastAsia="宋体" w:cs="宋体"/>
          <w:i w:val="0"/>
          <w:iCs w:val="0"/>
          <w:color w:val="auto"/>
          <w:sz w:val="28"/>
          <w:szCs w:val="21"/>
        </w:rPr>
      </w:pPr>
      <w:bookmarkStart w:id="226" w:name="_Toc6238"/>
      <w:bookmarkStart w:id="227" w:name="_Toc518923122"/>
      <w:r>
        <w:rPr>
          <w:rFonts w:hint="eastAsia" w:ascii="宋体" w:hAnsi="宋体" w:eastAsia="宋体" w:cs="宋体"/>
          <w:i w:val="0"/>
          <w:iCs w:val="0"/>
          <w:color w:val="auto"/>
          <w:sz w:val="28"/>
          <w:szCs w:val="21"/>
        </w:rPr>
        <w:t>6</w:t>
      </w:r>
      <w:r>
        <w:rPr>
          <w:rFonts w:hint="eastAsia" w:ascii="宋体" w:hAnsi="宋体" w:eastAsia="宋体" w:cs="宋体"/>
          <w:i w:val="0"/>
          <w:iCs w:val="0"/>
          <w:color w:val="auto"/>
          <w:sz w:val="28"/>
          <w:szCs w:val="21"/>
          <w:lang w:eastAsia="zh-CN"/>
        </w:rPr>
        <w:t>、</w:t>
      </w:r>
      <w:r>
        <w:rPr>
          <w:rFonts w:hint="eastAsia" w:ascii="宋体" w:hAnsi="宋体" w:eastAsia="宋体" w:cs="宋体"/>
          <w:i w:val="0"/>
          <w:iCs w:val="0"/>
          <w:color w:val="auto"/>
          <w:sz w:val="28"/>
          <w:szCs w:val="21"/>
        </w:rPr>
        <w:t>投标人关联单位的说明</w:t>
      </w:r>
      <w:bookmarkEnd w:id="226"/>
      <w:bookmarkEnd w:id="227"/>
    </w:p>
    <w:p>
      <w:pPr>
        <w:pStyle w:val="8"/>
        <w:ind w:firstLine="480" w:firstLineChars="200"/>
        <w:rPr>
          <w:rFonts w:hint="eastAsia" w:ascii="宋体" w:hAnsi="宋体" w:eastAsia="宋体" w:cs="宋体"/>
          <w:i w:val="0"/>
          <w:iCs w:val="0"/>
          <w:color w:val="auto"/>
        </w:rPr>
      </w:pPr>
    </w:p>
    <w:p>
      <w:pPr>
        <w:pStyle w:val="8"/>
        <w:ind w:firstLine="480" w:firstLineChars="200"/>
        <w:rPr>
          <w:rFonts w:hint="eastAsia" w:ascii="宋体" w:hAnsi="宋体" w:eastAsia="宋体" w:cs="宋体"/>
          <w:i w:val="0"/>
          <w:iCs w:val="0"/>
          <w:color w:val="auto"/>
        </w:rPr>
      </w:pPr>
    </w:p>
    <w:p>
      <w:pPr>
        <w:pStyle w:val="8"/>
        <w:spacing w:line="360" w:lineRule="auto"/>
        <w:ind w:firstLine="480" w:firstLineChars="200"/>
        <w:rPr>
          <w:rFonts w:hint="eastAsia" w:ascii="宋体" w:hAnsi="宋体" w:eastAsia="宋体" w:cs="宋体"/>
          <w:i w:val="0"/>
          <w:iCs w:val="0"/>
          <w:color w:val="auto"/>
        </w:rPr>
      </w:pPr>
      <w:r>
        <w:rPr>
          <w:rFonts w:hint="eastAsia" w:ascii="宋体" w:hAnsi="宋体" w:eastAsia="宋体" w:cs="宋体"/>
          <w:i w:val="0"/>
          <w:iCs w:val="0"/>
          <w:color w:val="auto"/>
        </w:rPr>
        <w:t>说明：投标人应当如实披露与本单位存在下列关联关系的单位名称：</w:t>
      </w:r>
    </w:p>
    <w:p>
      <w:pPr>
        <w:pStyle w:val="8"/>
        <w:spacing w:line="360" w:lineRule="auto"/>
        <w:ind w:firstLine="480" w:firstLineChars="200"/>
        <w:rPr>
          <w:rFonts w:hint="eastAsia" w:ascii="宋体" w:hAnsi="宋体" w:eastAsia="宋体" w:cs="宋体"/>
          <w:i w:val="0"/>
          <w:iCs w:val="0"/>
          <w:color w:val="auto"/>
          <w:lang w:eastAsia="zh-CN"/>
        </w:rPr>
      </w:pPr>
      <w:r>
        <w:rPr>
          <w:rFonts w:hint="eastAsia" w:ascii="宋体" w:hAnsi="宋体" w:eastAsia="宋体" w:cs="宋体"/>
          <w:i w:val="0"/>
          <w:iCs w:val="0"/>
          <w:color w:val="auto"/>
        </w:rPr>
        <w:t>（1）与投标人单位负责人为同一人的其他单位；</w:t>
      </w:r>
    </w:p>
    <w:p>
      <w:pPr>
        <w:pStyle w:val="8"/>
        <w:spacing w:line="360" w:lineRule="auto"/>
        <w:ind w:firstLine="480" w:firstLineChars="200"/>
        <w:rPr>
          <w:rFonts w:hint="eastAsia" w:ascii="宋体" w:hAnsi="宋体" w:eastAsia="宋体" w:cs="宋体"/>
          <w:i w:val="0"/>
          <w:iCs w:val="0"/>
          <w:color w:val="auto"/>
        </w:rPr>
      </w:pPr>
      <w:r>
        <w:rPr>
          <w:rFonts w:hint="eastAsia" w:ascii="宋体" w:hAnsi="宋体" w:eastAsia="宋体" w:cs="宋体"/>
          <w:i w:val="0"/>
          <w:iCs w:val="0"/>
          <w:color w:val="auto"/>
        </w:rPr>
        <w:t xml:space="preserve">    （2）与投标人存在直接控股、管理关系的其他单位。</w:t>
      </w:r>
    </w:p>
    <w:p>
      <w:pPr>
        <w:pStyle w:val="8"/>
        <w:jc w:val="center"/>
        <w:rPr>
          <w:rFonts w:hint="eastAsia" w:ascii="宋体" w:hAnsi="宋体" w:eastAsia="宋体" w:cs="宋体"/>
          <w:i w:val="0"/>
          <w:iCs w:val="0"/>
          <w:color w:val="auto"/>
        </w:rPr>
      </w:pPr>
    </w:p>
    <w:p>
      <w:pPr>
        <w:pStyle w:val="8"/>
        <w:ind w:left="0" w:leftChars="0" w:firstLine="0" w:firstLineChars="0"/>
        <w:rPr>
          <w:rFonts w:hint="eastAsia" w:ascii="宋体" w:hAnsi="宋体" w:eastAsia="宋体" w:cs="宋体"/>
          <w:b/>
          <w:i w:val="0"/>
          <w:iCs w:val="0"/>
          <w:color w:val="auto"/>
          <w:kern w:val="0"/>
          <w:sz w:val="24"/>
          <w:szCs w:val="20"/>
        </w:rPr>
      </w:pPr>
    </w:p>
    <w:p>
      <w:pPr>
        <w:pStyle w:val="8"/>
        <w:ind w:left="0" w:leftChars="0" w:firstLine="0" w:firstLineChars="0"/>
        <w:rPr>
          <w:rFonts w:hint="eastAsia" w:ascii="宋体" w:hAnsi="宋体" w:eastAsia="宋体" w:cs="宋体"/>
          <w:b/>
          <w:i w:val="0"/>
          <w:iCs w:val="0"/>
          <w:color w:val="auto"/>
          <w:kern w:val="0"/>
          <w:sz w:val="24"/>
          <w:szCs w:val="20"/>
        </w:rPr>
      </w:pPr>
    </w:p>
    <w:p>
      <w:pPr>
        <w:pStyle w:val="8"/>
        <w:ind w:left="0" w:leftChars="0" w:firstLine="0" w:firstLineChars="0"/>
        <w:rPr>
          <w:rFonts w:hint="eastAsia" w:ascii="宋体" w:hAnsi="宋体" w:eastAsia="宋体" w:cs="宋体"/>
          <w:b/>
          <w:i w:val="0"/>
          <w:iCs w:val="0"/>
          <w:color w:val="auto"/>
          <w:kern w:val="0"/>
          <w:sz w:val="24"/>
          <w:szCs w:val="20"/>
        </w:rPr>
      </w:pPr>
    </w:p>
    <w:p>
      <w:pPr>
        <w:pStyle w:val="8"/>
        <w:ind w:left="0" w:leftChars="0" w:firstLine="0" w:firstLineChars="0"/>
        <w:rPr>
          <w:rFonts w:hint="eastAsia" w:ascii="宋体" w:hAnsi="宋体" w:eastAsia="宋体" w:cs="宋体"/>
          <w:b/>
          <w:i w:val="0"/>
          <w:iCs w:val="0"/>
          <w:color w:val="auto"/>
          <w:kern w:val="0"/>
          <w:sz w:val="24"/>
          <w:szCs w:val="20"/>
        </w:rPr>
      </w:pPr>
    </w:p>
    <w:p>
      <w:pPr>
        <w:pStyle w:val="8"/>
        <w:ind w:left="0" w:leftChars="0" w:firstLine="0" w:firstLineChars="0"/>
        <w:rPr>
          <w:rFonts w:hint="eastAsia" w:ascii="宋体" w:hAnsi="宋体" w:eastAsia="宋体" w:cs="宋体"/>
          <w:b/>
          <w:i w:val="0"/>
          <w:iCs w:val="0"/>
          <w:color w:val="auto"/>
          <w:kern w:val="0"/>
          <w:sz w:val="24"/>
          <w:szCs w:val="20"/>
        </w:rPr>
      </w:pPr>
    </w:p>
    <w:p>
      <w:pPr>
        <w:pStyle w:val="8"/>
        <w:ind w:left="0" w:leftChars="0" w:firstLine="0" w:firstLineChars="0"/>
        <w:rPr>
          <w:rFonts w:hint="eastAsia" w:ascii="宋体" w:hAnsi="宋体" w:eastAsia="宋体" w:cs="宋体"/>
          <w:b/>
          <w:i w:val="0"/>
          <w:iCs w:val="0"/>
          <w:color w:val="auto"/>
          <w:kern w:val="0"/>
          <w:sz w:val="24"/>
          <w:szCs w:val="20"/>
        </w:rPr>
      </w:pPr>
    </w:p>
    <w:p>
      <w:pPr>
        <w:pStyle w:val="8"/>
        <w:ind w:left="0" w:leftChars="0" w:firstLine="0" w:firstLineChars="0"/>
        <w:rPr>
          <w:rFonts w:hint="eastAsia" w:ascii="宋体" w:hAnsi="宋体" w:eastAsia="宋体" w:cs="宋体"/>
          <w:b/>
          <w:i w:val="0"/>
          <w:iCs w:val="0"/>
          <w:color w:val="auto"/>
          <w:kern w:val="0"/>
          <w:sz w:val="24"/>
          <w:szCs w:val="20"/>
        </w:rPr>
      </w:pPr>
    </w:p>
    <w:p>
      <w:pPr>
        <w:pStyle w:val="8"/>
        <w:ind w:left="0" w:leftChars="0" w:firstLine="0" w:firstLineChars="0"/>
        <w:rPr>
          <w:rFonts w:hint="eastAsia" w:ascii="宋体" w:hAnsi="宋体" w:eastAsia="宋体" w:cs="宋体"/>
          <w:b/>
          <w:i w:val="0"/>
          <w:iCs w:val="0"/>
          <w:color w:val="auto"/>
          <w:kern w:val="0"/>
          <w:sz w:val="24"/>
          <w:szCs w:val="20"/>
        </w:rPr>
      </w:pPr>
    </w:p>
    <w:p>
      <w:pPr>
        <w:pStyle w:val="8"/>
        <w:ind w:left="0" w:leftChars="0" w:firstLine="0" w:firstLineChars="0"/>
        <w:rPr>
          <w:rFonts w:hint="eastAsia" w:ascii="宋体" w:hAnsi="宋体" w:eastAsia="宋体" w:cs="宋体"/>
          <w:b/>
          <w:i w:val="0"/>
          <w:iCs w:val="0"/>
          <w:color w:val="auto"/>
          <w:kern w:val="0"/>
          <w:sz w:val="24"/>
          <w:szCs w:val="20"/>
        </w:rPr>
      </w:pPr>
    </w:p>
    <w:p>
      <w:pPr>
        <w:pStyle w:val="8"/>
        <w:ind w:left="0" w:leftChars="0" w:firstLine="0" w:firstLineChars="0"/>
        <w:rPr>
          <w:rFonts w:hint="eastAsia" w:ascii="宋体" w:hAnsi="宋体" w:eastAsia="宋体" w:cs="宋体"/>
          <w:b/>
          <w:i w:val="0"/>
          <w:iCs w:val="0"/>
          <w:color w:val="auto"/>
          <w:kern w:val="0"/>
          <w:sz w:val="24"/>
          <w:szCs w:val="20"/>
        </w:rPr>
      </w:pPr>
    </w:p>
    <w:p>
      <w:pPr>
        <w:pStyle w:val="8"/>
        <w:ind w:left="0" w:leftChars="0" w:firstLine="0" w:firstLineChars="0"/>
        <w:rPr>
          <w:rFonts w:hint="eastAsia" w:ascii="宋体" w:hAnsi="宋体" w:eastAsia="宋体" w:cs="宋体"/>
          <w:b/>
          <w:i w:val="0"/>
          <w:iCs w:val="0"/>
          <w:color w:val="auto"/>
          <w:kern w:val="0"/>
          <w:sz w:val="24"/>
          <w:szCs w:val="20"/>
        </w:rPr>
      </w:pPr>
    </w:p>
    <w:p>
      <w:pPr>
        <w:pStyle w:val="8"/>
        <w:ind w:left="0" w:leftChars="0" w:firstLine="0" w:firstLineChars="0"/>
        <w:rPr>
          <w:rFonts w:hint="eastAsia" w:ascii="宋体" w:hAnsi="宋体" w:eastAsia="宋体" w:cs="宋体"/>
          <w:b/>
          <w:i w:val="0"/>
          <w:iCs w:val="0"/>
          <w:color w:val="auto"/>
          <w:kern w:val="0"/>
          <w:sz w:val="24"/>
          <w:szCs w:val="20"/>
        </w:rPr>
      </w:pPr>
    </w:p>
    <w:p>
      <w:pPr>
        <w:pStyle w:val="8"/>
        <w:ind w:left="0" w:leftChars="0" w:firstLine="0" w:firstLineChars="0"/>
        <w:rPr>
          <w:rFonts w:hint="eastAsia" w:ascii="宋体" w:hAnsi="宋体" w:eastAsia="宋体" w:cs="宋体"/>
          <w:b/>
          <w:i w:val="0"/>
          <w:iCs w:val="0"/>
          <w:color w:val="auto"/>
          <w:kern w:val="0"/>
          <w:sz w:val="24"/>
          <w:szCs w:val="20"/>
        </w:rPr>
      </w:pPr>
    </w:p>
    <w:p>
      <w:pPr>
        <w:pStyle w:val="8"/>
        <w:ind w:left="0" w:leftChars="0" w:firstLine="0" w:firstLineChars="0"/>
        <w:rPr>
          <w:rFonts w:hint="eastAsia" w:ascii="宋体" w:hAnsi="宋体" w:eastAsia="宋体" w:cs="宋体"/>
          <w:b/>
          <w:i w:val="0"/>
          <w:iCs w:val="0"/>
          <w:color w:val="auto"/>
          <w:kern w:val="0"/>
          <w:sz w:val="24"/>
          <w:szCs w:val="20"/>
        </w:rPr>
      </w:pPr>
    </w:p>
    <w:p>
      <w:pPr>
        <w:pStyle w:val="8"/>
        <w:ind w:left="0" w:leftChars="0" w:firstLine="0" w:firstLineChars="0"/>
        <w:rPr>
          <w:rFonts w:hint="eastAsia" w:ascii="宋体" w:hAnsi="宋体" w:eastAsia="宋体" w:cs="宋体"/>
          <w:b/>
          <w:i w:val="0"/>
          <w:iCs w:val="0"/>
          <w:color w:val="auto"/>
          <w:kern w:val="0"/>
          <w:sz w:val="24"/>
          <w:szCs w:val="20"/>
        </w:rPr>
      </w:pPr>
    </w:p>
    <w:p>
      <w:pPr>
        <w:pStyle w:val="8"/>
        <w:ind w:left="0" w:leftChars="0" w:firstLine="0" w:firstLineChars="0"/>
        <w:rPr>
          <w:rFonts w:hint="eastAsia" w:ascii="宋体" w:hAnsi="宋体" w:eastAsia="宋体" w:cs="宋体"/>
          <w:b/>
          <w:i w:val="0"/>
          <w:iCs w:val="0"/>
          <w:color w:val="auto"/>
          <w:kern w:val="0"/>
          <w:sz w:val="24"/>
          <w:szCs w:val="20"/>
        </w:rPr>
      </w:pPr>
    </w:p>
    <w:p>
      <w:pPr>
        <w:pStyle w:val="8"/>
        <w:ind w:left="0" w:leftChars="0" w:firstLine="0" w:firstLineChars="0"/>
        <w:rPr>
          <w:rFonts w:hint="eastAsia" w:ascii="宋体" w:hAnsi="宋体" w:eastAsia="宋体" w:cs="宋体"/>
          <w:b/>
          <w:i w:val="0"/>
          <w:iCs w:val="0"/>
          <w:color w:val="auto"/>
          <w:kern w:val="0"/>
          <w:sz w:val="24"/>
          <w:szCs w:val="20"/>
        </w:rPr>
      </w:pPr>
    </w:p>
    <w:p>
      <w:pPr>
        <w:pStyle w:val="8"/>
        <w:ind w:left="0" w:leftChars="0" w:firstLine="0" w:firstLineChars="0"/>
        <w:rPr>
          <w:rFonts w:hint="eastAsia" w:ascii="宋体" w:hAnsi="宋体" w:eastAsia="宋体" w:cs="宋体"/>
          <w:b/>
          <w:i w:val="0"/>
          <w:iCs w:val="0"/>
          <w:color w:val="auto"/>
          <w:kern w:val="0"/>
          <w:sz w:val="24"/>
          <w:szCs w:val="20"/>
        </w:rPr>
      </w:pPr>
    </w:p>
    <w:p>
      <w:pPr>
        <w:pStyle w:val="8"/>
        <w:ind w:left="0" w:leftChars="0" w:firstLine="0" w:firstLineChars="0"/>
        <w:rPr>
          <w:rFonts w:hint="eastAsia" w:ascii="宋体" w:hAnsi="宋体" w:eastAsia="宋体" w:cs="宋体"/>
          <w:b/>
          <w:i w:val="0"/>
          <w:iCs w:val="0"/>
          <w:color w:val="auto"/>
          <w:kern w:val="0"/>
          <w:sz w:val="24"/>
          <w:szCs w:val="20"/>
        </w:rPr>
      </w:pPr>
    </w:p>
    <w:p>
      <w:pPr>
        <w:pStyle w:val="8"/>
        <w:ind w:left="0" w:leftChars="0" w:firstLine="0" w:firstLineChars="0"/>
        <w:rPr>
          <w:rFonts w:hint="eastAsia" w:ascii="宋体" w:hAnsi="宋体" w:eastAsia="宋体" w:cs="宋体"/>
          <w:b/>
          <w:i w:val="0"/>
          <w:iCs w:val="0"/>
          <w:color w:val="auto"/>
          <w:kern w:val="0"/>
          <w:sz w:val="24"/>
          <w:szCs w:val="20"/>
        </w:rPr>
      </w:pPr>
    </w:p>
    <w:p>
      <w:pPr>
        <w:pStyle w:val="8"/>
        <w:ind w:left="0" w:leftChars="0" w:firstLine="0" w:firstLineChars="0"/>
        <w:rPr>
          <w:rFonts w:hint="eastAsia" w:ascii="宋体" w:hAnsi="宋体" w:eastAsia="宋体" w:cs="宋体"/>
          <w:b/>
          <w:i w:val="0"/>
          <w:iCs w:val="0"/>
          <w:color w:val="auto"/>
          <w:kern w:val="0"/>
          <w:sz w:val="24"/>
          <w:szCs w:val="20"/>
        </w:rPr>
      </w:pPr>
    </w:p>
    <w:p>
      <w:pPr>
        <w:pStyle w:val="8"/>
        <w:ind w:left="0" w:leftChars="0" w:firstLine="0" w:firstLineChars="0"/>
        <w:rPr>
          <w:rFonts w:hint="eastAsia" w:ascii="宋体" w:hAnsi="宋体" w:eastAsia="宋体" w:cs="宋体"/>
          <w:b/>
          <w:i w:val="0"/>
          <w:iCs w:val="0"/>
          <w:color w:val="auto"/>
          <w:kern w:val="0"/>
          <w:sz w:val="24"/>
          <w:szCs w:val="20"/>
        </w:rPr>
      </w:pPr>
    </w:p>
    <w:p>
      <w:pPr>
        <w:pStyle w:val="8"/>
        <w:ind w:left="0" w:leftChars="0" w:firstLine="0" w:firstLineChars="0"/>
        <w:rPr>
          <w:rFonts w:hint="eastAsia" w:ascii="宋体" w:hAnsi="宋体" w:eastAsia="宋体" w:cs="宋体"/>
          <w:b/>
          <w:i w:val="0"/>
          <w:iCs w:val="0"/>
          <w:color w:val="auto"/>
          <w:kern w:val="0"/>
          <w:sz w:val="24"/>
          <w:szCs w:val="20"/>
        </w:rPr>
      </w:pPr>
    </w:p>
    <w:p>
      <w:pPr>
        <w:pStyle w:val="8"/>
        <w:ind w:left="0" w:leftChars="0" w:firstLine="0" w:firstLineChars="0"/>
        <w:rPr>
          <w:rFonts w:hint="eastAsia" w:ascii="宋体" w:hAnsi="宋体" w:eastAsia="宋体" w:cs="宋体"/>
          <w:b/>
          <w:i w:val="0"/>
          <w:iCs w:val="0"/>
          <w:color w:val="auto"/>
          <w:kern w:val="0"/>
          <w:sz w:val="24"/>
          <w:szCs w:val="20"/>
        </w:rPr>
      </w:pPr>
    </w:p>
    <w:p>
      <w:pPr>
        <w:pStyle w:val="8"/>
        <w:ind w:left="0" w:leftChars="0" w:firstLine="0" w:firstLineChars="0"/>
        <w:rPr>
          <w:rFonts w:hint="eastAsia" w:ascii="宋体" w:hAnsi="宋体" w:eastAsia="宋体" w:cs="宋体"/>
          <w:b/>
          <w:i w:val="0"/>
          <w:iCs w:val="0"/>
          <w:color w:val="auto"/>
          <w:kern w:val="0"/>
          <w:sz w:val="24"/>
          <w:szCs w:val="20"/>
        </w:rPr>
      </w:pPr>
    </w:p>
    <w:p>
      <w:pPr>
        <w:pStyle w:val="8"/>
        <w:ind w:left="0" w:leftChars="0" w:firstLine="0" w:firstLineChars="0"/>
        <w:rPr>
          <w:rFonts w:hint="eastAsia" w:ascii="宋体" w:hAnsi="宋体" w:eastAsia="宋体" w:cs="宋体"/>
          <w:b/>
          <w:i w:val="0"/>
          <w:iCs w:val="0"/>
          <w:color w:val="auto"/>
          <w:kern w:val="0"/>
          <w:sz w:val="24"/>
          <w:szCs w:val="20"/>
        </w:rPr>
      </w:pPr>
    </w:p>
    <w:p>
      <w:pPr>
        <w:pStyle w:val="8"/>
        <w:ind w:left="0" w:leftChars="0" w:firstLine="0" w:firstLineChars="0"/>
        <w:rPr>
          <w:rFonts w:hint="eastAsia" w:ascii="宋体" w:hAnsi="宋体" w:eastAsia="宋体" w:cs="宋体"/>
          <w:b/>
          <w:i w:val="0"/>
          <w:iCs w:val="0"/>
          <w:color w:val="auto"/>
          <w:kern w:val="0"/>
          <w:sz w:val="24"/>
          <w:szCs w:val="20"/>
        </w:rPr>
      </w:pPr>
    </w:p>
    <w:p>
      <w:pPr>
        <w:pStyle w:val="8"/>
        <w:ind w:left="0" w:leftChars="0" w:firstLine="0" w:firstLineChars="0"/>
        <w:rPr>
          <w:rFonts w:hint="eastAsia" w:ascii="宋体" w:hAnsi="宋体" w:eastAsia="宋体" w:cs="宋体"/>
          <w:b/>
          <w:i w:val="0"/>
          <w:iCs w:val="0"/>
          <w:color w:val="auto"/>
          <w:kern w:val="0"/>
          <w:sz w:val="24"/>
          <w:szCs w:val="20"/>
        </w:rPr>
      </w:pPr>
    </w:p>
    <w:p>
      <w:pPr>
        <w:pStyle w:val="8"/>
        <w:ind w:left="0" w:leftChars="0" w:firstLine="0" w:firstLineChars="0"/>
        <w:rPr>
          <w:rFonts w:hint="eastAsia" w:ascii="宋体" w:hAnsi="宋体" w:eastAsia="宋体" w:cs="宋体"/>
          <w:b/>
          <w:i w:val="0"/>
          <w:iCs w:val="0"/>
          <w:color w:val="auto"/>
          <w:kern w:val="0"/>
          <w:sz w:val="24"/>
          <w:szCs w:val="20"/>
        </w:rPr>
      </w:pPr>
    </w:p>
    <w:p>
      <w:pPr>
        <w:pStyle w:val="8"/>
        <w:ind w:left="0" w:leftChars="0" w:firstLine="0" w:firstLineChars="0"/>
        <w:rPr>
          <w:rFonts w:hint="eastAsia" w:ascii="宋体" w:hAnsi="宋体" w:eastAsia="宋体" w:cs="宋体"/>
          <w:b/>
          <w:i w:val="0"/>
          <w:iCs w:val="0"/>
          <w:color w:val="auto"/>
          <w:kern w:val="0"/>
          <w:sz w:val="24"/>
          <w:szCs w:val="20"/>
        </w:rPr>
      </w:pPr>
    </w:p>
    <w:p>
      <w:pPr>
        <w:pStyle w:val="8"/>
        <w:ind w:left="0" w:leftChars="0" w:firstLine="0" w:firstLineChars="0"/>
        <w:rPr>
          <w:rFonts w:hint="eastAsia" w:ascii="宋体" w:hAnsi="宋体" w:eastAsia="宋体" w:cs="宋体"/>
          <w:b/>
          <w:i w:val="0"/>
          <w:iCs w:val="0"/>
          <w:color w:val="auto"/>
          <w:kern w:val="0"/>
          <w:sz w:val="24"/>
          <w:szCs w:val="20"/>
        </w:rPr>
      </w:pPr>
    </w:p>
    <w:p>
      <w:pPr>
        <w:pStyle w:val="8"/>
        <w:ind w:left="0" w:leftChars="0" w:firstLine="0" w:firstLineChars="0"/>
        <w:rPr>
          <w:rFonts w:hint="eastAsia" w:ascii="宋体" w:hAnsi="宋体" w:eastAsia="宋体" w:cs="宋体"/>
          <w:b/>
          <w:i w:val="0"/>
          <w:iCs w:val="0"/>
          <w:color w:val="auto"/>
          <w:kern w:val="0"/>
          <w:sz w:val="24"/>
          <w:szCs w:val="20"/>
        </w:rPr>
      </w:pPr>
    </w:p>
    <w:p>
      <w:pPr>
        <w:pStyle w:val="8"/>
        <w:ind w:left="0" w:leftChars="0" w:firstLine="0" w:firstLineChars="0"/>
        <w:rPr>
          <w:rFonts w:hint="eastAsia" w:ascii="宋体" w:hAnsi="宋体" w:eastAsia="宋体" w:cs="宋体"/>
          <w:b/>
          <w:i w:val="0"/>
          <w:iCs w:val="0"/>
          <w:color w:val="auto"/>
          <w:kern w:val="0"/>
          <w:sz w:val="24"/>
          <w:szCs w:val="20"/>
        </w:rPr>
      </w:pPr>
    </w:p>
    <w:p>
      <w:pPr>
        <w:pStyle w:val="8"/>
        <w:ind w:left="0" w:leftChars="0" w:firstLine="0" w:firstLineChars="0"/>
        <w:rPr>
          <w:rFonts w:hint="eastAsia" w:ascii="宋体" w:hAnsi="宋体" w:eastAsia="宋体" w:cs="宋体"/>
          <w:b/>
          <w:i w:val="0"/>
          <w:iCs w:val="0"/>
          <w:color w:val="auto"/>
          <w:kern w:val="0"/>
          <w:sz w:val="24"/>
          <w:szCs w:val="20"/>
        </w:rPr>
      </w:pPr>
    </w:p>
    <w:p>
      <w:pPr>
        <w:pStyle w:val="8"/>
        <w:ind w:left="0" w:leftChars="0" w:firstLine="0" w:firstLineChars="0"/>
        <w:rPr>
          <w:rFonts w:hint="eastAsia" w:ascii="宋体" w:hAnsi="宋体" w:eastAsia="宋体" w:cs="宋体"/>
          <w:b/>
          <w:i w:val="0"/>
          <w:iCs w:val="0"/>
          <w:color w:val="auto"/>
          <w:kern w:val="0"/>
          <w:sz w:val="24"/>
          <w:szCs w:val="20"/>
        </w:rPr>
      </w:pPr>
    </w:p>
    <w:p>
      <w:pPr>
        <w:pStyle w:val="8"/>
        <w:ind w:left="0" w:leftChars="0" w:firstLine="0" w:firstLineChars="0"/>
        <w:rPr>
          <w:rFonts w:hint="eastAsia" w:ascii="宋体" w:hAnsi="宋体" w:eastAsia="宋体" w:cs="宋体"/>
          <w:b/>
          <w:i w:val="0"/>
          <w:iCs w:val="0"/>
          <w:color w:val="auto"/>
          <w:kern w:val="0"/>
          <w:sz w:val="24"/>
          <w:szCs w:val="20"/>
        </w:rPr>
      </w:pPr>
    </w:p>
    <w:p>
      <w:pPr>
        <w:pStyle w:val="4"/>
        <w:spacing w:before="0" w:line="240" w:lineRule="atLeast"/>
        <w:jc w:val="center"/>
        <w:rPr>
          <w:rFonts w:hint="eastAsia" w:ascii="宋体" w:hAnsi="宋体" w:eastAsia="宋体" w:cs="宋体"/>
          <w:i w:val="0"/>
          <w:iCs w:val="0"/>
          <w:color w:val="auto"/>
          <w:sz w:val="28"/>
          <w:szCs w:val="21"/>
        </w:rPr>
      </w:pPr>
      <w:bookmarkStart w:id="228" w:name="_Toc518923123"/>
      <w:bookmarkStart w:id="229" w:name="_Toc17066"/>
      <w:r>
        <w:rPr>
          <w:rFonts w:hint="eastAsia" w:ascii="宋体" w:hAnsi="宋体" w:eastAsia="宋体" w:cs="宋体"/>
          <w:i w:val="0"/>
          <w:iCs w:val="0"/>
          <w:color w:val="auto"/>
          <w:sz w:val="28"/>
          <w:szCs w:val="21"/>
          <w:lang w:val="en-US" w:eastAsia="zh-CN"/>
        </w:rPr>
        <w:t>7</w:t>
      </w:r>
      <w:r>
        <w:rPr>
          <w:rFonts w:hint="eastAsia" w:ascii="宋体" w:hAnsi="宋体" w:eastAsia="宋体" w:cs="宋体"/>
          <w:i w:val="0"/>
          <w:iCs w:val="0"/>
          <w:color w:val="auto"/>
          <w:sz w:val="28"/>
          <w:szCs w:val="21"/>
          <w:lang w:eastAsia="zh-CN"/>
        </w:rPr>
        <w:t>、</w:t>
      </w:r>
      <w:r>
        <w:rPr>
          <w:rFonts w:hint="eastAsia" w:ascii="宋体" w:hAnsi="宋体" w:eastAsia="宋体" w:cs="宋体"/>
          <w:i w:val="0"/>
          <w:iCs w:val="0"/>
          <w:color w:val="auto"/>
          <w:sz w:val="28"/>
          <w:szCs w:val="21"/>
        </w:rPr>
        <w:t>投标文件还应包括投标人须知第10条的所有响应文件</w:t>
      </w:r>
      <w:bookmarkEnd w:id="228"/>
      <w:bookmarkEnd w:id="229"/>
    </w:p>
    <w:p>
      <w:pPr>
        <w:spacing w:line="240" w:lineRule="atLeast"/>
        <w:ind w:left="1080" w:leftChars="257" w:hanging="540"/>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br w:type="page"/>
      </w:r>
    </w:p>
    <w:p>
      <w:pPr>
        <w:spacing w:line="240" w:lineRule="atLeast"/>
        <w:jc w:val="center"/>
        <w:rPr>
          <w:rFonts w:hint="eastAsia" w:ascii="宋体" w:hAnsi="宋体" w:eastAsia="宋体" w:cs="宋体"/>
          <w:bCs/>
          <w:i w:val="0"/>
          <w:iCs w:val="0"/>
          <w:color w:val="auto"/>
          <w:sz w:val="52"/>
          <w:szCs w:val="52"/>
        </w:rPr>
      </w:pPr>
    </w:p>
    <w:p>
      <w:pPr>
        <w:spacing w:line="240" w:lineRule="atLeast"/>
        <w:jc w:val="center"/>
        <w:rPr>
          <w:rFonts w:hint="eastAsia" w:ascii="宋体" w:hAnsi="宋体" w:eastAsia="宋体" w:cs="宋体"/>
          <w:b/>
          <w:bCs w:val="0"/>
          <w:i w:val="0"/>
          <w:iCs w:val="0"/>
          <w:color w:val="auto"/>
          <w:sz w:val="52"/>
          <w:szCs w:val="52"/>
        </w:rPr>
      </w:pPr>
      <w:r>
        <w:rPr>
          <w:rFonts w:hint="eastAsia" w:ascii="宋体" w:hAnsi="宋体" w:eastAsia="宋体" w:cs="宋体"/>
          <w:b/>
          <w:bCs w:val="0"/>
          <w:i w:val="0"/>
          <w:iCs w:val="0"/>
          <w:color w:val="auto"/>
          <w:sz w:val="52"/>
          <w:szCs w:val="52"/>
        </w:rPr>
        <w:t>服务类政府采购公开招标文件</w:t>
      </w:r>
    </w:p>
    <w:p>
      <w:pPr>
        <w:spacing w:line="240" w:lineRule="atLeast"/>
        <w:ind w:left="1080" w:leftChars="257" w:hanging="540"/>
        <w:jc w:val="center"/>
        <w:rPr>
          <w:rFonts w:hint="eastAsia" w:ascii="宋体" w:hAnsi="宋体" w:eastAsia="宋体" w:cs="宋体"/>
          <w:b/>
          <w:i w:val="0"/>
          <w:iCs w:val="0"/>
          <w:color w:val="auto"/>
          <w:sz w:val="32"/>
          <w:szCs w:val="32"/>
          <w:lang w:eastAsia="zh-CN"/>
        </w:rPr>
      </w:pPr>
    </w:p>
    <w:p>
      <w:pPr>
        <w:spacing w:line="240" w:lineRule="atLeast"/>
        <w:jc w:val="center"/>
        <w:rPr>
          <w:rFonts w:hint="default" w:ascii="宋体" w:hAnsi="宋体" w:eastAsia="宋体" w:cs="宋体"/>
          <w:b/>
          <w:i w:val="0"/>
          <w:iCs w:val="0"/>
          <w:color w:val="auto"/>
          <w:sz w:val="28"/>
          <w:lang w:val="en-US"/>
        </w:rPr>
      </w:pPr>
      <w:r>
        <w:rPr>
          <w:rFonts w:hint="eastAsia" w:ascii="宋体" w:hAnsi="宋体" w:eastAsia="宋体" w:cs="宋体"/>
          <w:b/>
          <w:i w:val="0"/>
          <w:iCs w:val="0"/>
          <w:color w:val="auto"/>
          <w:sz w:val="32"/>
          <w:szCs w:val="32"/>
          <w:lang w:eastAsia="zh-CN"/>
        </w:rPr>
        <w:t>招标编号：</w:t>
      </w:r>
      <w:r>
        <w:rPr>
          <w:rFonts w:hint="eastAsia" w:ascii="宋体" w:hAnsi="宋体" w:cs="宋体"/>
          <w:b/>
          <w:i w:val="0"/>
          <w:iCs w:val="0"/>
          <w:color w:val="auto"/>
          <w:sz w:val="32"/>
          <w:szCs w:val="32"/>
          <w:lang w:val="en-US" w:eastAsia="zh-CN"/>
        </w:rPr>
        <w:t>CQYL-2023-Z(Q)-049</w:t>
      </w:r>
    </w:p>
    <w:p>
      <w:pPr>
        <w:spacing w:line="240" w:lineRule="atLeast"/>
        <w:ind w:left="1080" w:leftChars="257" w:hanging="540"/>
        <w:jc w:val="center"/>
        <w:rPr>
          <w:rFonts w:hint="eastAsia" w:ascii="宋体" w:hAnsi="宋体" w:eastAsia="宋体" w:cs="宋体"/>
          <w:b/>
          <w:i w:val="0"/>
          <w:iCs w:val="0"/>
          <w:color w:val="auto"/>
          <w:sz w:val="48"/>
          <w:szCs w:val="48"/>
        </w:rPr>
      </w:pPr>
    </w:p>
    <w:p>
      <w:pPr>
        <w:spacing w:line="240" w:lineRule="atLeast"/>
        <w:jc w:val="center"/>
        <w:rPr>
          <w:rFonts w:hint="eastAsia" w:ascii="宋体" w:hAnsi="宋体" w:eastAsia="宋体" w:cs="宋体"/>
          <w:b/>
          <w:i w:val="0"/>
          <w:iCs w:val="0"/>
          <w:color w:val="auto"/>
          <w:sz w:val="48"/>
          <w:szCs w:val="48"/>
        </w:rPr>
      </w:pPr>
    </w:p>
    <w:p>
      <w:pPr>
        <w:spacing w:line="240" w:lineRule="atLeast"/>
        <w:jc w:val="center"/>
        <w:rPr>
          <w:rFonts w:hint="eastAsia" w:ascii="宋体" w:hAnsi="宋体" w:eastAsia="宋体" w:cs="宋体"/>
          <w:b/>
          <w:i w:val="0"/>
          <w:iCs w:val="0"/>
          <w:color w:val="auto"/>
          <w:sz w:val="48"/>
          <w:szCs w:val="48"/>
        </w:rPr>
      </w:pPr>
    </w:p>
    <w:p>
      <w:pPr>
        <w:spacing w:line="240" w:lineRule="atLeast"/>
        <w:jc w:val="center"/>
        <w:rPr>
          <w:rFonts w:hint="eastAsia" w:ascii="宋体" w:hAnsi="宋体" w:eastAsia="宋体" w:cs="宋体"/>
          <w:b/>
          <w:i w:val="0"/>
          <w:iCs w:val="0"/>
          <w:color w:val="auto"/>
          <w:sz w:val="48"/>
          <w:szCs w:val="48"/>
        </w:rPr>
      </w:pPr>
      <w:r>
        <w:rPr>
          <w:rFonts w:hint="eastAsia" w:ascii="宋体" w:hAnsi="宋体" w:eastAsia="宋体" w:cs="宋体"/>
          <w:b/>
          <w:i w:val="0"/>
          <w:iCs w:val="0"/>
          <w:color w:val="auto"/>
          <w:sz w:val="48"/>
          <w:szCs w:val="48"/>
        </w:rPr>
        <w:t>第</w:t>
      </w:r>
      <w:r>
        <w:rPr>
          <w:rFonts w:hint="eastAsia" w:ascii="宋体" w:hAnsi="宋体" w:eastAsia="宋体" w:cs="宋体"/>
          <w:b/>
          <w:i w:val="0"/>
          <w:iCs w:val="0"/>
          <w:color w:val="auto"/>
          <w:sz w:val="48"/>
          <w:szCs w:val="48"/>
          <w:lang w:eastAsia="zh-CN"/>
        </w:rPr>
        <w:t>二</w:t>
      </w:r>
      <w:r>
        <w:rPr>
          <w:rFonts w:hint="eastAsia" w:ascii="宋体" w:hAnsi="宋体" w:eastAsia="宋体" w:cs="宋体"/>
          <w:b/>
          <w:i w:val="0"/>
          <w:iCs w:val="0"/>
          <w:color w:val="auto"/>
          <w:sz w:val="48"/>
          <w:szCs w:val="48"/>
        </w:rPr>
        <w:t>册</w:t>
      </w:r>
    </w:p>
    <w:p>
      <w:pPr>
        <w:spacing w:line="240" w:lineRule="atLeast"/>
        <w:ind w:left="1080" w:leftChars="257" w:hanging="540"/>
        <w:jc w:val="center"/>
        <w:rPr>
          <w:rFonts w:hint="eastAsia" w:ascii="宋体" w:hAnsi="宋体" w:eastAsia="宋体" w:cs="宋体"/>
          <w:b/>
          <w:i w:val="0"/>
          <w:iCs w:val="0"/>
          <w:color w:val="auto"/>
          <w:sz w:val="52"/>
        </w:rPr>
      </w:pPr>
    </w:p>
    <w:p>
      <w:pPr>
        <w:spacing w:line="240" w:lineRule="atLeast"/>
        <w:ind w:left="1080" w:leftChars="257" w:hanging="540"/>
        <w:jc w:val="center"/>
        <w:rPr>
          <w:rFonts w:hint="eastAsia" w:ascii="宋体" w:hAnsi="宋体" w:eastAsia="宋体" w:cs="宋体"/>
          <w:b/>
          <w:i w:val="0"/>
          <w:iCs w:val="0"/>
          <w:color w:val="auto"/>
          <w:sz w:val="52"/>
        </w:rPr>
      </w:pPr>
    </w:p>
    <w:p>
      <w:pPr>
        <w:spacing w:line="240" w:lineRule="atLeast"/>
        <w:ind w:left="1080" w:leftChars="257" w:hanging="540"/>
        <w:jc w:val="center"/>
        <w:rPr>
          <w:rFonts w:hint="eastAsia" w:ascii="宋体" w:hAnsi="宋体" w:eastAsia="宋体" w:cs="宋体"/>
          <w:b/>
          <w:i w:val="0"/>
          <w:iCs w:val="0"/>
          <w:color w:val="auto"/>
          <w:sz w:val="52"/>
        </w:rPr>
      </w:pPr>
    </w:p>
    <w:p>
      <w:pPr>
        <w:pStyle w:val="24"/>
        <w:rPr>
          <w:rFonts w:hint="eastAsia" w:ascii="宋体" w:hAnsi="宋体" w:eastAsia="宋体" w:cs="宋体"/>
          <w:b/>
          <w:i w:val="0"/>
          <w:iCs w:val="0"/>
          <w:color w:val="auto"/>
          <w:sz w:val="52"/>
        </w:rPr>
      </w:pPr>
    </w:p>
    <w:p>
      <w:pPr>
        <w:pStyle w:val="24"/>
        <w:rPr>
          <w:rFonts w:hint="eastAsia" w:ascii="宋体" w:hAnsi="宋体" w:eastAsia="宋体" w:cs="宋体"/>
          <w:b/>
          <w:i w:val="0"/>
          <w:iCs w:val="0"/>
          <w:color w:val="auto"/>
          <w:sz w:val="52"/>
        </w:rPr>
      </w:pPr>
    </w:p>
    <w:p>
      <w:pPr>
        <w:pStyle w:val="24"/>
        <w:rPr>
          <w:rFonts w:hint="eastAsia" w:ascii="宋体" w:hAnsi="宋体" w:eastAsia="宋体" w:cs="宋体"/>
          <w:b/>
          <w:i w:val="0"/>
          <w:iCs w:val="0"/>
          <w:color w:val="auto"/>
          <w:sz w:val="52"/>
        </w:rPr>
      </w:pPr>
    </w:p>
    <w:p>
      <w:pPr>
        <w:pStyle w:val="24"/>
        <w:rPr>
          <w:rFonts w:hint="eastAsia" w:ascii="宋体" w:hAnsi="宋体" w:eastAsia="宋体" w:cs="宋体"/>
          <w:b/>
          <w:i w:val="0"/>
          <w:iCs w:val="0"/>
          <w:color w:val="auto"/>
          <w:sz w:val="5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b/>
          <w:bCs/>
          <w:i w:val="0"/>
          <w:iCs w:val="0"/>
          <w:color w:val="auto"/>
          <w:sz w:val="30"/>
          <w:szCs w:val="30"/>
          <w:lang w:val="en-US" w:eastAsia="zh-CN"/>
        </w:rPr>
      </w:pPr>
      <w:r>
        <w:rPr>
          <w:rFonts w:hint="eastAsia" w:ascii="宋体" w:hAnsi="宋体" w:eastAsia="宋体" w:cs="宋体"/>
          <w:b/>
          <w:bCs/>
          <w:i w:val="0"/>
          <w:iCs w:val="0"/>
          <w:color w:val="auto"/>
          <w:sz w:val="30"/>
          <w:szCs w:val="30"/>
          <w:lang w:eastAsia="zh-CN"/>
        </w:rPr>
        <w:t>项</w:t>
      </w:r>
      <w:r>
        <w:rPr>
          <w:rFonts w:hint="eastAsia" w:ascii="宋体" w:hAnsi="宋体" w:eastAsia="宋体" w:cs="宋体"/>
          <w:b/>
          <w:bCs/>
          <w:i w:val="0"/>
          <w:iCs w:val="0"/>
          <w:color w:val="auto"/>
          <w:sz w:val="30"/>
          <w:szCs w:val="30"/>
          <w:lang w:val="en-US" w:eastAsia="zh-CN"/>
        </w:rPr>
        <w:t xml:space="preserve"> </w:t>
      </w:r>
      <w:r>
        <w:rPr>
          <w:rFonts w:hint="eastAsia" w:ascii="宋体" w:hAnsi="宋体" w:eastAsia="宋体" w:cs="宋体"/>
          <w:b/>
          <w:bCs/>
          <w:i w:val="0"/>
          <w:iCs w:val="0"/>
          <w:color w:val="auto"/>
          <w:sz w:val="30"/>
          <w:szCs w:val="30"/>
          <w:lang w:eastAsia="zh-CN"/>
        </w:rPr>
        <w:t>目名</w:t>
      </w:r>
      <w:r>
        <w:rPr>
          <w:rFonts w:hint="eastAsia" w:ascii="宋体" w:hAnsi="宋体" w:eastAsia="宋体" w:cs="宋体"/>
          <w:b/>
          <w:bCs/>
          <w:i w:val="0"/>
          <w:iCs w:val="0"/>
          <w:color w:val="auto"/>
          <w:sz w:val="30"/>
          <w:szCs w:val="30"/>
          <w:lang w:val="en-US" w:eastAsia="zh-CN"/>
        </w:rPr>
        <w:t xml:space="preserve"> </w:t>
      </w:r>
      <w:r>
        <w:rPr>
          <w:rFonts w:hint="eastAsia" w:ascii="宋体" w:hAnsi="宋体" w:eastAsia="宋体" w:cs="宋体"/>
          <w:b/>
          <w:bCs/>
          <w:i w:val="0"/>
          <w:iCs w:val="0"/>
          <w:color w:val="auto"/>
          <w:sz w:val="30"/>
          <w:szCs w:val="30"/>
          <w:lang w:eastAsia="zh-CN"/>
        </w:rPr>
        <w:t>称</w:t>
      </w:r>
      <w:r>
        <w:rPr>
          <w:rFonts w:hint="eastAsia" w:ascii="宋体" w:hAnsi="宋体" w:eastAsia="宋体" w:cs="宋体"/>
          <w:b/>
          <w:bCs/>
          <w:i w:val="0"/>
          <w:iCs w:val="0"/>
          <w:color w:val="auto"/>
          <w:sz w:val="30"/>
          <w:szCs w:val="30"/>
        </w:rPr>
        <w:t>：</w:t>
      </w:r>
      <w:r>
        <w:rPr>
          <w:rFonts w:hint="eastAsia" w:ascii="宋体" w:hAnsi="宋体" w:cs="宋体"/>
          <w:b/>
          <w:bCs/>
          <w:i w:val="0"/>
          <w:iCs w:val="0"/>
          <w:color w:val="auto"/>
          <w:sz w:val="30"/>
          <w:szCs w:val="30"/>
          <w:lang w:val="en-US" w:eastAsia="zh-CN"/>
        </w:rPr>
        <w:t>《“两霍两伊”一体化发展战略规划》采购项目</w:t>
      </w:r>
    </w:p>
    <w:p>
      <w:pPr>
        <w:keepNext w:val="0"/>
        <w:keepLines w:val="0"/>
        <w:pageBreakBefore w:val="0"/>
        <w:widowControl w:val="0"/>
        <w:kinsoku/>
        <w:wordWrap/>
        <w:overflowPunct/>
        <w:topLinePunct w:val="0"/>
        <w:autoSpaceDE/>
        <w:autoSpaceDN/>
        <w:bidi w:val="0"/>
        <w:adjustRightInd/>
        <w:snapToGrid/>
        <w:spacing w:line="1100" w:lineRule="exact"/>
        <w:textAlignment w:val="auto"/>
        <w:rPr>
          <w:rFonts w:hint="eastAsia" w:ascii="宋体" w:hAnsi="宋体" w:eastAsia="宋体" w:cs="宋体"/>
          <w:b/>
          <w:bCs/>
          <w:i w:val="0"/>
          <w:iCs w:val="0"/>
          <w:color w:val="auto"/>
          <w:sz w:val="30"/>
          <w:szCs w:val="30"/>
          <w:lang w:val="en-US" w:eastAsia="zh-CN"/>
        </w:rPr>
      </w:pPr>
      <w:r>
        <w:rPr>
          <w:rFonts w:hint="eastAsia" w:ascii="宋体" w:hAnsi="宋体" w:eastAsia="宋体" w:cs="宋体"/>
          <w:b/>
          <w:bCs/>
          <w:i w:val="0"/>
          <w:iCs w:val="0"/>
          <w:color w:val="auto"/>
          <w:sz w:val="30"/>
          <w:szCs w:val="30"/>
          <w:lang w:eastAsia="zh-CN"/>
        </w:rPr>
        <w:t>采</w:t>
      </w:r>
      <w:r>
        <w:rPr>
          <w:rFonts w:hint="eastAsia" w:ascii="宋体" w:hAnsi="宋体" w:eastAsia="宋体" w:cs="宋体"/>
          <w:b/>
          <w:bCs/>
          <w:i w:val="0"/>
          <w:iCs w:val="0"/>
          <w:color w:val="auto"/>
          <w:sz w:val="30"/>
          <w:szCs w:val="30"/>
          <w:lang w:val="en-US" w:eastAsia="zh-CN"/>
        </w:rPr>
        <w:t xml:space="preserve">   </w:t>
      </w:r>
      <w:r>
        <w:rPr>
          <w:rFonts w:hint="eastAsia" w:ascii="宋体" w:hAnsi="宋体" w:eastAsia="宋体" w:cs="宋体"/>
          <w:b/>
          <w:bCs/>
          <w:i w:val="0"/>
          <w:iCs w:val="0"/>
          <w:color w:val="auto"/>
          <w:sz w:val="30"/>
          <w:szCs w:val="30"/>
          <w:lang w:eastAsia="zh-CN"/>
        </w:rPr>
        <w:t>购</w:t>
      </w:r>
      <w:r>
        <w:rPr>
          <w:rFonts w:hint="eastAsia" w:ascii="宋体" w:hAnsi="宋体" w:eastAsia="宋体" w:cs="宋体"/>
          <w:b/>
          <w:bCs/>
          <w:i w:val="0"/>
          <w:iCs w:val="0"/>
          <w:color w:val="auto"/>
          <w:sz w:val="30"/>
          <w:szCs w:val="30"/>
          <w:lang w:val="en-US" w:eastAsia="zh-CN"/>
        </w:rPr>
        <w:t xml:space="preserve">   </w:t>
      </w:r>
      <w:r>
        <w:rPr>
          <w:rFonts w:hint="eastAsia" w:ascii="宋体" w:hAnsi="宋体" w:eastAsia="宋体" w:cs="宋体"/>
          <w:b/>
          <w:bCs/>
          <w:i w:val="0"/>
          <w:iCs w:val="0"/>
          <w:color w:val="auto"/>
          <w:sz w:val="30"/>
          <w:szCs w:val="30"/>
          <w:lang w:eastAsia="zh-CN"/>
        </w:rPr>
        <w:t>人</w:t>
      </w:r>
      <w:r>
        <w:rPr>
          <w:rFonts w:hint="eastAsia" w:ascii="宋体" w:hAnsi="宋体" w:eastAsia="宋体" w:cs="宋体"/>
          <w:b/>
          <w:bCs/>
          <w:i w:val="0"/>
          <w:iCs w:val="0"/>
          <w:color w:val="auto"/>
          <w:sz w:val="30"/>
          <w:szCs w:val="30"/>
        </w:rPr>
        <w:t>：</w:t>
      </w:r>
      <w:r>
        <w:rPr>
          <w:rFonts w:hint="eastAsia" w:ascii="宋体" w:hAnsi="宋体" w:cs="宋体"/>
          <w:b/>
          <w:bCs/>
          <w:i w:val="0"/>
          <w:iCs w:val="0"/>
          <w:color w:val="auto"/>
          <w:sz w:val="30"/>
          <w:szCs w:val="30"/>
          <w:lang w:eastAsia="zh-CN"/>
        </w:rPr>
        <w:t>伊犁哈萨克自治州发展和改革委员会</w:t>
      </w:r>
    </w:p>
    <w:p>
      <w:pPr>
        <w:keepNext w:val="0"/>
        <w:keepLines w:val="0"/>
        <w:pageBreakBefore w:val="0"/>
        <w:widowControl w:val="0"/>
        <w:kinsoku/>
        <w:wordWrap/>
        <w:overflowPunct/>
        <w:topLinePunct w:val="0"/>
        <w:autoSpaceDE/>
        <w:autoSpaceDN/>
        <w:bidi w:val="0"/>
        <w:adjustRightInd/>
        <w:snapToGrid/>
        <w:spacing w:line="1100" w:lineRule="exact"/>
        <w:textAlignment w:val="auto"/>
        <w:rPr>
          <w:rFonts w:hint="eastAsia" w:ascii="宋体" w:hAnsi="宋体" w:eastAsia="宋体" w:cs="宋体"/>
          <w:b/>
          <w:bCs/>
          <w:i w:val="0"/>
          <w:iCs w:val="0"/>
          <w:color w:val="auto"/>
          <w:sz w:val="30"/>
          <w:szCs w:val="30"/>
          <w:lang w:val="zh-CN"/>
        </w:rPr>
      </w:pPr>
      <w:r>
        <w:rPr>
          <w:rFonts w:hint="eastAsia" w:ascii="宋体" w:hAnsi="宋体" w:eastAsia="宋体" w:cs="宋体"/>
          <w:b/>
          <w:bCs/>
          <w:i w:val="0"/>
          <w:iCs w:val="0"/>
          <w:color w:val="auto"/>
          <w:sz w:val="30"/>
          <w:szCs w:val="30"/>
        </w:rPr>
        <w:t>采购代理机构：</w:t>
      </w:r>
      <w:r>
        <w:rPr>
          <w:rFonts w:hint="eastAsia" w:ascii="宋体" w:hAnsi="宋体" w:eastAsia="宋体" w:cs="宋体"/>
          <w:b/>
          <w:bCs/>
          <w:i w:val="0"/>
          <w:iCs w:val="0"/>
          <w:color w:val="auto"/>
          <w:sz w:val="30"/>
          <w:szCs w:val="30"/>
          <w:lang w:val="zh-CN" w:eastAsia="zh-CN"/>
        </w:rPr>
        <w:t>新疆春秋工程项目管理集团有限公司</w:t>
      </w:r>
    </w:p>
    <w:p>
      <w:pPr>
        <w:keepNext w:val="0"/>
        <w:keepLines w:val="0"/>
        <w:pageBreakBefore w:val="0"/>
        <w:widowControl w:val="0"/>
        <w:kinsoku/>
        <w:wordWrap/>
        <w:overflowPunct/>
        <w:topLinePunct w:val="0"/>
        <w:autoSpaceDE/>
        <w:autoSpaceDN/>
        <w:bidi w:val="0"/>
        <w:adjustRightInd/>
        <w:snapToGrid/>
        <w:spacing w:line="1100" w:lineRule="exact"/>
        <w:textAlignment w:val="auto"/>
        <w:rPr>
          <w:rFonts w:hint="eastAsia" w:ascii="宋体" w:hAnsi="宋体" w:eastAsia="宋体" w:cs="宋体"/>
          <w:b/>
          <w:i w:val="0"/>
          <w:iCs w:val="0"/>
          <w:color w:val="auto"/>
          <w:sz w:val="52"/>
        </w:rPr>
      </w:pPr>
      <w:r>
        <w:rPr>
          <w:rFonts w:hint="eastAsia" w:ascii="宋体" w:hAnsi="宋体" w:eastAsia="宋体" w:cs="宋体"/>
          <w:b/>
          <w:bCs/>
          <w:i w:val="0"/>
          <w:iCs w:val="0"/>
          <w:color w:val="auto"/>
          <w:sz w:val="30"/>
          <w:szCs w:val="30"/>
        </w:rPr>
        <w:t>发  出 日 期：</w:t>
      </w:r>
      <w:r>
        <w:rPr>
          <w:rFonts w:hint="eastAsia" w:ascii="宋体" w:hAnsi="宋体" w:eastAsia="宋体" w:cs="宋体"/>
          <w:b/>
          <w:bCs/>
          <w:i w:val="0"/>
          <w:iCs w:val="0"/>
          <w:color w:val="auto"/>
          <w:sz w:val="30"/>
          <w:szCs w:val="30"/>
          <w:lang w:val="en-US" w:eastAsia="zh-CN"/>
        </w:rPr>
        <w:t>2023</w:t>
      </w:r>
      <w:r>
        <w:rPr>
          <w:rFonts w:hint="eastAsia" w:ascii="宋体" w:hAnsi="宋体" w:eastAsia="宋体" w:cs="宋体"/>
          <w:b/>
          <w:bCs/>
          <w:i w:val="0"/>
          <w:iCs w:val="0"/>
          <w:color w:val="auto"/>
          <w:sz w:val="30"/>
          <w:szCs w:val="30"/>
        </w:rPr>
        <w:t>年</w:t>
      </w:r>
      <w:r>
        <w:rPr>
          <w:rFonts w:hint="eastAsia" w:ascii="宋体" w:hAnsi="宋体" w:cs="宋体"/>
          <w:b/>
          <w:bCs/>
          <w:i w:val="0"/>
          <w:iCs w:val="0"/>
          <w:color w:val="auto"/>
          <w:sz w:val="30"/>
          <w:szCs w:val="30"/>
          <w:lang w:val="en-US" w:eastAsia="zh-CN"/>
        </w:rPr>
        <w:t>10</w:t>
      </w:r>
      <w:r>
        <w:rPr>
          <w:rFonts w:hint="eastAsia" w:ascii="宋体" w:hAnsi="宋体" w:eastAsia="宋体" w:cs="宋体"/>
          <w:b/>
          <w:bCs/>
          <w:i w:val="0"/>
          <w:iCs w:val="0"/>
          <w:color w:val="auto"/>
          <w:sz w:val="30"/>
          <w:szCs w:val="30"/>
        </w:rPr>
        <w:t xml:space="preserve">月 </w:t>
      </w:r>
    </w:p>
    <w:p>
      <w:pPr>
        <w:pStyle w:val="3"/>
        <w:numPr>
          <w:ilvl w:val="0"/>
          <w:numId w:val="0"/>
        </w:numPr>
        <w:tabs>
          <w:tab w:val="left" w:pos="0"/>
        </w:tabs>
        <w:spacing w:before="0" w:after="0" w:line="240" w:lineRule="atLeast"/>
        <w:ind w:leftChars="0"/>
        <w:jc w:val="center"/>
        <w:rPr>
          <w:rFonts w:hint="eastAsia" w:ascii="宋体" w:hAnsi="宋体" w:eastAsia="宋体" w:cs="宋体"/>
          <w:i w:val="0"/>
          <w:iCs w:val="0"/>
          <w:color w:val="auto"/>
        </w:rPr>
      </w:pPr>
      <w:r>
        <w:rPr>
          <w:rFonts w:hint="eastAsia" w:hAnsi="宋体" w:eastAsia="宋体" w:cs="宋体"/>
          <w:i w:val="0"/>
          <w:iCs w:val="0"/>
          <w:color w:val="auto"/>
          <w:lang w:val="en-US" w:eastAsia="zh-CN"/>
        </w:rPr>
        <w:t xml:space="preserve">第1章 </w:t>
      </w:r>
      <w:r>
        <w:rPr>
          <w:rFonts w:hint="eastAsia" w:hAnsi="宋体" w:eastAsia="宋体" w:cs="宋体"/>
          <w:i w:val="0"/>
          <w:iCs w:val="0"/>
          <w:color w:val="auto"/>
          <w:lang w:eastAsia="zh-CN"/>
        </w:rPr>
        <w:t>招标公告</w:t>
      </w:r>
    </w:p>
    <w:p>
      <w:pPr>
        <w:rPr>
          <w:rFonts w:hint="eastAsia" w:hAnsi="宋体" w:eastAsia="宋体" w:cs="宋体"/>
          <w:i w:val="0"/>
          <w:iCs w:val="0"/>
          <w:color w:val="auto"/>
          <w:lang w:eastAsia="zh-CN"/>
        </w:rPr>
      </w:pPr>
    </w:p>
    <w:p>
      <w:pPr>
        <w:jc w:val="center"/>
        <w:rPr>
          <w:rFonts w:hint="eastAsia" w:ascii="宋体" w:hAnsi="宋体" w:eastAsia="宋体" w:cs="宋体"/>
          <w:b/>
          <w:bCs/>
          <w:color w:val="auto"/>
          <w:sz w:val="32"/>
          <w:szCs w:val="32"/>
          <w:lang w:eastAsia="zh-CN"/>
        </w:rPr>
      </w:pPr>
      <w:bookmarkStart w:id="230" w:name="_Toc28359087"/>
      <w:bookmarkStart w:id="231" w:name="_Toc28359010"/>
      <w:r>
        <w:rPr>
          <w:rFonts w:hint="eastAsia" w:ascii="宋体" w:hAnsi="宋体" w:cs="宋体"/>
          <w:b/>
          <w:bCs/>
          <w:color w:val="auto"/>
          <w:sz w:val="32"/>
          <w:szCs w:val="32"/>
          <w:lang w:eastAsia="zh-CN"/>
        </w:rPr>
        <w:t>《“两霍两伊”一体化发展战略规划》采购项目</w:t>
      </w:r>
    </w:p>
    <w:p>
      <w:pPr>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公开招标公告</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5000" w:type="pct"/>
            <w:noWrap w:val="0"/>
            <w:vAlign w:val="top"/>
          </w:tcPr>
          <w:p>
            <w:pPr>
              <w:keepNext w:val="0"/>
              <w:keepLines w:val="0"/>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项目概况</w:t>
            </w:r>
          </w:p>
          <w:p>
            <w:pPr>
              <w:keepNext w:val="0"/>
              <w:keepLines w:val="0"/>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vertAlign w:val="baseline"/>
              </w:rPr>
            </w:pPr>
            <w:r>
              <w:rPr>
                <w:rFonts w:hint="eastAsia" w:ascii="宋体" w:hAnsi="宋体" w:cs="宋体"/>
                <w:color w:val="auto"/>
                <w:sz w:val="24"/>
                <w:szCs w:val="24"/>
                <w:u w:val="single"/>
                <w:vertAlign w:val="baseline"/>
                <w:lang w:eastAsia="zh-CN"/>
              </w:rPr>
              <w:t>《“两霍两伊”一体化发展战略规划》采购项目</w:t>
            </w:r>
            <w:r>
              <w:rPr>
                <w:rFonts w:hint="eastAsia" w:ascii="宋体" w:hAnsi="宋体" w:eastAsia="宋体" w:cs="宋体"/>
                <w:color w:val="auto"/>
                <w:sz w:val="24"/>
                <w:szCs w:val="24"/>
                <w:vertAlign w:val="baseline"/>
                <w:lang w:eastAsia="zh-CN"/>
              </w:rPr>
              <w:t>的潜在投标人应在</w:t>
            </w:r>
            <w:r>
              <w:rPr>
                <w:rFonts w:hint="eastAsia" w:ascii="宋体" w:hAnsi="宋体" w:eastAsia="宋体" w:cs="宋体"/>
                <w:color w:val="auto"/>
                <w:sz w:val="24"/>
                <w:szCs w:val="24"/>
                <w:u w:val="single"/>
                <w:vertAlign w:val="baseline"/>
                <w:lang w:eastAsia="zh-CN"/>
              </w:rPr>
              <w:t>政采云平台</w:t>
            </w:r>
            <w:r>
              <w:rPr>
                <w:rFonts w:hint="eastAsia" w:ascii="宋体" w:hAnsi="宋体" w:cs="宋体"/>
                <w:color w:val="auto"/>
                <w:sz w:val="24"/>
                <w:szCs w:val="24"/>
                <w:u w:val="single"/>
                <w:vertAlign w:val="baseline"/>
                <w:lang w:val="en-US" w:eastAsia="zh-CN"/>
              </w:rPr>
              <w:t xml:space="preserve"> </w:t>
            </w:r>
            <w:r>
              <w:rPr>
                <w:rFonts w:hint="eastAsia" w:ascii="宋体" w:hAnsi="宋体" w:eastAsia="宋体" w:cs="宋体"/>
                <w:color w:val="auto"/>
                <w:sz w:val="24"/>
                <w:szCs w:val="24"/>
                <w:vertAlign w:val="baseline"/>
                <w:lang w:eastAsia="zh-CN"/>
              </w:rPr>
              <w:t>获取招标文件，并于</w:t>
            </w:r>
            <w:r>
              <w:rPr>
                <w:rFonts w:hint="eastAsia" w:ascii="宋体" w:hAnsi="宋体" w:eastAsia="宋体" w:cs="宋体"/>
                <w:color w:val="auto"/>
                <w:sz w:val="24"/>
                <w:szCs w:val="24"/>
                <w:u w:val="single"/>
                <w:vertAlign w:val="baseline"/>
                <w:lang w:eastAsia="zh-CN"/>
              </w:rPr>
              <w:t>202</w:t>
            </w:r>
            <w:r>
              <w:rPr>
                <w:rFonts w:hint="eastAsia" w:ascii="宋体" w:hAnsi="宋体" w:eastAsia="宋体" w:cs="宋体"/>
                <w:color w:val="auto"/>
                <w:sz w:val="24"/>
                <w:szCs w:val="24"/>
                <w:u w:val="single"/>
                <w:vertAlign w:val="baseline"/>
                <w:lang w:val="en-US" w:eastAsia="zh-CN"/>
              </w:rPr>
              <w:t>3</w:t>
            </w:r>
            <w:r>
              <w:rPr>
                <w:rFonts w:hint="eastAsia" w:ascii="宋体" w:hAnsi="宋体" w:eastAsia="宋体" w:cs="宋体"/>
                <w:color w:val="auto"/>
                <w:sz w:val="24"/>
                <w:szCs w:val="24"/>
                <w:u w:val="single"/>
                <w:vertAlign w:val="baseline"/>
                <w:lang w:eastAsia="zh-CN"/>
              </w:rPr>
              <w:t>年</w:t>
            </w:r>
            <w:r>
              <w:rPr>
                <w:rFonts w:hint="eastAsia" w:ascii="宋体" w:hAnsi="宋体" w:cs="宋体"/>
                <w:color w:val="auto"/>
                <w:sz w:val="24"/>
                <w:szCs w:val="24"/>
                <w:u w:val="single"/>
                <w:vertAlign w:val="baseline"/>
                <w:lang w:val="en-US" w:eastAsia="zh-CN"/>
              </w:rPr>
              <w:t>11</w:t>
            </w:r>
            <w:r>
              <w:rPr>
                <w:rFonts w:hint="eastAsia" w:ascii="宋体" w:hAnsi="宋体" w:eastAsia="宋体" w:cs="宋体"/>
                <w:color w:val="auto"/>
                <w:sz w:val="24"/>
                <w:szCs w:val="24"/>
                <w:highlight w:val="none"/>
                <w:u w:val="single"/>
                <w:vertAlign w:val="baseline"/>
                <w:lang w:eastAsia="zh-CN"/>
              </w:rPr>
              <w:t>月</w:t>
            </w:r>
            <w:r>
              <w:rPr>
                <w:rFonts w:hint="eastAsia" w:ascii="宋体" w:hAnsi="宋体" w:cs="宋体"/>
                <w:color w:val="auto"/>
                <w:sz w:val="24"/>
                <w:szCs w:val="24"/>
                <w:highlight w:val="none"/>
                <w:u w:val="single"/>
                <w:vertAlign w:val="baseline"/>
                <w:lang w:val="en-US" w:eastAsia="zh-CN"/>
              </w:rPr>
              <w:t>24</w:t>
            </w:r>
            <w:r>
              <w:rPr>
                <w:rFonts w:hint="eastAsia" w:ascii="宋体" w:hAnsi="宋体" w:eastAsia="宋体" w:cs="宋体"/>
                <w:color w:val="auto"/>
                <w:sz w:val="24"/>
                <w:szCs w:val="24"/>
                <w:u w:val="single"/>
                <w:vertAlign w:val="baseline"/>
                <w:lang w:eastAsia="zh-CN"/>
              </w:rPr>
              <w:t>日 16:</w:t>
            </w:r>
            <w:r>
              <w:rPr>
                <w:rFonts w:hint="eastAsia" w:ascii="宋体" w:hAnsi="宋体" w:cs="宋体"/>
                <w:color w:val="auto"/>
                <w:sz w:val="24"/>
                <w:szCs w:val="24"/>
                <w:u w:val="single"/>
                <w:vertAlign w:val="baseline"/>
                <w:lang w:val="en-US" w:eastAsia="zh-CN"/>
              </w:rPr>
              <w:t>0</w:t>
            </w:r>
            <w:r>
              <w:rPr>
                <w:rFonts w:hint="eastAsia" w:ascii="宋体" w:hAnsi="宋体" w:eastAsia="宋体" w:cs="宋体"/>
                <w:color w:val="auto"/>
                <w:sz w:val="24"/>
                <w:szCs w:val="24"/>
                <w:u w:val="single"/>
                <w:vertAlign w:val="baseline"/>
                <w:lang w:eastAsia="zh-CN"/>
              </w:rPr>
              <w:t>0（北京时间）</w:t>
            </w:r>
            <w:r>
              <w:rPr>
                <w:rFonts w:hint="eastAsia" w:ascii="宋体" w:hAnsi="宋体" w:eastAsia="宋体" w:cs="宋体"/>
                <w:color w:val="auto"/>
                <w:sz w:val="24"/>
                <w:szCs w:val="24"/>
                <w:vertAlign w:val="baseline"/>
                <w:lang w:eastAsia="zh-CN"/>
              </w:rPr>
              <w:t>前递交投标文件。</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vertAlign w:val="baseline"/>
        </w:rPr>
      </w:pPr>
      <w:r>
        <w:rPr>
          <w:rFonts w:hint="eastAsia" w:ascii="宋体" w:hAnsi="宋体" w:eastAsia="宋体" w:cs="宋体"/>
          <w:b/>
          <w:bCs/>
          <w:color w:val="auto"/>
          <w:sz w:val="24"/>
          <w:szCs w:val="24"/>
          <w:vertAlign w:val="baseline"/>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rPr>
        <w:t>项目编号：</w:t>
      </w:r>
      <w:r>
        <w:rPr>
          <w:rFonts w:hint="eastAsia" w:ascii="宋体" w:hAnsi="宋体" w:cs="宋体"/>
          <w:color w:val="auto"/>
          <w:sz w:val="24"/>
          <w:szCs w:val="24"/>
          <w:vertAlign w:val="baseline"/>
          <w:lang w:eastAsia="zh-CN"/>
        </w:rPr>
        <w:t>CQYL-2023-Z(Q)-049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rPr>
        <w:t>项目名称：</w:t>
      </w:r>
      <w:r>
        <w:rPr>
          <w:rFonts w:hint="eastAsia" w:ascii="宋体" w:hAnsi="宋体" w:cs="宋体"/>
          <w:color w:val="auto"/>
          <w:sz w:val="24"/>
          <w:szCs w:val="24"/>
          <w:u w:val="none"/>
          <w:vertAlign w:val="baseline"/>
          <w:lang w:eastAsia="zh-CN"/>
        </w:rPr>
        <w:t>《“两霍两伊”一体化发展战略规划》采购项目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采购方式：公开招标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rPr>
        <w:t>预算金额（元）：</w:t>
      </w:r>
      <w:r>
        <w:rPr>
          <w:rFonts w:hint="eastAsia" w:ascii="宋体" w:hAnsi="宋体" w:cs="宋体"/>
          <w:color w:val="auto"/>
          <w:sz w:val="24"/>
          <w:szCs w:val="24"/>
          <w:vertAlign w:val="baseline"/>
          <w:lang w:val="en-US" w:eastAsia="zh-CN"/>
        </w:rPr>
        <w:t>98000</w:t>
      </w:r>
      <w:r>
        <w:rPr>
          <w:rFonts w:hint="eastAsia" w:ascii="宋体" w:hAnsi="宋体" w:eastAsia="宋体" w:cs="宋体"/>
          <w:color w:val="auto"/>
          <w:sz w:val="24"/>
          <w:szCs w:val="24"/>
          <w:vertAlign w:val="baseline"/>
          <w:lang w:val="en-US" w:eastAsia="zh-CN"/>
        </w:rPr>
        <w:t>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rPr>
        <w:t>最高限价（元）</w:t>
      </w:r>
      <w:r>
        <w:rPr>
          <w:rFonts w:hint="eastAsia" w:ascii="宋体" w:hAnsi="宋体" w:eastAsia="宋体" w:cs="宋体"/>
          <w:color w:val="auto"/>
          <w:sz w:val="24"/>
          <w:szCs w:val="24"/>
          <w:vertAlign w:val="baseline"/>
          <w:lang w:val="en-US" w:eastAsia="zh-CN"/>
        </w:rPr>
        <w:t>：</w:t>
      </w:r>
      <w:r>
        <w:rPr>
          <w:rFonts w:hint="eastAsia" w:ascii="宋体" w:hAnsi="宋体" w:cs="宋体"/>
          <w:color w:val="auto"/>
          <w:sz w:val="24"/>
          <w:szCs w:val="24"/>
          <w:vertAlign w:val="baseline"/>
          <w:lang w:val="en-US" w:eastAsia="zh-CN"/>
        </w:rPr>
        <w:t>980</w:t>
      </w:r>
      <w:r>
        <w:rPr>
          <w:rFonts w:hint="eastAsia" w:ascii="宋体" w:hAnsi="宋体" w:eastAsia="宋体" w:cs="宋体"/>
          <w:color w:val="auto"/>
          <w:sz w:val="24"/>
          <w:szCs w:val="24"/>
          <w:vertAlign w:val="baseline"/>
          <w:lang w:val="en-US" w:eastAsia="zh-CN"/>
        </w:rPr>
        <w:t>0000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采购需求：</w:t>
      </w:r>
      <w:r>
        <w:rPr>
          <w:rFonts w:hint="eastAsia" w:ascii="宋体" w:hAnsi="宋体" w:cs="宋体"/>
          <w:bCs/>
          <w:color w:val="auto"/>
          <w:sz w:val="24"/>
        </w:rPr>
        <w:t>“两霍两伊”一体化发展战略规划成果包括综合报告、专题研究及图集</w:t>
      </w:r>
      <w:r>
        <w:rPr>
          <w:rFonts w:hint="eastAsia" w:ascii="宋体" w:hAnsi="宋体" w:cs="宋体"/>
          <w:bCs/>
          <w:color w:val="auto"/>
          <w:sz w:val="24"/>
          <w:lang w:eastAsia="zh-CN"/>
        </w:rPr>
        <w:t>，</w:t>
      </w:r>
      <w:r>
        <w:rPr>
          <w:rFonts w:hint="eastAsia" w:ascii="宋体" w:hAnsi="宋体" w:cs="宋体"/>
          <w:bCs/>
          <w:color w:val="auto"/>
          <w:sz w:val="24"/>
          <w:lang w:val="en-US" w:eastAsia="zh-CN"/>
        </w:rPr>
        <w:t>详见招标文件要求</w:t>
      </w:r>
      <w:r>
        <w:rPr>
          <w:rFonts w:hint="eastAsia" w:ascii="宋体" w:hAnsi="宋体" w:eastAsia="宋体" w:cs="宋体"/>
          <w:color w:val="auto"/>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rPr>
        <w:t>合同履</w:t>
      </w:r>
      <w:r>
        <w:rPr>
          <w:rFonts w:hint="eastAsia" w:ascii="宋体" w:hAnsi="宋体" w:eastAsia="宋体" w:cs="宋体"/>
          <w:color w:val="auto"/>
          <w:sz w:val="24"/>
          <w:szCs w:val="24"/>
          <w:vertAlign w:val="baseline"/>
          <w:lang w:val="en-US" w:eastAsia="zh-CN"/>
        </w:rPr>
        <w:t>行</w:t>
      </w:r>
      <w:r>
        <w:rPr>
          <w:rFonts w:hint="eastAsia" w:ascii="宋体" w:hAnsi="宋体" w:eastAsia="宋体" w:cs="宋体"/>
          <w:color w:val="auto"/>
          <w:sz w:val="24"/>
          <w:szCs w:val="24"/>
          <w:vertAlign w:val="baseline"/>
        </w:rPr>
        <w:t>期限：</w:t>
      </w:r>
      <w:r>
        <w:rPr>
          <w:rFonts w:hint="eastAsia" w:ascii="宋体" w:hAnsi="宋体" w:eastAsia="宋体" w:cs="宋体"/>
          <w:color w:val="auto"/>
          <w:sz w:val="24"/>
          <w:szCs w:val="24"/>
          <w:vertAlign w:val="baseline"/>
          <w:lang w:val="en-US" w:eastAsia="zh-CN"/>
        </w:rPr>
        <w:t>自合同签订之日起</w:t>
      </w:r>
      <w:r>
        <w:rPr>
          <w:rFonts w:hint="eastAsia" w:ascii="宋体" w:hAnsi="宋体" w:cs="宋体"/>
          <w:color w:val="auto"/>
          <w:sz w:val="24"/>
          <w:szCs w:val="24"/>
          <w:vertAlign w:val="baseline"/>
          <w:lang w:val="en-US" w:eastAsia="zh-CN"/>
        </w:rPr>
        <w:t>60日历日</w:t>
      </w:r>
      <w:r>
        <w:rPr>
          <w:rFonts w:hint="eastAsia" w:ascii="宋体" w:hAnsi="宋体" w:eastAsia="宋体" w:cs="宋体"/>
          <w:color w:val="auto"/>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本项目（否）接受联合体投标。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vertAlign w:val="baseline"/>
        </w:rPr>
      </w:pPr>
      <w:r>
        <w:rPr>
          <w:rFonts w:hint="eastAsia" w:ascii="宋体" w:hAnsi="宋体" w:eastAsia="宋体" w:cs="宋体"/>
          <w:b/>
          <w:bCs/>
          <w:color w:val="auto"/>
          <w:sz w:val="24"/>
          <w:szCs w:val="24"/>
          <w:vertAlign w:val="baseline"/>
        </w:rPr>
        <w:t>二、申请人的资格要求：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2.落实政府采购政策需满足的资格要求：</w:t>
      </w:r>
      <w:r>
        <w:rPr>
          <w:rFonts w:hint="eastAsia" w:ascii="宋体" w:hAnsi="宋体" w:cs="宋体"/>
          <w:i w:val="0"/>
          <w:iCs w:val="0"/>
          <w:caps w:val="0"/>
          <w:color w:val="auto"/>
          <w:spacing w:val="0"/>
          <w:sz w:val="24"/>
          <w:szCs w:val="24"/>
          <w:lang w:val="en-US" w:eastAsia="zh-CN"/>
        </w:rPr>
        <w:t>/</w:t>
      </w:r>
      <w:r>
        <w:rPr>
          <w:rFonts w:hint="eastAsia" w:ascii="宋体" w:hAnsi="宋体" w:eastAsia="宋体" w:cs="宋体"/>
          <w:i w:val="0"/>
          <w:iCs w:val="0"/>
          <w:caps w:val="0"/>
          <w:color w:val="auto"/>
          <w:spacing w:val="0"/>
          <w:sz w:val="24"/>
          <w:szCs w:val="24"/>
          <w:lang w:eastAsia="zh-CN"/>
        </w:rPr>
        <w:t>；</w:t>
      </w:r>
    </w:p>
    <w:p>
      <w:pPr>
        <w:pStyle w:val="23"/>
        <w:spacing w:line="360" w:lineRule="auto"/>
        <w:ind w:left="0" w:leftChars="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3.本项目的特定资格要求：</w:t>
      </w:r>
      <w:r>
        <w:rPr>
          <w:rFonts w:hint="eastAsia" w:ascii="宋体" w:hAnsi="宋体" w:eastAsia="宋体" w:cs="宋体"/>
          <w:i w:val="0"/>
          <w:iCs w:val="0"/>
          <w:caps w:val="0"/>
          <w:color w:val="auto"/>
          <w:spacing w:val="0"/>
          <w:sz w:val="24"/>
          <w:szCs w:val="24"/>
          <w:lang w:eastAsia="zh-CN"/>
        </w:rPr>
        <w:t>投标供应商</w:t>
      </w:r>
      <w:r>
        <w:rPr>
          <w:rFonts w:hint="eastAsia" w:ascii="宋体" w:hAnsi="宋体" w:eastAsia="宋体" w:cs="宋体"/>
          <w:i w:val="0"/>
          <w:iCs w:val="0"/>
          <w:caps w:val="0"/>
          <w:color w:val="auto"/>
          <w:spacing w:val="0"/>
          <w:sz w:val="24"/>
          <w:szCs w:val="24"/>
        </w:rPr>
        <w:t>有效的企业法人营业执照</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城乡规划编制甲级资质</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lang w:val="en-US" w:eastAsia="zh-CN"/>
        </w:rPr>
        <w:t>项目</w:t>
      </w:r>
      <w:r>
        <w:rPr>
          <w:rFonts w:hint="eastAsia" w:ascii="宋体" w:hAnsi="宋体" w:eastAsia="宋体" w:cs="宋体"/>
          <w:i w:val="0"/>
          <w:iCs w:val="0"/>
          <w:caps w:val="0"/>
          <w:color w:val="auto"/>
          <w:spacing w:val="0"/>
          <w:sz w:val="24"/>
          <w:szCs w:val="24"/>
        </w:rPr>
        <w:t>负责人具备注册城市规划师和正高</w:t>
      </w:r>
      <w:r>
        <w:rPr>
          <w:rFonts w:hint="eastAsia" w:hAnsi="宋体" w:cs="宋体"/>
          <w:i w:val="0"/>
          <w:iCs w:val="0"/>
          <w:caps w:val="0"/>
          <w:color w:val="auto"/>
          <w:spacing w:val="0"/>
          <w:sz w:val="24"/>
          <w:szCs w:val="24"/>
          <w:lang w:val="en-US" w:eastAsia="zh-CN"/>
        </w:rPr>
        <w:t>级相关</w:t>
      </w:r>
      <w:r>
        <w:rPr>
          <w:rFonts w:hint="eastAsia" w:ascii="宋体" w:hAnsi="宋体" w:eastAsia="宋体" w:cs="宋体"/>
          <w:i w:val="0"/>
          <w:iCs w:val="0"/>
          <w:caps w:val="0"/>
          <w:color w:val="auto"/>
          <w:spacing w:val="0"/>
          <w:sz w:val="24"/>
          <w:szCs w:val="24"/>
        </w:rPr>
        <w:t>职称，</w:t>
      </w:r>
      <w:r>
        <w:rPr>
          <w:rFonts w:hint="eastAsia" w:ascii="宋体" w:hAnsi="宋体" w:eastAsia="宋体" w:cs="宋体"/>
          <w:i w:val="0"/>
          <w:iCs w:val="0"/>
          <w:caps w:val="0"/>
          <w:color w:val="auto"/>
          <w:spacing w:val="0"/>
          <w:sz w:val="24"/>
          <w:szCs w:val="24"/>
          <w:lang w:eastAsia="zh-CN"/>
        </w:rPr>
        <w:t>且在人员、设备、资金等方面具有相应的履约能力；未被“信用中国”（www.creditchina.gov.cn）、中国政府采购网（www.ccgp.gov.cn）列入失信被执行人、重大税收违法案件当事人名单、政府采购严重违法失信行为记录名单</w:t>
      </w:r>
      <w:r>
        <w:rPr>
          <w:rFonts w:hint="eastAsia" w:ascii="宋体" w:hAnsi="宋体" w:eastAsia="宋体" w:cs="宋体"/>
          <w:i w:val="0"/>
          <w:iCs w:val="0"/>
          <w:caps w:val="0"/>
          <w:color w:val="auto"/>
          <w:spacing w:val="0"/>
          <w:sz w:val="24"/>
          <w:szCs w:val="24"/>
        </w:rPr>
        <w:t>。</w:t>
      </w:r>
      <w:r>
        <w:rPr>
          <w:rFonts w:hint="eastAsia" w:ascii="宋体" w:hAnsi="宋体" w:eastAsia="宋体" w:cs="宋体"/>
          <w:i w:val="0"/>
          <w:iCs w:val="0"/>
          <w:caps w:val="0"/>
          <w:color w:val="auto"/>
          <w:spacing w:val="0"/>
          <w:sz w:val="24"/>
          <w:szCs w:val="24"/>
          <w:lang w:val="en-US" w:eastAsia="zh-CN"/>
        </w:rPr>
        <w:t>企业近三年在经营活动中没有重大违法记录声明函(受行政主管部门的处罚不能参加投标)；</w:t>
      </w:r>
      <w:r>
        <w:rPr>
          <w:rFonts w:hint="eastAsia" w:hAnsi="宋体" w:eastAsia="宋体" w:cs="宋体"/>
          <w:color w:val="auto"/>
          <w:sz w:val="24"/>
          <w:szCs w:val="24"/>
          <w:vertAlign w:val="baseline"/>
          <w:lang w:val="en-US" w:eastAsia="zh-CN"/>
        </w:rPr>
        <w:t>与采购人存在利害关系可能影响公正性的单位，不得参加本次采购活动。单位负责人为同一人或存在控股、管理关系的不同单位，不得参加同一标段采购活动；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vertAlign w:val="baseline"/>
        </w:rPr>
      </w:pPr>
      <w:r>
        <w:rPr>
          <w:rFonts w:hint="eastAsia" w:ascii="宋体" w:hAnsi="宋体" w:eastAsia="宋体" w:cs="宋体"/>
          <w:b/>
          <w:bCs/>
          <w:color w:val="auto"/>
          <w:sz w:val="24"/>
          <w:szCs w:val="24"/>
          <w:vertAlign w:val="baseline"/>
        </w:rPr>
        <w:t>三、获取招标文件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时间：202</w:t>
      </w:r>
      <w:r>
        <w:rPr>
          <w:rFonts w:hint="eastAsia" w:ascii="宋体" w:hAnsi="宋体" w:eastAsia="宋体" w:cs="宋体"/>
          <w:color w:val="auto"/>
          <w:sz w:val="24"/>
          <w:szCs w:val="24"/>
          <w:highlight w:val="none"/>
          <w:vertAlign w:val="baseline"/>
          <w:lang w:val="en-US" w:eastAsia="zh-CN"/>
        </w:rPr>
        <w:t>3</w:t>
      </w:r>
      <w:r>
        <w:rPr>
          <w:rFonts w:hint="eastAsia" w:ascii="宋体" w:hAnsi="宋体" w:eastAsia="宋体" w:cs="宋体"/>
          <w:color w:val="auto"/>
          <w:sz w:val="24"/>
          <w:szCs w:val="24"/>
          <w:highlight w:val="none"/>
          <w:vertAlign w:val="baseline"/>
        </w:rPr>
        <w:t>年</w:t>
      </w:r>
      <w:r>
        <w:rPr>
          <w:rFonts w:hint="eastAsia" w:ascii="宋体" w:hAnsi="宋体" w:cs="宋体"/>
          <w:color w:val="auto"/>
          <w:sz w:val="24"/>
          <w:szCs w:val="24"/>
          <w:highlight w:val="none"/>
          <w:vertAlign w:val="baseline"/>
          <w:lang w:val="en-US" w:eastAsia="zh-CN"/>
        </w:rPr>
        <w:t>11</w:t>
      </w:r>
      <w:r>
        <w:rPr>
          <w:rFonts w:hint="eastAsia" w:ascii="宋体" w:hAnsi="宋体" w:eastAsia="宋体" w:cs="宋体"/>
          <w:color w:val="auto"/>
          <w:sz w:val="24"/>
          <w:szCs w:val="24"/>
          <w:highlight w:val="none"/>
          <w:vertAlign w:val="baseline"/>
        </w:rPr>
        <w:t>月</w:t>
      </w:r>
      <w:r>
        <w:rPr>
          <w:rFonts w:hint="eastAsia" w:ascii="宋体" w:hAnsi="宋体" w:cs="宋体"/>
          <w:color w:val="auto"/>
          <w:sz w:val="24"/>
          <w:szCs w:val="24"/>
          <w:highlight w:val="none"/>
          <w:vertAlign w:val="baseline"/>
          <w:lang w:val="en-US" w:eastAsia="zh-CN"/>
        </w:rPr>
        <w:t>03</w:t>
      </w:r>
      <w:r>
        <w:rPr>
          <w:rFonts w:hint="eastAsia" w:ascii="宋体" w:hAnsi="宋体" w:eastAsia="宋体" w:cs="宋体"/>
          <w:color w:val="auto"/>
          <w:sz w:val="24"/>
          <w:szCs w:val="24"/>
          <w:highlight w:val="none"/>
          <w:vertAlign w:val="baseline"/>
        </w:rPr>
        <w:t>日至202</w:t>
      </w:r>
      <w:r>
        <w:rPr>
          <w:rFonts w:hint="eastAsia" w:ascii="宋体" w:hAnsi="宋体" w:eastAsia="宋体" w:cs="宋体"/>
          <w:color w:val="auto"/>
          <w:sz w:val="24"/>
          <w:szCs w:val="24"/>
          <w:highlight w:val="none"/>
          <w:vertAlign w:val="baseline"/>
          <w:lang w:val="en-US" w:eastAsia="zh-CN"/>
        </w:rPr>
        <w:t>3</w:t>
      </w:r>
      <w:r>
        <w:rPr>
          <w:rFonts w:hint="eastAsia" w:ascii="宋体" w:hAnsi="宋体" w:eastAsia="宋体" w:cs="宋体"/>
          <w:color w:val="auto"/>
          <w:sz w:val="24"/>
          <w:szCs w:val="24"/>
          <w:highlight w:val="none"/>
          <w:vertAlign w:val="baseline"/>
        </w:rPr>
        <w:t>年</w:t>
      </w:r>
      <w:r>
        <w:rPr>
          <w:rFonts w:hint="eastAsia" w:ascii="宋体" w:hAnsi="宋体" w:cs="宋体"/>
          <w:color w:val="auto"/>
          <w:sz w:val="24"/>
          <w:szCs w:val="24"/>
          <w:highlight w:val="none"/>
          <w:vertAlign w:val="baseline"/>
          <w:lang w:val="en-US" w:eastAsia="zh-CN"/>
        </w:rPr>
        <w:t>11</w:t>
      </w:r>
      <w:r>
        <w:rPr>
          <w:rFonts w:hint="eastAsia" w:ascii="宋体" w:hAnsi="宋体" w:eastAsia="宋体" w:cs="宋体"/>
          <w:color w:val="auto"/>
          <w:sz w:val="24"/>
          <w:szCs w:val="24"/>
          <w:highlight w:val="none"/>
          <w:vertAlign w:val="baseline"/>
        </w:rPr>
        <w:t>月</w:t>
      </w:r>
      <w:r>
        <w:rPr>
          <w:rFonts w:hint="eastAsia" w:ascii="宋体" w:hAnsi="宋体" w:cs="宋体"/>
          <w:color w:val="auto"/>
          <w:sz w:val="24"/>
          <w:szCs w:val="24"/>
          <w:highlight w:val="none"/>
          <w:vertAlign w:val="baseline"/>
          <w:lang w:val="en-US" w:eastAsia="zh-CN"/>
        </w:rPr>
        <w:t>10</w:t>
      </w:r>
      <w:r>
        <w:rPr>
          <w:rFonts w:hint="eastAsia" w:ascii="宋体" w:hAnsi="宋体" w:eastAsia="宋体" w:cs="宋体"/>
          <w:color w:val="auto"/>
          <w:sz w:val="24"/>
          <w:szCs w:val="24"/>
          <w:highlight w:val="none"/>
          <w:vertAlign w:val="baseline"/>
        </w:rPr>
        <w:t>日，每天上午</w:t>
      </w:r>
      <w:r>
        <w:rPr>
          <w:rFonts w:hint="eastAsia" w:ascii="宋体" w:hAnsi="宋体" w:cs="宋体"/>
          <w:color w:val="auto"/>
          <w:sz w:val="24"/>
          <w:szCs w:val="24"/>
          <w:highlight w:val="none"/>
          <w:vertAlign w:val="baseline"/>
          <w:lang w:val="en-US" w:eastAsia="zh-CN"/>
        </w:rPr>
        <w:t>10</w:t>
      </w:r>
      <w:r>
        <w:rPr>
          <w:rFonts w:hint="eastAsia" w:ascii="宋体" w:hAnsi="宋体" w:eastAsia="宋体" w:cs="宋体"/>
          <w:color w:val="auto"/>
          <w:sz w:val="24"/>
          <w:szCs w:val="24"/>
          <w:highlight w:val="none"/>
          <w:vertAlign w:val="baseline"/>
        </w:rPr>
        <w:t>:00至1</w:t>
      </w:r>
      <w:r>
        <w:rPr>
          <w:rFonts w:hint="eastAsia" w:ascii="宋体" w:hAnsi="宋体" w:cs="宋体"/>
          <w:color w:val="auto"/>
          <w:sz w:val="24"/>
          <w:szCs w:val="24"/>
          <w:highlight w:val="none"/>
          <w:vertAlign w:val="baseline"/>
          <w:lang w:val="en-US" w:eastAsia="zh-CN"/>
        </w:rPr>
        <w:t>4</w:t>
      </w:r>
      <w:r>
        <w:rPr>
          <w:rFonts w:hint="eastAsia" w:ascii="宋体" w:hAnsi="宋体" w:eastAsia="宋体" w:cs="宋体"/>
          <w:color w:val="auto"/>
          <w:sz w:val="24"/>
          <w:szCs w:val="24"/>
          <w:highlight w:val="none"/>
          <w:vertAlign w:val="baseline"/>
        </w:rPr>
        <w:t>:00，下午1</w:t>
      </w:r>
      <w:r>
        <w:rPr>
          <w:rFonts w:hint="eastAsia" w:ascii="宋体" w:hAnsi="宋体" w:cs="宋体"/>
          <w:color w:val="auto"/>
          <w:sz w:val="24"/>
          <w:szCs w:val="24"/>
          <w:highlight w:val="none"/>
          <w:vertAlign w:val="baseline"/>
          <w:lang w:val="en-US" w:eastAsia="zh-CN"/>
        </w:rPr>
        <w:t>5</w:t>
      </w:r>
      <w:r>
        <w:rPr>
          <w:rFonts w:hint="eastAsia" w:ascii="宋体" w:hAnsi="宋体" w:eastAsia="宋体" w:cs="宋体"/>
          <w:color w:val="auto"/>
          <w:sz w:val="24"/>
          <w:szCs w:val="24"/>
          <w:highlight w:val="none"/>
          <w:vertAlign w:val="baseline"/>
        </w:rPr>
        <w:t>:</w:t>
      </w:r>
      <w:r>
        <w:rPr>
          <w:rFonts w:hint="eastAsia" w:ascii="宋体" w:hAnsi="宋体" w:cs="宋体"/>
          <w:color w:val="auto"/>
          <w:sz w:val="24"/>
          <w:szCs w:val="24"/>
          <w:highlight w:val="none"/>
          <w:vertAlign w:val="baseline"/>
          <w:lang w:val="en-US" w:eastAsia="zh-CN"/>
        </w:rPr>
        <w:t>3</w:t>
      </w:r>
      <w:r>
        <w:rPr>
          <w:rFonts w:hint="eastAsia" w:ascii="宋体" w:hAnsi="宋体" w:eastAsia="宋体" w:cs="宋体"/>
          <w:color w:val="auto"/>
          <w:sz w:val="24"/>
          <w:szCs w:val="24"/>
          <w:highlight w:val="none"/>
          <w:vertAlign w:val="baseline"/>
        </w:rPr>
        <w:t>0至</w:t>
      </w:r>
      <w:r>
        <w:rPr>
          <w:rFonts w:hint="eastAsia" w:ascii="宋体" w:hAnsi="宋体" w:cs="宋体"/>
          <w:color w:val="auto"/>
          <w:sz w:val="24"/>
          <w:szCs w:val="24"/>
          <w:highlight w:val="none"/>
          <w:vertAlign w:val="baseline"/>
          <w:lang w:val="en-US" w:eastAsia="zh-CN"/>
        </w:rPr>
        <w:t>19</w:t>
      </w:r>
      <w:r>
        <w:rPr>
          <w:rFonts w:hint="eastAsia" w:ascii="宋体" w:hAnsi="宋体" w:eastAsia="宋体" w:cs="宋体"/>
          <w:color w:val="auto"/>
          <w:sz w:val="24"/>
          <w:szCs w:val="24"/>
          <w:highlight w:val="none"/>
          <w:vertAlign w:val="baseline"/>
        </w:rPr>
        <w:t>:</w:t>
      </w:r>
      <w:r>
        <w:rPr>
          <w:rFonts w:hint="eastAsia" w:ascii="宋体" w:hAnsi="宋体" w:cs="宋体"/>
          <w:color w:val="auto"/>
          <w:sz w:val="24"/>
          <w:szCs w:val="24"/>
          <w:highlight w:val="none"/>
          <w:vertAlign w:val="baseline"/>
          <w:lang w:val="en-US" w:eastAsia="zh-CN"/>
        </w:rPr>
        <w:t>30（北京时间，法定节假日除外）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rPr>
        <w:t>地点：</w:t>
      </w:r>
      <w:r>
        <w:rPr>
          <w:rFonts w:hint="eastAsia" w:ascii="宋体" w:hAnsi="宋体" w:eastAsia="宋体" w:cs="宋体"/>
          <w:color w:val="auto"/>
          <w:sz w:val="24"/>
          <w:szCs w:val="24"/>
          <w:vertAlign w:val="baseline"/>
          <w:lang w:val="en-US" w:eastAsia="zh-CN"/>
        </w:rPr>
        <w:t>政采云平台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方式：供应商登陆政采云平台http://www.zcygov.cn/，在线申请获取采购文件（登录政府采购云平台 → 项目采购 → 获取采购文件 → 申请，审核通过后可下载招标文件，如有操作性问题，可与政采云在线客服进行咨询，咨询电话：95763）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rPr>
        <w:t>售价（元）：</w:t>
      </w:r>
      <w:r>
        <w:rPr>
          <w:rFonts w:hint="eastAsia" w:ascii="宋体" w:hAnsi="宋体" w:eastAsia="宋体" w:cs="宋体"/>
          <w:color w:val="auto"/>
          <w:sz w:val="24"/>
          <w:szCs w:val="24"/>
          <w:vertAlign w:val="baseline"/>
          <w:lang w:val="en-US" w:eastAsia="zh-CN"/>
        </w:rPr>
        <w:t>0.00</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vertAlign w:val="baseline"/>
        </w:rPr>
      </w:pPr>
      <w:r>
        <w:rPr>
          <w:rFonts w:hint="eastAsia" w:ascii="宋体" w:hAnsi="宋体" w:eastAsia="宋体" w:cs="宋体"/>
          <w:b/>
          <w:bCs/>
          <w:color w:val="auto"/>
          <w:sz w:val="24"/>
          <w:szCs w:val="24"/>
          <w:vertAlign w:val="baseline"/>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提交投标文件截止时间：</w:t>
      </w:r>
      <w:r>
        <w:rPr>
          <w:rFonts w:hint="eastAsia" w:ascii="宋体" w:hAnsi="宋体" w:eastAsia="宋体" w:cs="宋体"/>
          <w:color w:val="auto"/>
          <w:sz w:val="24"/>
          <w:szCs w:val="24"/>
          <w:highlight w:val="none"/>
          <w:vertAlign w:val="baseline"/>
        </w:rPr>
        <w:t>202</w:t>
      </w:r>
      <w:r>
        <w:rPr>
          <w:rFonts w:hint="eastAsia" w:ascii="宋体" w:hAnsi="宋体" w:eastAsia="宋体" w:cs="宋体"/>
          <w:color w:val="auto"/>
          <w:sz w:val="24"/>
          <w:szCs w:val="24"/>
          <w:highlight w:val="none"/>
          <w:vertAlign w:val="baseline"/>
          <w:lang w:val="en-US" w:eastAsia="zh-CN"/>
        </w:rPr>
        <w:t>3</w:t>
      </w:r>
      <w:r>
        <w:rPr>
          <w:rFonts w:hint="eastAsia" w:ascii="宋体" w:hAnsi="宋体" w:eastAsia="宋体" w:cs="宋体"/>
          <w:color w:val="auto"/>
          <w:sz w:val="24"/>
          <w:szCs w:val="24"/>
          <w:highlight w:val="none"/>
          <w:vertAlign w:val="baseline"/>
        </w:rPr>
        <w:t>年</w:t>
      </w:r>
      <w:r>
        <w:rPr>
          <w:rFonts w:hint="eastAsia" w:ascii="宋体" w:hAnsi="宋体" w:cs="宋体"/>
          <w:color w:val="auto"/>
          <w:sz w:val="24"/>
          <w:szCs w:val="24"/>
          <w:highlight w:val="none"/>
          <w:vertAlign w:val="baseline"/>
          <w:lang w:val="en-US" w:eastAsia="zh-CN"/>
        </w:rPr>
        <w:t>11</w:t>
      </w:r>
      <w:r>
        <w:rPr>
          <w:rFonts w:hint="eastAsia" w:ascii="宋体" w:hAnsi="宋体" w:eastAsia="宋体" w:cs="宋体"/>
          <w:color w:val="auto"/>
          <w:sz w:val="24"/>
          <w:szCs w:val="24"/>
          <w:highlight w:val="none"/>
          <w:vertAlign w:val="baseline"/>
        </w:rPr>
        <w:t>月</w:t>
      </w:r>
      <w:r>
        <w:rPr>
          <w:rFonts w:hint="eastAsia" w:ascii="宋体" w:hAnsi="宋体" w:cs="宋体"/>
          <w:color w:val="auto"/>
          <w:sz w:val="24"/>
          <w:szCs w:val="24"/>
          <w:highlight w:val="none"/>
          <w:vertAlign w:val="baseline"/>
          <w:lang w:val="en-US" w:eastAsia="zh-CN"/>
        </w:rPr>
        <w:t>24</w:t>
      </w:r>
      <w:r>
        <w:rPr>
          <w:rFonts w:hint="eastAsia" w:ascii="宋体" w:hAnsi="宋体" w:eastAsia="宋体" w:cs="宋体"/>
          <w:color w:val="auto"/>
          <w:sz w:val="24"/>
          <w:szCs w:val="24"/>
          <w:highlight w:val="none"/>
          <w:vertAlign w:val="baseline"/>
        </w:rPr>
        <w:t>日16:</w:t>
      </w:r>
      <w:r>
        <w:rPr>
          <w:rFonts w:hint="eastAsia" w:ascii="宋体" w:hAnsi="宋体" w:cs="宋体"/>
          <w:color w:val="auto"/>
          <w:sz w:val="24"/>
          <w:szCs w:val="24"/>
          <w:highlight w:val="none"/>
          <w:vertAlign w:val="baseline"/>
          <w:lang w:val="en-US" w:eastAsia="zh-CN"/>
        </w:rPr>
        <w:t>0</w:t>
      </w:r>
      <w:r>
        <w:rPr>
          <w:rFonts w:hint="eastAsia" w:ascii="宋体" w:hAnsi="宋体" w:eastAsia="宋体" w:cs="宋体"/>
          <w:color w:val="auto"/>
          <w:sz w:val="24"/>
          <w:szCs w:val="24"/>
          <w:highlight w:val="none"/>
          <w:vertAlign w:val="baseline"/>
        </w:rPr>
        <w:t>0（北京时间）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rPr>
        <w:t>投标地点：政府采购云平台（政采云网上不见面开评标系统）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vertAlign w:val="baseline"/>
        </w:rPr>
        <w:t>开标时间：</w:t>
      </w:r>
      <w:r>
        <w:rPr>
          <w:rFonts w:hint="eastAsia" w:ascii="宋体" w:hAnsi="宋体" w:eastAsia="宋体" w:cs="宋体"/>
          <w:color w:val="auto"/>
          <w:sz w:val="24"/>
          <w:szCs w:val="24"/>
          <w:highlight w:val="none"/>
          <w:vertAlign w:val="baseline"/>
        </w:rPr>
        <w:t>202</w:t>
      </w:r>
      <w:r>
        <w:rPr>
          <w:rFonts w:hint="eastAsia" w:ascii="宋体" w:hAnsi="宋体" w:eastAsia="宋体" w:cs="宋体"/>
          <w:color w:val="auto"/>
          <w:sz w:val="24"/>
          <w:szCs w:val="24"/>
          <w:highlight w:val="none"/>
          <w:vertAlign w:val="baseline"/>
          <w:lang w:val="en-US" w:eastAsia="zh-CN"/>
        </w:rPr>
        <w:t>3</w:t>
      </w:r>
      <w:r>
        <w:rPr>
          <w:rFonts w:hint="eastAsia" w:ascii="宋体" w:hAnsi="宋体" w:eastAsia="宋体" w:cs="宋体"/>
          <w:color w:val="auto"/>
          <w:sz w:val="24"/>
          <w:szCs w:val="24"/>
          <w:highlight w:val="none"/>
          <w:vertAlign w:val="baseline"/>
        </w:rPr>
        <w:t>年</w:t>
      </w:r>
      <w:r>
        <w:rPr>
          <w:rFonts w:hint="eastAsia" w:ascii="宋体" w:hAnsi="宋体" w:cs="宋体"/>
          <w:color w:val="auto"/>
          <w:sz w:val="24"/>
          <w:szCs w:val="24"/>
          <w:highlight w:val="none"/>
          <w:vertAlign w:val="baseline"/>
          <w:lang w:val="en-US" w:eastAsia="zh-CN"/>
        </w:rPr>
        <w:t>11</w:t>
      </w:r>
      <w:r>
        <w:rPr>
          <w:rFonts w:hint="eastAsia" w:ascii="宋体" w:hAnsi="宋体" w:eastAsia="宋体" w:cs="宋体"/>
          <w:color w:val="auto"/>
          <w:sz w:val="24"/>
          <w:szCs w:val="24"/>
          <w:highlight w:val="none"/>
          <w:vertAlign w:val="baseline"/>
          <w:lang w:val="en-US" w:eastAsia="zh-CN"/>
        </w:rPr>
        <w:t>月</w:t>
      </w:r>
      <w:r>
        <w:rPr>
          <w:rFonts w:hint="eastAsia" w:ascii="宋体" w:hAnsi="宋体" w:cs="宋体"/>
          <w:color w:val="auto"/>
          <w:sz w:val="24"/>
          <w:szCs w:val="24"/>
          <w:highlight w:val="none"/>
          <w:vertAlign w:val="baseline"/>
          <w:lang w:val="en-US" w:eastAsia="zh-CN"/>
        </w:rPr>
        <w:t>24</w:t>
      </w:r>
      <w:r>
        <w:rPr>
          <w:rFonts w:hint="eastAsia" w:ascii="宋体" w:hAnsi="宋体" w:eastAsia="宋体" w:cs="宋体"/>
          <w:color w:val="auto"/>
          <w:sz w:val="24"/>
          <w:szCs w:val="24"/>
          <w:highlight w:val="none"/>
          <w:vertAlign w:val="baseline"/>
        </w:rPr>
        <w:t>日16:</w:t>
      </w:r>
      <w:r>
        <w:rPr>
          <w:rFonts w:hint="eastAsia" w:ascii="宋体" w:hAnsi="宋体" w:cs="宋体"/>
          <w:color w:val="auto"/>
          <w:sz w:val="24"/>
          <w:szCs w:val="24"/>
          <w:highlight w:val="none"/>
          <w:vertAlign w:val="baseline"/>
          <w:lang w:val="en-US" w:eastAsia="zh-CN"/>
        </w:rPr>
        <w:t>0</w:t>
      </w:r>
      <w:r>
        <w:rPr>
          <w:rFonts w:hint="eastAsia" w:ascii="宋体" w:hAnsi="宋体" w:eastAsia="宋体" w:cs="宋体"/>
          <w:color w:val="auto"/>
          <w:sz w:val="24"/>
          <w:szCs w:val="24"/>
          <w:highlight w:val="none"/>
          <w:vertAlign w:val="baseline"/>
        </w:rPr>
        <w:t>0（北京时间）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rPr>
        <w:t>开标地</w:t>
      </w:r>
      <w:r>
        <w:rPr>
          <w:rFonts w:hint="eastAsia" w:ascii="宋体" w:hAnsi="宋体" w:eastAsia="宋体" w:cs="宋体"/>
          <w:color w:val="auto"/>
          <w:sz w:val="24"/>
          <w:szCs w:val="24"/>
          <w:vertAlign w:val="baseline"/>
          <w:lang w:val="en-US" w:eastAsia="zh-CN"/>
        </w:rPr>
        <w:t>点：政府采购云平台（政采云网上不见面开评标系统）</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五、公告期限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自本公告发布之日起5个工作日。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六、其他补充事宜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本次采购采用电子交易方式，电子交易平台为“政府采购云平台（www.zcygov.cn）”。供应商参与本项目电子交易活动前，应注册成为政府采购云平台供应商。编制电子投标文件前还需申领CA证书并绑定帐号，CA获取地址请查看招标公告下方附件《全疆服务机构联系表》。 2、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 3、供应商应当在投标截止时间前，将“电子招投标供应商客户端”生成的“电子加密投标文件”上传电子交易平台。 4、服务与支持。各政府采购代理机构（含集采机构）及供应商对不见面开评标系统的技术操作咨询，可通过</w:t>
      </w:r>
      <w:r>
        <w:rPr>
          <w:rFonts w:hint="eastAsia" w:ascii="宋体" w:hAnsi="宋体" w:eastAsia="宋体" w:cs="宋体"/>
          <w:i w:val="0"/>
          <w:iCs w:val="0"/>
          <w:caps w:val="0"/>
          <w:color w:val="auto"/>
          <w:spacing w:val="0"/>
          <w:sz w:val="22"/>
          <w:szCs w:val="22"/>
        </w:rPr>
        <w:t>https://edu.zcygov.cn/luban/xinjiang-e-biding</w:t>
      </w:r>
      <w:r>
        <w:rPr>
          <w:rFonts w:hint="eastAsia" w:ascii="宋体" w:hAnsi="宋体" w:eastAsia="宋体" w:cs="宋体"/>
          <w:i w:val="0"/>
          <w:iCs w:val="0"/>
          <w:caps w:val="0"/>
          <w:color w:val="auto"/>
          <w:spacing w:val="0"/>
          <w:sz w:val="24"/>
          <w:szCs w:val="24"/>
        </w:rPr>
        <w:t>自助查询，也可在政采云帮助中心常见问题解答和操作流程讲解视频中自助查询，网址为：</w:t>
      </w:r>
      <w:r>
        <w:rPr>
          <w:rFonts w:hint="eastAsia" w:ascii="宋体" w:hAnsi="宋体" w:eastAsia="宋体" w:cs="宋体"/>
          <w:i w:val="0"/>
          <w:iCs w:val="0"/>
          <w:caps w:val="0"/>
          <w:color w:val="auto"/>
          <w:spacing w:val="0"/>
          <w:sz w:val="24"/>
          <w:szCs w:val="24"/>
        </w:rPr>
        <w:fldChar w:fldCharType="begin"/>
      </w:r>
      <w:r>
        <w:rPr>
          <w:rFonts w:hint="eastAsia" w:ascii="宋体" w:hAnsi="宋体" w:eastAsia="宋体" w:cs="宋体"/>
          <w:i w:val="0"/>
          <w:iCs w:val="0"/>
          <w:caps w:val="0"/>
          <w:color w:val="auto"/>
          <w:spacing w:val="0"/>
          <w:sz w:val="24"/>
          <w:szCs w:val="24"/>
        </w:rPr>
        <w:instrText xml:space="preserve"> HYPERLINK "https://service.zcygov.cn/#/help，\“项目采购\”—\“操作流程-电子招投标\”—\“政府采购项目电子交易管理操作指南-供应商\”版面获取操作指南，同时对自助查询无法解决的问题可通过钉钉群及政采云在线客服获取服务支持。" </w:instrText>
      </w:r>
      <w:r>
        <w:rPr>
          <w:rFonts w:hint="eastAsia" w:ascii="宋体" w:hAnsi="宋体" w:eastAsia="宋体" w:cs="宋体"/>
          <w:i w:val="0"/>
          <w:iCs w:val="0"/>
          <w:caps w:val="0"/>
          <w:color w:val="auto"/>
          <w:spacing w:val="0"/>
          <w:sz w:val="24"/>
          <w:szCs w:val="24"/>
        </w:rPr>
        <w:fldChar w:fldCharType="separate"/>
      </w:r>
      <w:r>
        <w:rPr>
          <w:rFonts w:hint="eastAsia" w:ascii="宋体" w:hAnsi="宋体" w:eastAsia="宋体" w:cs="宋体"/>
          <w:i w:val="0"/>
          <w:iCs w:val="0"/>
          <w:caps w:val="0"/>
          <w:color w:val="auto"/>
          <w:spacing w:val="0"/>
          <w:sz w:val="24"/>
          <w:szCs w:val="24"/>
        </w:rPr>
        <w:t>https://service.zcygov.cn/#/help，“项目采购”—“操作流程-电子招投标”—“政府采购项目电子交易管理操作指南-供应商”版面获取操作指南，同时对自助查询无法解决的问题可通过钉钉群及政采云在线客服获取服务支持。</w:t>
      </w:r>
      <w:r>
        <w:rPr>
          <w:rFonts w:hint="eastAsia" w:ascii="宋体" w:hAnsi="宋体" w:eastAsia="宋体" w:cs="宋体"/>
          <w:i w:val="0"/>
          <w:iCs w:val="0"/>
          <w:caps w:val="0"/>
          <w:color w:val="auto"/>
          <w:spacing w:val="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vertAlign w:val="baseline"/>
          <w:lang w:val="en-US" w:eastAsia="zh-CN"/>
        </w:rPr>
      </w:pPr>
      <w:bookmarkStart w:id="232" w:name="_Toc28359085"/>
      <w:bookmarkStart w:id="233" w:name="_Toc35393796"/>
      <w:bookmarkStart w:id="234" w:name="_Toc28359008"/>
      <w:bookmarkStart w:id="235" w:name="_Toc35393627"/>
      <w:r>
        <w:rPr>
          <w:rFonts w:hint="eastAsia" w:ascii="宋体" w:hAnsi="宋体" w:eastAsia="宋体" w:cs="宋体"/>
          <w:b/>
          <w:bCs/>
          <w:color w:val="auto"/>
          <w:sz w:val="24"/>
          <w:szCs w:val="24"/>
          <w:vertAlign w:val="baseline"/>
          <w:lang w:val="en-US" w:eastAsia="zh-CN"/>
        </w:rPr>
        <w:t>七、对本次招标提出询问，请按以下方式联系。</w:t>
      </w:r>
      <w:bookmarkEnd w:id="232"/>
      <w:bookmarkEnd w:id="233"/>
      <w:bookmarkEnd w:id="234"/>
      <w:bookmarkEnd w:id="235"/>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vertAlign w:val="baseline"/>
          <w:lang w:val="en-US" w:eastAsia="zh-CN"/>
        </w:rPr>
      </w:pPr>
      <w:r>
        <w:rPr>
          <w:rFonts w:hint="eastAsia" w:ascii="仿宋" w:hAnsi="仿宋" w:eastAsia="仿宋" w:cs="宋体"/>
          <w:color w:val="auto"/>
          <w:sz w:val="24"/>
          <w:szCs w:val="24"/>
        </w:rPr>
        <w:t>1</w:t>
      </w:r>
      <w:r>
        <w:rPr>
          <w:rFonts w:hint="eastAsia" w:ascii="宋体" w:hAnsi="宋体" w:eastAsia="宋体" w:cs="宋体"/>
          <w:color w:val="auto"/>
          <w:sz w:val="24"/>
          <w:szCs w:val="24"/>
          <w:vertAlign w:val="baseline"/>
          <w:lang w:val="en-US" w:eastAsia="zh-CN"/>
        </w:rPr>
        <w:t>.采购人信息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名 称：</w:t>
      </w:r>
      <w:r>
        <w:rPr>
          <w:rFonts w:hint="eastAsia" w:ascii="宋体" w:hAnsi="宋体" w:cs="宋体"/>
          <w:color w:val="auto"/>
          <w:sz w:val="24"/>
          <w:szCs w:val="24"/>
          <w:vertAlign w:val="baseline"/>
          <w:lang w:val="en-US" w:eastAsia="zh-CN"/>
        </w:rPr>
        <w:t>伊犁哈萨克自治州发展和改革委员会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地 址：伊宁市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联系人及联系方式：</w:t>
      </w:r>
      <w:bookmarkStart w:id="236" w:name="_Toc28359009"/>
      <w:bookmarkStart w:id="237" w:name="_Toc28359086"/>
      <w:r>
        <w:rPr>
          <w:rFonts w:hint="eastAsia" w:ascii="宋体" w:hAnsi="宋体" w:cs="宋体"/>
          <w:color w:val="auto"/>
          <w:sz w:val="24"/>
          <w:szCs w:val="24"/>
          <w:vertAlign w:val="baseline"/>
          <w:lang w:val="en-US" w:eastAsia="zh-CN"/>
        </w:rPr>
        <w:t xml:space="preserve"> 0999-8041678</w:t>
      </w:r>
      <w:r>
        <w:rPr>
          <w:rFonts w:hint="eastAsia" w:ascii="宋体" w:hAnsi="宋体" w:eastAsia="宋体" w:cs="宋体"/>
          <w:color w:val="auto"/>
          <w:sz w:val="24"/>
          <w:szCs w:val="24"/>
          <w:highlight w:val="non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2.采购代理机构信息</w:t>
      </w:r>
      <w:bookmarkEnd w:id="236"/>
      <w:bookmarkEnd w:id="237"/>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名  称：新疆春秋工程项目管理集团有限公司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地　址：伊宁市新华西路705号融合大厦B座1127室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联系方式：0999-8097978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3.项目联系方式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项目联系人：张冬娥</w:t>
      </w:r>
      <w:r>
        <w:rPr>
          <w:rFonts w:hint="eastAsia" w:ascii="宋体" w:hAnsi="宋体" w:cs="宋体"/>
          <w:color w:val="auto"/>
          <w:sz w:val="24"/>
          <w:szCs w:val="24"/>
          <w:vertAlign w:val="baseline"/>
          <w:lang w:val="en-US" w:eastAsia="zh-CN"/>
        </w:rPr>
        <w:t>、朱勇刚</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电　话：</w:t>
      </w:r>
      <w:r>
        <w:rPr>
          <w:rFonts w:hint="eastAsia" w:ascii="宋体" w:hAnsi="宋体" w:cs="宋体"/>
          <w:color w:val="auto"/>
          <w:sz w:val="24"/>
          <w:szCs w:val="24"/>
          <w:vertAlign w:val="baseline"/>
          <w:lang w:val="en-US" w:eastAsia="zh-CN"/>
        </w:rPr>
        <w:t>0999-8097978</w:t>
      </w:r>
      <w:r>
        <w:rPr>
          <w:rFonts w:hint="eastAsia" w:ascii="宋体" w:hAnsi="宋体" w:eastAsia="宋体" w:cs="宋体"/>
          <w:color w:val="auto"/>
          <w:sz w:val="24"/>
          <w:szCs w:val="24"/>
          <w:vertAlign w:val="baseline"/>
          <w:lang w:val="en-US" w:eastAsia="zh-CN"/>
        </w:rPr>
        <w:t>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w:t>
      </w:r>
    </w:p>
    <w:p>
      <w:pPr>
        <w:pStyle w:val="24"/>
        <w:rPr>
          <w:rFonts w:hint="eastAsia" w:ascii="宋体" w:hAnsi="宋体" w:eastAsia="宋体" w:cs="宋体"/>
          <w:color w:val="auto"/>
          <w:sz w:val="24"/>
          <w:szCs w:val="24"/>
          <w:vertAlign w:val="baseline"/>
          <w:lang w:val="en-US" w:eastAsia="zh-CN"/>
        </w:rPr>
      </w:pPr>
    </w:p>
    <w:p>
      <w:pPr>
        <w:pStyle w:val="24"/>
        <w:rPr>
          <w:rFonts w:hint="eastAsia" w:ascii="宋体" w:hAnsi="宋体" w:eastAsia="宋体" w:cs="宋体"/>
          <w:color w:val="auto"/>
          <w:sz w:val="24"/>
          <w:szCs w:val="24"/>
          <w:vertAlign w:val="baseline"/>
          <w:lang w:val="en-US" w:eastAsia="zh-CN"/>
        </w:rPr>
      </w:pPr>
    </w:p>
    <w:p>
      <w:pPr>
        <w:pStyle w:val="24"/>
        <w:rPr>
          <w:rFonts w:hint="eastAsia" w:ascii="宋体" w:hAnsi="宋体" w:eastAsia="宋体" w:cs="宋体"/>
          <w:color w:val="auto"/>
          <w:sz w:val="24"/>
          <w:szCs w:val="24"/>
          <w:vertAlign w:val="baseline"/>
          <w:lang w:val="en-US" w:eastAsia="zh-CN"/>
        </w:rPr>
      </w:pPr>
    </w:p>
    <w:p>
      <w:pPr>
        <w:pStyle w:val="24"/>
        <w:rPr>
          <w:rFonts w:hint="eastAsia" w:ascii="宋体" w:hAnsi="宋体" w:eastAsia="宋体" w:cs="宋体"/>
          <w:color w:val="auto"/>
          <w:sz w:val="24"/>
          <w:szCs w:val="24"/>
          <w:vertAlign w:val="baseline"/>
          <w:lang w:val="en-US" w:eastAsia="zh-CN"/>
        </w:rPr>
      </w:pPr>
    </w:p>
    <w:p>
      <w:pPr>
        <w:pStyle w:val="24"/>
        <w:rPr>
          <w:rFonts w:hint="eastAsia" w:ascii="宋体" w:hAnsi="宋体" w:eastAsia="宋体" w:cs="宋体"/>
          <w:color w:val="auto"/>
          <w:sz w:val="24"/>
          <w:szCs w:val="24"/>
          <w:vertAlign w:val="baseline"/>
          <w:lang w:val="en-US" w:eastAsia="zh-CN"/>
        </w:rPr>
      </w:pPr>
    </w:p>
    <w:p>
      <w:pPr>
        <w:pStyle w:val="24"/>
        <w:rPr>
          <w:rFonts w:hint="eastAsia" w:ascii="宋体" w:hAnsi="宋体" w:eastAsia="宋体" w:cs="宋体"/>
          <w:color w:val="auto"/>
          <w:sz w:val="24"/>
          <w:szCs w:val="24"/>
          <w:vertAlign w:val="baseline"/>
          <w:lang w:val="en-US" w:eastAsia="zh-CN"/>
        </w:rPr>
      </w:pPr>
    </w:p>
    <w:p>
      <w:pPr>
        <w:pStyle w:val="24"/>
        <w:rPr>
          <w:rFonts w:hint="eastAsia" w:ascii="宋体" w:hAnsi="宋体" w:eastAsia="宋体" w:cs="宋体"/>
          <w:color w:val="auto"/>
          <w:sz w:val="24"/>
          <w:szCs w:val="24"/>
          <w:vertAlign w:val="baseline"/>
          <w:lang w:val="en-US" w:eastAsia="zh-CN"/>
        </w:rPr>
      </w:pPr>
    </w:p>
    <w:p>
      <w:pPr>
        <w:pStyle w:val="24"/>
        <w:rPr>
          <w:rFonts w:hint="eastAsia" w:ascii="宋体" w:hAnsi="宋体" w:eastAsia="宋体" w:cs="宋体"/>
          <w:color w:val="auto"/>
          <w:sz w:val="24"/>
          <w:szCs w:val="24"/>
          <w:vertAlign w:val="baseline"/>
          <w:lang w:val="en-US" w:eastAsia="zh-CN"/>
        </w:rPr>
      </w:pPr>
    </w:p>
    <w:p>
      <w:pPr>
        <w:pStyle w:val="24"/>
        <w:rPr>
          <w:rFonts w:hint="eastAsia" w:ascii="宋体" w:hAnsi="宋体" w:eastAsia="宋体" w:cs="宋体"/>
          <w:color w:val="auto"/>
          <w:sz w:val="24"/>
          <w:szCs w:val="24"/>
          <w:vertAlign w:val="baseline"/>
          <w:lang w:val="en-US" w:eastAsia="zh-CN"/>
        </w:rPr>
      </w:pPr>
    </w:p>
    <w:p>
      <w:pPr>
        <w:pStyle w:val="24"/>
        <w:rPr>
          <w:rFonts w:hint="eastAsia" w:ascii="宋体" w:hAnsi="宋体" w:eastAsia="宋体" w:cs="宋体"/>
          <w:color w:val="auto"/>
          <w:sz w:val="24"/>
          <w:szCs w:val="24"/>
          <w:vertAlign w:val="baseline"/>
          <w:lang w:val="en-US" w:eastAsia="zh-CN"/>
        </w:rPr>
      </w:pPr>
    </w:p>
    <w:p>
      <w:pPr>
        <w:pStyle w:val="24"/>
        <w:rPr>
          <w:rFonts w:hint="eastAsia" w:ascii="宋体" w:hAnsi="宋体" w:eastAsia="宋体" w:cs="宋体"/>
          <w:color w:val="auto"/>
          <w:sz w:val="24"/>
          <w:szCs w:val="24"/>
          <w:vertAlign w:val="baseline"/>
          <w:lang w:val="en-US" w:eastAsia="zh-CN"/>
        </w:rPr>
      </w:pPr>
    </w:p>
    <w:p>
      <w:pPr>
        <w:pStyle w:val="24"/>
        <w:rPr>
          <w:rFonts w:hint="eastAsia" w:ascii="宋体" w:hAnsi="宋体" w:eastAsia="宋体" w:cs="宋体"/>
          <w:color w:val="auto"/>
          <w:sz w:val="24"/>
          <w:szCs w:val="24"/>
          <w:vertAlign w:val="baseline"/>
          <w:lang w:val="en-US" w:eastAsia="zh-CN"/>
        </w:rPr>
      </w:pPr>
    </w:p>
    <w:p>
      <w:pPr>
        <w:pStyle w:val="24"/>
        <w:rPr>
          <w:rFonts w:hint="eastAsia" w:ascii="宋体" w:hAnsi="宋体" w:eastAsia="宋体" w:cs="宋体"/>
          <w:color w:val="auto"/>
          <w:sz w:val="24"/>
          <w:szCs w:val="24"/>
          <w:vertAlign w:val="baseline"/>
          <w:lang w:val="en-US" w:eastAsia="zh-CN"/>
        </w:rPr>
      </w:pPr>
    </w:p>
    <w:p>
      <w:pPr>
        <w:pStyle w:val="24"/>
        <w:rPr>
          <w:rFonts w:hint="eastAsia" w:ascii="宋体" w:hAnsi="宋体" w:eastAsia="宋体" w:cs="宋体"/>
          <w:color w:val="auto"/>
          <w:sz w:val="24"/>
          <w:szCs w:val="24"/>
          <w:vertAlign w:val="baseline"/>
          <w:lang w:val="en-US" w:eastAsia="zh-CN"/>
        </w:rPr>
      </w:pPr>
    </w:p>
    <w:p>
      <w:pPr>
        <w:pStyle w:val="24"/>
        <w:rPr>
          <w:rFonts w:hint="eastAsia" w:ascii="宋体" w:hAnsi="宋体" w:eastAsia="宋体" w:cs="宋体"/>
          <w:color w:val="auto"/>
          <w:sz w:val="24"/>
          <w:szCs w:val="24"/>
          <w:vertAlign w:val="baseline"/>
          <w:lang w:val="en-US" w:eastAsia="zh-CN"/>
        </w:rPr>
      </w:pPr>
    </w:p>
    <w:p>
      <w:pPr>
        <w:pStyle w:val="24"/>
        <w:rPr>
          <w:rFonts w:hint="eastAsia" w:ascii="宋体" w:hAnsi="宋体" w:eastAsia="宋体" w:cs="宋体"/>
          <w:color w:val="auto"/>
          <w:sz w:val="24"/>
          <w:szCs w:val="24"/>
          <w:vertAlign w:val="baseline"/>
          <w:lang w:val="en-US" w:eastAsia="zh-CN"/>
        </w:rPr>
      </w:pPr>
    </w:p>
    <w:p>
      <w:pPr>
        <w:pStyle w:val="24"/>
        <w:rPr>
          <w:rFonts w:hint="eastAsia" w:ascii="宋体" w:hAnsi="宋体" w:eastAsia="宋体" w:cs="宋体"/>
          <w:color w:val="auto"/>
          <w:sz w:val="24"/>
          <w:szCs w:val="24"/>
          <w:vertAlign w:val="baseline"/>
          <w:lang w:val="en-US" w:eastAsia="zh-CN"/>
        </w:rPr>
      </w:pPr>
    </w:p>
    <w:bookmarkEnd w:id="230"/>
    <w:bookmarkEnd w:id="231"/>
    <w:p>
      <w:pPr>
        <w:pStyle w:val="24"/>
        <w:rPr>
          <w:rFonts w:hint="eastAsia" w:ascii="宋体" w:hAnsi="宋体" w:eastAsia="宋体" w:cs="宋体"/>
          <w:color w:val="auto"/>
          <w:sz w:val="24"/>
          <w:szCs w:val="24"/>
          <w:vertAlign w:val="baseline"/>
          <w:lang w:val="en-US" w:eastAsia="zh-CN"/>
        </w:rPr>
      </w:pPr>
    </w:p>
    <w:p>
      <w:pPr>
        <w:pStyle w:val="24"/>
        <w:rPr>
          <w:rFonts w:hint="eastAsia" w:ascii="宋体" w:hAnsi="宋体" w:eastAsia="宋体" w:cs="宋体"/>
          <w:color w:val="auto"/>
          <w:sz w:val="24"/>
          <w:szCs w:val="24"/>
          <w:vertAlign w:val="baseline"/>
          <w:lang w:val="en-US" w:eastAsia="zh-CN"/>
        </w:rPr>
      </w:pPr>
    </w:p>
    <w:p>
      <w:pPr>
        <w:pStyle w:val="3"/>
        <w:numPr>
          <w:ilvl w:val="0"/>
          <w:numId w:val="0"/>
        </w:numPr>
        <w:tabs>
          <w:tab w:val="left" w:pos="0"/>
        </w:tabs>
        <w:spacing w:before="0" w:after="0" w:line="240" w:lineRule="atLeast"/>
        <w:ind w:leftChars="0"/>
        <w:jc w:val="center"/>
        <w:rPr>
          <w:rFonts w:hint="eastAsia" w:ascii="宋体" w:hAnsi="宋体" w:eastAsia="宋体" w:cs="宋体"/>
          <w:b/>
          <w:i w:val="0"/>
          <w:iCs w:val="0"/>
          <w:color w:val="auto"/>
          <w:lang w:val="en-US" w:eastAsia="zh-CN"/>
        </w:rPr>
      </w:pPr>
    </w:p>
    <w:p>
      <w:pPr>
        <w:pStyle w:val="3"/>
        <w:numPr>
          <w:ilvl w:val="0"/>
          <w:numId w:val="0"/>
        </w:numPr>
        <w:tabs>
          <w:tab w:val="left" w:pos="0"/>
        </w:tabs>
        <w:spacing w:before="0" w:after="0" w:line="240" w:lineRule="atLeast"/>
        <w:ind w:leftChars="0"/>
        <w:jc w:val="center"/>
        <w:rPr>
          <w:rFonts w:hint="eastAsia" w:ascii="宋体" w:hAnsi="宋体" w:eastAsia="宋体" w:cs="宋体"/>
          <w:b w:val="0"/>
          <w:i w:val="0"/>
          <w:iCs w:val="0"/>
          <w:color w:val="auto"/>
          <w:szCs w:val="32"/>
        </w:rPr>
      </w:pPr>
      <w:r>
        <w:rPr>
          <w:rFonts w:hint="eastAsia" w:ascii="宋体" w:hAnsi="宋体" w:eastAsia="宋体" w:cs="宋体"/>
          <w:b/>
          <w:i w:val="0"/>
          <w:iCs w:val="0"/>
          <w:color w:val="auto"/>
          <w:lang w:val="en-US" w:eastAsia="zh-CN"/>
        </w:rPr>
        <w:t>第2章</w:t>
      </w:r>
      <w:r>
        <w:rPr>
          <w:rFonts w:hint="eastAsia" w:ascii="宋体" w:hAnsi="宋体" w:eastAsia="宋体" w:cs="宋体"/>
          <w:i w:val="0"/>
          <w:iCs w:val="0"/>
          <w:color w:val="auto"/>
          <w:sz w:val="24"/>
        </w:rPr>
        <w:t xml:space="preserve"> </w:t>
      </w:r>
      <w:bookmarkStart w:id="238" w:name="_Toc28647"/>
      <w:bookmarkStart w:id="239" w:name="_Toc216582823"/>
      <w:bookmarkStart w:id="240" w:name="_Toc518923125"/>
      <w:bookmarkStart w:id="241" w:name="_Toc507399903"/>
      <w:bookmarkStart w:id="242" w:name="_Toc512937850"/>
      <w:r>
        <w:rPr>
          <w:rFonts w:hint="eastAsia" w:ascii="宋体" w:hAnsi="宋体" w:eastAsia="宋体" w:cs="宋体"/>
          <w:i w:val="0"/>
          <w:iCs w:val="0"/>
          <w:color w:val="auto"/>
        </w:rPr>
        <w:t>投标人须知资料表</w:t>
      </w:r>
      <w:bookmarkEnd w:id="238"/>
      <w:bookmarkEnd w:id="239"/>
      <w:bookmarkEnd w:id="240"/>
      <w:bookmarkEnd w:id="241"/>
    </w:p>
    <w:bookmarkEnd w:id="242"/>
    <w:p>
      <w:pPr>
        <w:spacing w:line="240" w:lineRule="atLeast"/>
        <w:ind w:left="1080" w:leftChars="257" w:hanging="540"/>
        <w:rPr>
          <w:rFonts w:hint="eastAsia" w:ascii="宋体" w:hAnsi="宋体" w:eastAsia="宋体" w:cs="宋体"/>
          <w:i w:val="0"/>
          <w:iCs w:val="0"/>
          <w:color w:val="auto"/>
          <w:sz w:val="24"/>
        </w:rPr>
      </w:pPr>
    </w:p>
    <w:p>
      <w:pPr>
        <w:spacing w:line="360" w:lineRule="auto"/>
        <w:ind w:firstLine="360" w:firstLineChars="150"/>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 本表是本招标项目的具体资料，是对投标人须知的具体补充和修改，如有矛盾，应</w:t>
      </w:r>
      <w:r>
        <w:rPr>
          <w:rFonts w:hint="eastAsia" w:ascii="宋体" w:hAnsi="宋体" w:eastAsia="宋体" w:cs="宋体"/>
          <w:b/>
          <w:i w:val="0"/>
          <w:iCs w:val="0"/>
          <w:color w:val="auto"/>
          <w:sz w:val="24"/>
        </w:rPr>
        <w:t>以本资料表为准</w:t>
      </w:r>
      <w:r>
        <w:rPr>
          <w:rFonts w:hint="eastAsia" w:ascii="宋体" w:hAnsi="宋体" w:eastAsia="宋体" w:cs="宋体"/>
          <w:i w:val="0"/>
          <w:iCs w:val="0"/>
          <w:color w:val="auto"/>
          <w:sz w:val="24"/>
        </w:rPr>
        <w:t>。</w:t>
      </w:r>
    </w:p>
    <w:tbl>
      <w:tblPr>
        <w:tblStyle w:val="3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180"/>
        <w:gridCol w:w="66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pacing w:line="240" w:lineRule="atLeast"/>
              <w:ind w:left="1080"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条款号</w:t>
            </w:r>
          </w:p>
        </w:tc>
        <w:tc>
          <w:tcPr>
            <w:tcW w:w="6840" w:type="dxa"/>
            <w:gridSpan w:val="2"/>
            <w:noWrap w:val="0"/>
            <w:vAlign w:val="center"/>
          </w:tcPr>
          <w:p>
            <w:pPr>
              <w:spacing w:line="240" w:lineRule="atLeast"/>
              <w:ind w:left="1080" w:leftChars="257" w:hanging="540"/>
              <w:rPr>
                <w:rFonts w:hint="eastAsia" w:ascii="宋体" w:hAnsi="宋体" w:eastAsia="宋体" w:cs="宋体"/>
                <w:b/>
                <w:i w:val="0"/>
                <w:iCs w:val="0"/>
                <w:color w:val="auto"/>
                <w:sz w:val="24"/>
              </w:rPr>
            </w:pPr>
            <w:r>
              <w:rPr>
                <w:rFonts w:hint="eastAsia" w:ascii="宋体" w:hAnsi="宋体" w:eastAsia="宋体" w:cs="宋体"/>
                <w:b/>
                <w:i w:val="0"/>
                <w:iCs w:val="0"/>
                <w:color w:val="auto"/>
                <w:sz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468" w:type="dxa"/>
            <w:noWrap w:val="0"/>
            <w:vAlign w:val="center"/>
          </w:tcPr>
          <w:p>
            <w:pPr>
              <w:spacing w:line="360" w:lineRule="auto"/>
              <w:ind w:left="1080"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1.1</w:t>
            </w:r>
          </w:p>
        </w:tc>
        <w:tc>
          <w:tcPr>
            <w:tcW w:w="6840" w:type="dxa"/>
            <w:gridSpan w:val="2"/>
            <w:noWrap w:val="0"/>
            <w:vAlign w:val="center"/>
          </w:tcPr>
          <w:p>
            <w:pPr>
              <w:adjustRightInd w:val="0"/>
              <w:snapToGrid w:val="0"/>
              <w:spacing w:line="360" w:lineRule="auto"/>
              <w:jc w:val="left"/>
              <w:rPr>
                <w:rFonts w:hint="eastAsia" w:ascii="宋体" w:hAnsi="宋体" w:eastAsia="宋体" w:cs="Arial"/>
                <w:color w:val="auto"/>
                <w:kern w:val="0"/>
                <w:sz w:val="24"/>
                <w:szCs w:val="24"/>
                <w:lang w:eastAsia="zh-CN"/>
              </w:rPr>
            </w:pPr>
            <w:r>
              <w:rPr>
                <w:rFonts w:hint="eastAsia" w:ascii="宋体" w:hAnsi="宋体"/>
                <w:color w:val="auto"/>
                <w:sz w:val="24"/>
                <w:szCs w:val="24"/>
              </w:rPr>
              <w:t>采购人：</w:t>
            </w:r>
            <w:r>
              <w:rPr>
                <w:rFonts w:hint="eastAsia" w:ascii="宋体" w:hAnsi="宋体" w:cs="Arial"/>
                <w:color w:val="auto"/>
                <w:kern w:val="0"/>
                <w:sz w:val="24"/>
                <w:szCs w:val="24"/>
                <w:lang w:eastAsia="zh-CN"/>
              </w:rPr>
              <w:t>伊犁哈萨克自治州发展和改革委员会</w:t>
            </w:r>
          </w:p>
          <w:p>
            <w:pPr>
              <w:widowControl/>
              <w:spacing w:line="360" w:lineRule="auto"/>
              <w:jc w:val="left"/>
              <w:rPr>
                <w:rFonts w:ascii="宋体" w:hAnsi="宋体" w:cs="Arial"/>
                <w:color w:val="auto"/>
                <w:kern w:val="0"/>
                <w:sz w:val="24"/>
                <w:szCs w:val="24"/>
              </w:rPr>
            </w:pPr>
            <w:r>
              <w:rPr>
                <w:rFonts w:hint="eastAsia"/>
                <w:color w:val="auto"/>
                <w:sz w:val="24"/>
                <w:szCs w:val="24"/>
              </w:rPr>
              <w:t>地址：</w:t>
            </w:r>
            <w:r>
              <w:rPr>
                <w:rFonts w:hint="eastAsia"/>
                <w:color w:val="auto"/>
                <w:sz w:val="24"/>
                <w:szCs w:val="24"/>
                <w:lang w:eastAsia="zh-CN"/>
              </w:rPr>
              <w:t>伊宁市</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联系人：</w:t>
            </w:r>
            <w:r>
              <w:rPr>
                <w:rFonts w:hint="eastAsia" w:ascii="宋体" w:hAnsi="宋体" w:cs="宋体"/>
                <w:color w:val="auto"/>
                <w:kern w:val="2"/>
                <w:sz w:val="24"/>
                <w:szCs w:val="24"/>
                <w:highlight w:val="none"/>
                <w:lang w:val="en-US" w:eastAsia="zh-CN"/>
              </w:rPr>
              <w:t>杨先生</w:t>
            </w:r>
            <w:bookmarkStart w:id="450" w:name="_GoBack"/>
            <w:bookmarkEnd w:id="450"/>
          </w:p>
          <w:p>
            <w:pPr>
              <w:spacing w:line="360" w:lineRule="auto"/>
              <w:rPr>
                <w:rFonts w:hint="eastAsia" w:ascii="宋体" w:hAnsi="宋体" w:eastAsia="宋体" w:cs="宋体"/>
                <w:i w:val="0"/>
                <w:iCs w:val="0"/>
                <w:color w:val="auto"/>
                <w:sz w:val="24"/>
                <w:szCs w:val="24"/>
              </w:rPr>
            </w:pPr>
            <w:r>
              <w:rPr>
                <w:rFonts w:hint="eastAsia" w:ascii="宋体" w:hAnsi="宋体" w:eastAsia="宋体" w:cs="宋体"/>
                <w:color w:val="auto"/>
                <w:kern w:val="2"/>
                <w:sz w:val="24"/>
                <w:szCs w:val="24"/>
                <w:highlight w:val="none"/>
              </w:rPr>
              <w:t>电  话：0999-8041678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pacing w:line="360" w:lineRule="auto"/>
              <w:ind w:left="1080"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1.2</w:t>
            </w:r>
          </w:p>
        </w:tc>
        <w:tc>
          <w:tcPr>
            <w:tcW w:w="6840" w:type="dxa"/>
            <w:gridSpan w:val="2"/>
            <w:noWrap w:val="0"/>
            <w:vAlign w:val="center"/>
          </w:tcPr>
          <w:p>
            <w:pPr>
              <w:adjustRightInd w:val="0"/>
              <w:snapToGrid w:val="0"/>
              <w:spacing w:line="360" w:lineRule="auto"/>
              <w:jc w:val="left"/>
              <w:rPr>
                <w:rFonts w:hint="eastAsia" w:ascii="Times New Roman" w:hAnsi="Times New Roman" w:eastAsia="宋体" w:cs="Times New Roman"/>
                <w:color w:val="auto"/>
                <w:sz w:val="24"/>
                <w:szCs w:val="24"/>
                <w:lang w:eastAsia="zh-CN"/>
              </w:rPr>
            </w:pPr>
            <w:r>
              <w:rPr>
                <w:rFonts w:hint="eastAsia"/>
                <w:color w:val="auto"/>
                <w:sz w:val="24"/>
                <w:szCs w:val="24"/>
              </w:rPr>
              <w:t>名  称：</w:t>
            </w:r>
            <w:r>
              <w:rPr>
                <w:rFonts w:hint="eastAsia"/>
                <w:color w:val="auto"/>
                <w:sz w:val="24"/>
                <w:szCs w:val="24"/>
                <w:lang w:eastAsia="zh-CN"/>
              </w:rPr>
              <w:t>新疆春秋工</w:t>
            </w:r>
            <w:r>
              <w:rPr>
                <w:rFonts w:hint="eastAsia" w:ascii="Times New Roman" w:hAnsi="Times New Roman" w:eastAsia="宋体" w:cs="Times New Roman"/>
                <w:color w:val="auto"/>
                <w:sz w:val="24"/>
                <w:szCs w:val="24"/>
                <w:lang w:eastAsia="zh-CN"/>
              </w:rPr>
              <w:t>程项目管理集团有限公司</w:t>
            </w:r>
          </w:p>
          <w:p>
            <w:pPr>
              <w:adjustRightInd w:val="0"/>
              <w:snapToGrid w:val="0"/>
              <w:spacing w:line="360" w:lineRule="auto"/>
              <w:jc w:val="left"/>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地  址：</w:t>
            </w:r>
            <w:r>
              <w:rPr>
                <w:rFonts w:hint="eastAsia" w:ascii="Times New Roman" w:hAnsi="Times New Roman" w:eastAsia="宋体" w:cs="Times New Roman"/>
                <w:color w:val="auto"/>
                <w:sz w:val="24"/>
                <w:szCs w:val="24"/>
                <w:lang w:val="en-US" w:eastAsia="zh-CN"/>
              </w:rPr>
              <w:t>伊宁市新华西路705号融合大厦B座1127室</w:t>
            </w:r>
          </w:p>
          <w:p>
            <w:pPr>
              <w:adjustRightInd w:val="0"/>
              <w:snapToGrid w:val="0"/>
              <w:spacing w:line="360" w:lineRule="auto"/>
              <w:jc w:val="left"/>
              <w:rPr>
                <w:rFonts w:hint="eastAsia" w:eastAsia="宋体"/>
                <w:color w:val="auto"/>
                <w:sz w:val="24"/>
                <w:szCs w:val="24"/>
                <w:lang w:eastAsia="zh-CN"/>
              </w:rPr>
            </w:pPr>
            <w:r>
              <w:rPr>
                <w:rFonts w:hint="eastAsia"/>
                <w:color w:val="auto"/>
                <w:sz w:val="24"/>
                <w:szCs w:val="24"/>
              </w:rPr>
              <w:t>联系人：</w:t>
            </w:r>
            <w:r>
              <w:rPr>
                <w:rFonts w:hint="eastAsia"/>
                <w:color w:val="auto"/>
                <w:sz w:val="24"/>
                <w:szCs w:val="24"/>
                <w:lang w:val="en-US" w:eastAsia="zh-CN"/>
              </w:rPr>
              <w:t>张冬娥</w:t>
            </w:r>
          </w:p>
          <w:p>
            <w:pPr>
              <w:spacing w:line="360" w:lineRule="auto"/>
              <w:rPr>
                <w:rFonts w:hint="default" w:ascii="宋体" w:hAnsi="宋体" w:eastAsia="宋体" w:cs="宋体"/>
                <w:i w:val="0"/>
                <w:iCs w:val="0"/>
                <w:color w:val="auto"/>
                <w:sz w:val="24"/>
                <w:szCs w:val="24"/>
                <w:lang w:val="en-US"/>
              </w:rPr>
            </w:pPr>
            <w:r>
              <w:rPr>
                <w:rFonts w:hint="eastAsia"/>
                <w:color w:val="auto"/>
                <w:sz w:val="24"/>
                <w:szCs w:val="24"/>
              </w:rPr>
              <w:t>联系电话：</w:t>
            </w:r>
            <w:r>
              <w:rPr>
                <w:rFonts w:hint="eastAsia"/>
                <w:color w:val="auto"/>
                <w:sz w:val="24"/>
                <w:szCs w:val="24"/>
                <w:lang w:val="en-US" w:eastAsia="zh-CN"/>
              </w:rPr>
              <w:t>0999-8097978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noWrap w:val="0"/>
            <w:vAlign w:val="center"/>
          </w:tcPr>
          <w:p>
            <w:pPr>
              <w:spacing w:line="360" w:lineRule="auto"/>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1.3.4</w:t>
            </w:r>
          </w:p>
        </w:tc>
        <w:tc>
          <w:tcPr>
            <w:tcW w:w="6840" w:type="dxa"/>
            <w:gridSpan w:val="2"/>
            <w:noWrap w:val="0"/>
            <w:vAlign w:val="center"/>
          </w:tcPr>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合格投标人的其他资格要求：</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1、满足《中华人民共和国政府采购法》第二十二条规定；</w:t>
            </w:r>
          </w:p>
          <w:p>
            <w:pPr>
              <w:spacing w:line="360" w:lineRule="auto"/>
              <w:rPr>
                <w:rFonts w:hint="eastAsia" w:ascii="宋体" w:hAnsi="宋体" w:eastAsia="宋体" w:cs="宋体"/>
                <w:i w:val="0"/>
                <w:iCs w:val="0"/>
                <w:color w:val="auto"/>
                <w:sz w:val="24"/>
                <w:lang w:eastAsia="zh-CN"/>
              </w:rPr>
            </w:pPr>
            <w:r>
              <w:rPr>
                <w:rFonts w:hint="eastAsia" w:ascii="宋体" w:hAnsi="宋体" w:eastAsia="宋体" w:cs="宋体"/>
                <w:i w:val="0"/>
                <w:iCs w:val="0"/>
                <w:color w:val="auto"/>
                <w:sz w:val="24"/>
              </w:rPr>
              <w:t>2、落实政府采购政策需满足的资格要求：</w:t>
            </w:r>
            <w:r>
              <w:rPr>
                <w:rFonts w:hint="eastAsia" w:ascii="宋体" w:hAnsi="宋体" w:cs="宋体"/>
                <w:i w:val="0"/>
                <w:iCs w:val="0"/>
                <w:color w:val="auto"/>
                <w:sz w:val="24"/>
                <w:lang w:val="en-US" w:eastAsia="zh-CN"/>
              </w:rPr>
              <w:t>/</w:t>
            </w:r>
            <w:r>
              <w:rPr>
                <w:rFonts w:hint="eastAsia" w:ascii="宋体" w:hAnsi="宋体" w:eastAsia="宋体" w:cs="宋体"/>
                <w:i w:val="0"/>
                <w:iCs w:val="0"/>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olor w:val="auto"/>
                <w:sz w:val="24"/>
                <w:lang w:val="en-US" w:eastAsia="zh-CN"/>
              </w:rPr>
              <w:t>3、</w:t>
            </w:r>
            <w:r>
              <w:rPr>
                <w:rFonts w:hint="eastAsia" w:ascii="宋体" w:hAnsi="宋体" w:eastAsia="宋体" w:cs="宋体"/>
                <w:i w:val="0"/>
                <w:iCs w:val="0"/>
                <w:caps w:val="0"/>
                <w:color w:val="auto"/>
                <w:spacing w:val="0"/>
                <w:sz w:val="24"/>
                <w:szCs w:val="24"/>
                <w:lang w:eastAsia="zh-CN"/>
              </w:rPr>
              <w:t>投标供应商有效的企业法人营业执照、城乡规划编制甲级资质，</w:t>
            </w:r>
            <w:r>
              <w:rPr>
                <w:rFonts w:hint="eastAsia" w:ascii="宋体" w:hAnsi="宋体" w:eastAsia="宋体" w:cs="宋体"/>
                <w:i w:val="0"/>
                <w:iCs w:val="0"/>
                <w:caps w:val="0"/>
                <w:color w:val="auto"/>
                <w:spacing w:val="0"/>
                <w:sz w:val="24"/>
                <w:szCs w:val="24"/>
                <w:lang w:val="en-US" w:eastAsia="zh-CN"/>
              </w:rPr>
              <w:t>项目</w:t>
            </w:r>
            <w:r>
              <w:rPr>
                <w:rFonts w:hint="eastAsia" w:ascii="宋体" w:hAnsi="宋体" w:eastAsia="宋体" w:cs="宋体"/>
                <w:i w:val="0"/>
                <w:iCs w:val="0"/>
                <w:caps w:val="0"/>
                <w:color w:val="auto"/>
                <w:spacing w:val="0"/>
                <w:sz w:val="24"/>
                <w:szCs w:val="24"/>
                <w:lang w:eastAsia="zh-CN"/>
              </w:rPr>
              <w:t>负责人具备注册城市规划师和</w:t>
            </w:r>
            <w:r>
              <w:rPr>
                <w:rFonts w:hint="eastAsia" w:ascii="宋体" w:hAnsi="宋体" w:eastAsia="宋体" w:cs="宋体"/>
                <w:i w:val="0"/>
                <w:iCs w:val="0"/>
                <w:caps w:val="0"/>
                <w:color w:val="auto"/>
                <w:spacing w:val="0"/>
                <w:sz w:val="24"/>
                <w:szCs w:val="24"/>
              </w:rPr>
              <w:t>正高</w:t>
            </w:r>
            <w:r>
              <w:rPr>
                <w:rFonts w:hint="eastAsia" w:hAnsi="宋体" w:cs="宋体"/>
                <w:i w:val="0"/>
                <w:iCs w:val="0"/>
                <w:caps w:val="0"/>
                <w:color w:val="auto"/>
                <w:spacing w:val="0"/>
                <w:sz w:val="24"/>
                <w:szCs w:val="24"/>
                <w:lang w:val="en-US" w:eastAsia="zh-CN"/>
              </w:rPr>
              <w:t>级相关</w:t>
            </w:r>
            <w:r>
              <w:rPr>
                <w:rFonts w:hint="eastAsia" w:ascii="宋体" w:hAnsi="宋体" w:eastAsia="宋体" w:cs="宋体"/>
                <w:i w:val="0"/>
                <w:iCs w:val="0"/>
                <w:caps w:val="0"/>
                <w:color w:val="auto"/>
                <w:spacing w:val="0"/>
                <w:sz w:val="24"/>
                <w:szCs w:val="24"/>
              </w:rPr>
              <w:t>职称</w:t>
            </w:r>
            <w:r>
              <w:rPr>
                <w:rFonts w:hint="eastAsia" w:ascii="宋体" w:hAnsi="宋体" w:eastAsia="宋体" w:cs="宋体"/>
                <w:i w:val="0"/>
                <w:iCs w:val="0"/>
                <w:caps w:val="0"/>
                <w:color w:val="auto"/>
                <w:spacing w:val="0"/>
                <w:sz w:val="24"/>
                <w:szCs w:val="24"/>
                <w:lang w:eastAsia="zh-CN"/>
              </w:rPr>
              <w:t>，且在人员、设备、资金等方面具有相应的履约能力；未被“信用中国”（www.creditchina.gov.cn）、中国政府采购网（www.ccgp.gov.cn）列入失信被执行人、重大税收违法案件当事人名单、政府采购严重违法失信行为记录名单；</w:t>
            </w:r>
          </w:p>
          <w:p>
            <w:pPr>
              <w:pStyle w:val="23"/>
              <w:spacing w:line="360" w:lineRule="auto"/>
              <w:ind w:left="0" w:leftChars="0" w:firstLine="0" w:firstLineChars="0"/>
              <w:rPr>
                <w:rFonts w:hint="eastAsia" w:ascii="宋体" w:hAnsi="宋体" w:eastAsia="宋体" w:cs="宋体"/>
                <w:i w:val="0"/>
                <w:iCs w:val="0"/>
                <w:color w:val="auto"/>
                <w:sz w:val="24"/>
                <w:lang w:val="en-US" w:eastAsia="zh-CN"/>
              </w:rPr>
            </w:pPr>
            <w:r>
              <w:rPr>
                <w:rFonts w:hint="eastAsia" w:ascii="宋体" w:hAnsi="宋体" w:eastAsia="宋体" w:cs="宋体"/>
                <w:i w:val="0"/>
                <w:iCs w:val="0"/>
                <w:color w:val="auto"/>
                <w:sz w:val="24"/>
                <w:lang w:val="en-US" w:eastAsia="zh-CN"/>
              </w:rPr>
              <w:t>4、企业近三年在经营活动中没有重大违法记录声明函(受行政主管部门的处罚不能参加投标)；</w:t>
            </w:r>
          </w:p>
          <w:p>
            <w:pPr>
              <w:pStyle w:val="23"/>
              <w:spacing w:line="360" w:lineRule="auto"/>
              <w:ind w:left="0" w:leftChars="0" w:firstLine="0" w:firstLineChars="0"/>
              <w:rPr>
                <w:rFonts w:hint="eastAsia" w:ascii="宋体" w:hAnsi="宋体" w:eastAsia="宋体" w:cs="宋体"/>
                <w:i w:val="0"/>
                <w:iCs w:val="0"/>
                <w:color w:val="auto"/>
                <w:sz w:val="24"/>
              </w:rPr>
            </w:pPr>
            <w:r>
              <w:rPr>
                <w:rFonts w:hint="eastAsia" w:hAnsi="宋体" w:eastAsia="宋体" w:cs="宋体"/>
                <w:color w:val="auto"/>
                <w:sz w:val="24"/>
                <w:szCs w:val="24"/>
                <w:vertAlign w:val="baseline"/>
                <w:lang w:val="en-US" w:eastAsia="zh-CN"/>
              </w:rPr>
              <w:t>5、与采购人存在利害关系可能影响公正性的单位，不得参加本次采购活动。单位负责人为同一人或存在控股、管理关系的不同单位，不得参加同一标段采购活动。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pPr>
              <w:spacing w:line="360" w:lineRule="auto"/>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1.3.5</w:t>
            </w:r>
          </w:p>
        </w:tc>
        <w:tc>
          <w:tcPr>
            <w:tcW w:w="6840" w:type="dxa"/>
            <w:gridSpan w:val="2"/>
            <w:noWrap w:val="0"/>
            <w:vAlign w:val="center"/>
          </w:tcPr>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是否为专门面向中小企业采购：</w:t>
            </w:r>
            <w:r>
              <w:rPr>
                <w:rFonts w:hint="eastAsia" w:ascii="宋体" w:hAnsi="宋体" w:cs="宋体"/>
                <w:i w:val="0"/>
                <w:iCs w:val="0"/>
                <w:color w:val="auto"/>
                <w:sz w:val="24"/>
                <w:lang w:val="en-US" w:eastAsia="zh-CN"/>
              </w:rPr>
              <w:t>否</w:t>
            </w:r>
            <w:r>
              <w:rPr>
                <w:rFonts w:hint="eastAsia" w:ascii="宋体" w:hAnsi="宋体" w:eastAsia="宋体" w:cs="宋体"/>
                <w:i w:val="0"/>
                <w:iCs w:val="0"/>
                <w:color w:val="auto"/>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pPr>
              <w:spacing w:line="360" w:lineRule="auto"/>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1.4</w:t>
            </w:r>
          </w:p>
        </w:tc>
        <w:tc>
          <w:tcPr>
            <w:tcW w:w="6840" w:type="dxa"/>
            <w:gridSpan w:val="2"/>
            <w:noWrap w:val="0"/>
            <w:vAlign w:val="center"/>
          </w:tcPr>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是否允许联合体投标：否（是、否）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trPr>
        <w:tc>
          <w:tcPr>
            <w:tcW w:w="1468" w:type="dxa"/>
            <w:noWrap w:val="0"/>
            <w:vAlign w:val="center"/>
          </w:tcPr>
          <w:p>
            <w:pPr>
              <w:spacing w:line="360" w:lineRule="auto"/>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1.4.8</w:t>
            </w:r>
          </w:p>
        </w:tc>
        <w:tc>
          <w:tcPr>
            <w:tcW w:w="6840" w:type="dxa"/>
            <w:gridSpan w:val="2"/>
            <w:noWrap w:val="0"/>
            <w:vAlign w:val="center"/>
          </w:tcPr>
          <w:p>
            <w:pPr>
              <w:spacing w:line="360" w:lineRule="auto"/>
              <w:rPr>
                <w:rFonts w:hint="eastAsia" w:ascii="宋体" w:hAnsi="宋体" w:eastAsia="宋体" w:cs="宋体"/>
                <w:i w:val="0"/>
                <w:iCs w:val="0"/>
                <w:color w:val="auto"/>
                <w:sz w:val="24"/>
                <w:lang w:val="en-US" w:eastAsia="zh-CN"/>
              </w:rPr>
            </w:pPr>
            <w:r>
              <w:rPr>
                <w:rFonts w:hint="eastAsia" w:ascii="宋体" w:hAnsi="宋体" w:eastAsia="宋体" w:cs="宋体"/>
                <w:i w:val="0"/>
                <w:iCs w:val="0"/>
                <w:color w:val="auto"/>
                <w:sz w:val="24"/>
              </w:rPr>
              <w:t>联合体的其他资格要求：</w:t>
            </w:r>
            <w:r>
              <w:rPr>
                <w:rFonts w:hint="eastAsia" w:ascii="宋体" w:hAnsi="宋体" w:eastAsia="宋体" w:cs="宋体"/>
                <w:i w:val="0"/>
                <w:iCs w:val="0"/>
                <w:color w:val="auto"/>
                <w:sz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noWrap w:val="0"/>
            <w:vAlign w:val="center"/>
          </w:tcPr>
          <w:p>
            <w:pPr>
              <w:spacing w:line="360" w:lineRule="auto"/>
              <w:ind w:left="1080" w:leftChars="257" w:hanging="540"/>
              <w:jc w:val="both"/>
              <w:rPr>
                <w:rFonts w:hint="eastAsia" w:ascii="宋体" w:hAnsi="宋体" w:eastAsia="宋体" w:cs="宋体"/>
                <w:i w:val="0"/>
                <w:iCs w:val="0"/>
                <w:color w:val="auto"/>
                <w:sz w:val="24"/>
              </w:rPr>
            </w:pPr>
            <w:r>
              <w:rPr>
                <w:rFonts w:hint="eastAsia" w:ascii="宋体" w:hAnsi="宋体" w:eastAsia="宋体" w:cs="宋体"/>
                <w:i w:val="0"/>
                <w:iCs w:val="0"/>
                <w:color w:val="auto"/>
                <w:sz w:val="24"/>
              </w:rPr>
              <w:t>2.2</w:t>
            </w:r>
          </w:p>
        </w:tc>
        <w:tc>
          <w:tcPr>
            <w:tcW w:w="6840" w:type="dxa"/>
            <w:gridSpan w:val="2"/>
            <w:noWrap w:val="0"/>
            <w:vAlign w:val="center"/>
          </w:tcPr>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项目预算金额：</w:t>
            </w:r>
            <w:r>
              <w:rPr>
                <w:rFonts w:hint="eastAsia" w:ascii="宋体" w:hAnsi="宋体" w:cs="宋体"/>
                <w:color w:val="auto"/>
                <w:sz w:val="24"/>
                <w:szCs w:val="24"/>
                <w:vertAlign w:val="baseline"/>
                <w:lang w:val="en-US" w:eastAsia="zh-CN"/>
              </w:rPr>
              <w:t>9800000</w:t>
            </w:r>
            <w:r>
              <w:rPr>
                <w:rFonts w:hint="eastAsia" w:ascii="宋体" w:hAnsi="宋体" w:eastAsia="宋体" w:cs="宋体"/>
                <w:i w:val="0"/>
                <w:iCs w:val="0"/>
                <w:color w:val="auto"/>
                <w:sz w:val="24"/>
              </w:rPr>
              <w:t>元；本</w:t>
            </w:r>
            <w:r>
              <w:rPr>
                <w:rFonts w:hint="eastAsia" w:ascii="宋体" w:hAnsi="宋体" w:eastAsia="宋体" w:cs="宋体"/>
                <w:i w:val="0"/>
                <w:iCs w:val="0"/>
                <w:color w:val="auto"/>
                <w:sz w:val="24"/>
                <w:lang w:val="en-US" w:eastAsia="zh-CN"/>
              </w:rPr>
              <w:t>项目</w:t>
            </w:r>
            <w:r>
              <w:rPr>
                <w:rFonts w:hint="eastAsia" w:ascii="宋体" w:hAnsi="宋体" w:eastAsia="宋体" w:cs="宋体"/>
                <w:i w:val="0"/>
                <w:iCs w:val="0"/>
                <w:color w:val="auto"/>
                <w:sz w:val="24"/>
              </w:rPr>
              <w:t>最高限价：</w:t>
            </w:r>
            <w:r>
              <w:rPr>
                <w:rFonts w:hint="eastAsia" w:ascii="宋体" w:hAnsi="宋体" w:cs="宋体"/>
                <w:i w:val="0"/>
                <w:iCs w:val="0"/>
                <w:color w:val="auto"/>
                <w:sz w:val="24"/>
                <w:lang w:val="en-US" w:eastAsia="zh-CN"/>
              </w:rPr>
              <w:t>9800000</w:t>
            </w:r>
            <w:r>
              <w:rPr>
                <w:rFonts w:hint="eastAsia" w:ascii="宋体" w:hAnsi="宋体" w:eastAsia="宋体" w:cs="宋体"/>
                <w:i w:val="0"/>
                <w:iCs w:val="0"/>
                <w:color w:val="auto"/>
                <w:sz w:val="24"/>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noWrap w:val="0"/>
            <w:vAlign w:val="center"/>
          </w:tcPr>
          <w:p>
            <w:pPr>
              <w:spacing w:line="360" w:lineRule="auto"/>
              <w:ind w:left="1080" w:leftChars="257" w:hanging="540"/>
              <w:jc w:val="both"/>
              <w:rPr>
                <w:rFonts w:hint="default" w:ascii="宋体" w:hAnsi="宋体" w:eastAsia="宋体" w:cs="宋体"/>
                <w:i w:val="0"/>
                <w:iCs w:val="0"/>
                <w:color w:val="auto"/>
                <w:sz w:val="24"/>
                <w:lang w:val="en-US" w:eastAsia="zh-CN"/>
              </w:rPr>
            </w:pPr>
            <w:r>
              <w:rPr>
                <w:rFonts w:hint="eastAsia" w:ascii="宋体" w:hAnsi="宋体" w:eastAsia="宋体" w:cs="宋体"/>
                <w:i w:val="0"/>
                <w:iCs w:val="0"/>
                <w:color w:val="auto"/>
                <w:sz w:val="24"/>
                <w:lang w:val="en-US" w:eastAsia="zh-CN"/>
              </w:rPr>
              <w:t>3.1</w:t>
            </w:r>
          </w:p>
        </w:tc>
        <w:tc>
          <w:tcPr>
            <w:tcW w:w="6840" w:type="dxa"/>
            <w:gridSpan w:val="2"/>
            <w:noWrap w:val="0"/>
            <w:vAlign w:val="center"/>
          </w:tcPr>
          <w:p>
            <w:pPr>
              <w:spacing w:line="360" w:lineRule="auto"/>
              <w:rPr>
                <w:rFonts w:hint="default" w:ascii="宋体" w:hAnsi="宋体" w:eastAsia="宋体" w:cs="宋体"/>
                <w:i w:val="0"/>
                <w:iCs w:val="0"/>
                <w:color w:val="auto"/>
                <w:sz w:val="24"/>
                <w:lang w:val="en-US" w:eastAsia="zh-CN"/>
              </w:rPr>
            </w:pPr>
            <w:r>
              <w:rPr>
                <w:rFonts w:hint="eastAsia" w:ascii="宋体" w:hAnsi="宋体" w:eastAsia="宋体" w:cs="宋体"/>
                <w:i w:val="0"/>
                <w:iCs w:val="0"/>
                <w:color w:val="auto"/>
                <w:sz w:val="24"/>
                <w:lang w:eastAsia="zh-CN"/>
              </w:rPr>
              <w:t>合同履行期限：</w:t>
            </w:r>
            <w:r>
              <w:rPr>
                <w:rFonts w:hint="eastAsia" w:ascii="宋体" w:hAnsi="宋体" w:eastAsia="宋体" w:cs="宋体"/>
                <w:color w:val="auto"/>
                <w:sz w:val="24"/>
                <w:szCs w:val="24"/>
                <w:vertAlign w:val="baseline"/>
                <w:lang w:val="en-US" w:eastAsia="zh-CN"/>
              </w:rPr>
              <w:t>自合同签订之日起</w:t>
            </w:r>
            <w:r>
              <w:rPr>
                <w:rFonts w:hint="eastAsia" w:ascii="宋体" w:hAnsi="宋体" w:cs="宋体"/>
                <w:color w:val="auto"/>
                <w:sz w:val="24"/>
                <w:szCs w:val="24"/>
                <w:vertAlign w:val="baseline"/>
                <w:lang w:val="en-US" w:eastAsia="zh-CN"/>
              </w:rPr>
              <w:t>60日历日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468" w:type="dxa"/>
            <w:noWrap w:val="0"/>
            <w:vAlign w:val="center"/>
          </w:tcPr>
          <w:p>
            <w:pPr>
              <w:spacing w:line="360" w:lineRule="auto"/>
              <w:ind w:left="1080" w:leftChars="257" w:hanging="540"/>
              <w:jc w:val="both"/>
              <w:rPr>
                <w:rFonts w:hint="eastAsia" w:ascii="宋体" w:hAnsi="宋体" w:eastAsia="宋体" w:cs="宋体"/>
                <w:i w:val="0"/>
                <w:iCs w:val="0"/>
                <w:color w:val="auto"/>
                <w:sz w:val="24"/>
              </w:rPr>
            </w:pPr>
            <w:r>
              <w:rPr>
                <w:rFonts w:hint="eastAsia" w:ascii="宋体" w:hAnsi="宋体" w:eastAsia="宋体" w:cs="宋体"/>
                <w:i w:val="0"/>
                <w:iCs w:val="0"/>
                <w:color w:val="auto"/>
                <w:sz w:val="24"/>
              </w:rPr>
              <w:t>8.1</w:t>
            </w:r>
          </w:p>
        </w:tc>
        <w:tc>
          <w:tcPr>
            <w:tcW w:w="6840" w:type="dxa"/>
            <w:gridSpan w:val="2"/>
            <w:noWrap w:val="0"/>
            <w:vAlign w:val="center"/>
          </w:tcPr>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如投标商对多个分包进行投标，可以中标</w:t>
            </w:r>
            <w:r>
              <w:rPr>
                <w:rFonts w:hint="eastAsia" w:ascii="宋体" w:hAnsi="宋体" w:eastAsia="宋体" w:cs="宋体"/>
                <w:i w:val="0"/>
                <w:iCs w:val="0"/>
                <w:color w:val="auto"/>
                <w:sz w:val="24"/>
                <w:u w:val="none"/>
              </w:rPr>
              <w:t xml:space="preserve"> </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u w:val="single"/>
                <w:lang w:val="en-US" w:eastAsia="zh-CN"/>
              </w:rPr>
              <w:t>/</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8" w:hRule="atLeast"/>
        </w:trPr>
        <w:tc>
          <w:tcPr>
            <w:tcW w:w="1468" w:type="dxa"/>
            <w:noWrap w:val="0"/>
            <w:vAlign w:val="center"/>
          </w:tcPr>
          <w:p>
            <w:pPr>
              <w:spacing w:line="360" w:lineRule="auto"/>
              <w:jc w:val="center"/>
              <w:rPr>
                <w:rFonts w:hint="eastAsia" w:ascii="宋体" w:hAnsi="宋体" w:eastAsia="宋体" w:cs="宋体"/>
                <w:i w:val="0"/>
                <w:iCs w:val="0"/>
                <w:color w:val="auto"/>
                <w:sz w:val="24"/>
                <w:u w:val="none"/>
              </w:rPr>
            </w:pPr>
            <w:r>
              <w:rPr>
                <w:rFonts w:hint="eastAsia" w:ascii="宋体" w:hAnsi="宋体" w:eastAsia="宋体" w:cs="宋体"/>
                <w:i w:val="0"/>
                <w:iCs w:val="0"/>
                <w:color w:val="auto"/>
                <w:sz w:val="24"/>
                <w:u w:val="none"/>
              </w:rPr>
              <w:t>12</w:t>
            </w:r>
          </w:p>
        </w:tc>
        <w:tc>
          <w:tcPr>
            <w:tcW w:w="6840" w:type="dxa"/>
            <w:gridSpan w:val="2"/>
            <w:noWrap w:val="0"/>
            <w:vAlign w:val="center"/>
          </w:tcPr>
          <w:p>
            <w:pPr>
              <w:spacing w:line="360" w:lineRule="auto"/>
              <w:ind w:left="600" w:hanging="600" w:hangingChars="250"/>
              <w:rPr>
                <w:rFonts w:hint="eastAsia" w:ascii="宋体" w:hAnsi="宋体" w:eastAsia="宋体" w:cs="宋体"/>
                <w:i w:val="0"/>
                <w:iCs w:val="0"/>
                <w:color w:val="auto"/>
                <w:sz w:val="24"/>
                <w:u w:val="none"/>
              </w:rPr>
            </w:pPr>
            <w:r>
              <w:rPr>
                <w:rFonts w:hint="eastAsia" w:ascii="宋体" w:hAnsi="宋体" w:eastAsia="宋体" w:cs="宋体"/>
                <w:i w:val="0"/>
                <w:iCs w:val="0"/>
                <w:color w:val="auto"/>
                <w:sz w:val="24"/>
                <w:u w:val="none"/>
              </w:rPr>
              <w:t>保证金形式：</w:t>
            </w:r>
            <w:r>
              <w:rPr>
                <w:rFonts w:hint="eastAsia" w:ascii="宋体" w:hAnsi="宋体" w:eastAsia="宋体" w:cs="宋体"/>
                <w:i w:val="0"/>
                <w:iCs w:val="0"/>
                <w:color w:val="auto"/>
                <w:sz w:val="40"/>
                <w:u w:val="none"/>
                <w:lang w:eastAsia="zh-CN"/>
              </w:rPr>
              <w:t>☑</w:t>
            </w:r>
            <w:r>
              <w:rPr>
                <w:rFonts w:hint="eastAsia" w:ascii="宋体" w:hAnsi="宋体" w:eastAsia="宋体" w:cs="宋体"/>
                <w:i w:val="0"/>
                <w:iCs w:val="0"/>
                <w:color w:val="auto"/>
                <w:sz w:val="24"/>
                <w:u w:val="none"/>
              </w:rPr>
              <w:t>保函</w:t>
            </w:r>
            <w:r>
              <w:rPr>
                <w:rFonts w:hint="eastAsia" w:ascii="宋体" w:hAnsi="宋体" w:eastAsia="宋体" w:cs="宋体"/>
                <w:i w:val="0"/>
                <w:iCs w:val="0"/>
                <w:color w:val="auto"/>
                <w:sz w:val="24"/>
                <w:u w:val="none"/>
                <w:lang w:val="en-US" w:eastAsia="zh-CN"/>
              </w:rPr>
              <w:t xml:space="preserve">  </w:t>
            </w:r>
            <w:r>
              <w:rPr>
                <w:rFonts w:hint="eastAsia" w:ascii="宋体" w:hAnsi="宋体" w:eastAsia="宋体" w:cs="宋体"/>
                <w:i w:val="0"/>
                <w:iCs w:val="0"/>
                <w:color w:val="auto"/>
                <w:sz w:val="40"/>
                <w:u w:val="none"/>
                <w:lang w:eastAsia="zh-CN"/>
              </w:rPr>
              <w:t>☑</w:t>
            </w:r>
            <w:r>
              <w:rPr>
                <w:rFonts w:hint="eastAsia" w:ascii="宋体" w:hAnsi="宋体" w:eastAsia="宋体" w:cs="宋体"/>
                <w:i w:val="0"/>
                <w:iCs w:val="0"/>
                <w:color w:val="auto"/>
                <w:sz w:val="24"/>
                <w:u w:val="none"/>
              </w:rPr>
              <w:t xml:space="preserve">电汇  </w:t>
            </w:r>
            <w:r>
              <w:rPr>
                <w:rFonts w:hint="eastAsia" w:ascii="宋体" w:hAnsi="宋体" w:eastAsia="宋体" w:cs="宋体"/>
                <w:i w:val="0"/>
                <w:iCs w:val="0"/>
                <w:color w:val="auto"/>
                <w:sz w:val="40"/>
                <w:u w:val="none"/>
              </w:rPr>
              <w:t>□</w:t>
            </w:r>
            <w:r>
              <w:rPr>
                <w:rFonts w:hint="eastAsia" w:ascii="宋体" w:hAnsi="宋体" w:eastAsia="宋体" w:cs="宋体"/>
                <w:i w:val="0"/>
                <w:iCs w:val="0"/>
                <w:color w:val="auto"/>
                <w:sz w:val="24"/>
                <w:u w:val="none"/>
              </w:rPr>
              <w:t>支票</w:t>
            </w:r>
          </w:p>
          <w:p>
            <w:pPr>
              <w:spacing w:line="360" w:lineRule="auto"/>
              <w:rPr>
                <w:rFonts w:hint="eastAsia" w:ascii="宋体" w:hAnsi="宋体" w:eastAsia="宋体" w:cs="宋体"/>
                <w:i w:val="0"/>
                <w:iCs w:val="0"/>
                <w:color w:val="auto"/>
                <w:sz w:val="24"/>
                <w:u w:val="none"/>
                <w:lang w:eastAsia="zh-CN"/>
              </w:rPr>
            </w:pPr>
            <w:r>
              <w:rPr>
                <w:rFonts w:hint="eastAsia" w:ascii="宋体" w:hAnsi="宋体" w:eastAsia="宋体" w:cs="宋体"/>
                <w:i w:val="0"/>
                <w:iCs w:val="0"/>
                <w:color w:val="auto"/>
                <w:sz w:val="24"/>
                <w:u w:val="none"/>
              </w:rPr>
              <w:t>保证金数额：</w:t>
            </w:r>
            <w:r>
              <w:rPr>
                <w:rFonts w:hint="eastAsia" w:ascii="宋体" w:hAnsi="宋体" w:cs="宋体"/>
                <w:color w:val="auto"/>
                <w:kern w:val="2"/>
                <w:sz w:val="24"/>
                <w:szCs w:val="24"/>
                <w:vertAlign w:val="baseline"/>
                <w:lang w:val="en-US" w:eastAsia="zh-CN" w:bidi="ar-SA"/>
              </w:rPr>
              <w:t>80000</w:t>
            </w:r>
            <w:r>
              <w:rPr>
                <w:rFonts w:hint="eastAsia" w:ascii="宋体" w:hAnsi="宋体" w:eastAsia="宋体" w:cs="宋体"/>
                <w:color w:val="auto"/>
                <w:kern w:val="2"/>
                <w:sz w:val="24"/>
                <w:szCs w:val="24"/>
                <w:vertAlign w:val="baseline"/>
                <w:lang w:val="en-US" w:eastAsia="zh-CN" w:bidi="ar-SA"/>
              </w:rPr>
              <w:t>元（</w:t>
            </w:r>
            <w:r>
              <w:rPr>
                <w:rFonts w:hint="eastAsia" w:ascii="宋体" w:hAnsi="宋体" w:cs="宋体"/>
                <w:color w:val="auto"/>
                <w:kern w:val="2"/>
                <w:sz w:val="24"/>
                <w:szCs w:val="24"/>
                <w:vertAlign w:val="baseline"/>
                <w:lang w:val="en-US" w:eastAsia="zh-CN" w:bidi="ar-SA"/>
              </w:rPr>
              <w:t>捌</w:t>
            </w:r>
            <w:r>
              <w:rPr>
                <w:rFonts w:hint="eastAsia" w:ascii="宋体" w:hAnsi="宋体" w:eastAsia="宋体" w:cs="宋体"/>
                <w:color w:val="auto"/>
                <w:kern w:val="2"/>
                <w:sz w:val="24"/>
                <w:szCs w:val="24"/>
                <w:vertAlign w:val="baseline"/>
                <w:lang w:val="en-US" w:eastAsia="zh-CN" w:bidi="ar-SA"/>
              </w:rPr>
              <w:t>万元整）</w:t>
            </w:r>
          </w:p>
          <w:p>
            <w:pPr>
              <w:spacing w:line="360" w:lineRule="auto"/>
              <w:rPr>
                <w:rFonts w:hint="eastAsia" w:ascii="宋体" w:hAnsi="宋体" w:eastAsia="宋体" w:cs="宋体"/>
                <w:i w:val="0"/>
                <w:iCs w:val="0"/>
                <w:color w:val="auto"/>
                <w:sz w:val="24"/>
                <w:u w:val="none"/>
                <w:lang w:val="en-US" w:eastAsia="zh-CN"/>
              </w:rPr>
            </w:pPr>
            <w:r>
              <w:rPr>
                <w:rFonts w:hint="eastAsia" w:ascii="宋体" w:hAnsi="宋体" w:eastAsia="宋体" w:cs="宋体"/>
                <w:i w:val="0"/>
                <w:iCs w:val="0"/>
                <w:color w:val="auto"/>
                <w:sz w:val="24"/>
                <w:u w:val="none"/>
              </w:rPr>
              <w:t>保证金收款人：</w:t>
            </w:r>
            <w:r>
              <w:rPr>
                <w:rFonts w:hint="eastAsia" w:ascii="宋体" w:hAnsi="宋体" w:eastAsia="宋体" w:cs="宋体"/>
                <w:i w:val="0"/>
                <w:iCs w:val="0"/>
                <w:color w:val="auto"/>
                <w:sz w:val="24"/>
                <w:u w:val="none"/>
                <w:lang w:val="en-US" w:eastAsia="zh-CN"/>
              </w:rPr>
              <w:t>新疆春秋工程项目管理集团有限公司伊犁分公司</w:t>
            </w:r>
          </w:p>
          <w:p>
            <w:pPr>
              <w:spacing w:line="360" w:lineRule="auto"/>
              <w:rPr>
                <w:rFonts w:hint="eastAsia" w:ascii="宋体" w:hAnsi="宋体" w:eastAsia="宋体" w:cs="宋体"/>
                <w:i w:val="0"/>
                <w:iCs w:val="0"/>
                <w:color w:val="auto"/>
                <w:sz w:val="24"/>
                <w:u w:val="none"/>
              </w:rPr>
            </w:pPr>
            <w:r>
              <w:rPr>
                <w:rFonts w:hint="eastAsia" w:ascii="宋体" w:hAnsi="宋体" w:eastAsia="宋体" w:cs="宋体"/>
                <w:i w:val="0"/>
                <w:iCs w:val="0"/>
                <w:color w:val="auto"/>
                <w:sz w:val="24"/>
                <w:u w:val="none"/>
              </w:rPr>
              <w:t>递交方式：投标人将资金从企业基本帐户汇至以下账户</w:t>
            </w:r>
          </w:p>
          <w:p>
            <w:pPr>
              <w:spacing w:line="360" w:lineRule="auto"/>
              <w:rPr>
                <w:rFonts w:hint="eastAsia" w:ascii="宋体" w:hAnsi="宋体" w:eastAsia="宋体" w:cs="宋体"/>
                <w:i w:val="0"/>
                <w:iCs w:val="0"/>
                <w:color w:val="auto"/>
                <w:sz w:val="24"/>
                <w:u w:val="none"/>
                <w:lang w:val="en-US" w:eastAsia="zh-CN"/>
              </w:rPr>
            </w:pPr>
            <w:r>
              <w:rPr>
                <w:rFonts w:hint="eastAsia" w:ascii="宋体" w:hAnsi="宋体" w:eastAsia="宋体" w:cs="宋体"/>
                <w:i w:val="0"/>
                <w:iCs w:val="0"/>
                <w:color w:val="auto"/>
                <w:sz w:val="24"/>
                <w:u w:val="none"/>
                <w:lang w:val="en-US" w:eastAsia="zh-CN"/>
              </w:rPr>
              <w:t xml:space="preserve">单位名称：新疆春秋工程项目管理集团有限公司伊犁分公司  </w:t>
            </w:r>
          </w:p>
          <w:p>
            <w:pPr>
              <w:spacing w:line="360" w:lineRule="auto"/>
              <w:rPr>
                <w:rFonts w:hint="eastAsia" w:ascii="宋体" w:hAnsi="宋体" w:eastAsia="宋体" w:cs="宋体"/>
                <w:i w:val="0"/>
                <w:iCs w:val="0"/>
                <w:color w:val="auto"/>
                <w:sz w:val="24"/>
                <w:u w:val="none"/>
                <w:lang w:val="en-US" w:eastAsia="zh-CN"/>
              </w:rPr>
            </w:pPr>
            <w:r>
              <w:rPr>
                <w:rFonts w:hint="eastAsia" w:ascii="宋体" w:hAnsi="宋体" w:eastAsia="宋体" w:cs="宋体"/>
                <w:i w:val="0"/>
                <w:iCs w:val="0"/>
                <w:color w:val="auto"/>
                <w:sz w:val="24"/>
                <w:u w:val="none"/>
                <w:lang w:val="en-US" w:eastAsia="zh-CN"/>
              </w:rPr>
              <w:t>帐    号： 965005010004546674</w:t>
            </w:r>
          </w:p>
          <w:p>
            <w:pPr>
              <w:spacing w:line="360" w:lineRule="auto"/>
              <w:rPr>
                <w:rFonts w:hint="eastAsia" w:ascii="宋体" w:hAnsi="宋体" w:eastAsia="宋体" w:cs="宋体"/>
                <w:i w:val="0"/>
                <w:iCs w:val="0"/>
                <w:color w:val="auto"/>
                <w:sz w:val="24"/>
                <w:u w:val="none"/>
                <w:lang w:val="en-US" w:eastAsia="zh-CN"/>
              </w:rPr>
            </w:pPr>
            <w:r>
              <w:rPr>
                <w:rFonts w:hint="eastAsia" w:ascii="宋体" w:hAnsi="宋体" w:eastAsia="宋体" w:cs="宋体"/>
                <w:i w:val="0"/>
                <w:iCs w:val="0"/>
                <w:color w:val="auto"/>
                <w:sz w:val="24"/>
                <w:u w:val="none"/>
                <w:lang w:val="en-US" w:eastAsia="zh-CN"/>
              </w:rPr>
              <w:t>开 户 行： 中国邮政储蓄银行股份有限公司伊宁市新华路支行</w:t>
            </w:r>
          </w:p>
          <w:p>
            <w:pPr>
              <w:spacing w:line="360" w:lineRule="auto"/>
              <w:rPr>
                <w:rFonts w:hint="eastAsia" w:ascii="宋体" w:hAnsi="宋体" w:eastAsia="宋体" w:cs="宋体"/>
                <w:i w:val="0"/>
                <w:iCs w:val="0"/>
                <w:color w:val="auto"/>
                <w:sz w:val="24"/>
                <w:u w:val="none"/>
                <w:lang w:val="en-US" w:eastAsia="zh-CN"/>
              </w:rPr>
            </w:pPr>
            <w:r>
              <w:rPr>
                <w:rFonts w:hint="eastAsia" w:ascii="宋体" w:hAnsi="宋体" w:eastAsia="宋体" w:cs="宋体"/>
                <w:i w:val="0"/>
                <w:iCs w:val="0"/>
                <w:color w:val="auto"/>
                <w:sz w:val="24"/>
                <w:u w:val="none"/>
                <w:lang w:val="en-US" w:eastAsia="zh-CN"/>
              </w:rPr>
              <w:t>行    号：403898000048</w:t>
            </w:r>
          </w:p>
          <w:p>
            <w:pPr>
              <w:spacing w:line="360" w:lineRule="auto"/>
              <w:rPr>
                <w:rFonts w:hint="eastAsia"/>
                <w:color w:val="auto"/>
              </w:rPr>
            </w:pPr>
            <w:r>
              <w:rPr>
                <w:rFonts w:hint="eastAsia" w:ascii="宋体" w:hAnsi="宋体" w:eastAsia="宋体" w:cs="宋体"/>
                <w:i w:val="0"/>
                <w:iCs w:val="0"/>
                <w:color w:val="auto"/>
                <w:sz w:val="24"/>
                <w:u w:val="none"/>
                <w:lang w:val="en-US" w:eastAsia="zh-CN"/>
              </w:rPr>
              <w:t>保证金缴纳时间：各投标企业需在开标截止时间</w:t>
            </w:r>
            <w:r>
              <w:rPr>
                <w:rFonts w:hint="eastAsia" w:ascii="宋体" w:hAnsi="宋体" w:eastAsia="宋体" w:cs="宋体"/>
                <w:i w:val="0"/>
                <w:iCs w:val="0"/>
                <w:color w:val="auto"/>
                <w:sz w:val="24"/>
                <w:u w:val="single"/>
                <w:lang w:val="en-US" w:eastAsia="zh-CN"/>
              </w:rPr>
              <w:t>前</w:t>
            </w:r>
            <w:r>
              <w:rPr>
                <w:rFonts w:hint="eastAsia" w:ascii="宋体" w:hAnsi="宋体" w:cs="宋体"/>
                <w:i w:val="0"/>
                <w:iCs w:val="0"/>
                <w:color w:val="auto"/>
                <w:sz w:val="24"/>
                <w:u w:val="single"/>
                <w:lang w:val="en-US" w:eastAsia="zh-CN"/>
              </w:rPr>
              <w:t>72</w:t>
            </w:r>
            <w:r>
              <w:rPr>
                <w:rFonts w:hint="eastAsia" w:ascii="宋体" w:hAnsi="宋体" w:eastAsia="宋体" w:cs="宋体"/>
                <w:i w:val="0"/>
                <w:iCs w:val="0"/>
                <w:color w:val="auto"/>
                <w:sz w:val="24"/>
                <w:u w:val="single"/>
                <w:lang w:val="en-US" w:eastAsia="zh-CN"/>
              </w:rPr>
              <w:t>小时</w:t>
            </w:r>
            <w:r>
              <w:rPr>
                <w:rFonts w:hint="eastAsia" w:ascii="宋体" w:hAnsi="宋体" w:eastAsia="宋体" w:cs="宋体"/>
                <w:i w:val="0"/>
                <w:iCs w:val="0"/>
                <w:color w:val="auto"/>
                <w:sz w:val="24"/>
                <w:u w:val="none"/>
                <w:lang w:val="en-US" w:eastAsia="zh-CN"/>
              </w:rPr>
              <w:t>缴纳投标保证金。</w:t>
            </w:r>
          </w:p>
          <w:p>
            <w:pPr>
              <w:spacing w:line="360" w:lineRule="auto"/>
              <w:rPr>
                <w:rFonts w:hint="default" w:ascii="宋体" w:hAnsi="宋体" w:eastAsia="宋体" w:cs="宋体"/>
                <w:i w:val="0"/>
                <w:iCs w:val="0"/>
                <w:color w:val="auto"/>
                <w:sz w:val="24"/>
                <w:lang w:val="en-US"/>
              </w:rPr>
            </w:pPr>
            <w:r>
              <w:rPr>
                <w:rFonts w:hint="eastAsia" w:ascii="宋体" w:hAnsi="宋体" w:eastAsia="宋体" w:cs="宋体"/>
                <w:i w:val="0"/>
                <w:iCs w:val="0"/>
                <w:color w:val="auto"/>
                <w:sz w:val="24"/>
              </w:rPr>
              <w:t>联系人：</w:t>
            </w:r>
            <w:r>
              <w:rPr>
                <w:rFonts w:hint="eastAsia" w:ascii="宋体" w:hAnsi="宋体" w:eastAsia="宋体" w:cs="宋体"/>
                <w:i w:val="0"/>
                <w:iCs w:val="0"/>
                <w:color w:val="auto"/>
                <w:sz w:val="24"/>
                <w:lang w:val="en-US" w:eastAsia="zh-CN"/>
              </w:rPr>
              <w:t>张冬娥</w:t>
            </w:r>
            <w:r>
              <w:rPr>
                <w:rFonts w:hint="eastAsia" w:ascii="宋体" w:hAnsi="宋体" w:eastAsia="宋体" w:cs="宋体"/>
                <w:i w:val="0"/>
                <w:iCs w:val="0"/>
                <w:color w:val="auto"/>
                <w:sz w:val="24"/>
              </w:rPr>
              <w:t xml:space="preserve">        联系电话：</w:t>
            </w:r>
            <w:r>
              <w:rPr>
                <w:rFonts w:hint="eastAsia" w:ascii="宋体" w:hAnsi="宋体" w:eastAsia="宋体" w:cs="宋体"/>
                <w:i w:val="0"/>
                <w:iCs w:val="0"/>
                <w:color w:val="auto"/>
                <w:sz w:val="24"/>
                <w:lang w:val="en-US" w:eastAsia="zh-CN"/>
              </w:rPr>
              <w:t>0999-8097978</w:t>
            </w:r>
          </w:p>
          <w:p>
            <w:pPr>
              <w:spacing w:line="360" w:lineRule="auto"/>
              <w:rPr>
                <w:rFonts w:hint="eastAsia" w:ascii="宋体" w:hAnsi="宋体" w:eastAsia="宋体" w:cs="宋体"/>
                <w:i w:val="0"/>
                <w:iCs w:val="0"/>
                <w:color w:val="auto"/>
                <w:sz w:val="40"/>
                <w:u w:val="none"/>
              </w:rPr>
            </w:pPr>
            <w:r>
              <w:rPr>
                <w:rFonts w:hint="eastAsia" w:ascii="宋体" w:hAnsi="宋体" w:eastAsia="宋体" w:cs="宋体"/>
                <w:b/>
                <w:bCs/>
                <w:i w:val="0"/>
                <w:iCs w:val="0"/>
                <w:color w:val="auto"/>
                <w:sz w:val="24"/>
              </w:rPr>
              <w:t>（未提交投标保证金的投标文件无效）</w:t>
            </w:r>
            <w:r>
              <w:rPr>
                <w:rFonts w:hint="eastAsia" w:ascii="宋体" w:hAnsi="宋体" w:eastAsia="宋体" w:cs="宋体"/>
                <w:i w:val="0"/>
                <w:iCs w:val="0"/>
                <w:color w:val="auto"/>
                <w:sz w:val="40"/>
                <w:u w:val="none"/>
              </w:rPr>
              <w:t xml:space="preserve"> </w:t>
            </w:r>
          </w:p>
          <w:p>
            <w:pPr>
              <w:spacing w:line="360" w:lineRule="auto"/>
              <w:rPr>
                <w:rFonts w:hint="eastAsia" w:ascii="宋体" w:hAnsi="宋体" w:eastAsia="宋体" w:cs="宋体"/>
                <w:i w:val="0"/>
                <w:iCs w:val="0"/>
                <w:color w:val="auto"/>
                <w:sz w:val="24"/>
                <w:u w:val="none"/>
                <w:lang w:val="en-US" w:eastAsia="zh-CN"/>
              </w:rPr>
            </w:pPr>
            <w:r>
              <w:rPr>
                <w:rFonts w:hint="eastAsia" w:ascii="宋体" w:hAnsi="宋体" w:eastAsia="宋体" w:cs="宋体"/>
                <w:i w:val="0"/>
                <w:iCs w:val="0"/>
                <w:color w:val="auto"/>
                <w:sz w:val="24"/>
                <w:u w:val="none"/>
                <w:lang w:val="en-US" w:eastAsia="zh-CN"/>
              </w:rPr>
              <w:t>注：1.供应商未按照磋商文件要求缴纳磋商保证金的，响应无效。</w:t>
            </w:r>
          </w:p>
          <w:p>
            <w:pPr>
              <w:numPr>
                <w:ilvl w:val="0"/>
                <w:numId w:val="0"/>
              </w:numPr>
              <w:spacing w:line="360" w:lineRule="auto"/>
              <w:ind w:leftChars="0"/>
              <w:rPr>
                <w:rFonts w:hint="eastAsia" w:ascii="宋体" w:hAnsi="宋体" w:eastAsia="宋体" w:cs="宋体"/>
                <w:i w:val="0"/>
                <w:iCs w:val="0"/>
                <w:color w:val="auto"/>
                <w:sz w:val="24"/>
                <w:u w:val="none"/>
                <w:lang w:val="en-US" w:eastAsia="zh-CN"/>
              </w:rPr>
            </w:pPr>
            <w:r>
              <w:rPr>
                <w:rFonts w:hint="eastAsia" w:ascii="宋体" w:hAnsi="宋体" w:eastAsia="宋体" w:cs="宋体"/>
                <w:i w:val="0"/>
                <w:iCs w:val="0"/>
                <w:color w:val="auto"/>
                <w:sz w:val="24"/>
                <w:u w:val="none"/>
                <w:lang w:val="en-US" w:eastAsia="zh-CN"/>
              </w:rPr>
              <w:t>2.投标人在响应文件递交截止时间之前由企业基本账户以银行电汇、网银方式汇入指定账户（需考虑资金在途时间）</w:t>
            </w:r>
          </w:p>
          <w:p>
            <w:pPr>
              <w:spacing w:line="360" w:lineRule="auto"/>
              <w:rPr>
                <w:rFonts w:hint="eastAsia" w:ascii="宋体" w:hAnsi="宋体" w:eastAsia="宋体" w:cs="宋体"/>
                <w:i w:val="0"/>
                <w:iCs w:val="0"/>
                <w:color w:val="auto"/>
                <w:sz w:val="24"/>
                <w:u w:val="none"/>
                <w:lang w:val="en-US" w:eastAsia="zh-CN"/>
              </w:rPr>
            </w:pPr>
            <w:r>
              <w:rPr>
                <w:rFonts w:hint="eastAsia" w:ascii="宋体" w:hAnsi="宋体" w:eastAsia="宋体" w:cs="宋体"/>
                <w:i w:val="0"/>
                <w:iCs w:val="0"/>
                <w:color w:val="auto"/>
                <w:sz w:val="24"/>
                <w:u w:val="none"/>
                <w:lang w:val="en-US" w:eastAsia="zh-CN"/>
              </w:rPr>
              <w:t>3.根据新财购 〔2022〕19号文要求，全面推行政府采购电子保函业务，推荐使用电子保函代替传统保证金模式。</w:t>
            </w:r>
          </w:p>
          <w:p>
            <w:pPr>
              <w:spacing w:line="360" w:lineRule="auto"/>
              <w:rPr>
                <w:rFonts w:hint="eastAsia" w:ascii="宋体" w:hAnsi="宋体" w:eastAsia="宋体" w:cs="宋体"/>
                <w:i w:val="0"/>
                <w:iCs w:val="0"/>
                <w:color w:val="auto"/>
                <w:sz w:val="24"/>
                <w:u w:val="none"/>
                <w:lang w:val="en-US" w:eastAsia="zh-CN"/>
              </w:rPr>
            </w:pPr>
            <w:r>
              <w:rPr>
                <w:rFonts w:hint="eastAsia" w:ascii="宋体" w:hAnsi="宋体" w:eastAsia="宋体" w:cs="宋体"/>
                <w:i w:val="0"/>
                <w:iCs w:val="0"/>
                <w:color w:val="auto"/>
                <w:sz w:val="24"/>
                <w:u w:val="none"/>
                <w:lang w:val="en-US" w:eastAsia="zh-CN"/>
              </w:rPr>
              <w:t>4.如中标后，中标单位不响应文件里面规定的期限或与文件里面规定的实质性内容存在差异的，投标保证金不予退还，并上缴本级财政国库。</w:t>
            </w:r>
          </w:p>
          <w:p>
            <w:pPr>
              <w:spacing w:line="360" w:lineRule="auto"/>
              <w:rPr>
                <w:rFonts w:hint="eastAsia" w:ascii="宋体" w:hAnsi="宋体" w:eastAsia="宋体" w:cs="宋体"/>
                <w:i w:val="0"/>
                <w:iCs w:val="0"/>
                <w:color w:val="auto"/>
                <w:sz w:val="24"/>
                <w:u w:val="none"/>
                <w:lang w:val="en-US" w:eastAsia="zh-CN"/>
              </w:rPr>
            </w:pPr>
            <w:r>
              <w:rPr>
                <w:rFonts w:hint="eastAsia" w:ascii="宋体" w:hAnsi="宋体" w:eastAsia="宋体" w:cs="宋体"/>
                <w:i w:val="0"/>
                <w:iCs w:val="0"/>
                <w:color w:val="auto"/>
                <w:sz w:val="24"/>
                <w:u w:val="none"/>
                <w:lang w:val="en-US" w:eastAsia="zh-CN"/>
              </w:rPr>
              <w:t>5.因供应商自身原因导致无法及时退还的除外。</w:t>
            </w:r>
          </w:p>
          <w:p>
            <w:pPr>
              <w:spacing w:line="360" w:lineRule="auto"/>
              <w:rPr>
                <w:rFonts w:hint="default" w:ascii="宋体" w:hAnsi="宋体" w:eastAsia="宋体" w:cs="宋体"/>
                <w:i w:val="0"/>
                <w:iCs w:val="0"/>
                <w:color w:val="auto"/>
                <w:sz w:val="24"/>
                <w:u w:val="none"/>
                <w:lang w:val="en-US" w:eastAsia="zh-CN"/>
              </w:rPr>
            </w:pPr>
            <w:r>
              <w:rPr>
                <w:rFonts w:hint="eastAsia" w:ascii="宋体" w:hAnsi="宋体" w:eastAsia="宋体" w:cs="宋体"/>
                <w:i w:val="0"/>
                <w:iCs w:val="0"/>
                <w:color w:val="auto"/>
                <w:sz w:val="24"/>
                <w:u w:val="none"/>
                <w:lang w:val="en-US" w:eastAsia="zh-CN"/>
              </w:rPr>
              <w:t>6.未成交供应商的保证金应当在成交通知书发出后5个工作日内退还.</w:t>
            </w:r>
          </w:p>
          <w:p>
            <w:pPr>
              <w:spacing w:line="360" w:lineRule="auto"/>
              <w:rPr>
                <w:rFonts w:hint="eastAsia" w:ascii="宋体" w:hAnsi="宋体" w:eastAsia="宋体" w:cs="宋体"/>
                <w:i w:val="0"/>
                <w:iCs w:val="0"/>
                <w:color w:val="auto"/>
                <w:sz w:val="24"/>
                <w:u w:val="none"/>
              </w:rPr>
            </w:pPr>
            <w:r>
              <w:rPr>
                <w:rFonts w:hint="eastAsia" w:ascii="宋体" w:hAnsi="宋体" w:eastAsia="宋体" w:cs="宋体"/>
                <w:i w:val="0"/>
                <w:iCs w:val="0"/>
                <w:color w:val="auto"/>
                <w:sz w:val="24"/>
                <w:u w:val="none"/>
                <w:lang w:val="en-US" w:eastAsia="zh-CN"/>
              </w:rPr>
              <w:t>7.成交供应商的保证金在采购合同签订后5个工作日内退还。</w:t>
            </w:r>
            <w:r>
              <w:rPr>
                <w:rFonts w:hint="eastAsia" w:ascii="宋体" w:hAnsi="宋体" w:eastAsia="宋体" w:cs="宋体"/>
                <w:i w:val="0"/>
                <w:iCs w:val="0"/>
                <w:color w:val="auto"/>
                <w:sz w:val="40"/>
                <w:u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468" w:type="dxa"/>
            <w:noWrap w:val="0"/>
            <w:vAlign w:val="center"/>
          </w:tcPr>
          <w:p>
            <w:pPr>
              <w:spacing w:line="360" w:lineRule="auto"/>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13.1</w:t>
            </w:r>
          </w:p>
        </w:tc>
        <w:tc>
          <w:tcPr>
            <w:tcW w:w="6840" w:type="dxa"/>
            <w:gridSpan w:val="2"/>
            <w:noWrap w:val="0"/>
            <w:vAlign w:val="center"/>
          </w:tcPr>
          <w:p>
            <w:pPr>
              <w:spacing w:line="360" w:lineRule="auto"/>
              <w:rPr>
                <w:rFonts w:hint="eastAsia" w:ascii="宋体" w:hAnsi="宋体" w:eastAsia="宋体" w:cs="宋体"/>
                <w:i w:val="0"/>
                <w:iCs w:val="0"/>
                <w:color w:val="auto"/>
                <w:sz w:val="24"/>
                <w:u w:val="single"/>
              </w:rPr>
            </w:pPr>
            <w:r>
              <w:rPr>
                <w:rFonts w:hint="eastAsia" w:ascii="宋体" w:hAnsi="宋体" w:eastAsia="宋体" w:cs="宋体"/>
                <w:i w:val="0"/>
                <w:iCs w:val="0"/>
                <w:color w:val="auto"/>
                <w:sz w:val="24"/>
              </w:rPr>
              <w:t>投标有效期：</w:t>
            </w:r>
            <w:r>
              <w:rPr>
                <w:rFonts w:hint="eastAsia" w:ascii="宋体" w:hAnsi="宋体" w:eastAsia="宋体" w:cs="宋体"/>
                <w:i w:val="0"/>
                <w:iCs w:val="0"/>
                <w:color w:val="auto"/>
                <w:sz w:val="24"/>
                <w:lang w:val="en-US" w:eastAsia="zh-CN"/>
              </w:rPr>
              <w:t>90</w:t>
            </w:r>
            <w:r>
              <w:rPr>
                <w:rFonts w:hint="eastAsia" w:ascii="宋体" w:hAnsi="宋体" w:eastAsia="宋体" w:cs="宋体"/>
                <w:i w:val="0"/>
                <w:iCs w:val="0"/>
                <w:color w:val="auto"/>
                <w:sz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4" w:hRule="atLeast"/>
        </w:trPr>
        <w:tc>
          <w:tcPr>
            <w:tcW w:w="1468" w:type="dxa"/>
            <w:noWrap w:val="0"/>
            <w:vAlign w:val="center"/>
          </w:tcPr>
          <w:p>
            <w:pPr>
              <w:spacing w:line="360" w:lineRule="auto"/>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14.1</w:t>
            </w:r>
          </w:p>
        </w:tc>
        <w:tc>
          <w:tcPr>
            <w:tcW w:w="6840" w:type="dxa"/>
            <w:gridSpan w:val="2"/>
            <w:noWrap w:val="0"/>
            <w:vAlign w:val="center"/>
          </w:tcPr>
          <w:p>
            <w:pPr>
              <w:spacing w:line="360" w:lineRule="auto"/>
              <w:rPr>
                <w:rFonts w:hint="eastAsia" w:ascii="宋体" w:hAnsi="宋体" w:eastAsia="宋体" w:cs="宋体"/>
                <w:i w:val="0"/>
                <w:iCs w:val="0"/>
                <w:color w:val="auto"/>
                <w:sz w:val="24"/>
                <w:lang w:eastAsia="zh-CN"/>
              </w:rPr>
            </w:pPr>
            <w:r>
              <w:rPr>
                <w:rFonts w:hint="eastAsia" w:ascii="宋体" w:hAnsi="宋体" w:eastAsia="宋体" w:cs="宋体"/>
                <w:i w:val="0"/>
                <w:iCs w:val="0"/>
                <w:color w:val="auto"/>
                <w:sz w:val="24"/>
              </w:rPr>
              <w:t>投标文件份数</w:t>
            </w:r>
            <w:r>
              <w:rPr>
                <w:rFonts w:hint="eastAsia" w:ascii="宋体" w:hAnsi="宋体" w:eastAsia="宋体" w:cs="宋体"/>
                <w:i w:val="0"/>
                <w:iCs w:val="0"/>
                <w:color w:val="auto"/>
                <w:sz w:val="24"/>
                <w:lang w:eastAsia="zh-CN"/>
              </w:rPr>
              <w:t>：</w:t>
            </w:r>
            <w:r>
              <w:rPr>
                <w:rFonts w:hint="eastAsia" w:ascii="宋体" w:hAnsi="宋体" w:eastAsia="宋体" w:cs="宋体"/>
                <w:i w:val="0"/>
                <w:iCs w:val="0"/>
                <w:color w:val="auto"/>
                <w:sz w:val="24"/>
              </w:rPr>
              <w:t>电子加密投标文件一份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68" w:type="dxa"/>
            <w:noWrap w:val="0"/>
            <w:vAlign w:val="center"/>
          </w:tcPr>
          <w:p>
            <w:pPr>
              <w:spacing w:line="360" w:lineRule="auto"/>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16．1</w:t>
            </w:r>
          </w:p>
        </w:tc>
        <w:tc>
          <w:tcPr>
            <w:tcW w:w="6840" w:type="dxa"/>
            <w:gridSpan w:val="2"/>
            <w:noWrap w:val="0"/>
            <w:vAlign w:val="center"/>
          </w:tcPr>
          <w:p>
            <w:pPr>
              <w:spacing w:line="360" w:lineRule="auto"/>
              <w:rPr>
                <w:rFonts w:hint="default" w:ascii="宋体" w:hAnsi="宋体" w:eastAsia="宋体" w:cs="宋体"/>
                <w:i w:val="0"/>
                <w:iCs w:val="0"/>
                <w:color w:val="auto"/>
                <w:sz w:val="24"/>
                <w:lang w:val="en-US" w:eastAsia="zh-CN"/>
              </w:rPr>
            </w:pPr>
            <w:r>
              <w:rPr>
                <w:rFonts w:hint="eastAsia" w:ascii="宋体" w:hAnsi="宋体" w:eastAsia="宋体" w:cs="宋体"/>
                <w:i w:val="0"/>
                <w:iCs w:val="0"/>
                <w:color w:val="auto"/>
                <w:sz w:val="24"/>
                <w:lang w:val="en-US" w:eastAsia="zh-CN"/>
              </w:rPr>
              <w:t>提交电子投标文件的截止时间：</w:t>
            </w:r>
            <w:r>
              <w:rPr>
                <w:rFonts w:hint="eastAsia" w:ascii="宋体" w:hAnsi="宋体" w:eastAsia="宋体" w:cs="宋体"/>
                <w:i w:val="0"/>
                <w:iCs w:val="0"/>
                <w:color w:val="auto"/>
                <w:sz w:val="24"/>
                <w:highlight w:val="none"/>
                <w:lang w:val="en-US" w:eastAsia="zh-CN"/>
              </w:rPr>
              <w:t>2023年</w:t>
            </w:r>
            <w:r>
              <w:rPr>
                <w:rFonts w:hint="eastAsia" w:ascii="宋体" w:hAnsi="宋体" w:cs="宋体"/>
                <w:i w:val="0"/>
                <w:iCs w:val="0"/>
                <w:color w:val="auto"/>
                <w:sz w:val="24"/>
                <w:highlight w:val="none"/>
                <w:lang w:val="en-US" w:eastAsia="zh-CN"/>
              </w:rPr>
              <w:t>11</w:t>
            </w:r>
            <w:r>
              <w:rPr>
                <w:rFonts w:hint="eastAsia" w:ascii="宋体" w:hAnsi="宋体" w:eastAsia="宋体" w:cs="宋体"/>
                <w:i w:val="0"/>
                <w:iCs w:val="0"/>
                <w:color w:val="auto"/>
                <w:sz w:val="24"/>
                <w:highlight w:val="none"/>
                <w:lang w:val="en-US" w:eastAsia="zh-CN"/>
              </w:rPr>
              <w:t>月</w:t>
            </w:r>
            <w:r>
              <w:rPr>
                <w:rFonts w:hint="eastAsia" w:ascii="宋体" w:hAnsi="宋体" w:cs="宋体"/>
                <w:i w:val="0"/>
                <w:iCs w:val="0"/>
                <w:color w:val="auto"/>
                <w:sz w:val="24"/>
                <w:highlight w:val="none"/>
                <w:lang w:val="en-US" w:eastAsia="zh-CN"/>
              </w:rPr>
              <w:t>24</w:t>
            </w:r>
            <w:r>
              <w:rPr>
                <w:rFonts w:hint="eastAsia" w:ascii="宋体" w:hAnsi="宋体" w:eastAsia="宋体" w:cs="宋体"/>
                <w:i w:val="0"/>
                <w:iCs w:val="0"/>
                <w:color w:val="auto"/>
                <w:sz w:val="24"/>
                <w:highlight w:val="none"/>
                <w:lang w:val="en-US" w:eastAsia="zh-CN"/>
              </w:rPr>
              <w:t>日1</w:t>
            </w:r>
            <w:r>
              <w:rPr>
                <w:rFonts w:hint="eastAsia" w:ascii="宋体" w:hAnsi="宋体" w:cs="宋体"/>
                <w:i w:val="0"/>
                <w:iCs w:val="0"/>
                <w:color w:val="auto"/>
                <w:sz w:val="24"/>
                <w:highlight w:val="none"/>
                <w:lang w:val="en-US" w:eastAsia="zh-CN"/>
              </w:rPr>
              <w:t>6</w:t>
            </w:r>
            <w:r>
              <w:rPr>
                <w:rFonts w:hint="eastAsia" w:ascii="宋体" w:hAnsi="宋体" w:eastAsia="宋体" w:cs="宋体"/>
                <w:i w:val="0"/>
                <w:iCs w:val="0"/>
                <w:color w:val="auto"/>
                <w:sz w:val="24"/>
                <w:highlight w:val="none"/>
                <w:lang w:val="en-US" w:eastAsia="zh-CN"/>
              </w:rPr>
              <w:t>：</w:t>
            </w:r>
            <w:r>
              <w:rPr>
                <w:rFonts w:hint="eastAsia" w:ascii="宋体" w:hAnsi="宋体" w:cs="宋体"/>
                <w:i w:val="0"/>
                <w:iCs w:val="0"/>
                <w:color w:val="auto"/>
                <w:sz w:val="24"/>
                <w:highlight w:val="none"/>
                <w:lang w:val="en-US" w:eastAsia="zh-CN"/>
              </w:rPr>
              <w:t>0</w:t>
            </w:r>
            <w:r>
              <w:rPr>
                <w:rFonts w:hint="eastAsia" w:ascii="宋体" w:hAnsi="宋体" w:eastAsia="宋体" w:cs="宋体"/>
                <w:i w:val="0"/>
                <w:iCs w:val="0"/>
                <w:color w:val="auto"/>
                <w:sz w:val="24"/>
                <w:highlight w:val="none"/>
                <w:lang w:val="en-US" w:eastAsia="zh-CN"/>
              </w:rPr>
              <w:t>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3" w:hRule="atLeast"/>
        </w:trPr>
        <w:tc>
          <w:tcPr>
            <w:tcW w:w="1468" w:type="dxa"/>
            <w:noWrap w:val="0"/>
            <w:vAlign w:val="center"/>
          </w:tcPr>
          <w:p>
            <w:pPr>
              <w:spacing w:line="360" w:lineRule="auto"/>
              <w:jc w:val="center"/>
              <w:rPr>
                <w:rFonts w:hint="default" w:ascii="宋体" w:hAnsi="宋体" w:eastAsia="宋体" w:cs="宋体"/>
                <w:i w:val="0"/>
                <w:iCs w:val="0"/>
                <w:color w:val="auto"/>
                <w:sz w:val="24"/>
                <w:lang w:val="en-US" w:eastAsia="zh-CN"/>
              </w:rPr>
            </w:pPr>
            <w:r>
              <w:rPr>
                <w:rFonts w:hint="eastAsia" w:ascii="宋体" w:hAnsi="宋体" w:eastAsia="宋体" w:cs="宋体"/>
                <w:i w:val="0"/>
                <w:iCs w:val="0"/>
                <w:color w:val="auto"/>
                <w:sz w:val="24"/>
                <w:lang w:val="en-US" w:eastAsia="zh-CN"/>
              </w:rPr>
              <w:t>16.2</w:t>
            </w:r>
          </w:p>
        </w:tc>
        <w:tc>
          <w:tcPr>
            <w:tcW w:w="6840" w:type="dxa"/>
            <w:gridSpan w:val="2"/>
            <w:noWrap w:val="0"/>
            <w:vAlign w:val="center"/>
          </w:tcPr>
          <w:p>
            <w:pPr>
              <w:spacing w:line="360" w:lineRule="auto"/>
              <w:rPr>
                <w:rFonts w:hint="eastAsia" w:ascii="宋体" w:hAnsi="宋体" w:eastAsia="宋体" w:cs="宋体"/>
                <w:i w:val="0"/>
                <w:iCs w:val="0"/>
                <w:color w:val="auto"/>
                <w:sz w:val="24"/>
                <w:lang w:val="en-US" w:eastAsia="zh-CN"/>
              </w:rPr>
            </w:pPr>
            <w:r>
              <w:rPr>
                <w:rFonts w:hint="eastAsia" w:ascii="宋体" w:hAnsi="宋体" w:eastAsia="宋体" w:cs="宋体"/>
                <w:i w:val="0"/>
                <w:iCs w:val="0"/>
                <w:color w:val="auto"/>
                <w:sz w:val="24"/>
                <w:lang w:val="en-US" w:eastAsia="zh-CN"/>
              </w:rPr>
              <w:t>投标地点（网址）：电子版投标文件提交至政采云平台在线投标，投标人无需到达评标现场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noWrap w:val="0"/>
            <w:vAlign w:val="center"/>
          </w:tcPr>
          <w:p>
            <w:pPr>
              <w:spacing w:line="360" w:lineRule="auto"/>
              <w:jc w:val="center"/>
              <w:rPr>
                <w:rFonts w:hint="default" w:ascii="宋体" w:hAnsi="宋体" w:eastAsia="宋体" w:cs="宋体"/>
                <w:i w:val="0"/>
                <w:iCs w:val="0"/>
                <w:color w:val="auto"/>
                <w:sz w:val="24"/>
                <w:lang w:val="en-US" w:eastAsia="zh-CN"/>
              </w:rPr>
            </w:pPr>
            <w:r>
              <w:rPr>
                <w:rFonts w:hint="eastAsia" w:ascii="宋体" w:hAnsi="宋体" w:eastAsia="宋体" w:cs="宋体"/>
                <w:i w:val="0"/>
                <w:iCs w:val="0"/>
                <w:color w:val="auto"/>
                <w:sz w:val="24"/>
                <w:lang w:val="en-US" w:eastAsia="zh-CN"/>
              </w:rPr>
              <w:t>16.3</w:t>
            </w:r>
          </w:p>
        </w:tc>
        <w:tc>
          <w:tcPr>
            <w:tcW w:w="6840" w:type="dxa"/>
            <w:gridSpan w:val="2"/>
            <w:noWrap w:val="0"/>
            <w:vAlign w:val="center"/>
          </w:tcPr>
          <w:p>
            <w:pPr>
              <w:spacing w:line="360" w:lineRule="auto"/>
              <w:rPr>
                <w:rFonts w:hint="eastAsia" w:ascii="宋体" w:hAnsi="宋体" w:eastAsia="宋体" w:cs="宋体"/>
                <w:i w:val="0"/>
                <w:iCs w:val="0"/>
                <w:color w:val="auto"/>
                <w:sz w:val="24"/>
                <w:lang w:eastAsia="zh-CN"/>
              </w:rPr>
            </w:pPr>
            <w:r>
              <w:rPr>
                <w:rFonts w:hint="eastAsia" w:ascii="宋体" w:hAnsi="宋体" w:eastAsia="宋体" w:cs="宋体"/>
                <w:i w:val="0"/>
                <w:iCs w:val="0"/>
                <w:color w:val="auto"/>
                <w:sz w:val="24"/>
                <w:lang w:val="en-US" w:eastAsia="zh-CN"/>
              </w:rPr>
              <w:t>电子投标文件解密时间：</w:t>
            </w:r>
            <w:r>
              <w:rPr>
                <w:rFonts w:hint="eastAsia" w:ascii="宋体" w:hAnsi="宋体" w:eastAsia="宋体" w:cs="宋体"/>
                <w:b/>
                <w:bCs/>
                <w:i w:val="0"/>
                <w:iCs w:val="0"/>
                <w:color w:val="auto"/>
                <w:sz w:val="24"/>
                <w:lang w:val="en-US" w:eastAsia="zh-CN"/>
              </w:rPr>
              <w:t>开标时间后30分钟内</w:t>
            </w:r>
            <w:r>
              <w:rPr>
                <w:rFonts w:hint="eastAsia" w:ascii="宋体" w:hAnsi="宋体" w:eastAsia="宋体" w:cs="宋体"/>
                <w:b/>
                <w:bCs/>
                <w:i w:val="0"/>
                <w:iCs w:val="0"/>
                <w:color w:val="auto"/>
                <w:sz w:val="24"/>
                <w:highlight w:val="none"/>
                <w:lang w:val="en-US" w:eastAsia="zh-CN"/>
              </w:rPr>
              <w:t>（2023年</w:t>
            </w:r>
            <w:r>
              <w:rPr>
                <w:rFonts w:hint="eastAsia" w:ascii="宋体" w:hAnsi="宋体" w:cs="宋体"/>
                <w:b/>
                <w:bCs/>
                <w:i w:val="0"/>
                <w:iCs w:val="0"/>
                <w:color w:val="auto"/>
                <w:sz w:val="24"/>
                <w:highlight w:val="none"/>
                <w:lang w:val="en-US" w:eastAsia="zh-CN"/>
              </w:rPr>
              <w:t>11</w:t>
            </w:r>
            <w:r>
              <w:rPr>
                <w:rFonts w:hint="eastAsia" w:ascii="宋体" w:hAnsi="宋体" w:eastAsia="宋体" w:cs="宋体"/>
                <w:b/>
                <w:bCs/>
                <w:i w:val="0"/>
                <w:iCs w:val="0"/>
                <w:color w:val="auto"/>
                <w:sz w:val="24"/>
                <w:highlight w:val="none"/>
                <w:lang w:val="en-US" w:eastAsia="zh-CN"/>
              </w:rPr>
              <w:t>月</w:t>
            </w:r>
            <w:r>
              <w:rPr>
                <w:rFonts w:hint="eastAsia" w:ascii="宋体" w:hAnsi="宋体" w:cs="宋体"/>
                <w:b/>
                <w:bCs/>
                <w:i w:val="0"/>
                <w:iCs w:val="0"/>
                <w:color w:val="auto"/>
                <w:sz w:val="24"/>
                <w:highlight w:val="none"/>
                <w:lang w:val="en-US" w:eastAsia="zh-CN"/>
              </w:rPr>
              <w:t>24</w:t>
            </w:r>
            <w:r>
              <w:rPr>
                <w:rFonts w:hint="eastAsia" w:ascii="宋体" w:hAnsi="宋体" w:eastAsia="宋体" w:cs="宋体"/>
                <w:b/>
                <w:bCs/>
                <w:i w:val="0"/>
                <w:iCs w:val="0"/>
                <w:color w:val="auto"/>
                <w:sz w:val="24"/>
                <w:highlight w:val="none"/>
                <w:lang w:val="en-US" w:eastAsia="zh-CN"/>
              </w:rPr>
              <w:t>日下午16:</w:t>
            </w:r>
            <w:r>
              <w:rPr>
                <w:rFonts w:hint="eastAsia" w:ascii="宋体" w:hAnsi="宋体" w:cs="宋体"/>
                <w:b/>
                <w:bCs/>
                <w:i w:val="0"/>
                <w:iCs w:val="0"/>
                <w:color w:val="auto"/>
                <w:sz w:val="24"/>
                <w:highlight w:val="none"/>
                <w:lang w:val="en-US" w:eastAsia="zh-CN"/>
              </w:rPr>
              <w:t>0</w:t>
            </w:r>
            <w:r>
              <w:rPr>
                <w:rFonts w:hint="eastAsia" w:ascii="宋体" w:hAnsi="宋体" w:eastAsia="宋体" w:cs="宋体"/>
                <w:b/>
                <w:bCs/>
                <w:i w:val="0"/>
                <w:iCs w:val="0"/>
                <w:color w:val="auto"/>
                <w:sz w:val="24"/>
                <w:highlight w:val="none"/>
                <w:lang w:val="en-US" w:eastAsia="zh-CN"/>
              </w:rPr>
              <w:t>0-1</w:t>
            </w:r>
            <w:r>
              <w:rPr>
                <w:rFonts w:hint="eastAsia" w:ascii="宋体" w:hAnsi="宋体" w:cs="宋体"/>
                <w:b/>
                <w:bCs/>
                <w:i w:val="0"/>
                <w:iCs w:val="0"/>
                <w:color w:val="auto"/>
                <w:sz w:val="24"/>
                <w:highlight w:val="none"/>
                <w:lang w:val="en-US" w:eastAsia="zh-CN"/>
              </w:rPr>
              <w:t>6</w:t>
            </w:r>
            <w:r>
              <w:rPr>
                <w:rFonts w:hint="eastAsia" w:ascii="宋体" w:hAnsi="宋体" w:eastAsia="宋体" w:cs="宋体"/>
                <w:b/>
                <w:bCs/>
                <w:i w:val="0"/>
                <w:iCs w:val="0"/>
                <w:color w:val="auto"/>
                <w:sz w:val="24"/>
                <w:highlight w:val="none"/>
                <w:lang w:val="en-US" w:eastAsia="zh-CN"/>
              </w:rPr>
              <w:t>：</w:t>
            </w:r>
            <w:r>
              <w:rPr>
                <w:rFonts w:hint="eastAsia" w:ascii="宋体" w:hAnsi="宋体" w:cs="宋体"/>
                <w:b/>
                <w:bCs/>
                <w:i w:val="0"/>
                <w:iCs w:val="0"/>
                <w:color w:val="auto"/>
                <w:sz w:val="24"/>
                <w:highlight w:val="none"/>
                <w:lang w:val="en-US" w:eastAsia="zh-CN"/>
              </w:rPr>
              <w:t>3</w:t>
            </w:r>
            <w:r>
              <w:rPr>
                <w:rFonts w:hint="eastAsia" w:ascii="宋体" w:hAnsi="宋体" w:eastAsia="宋体" w:cs="宋体"/>
                <w:b/>
                <w:bCs/>
                <w:i w:val="0"/>
                <w:iCs w:val="0"/>
                <w:color w:val="auto"/>
                <w:sz w:val="24"/>
                <w:highlight w:val="none"/>
                <w:lang w:val="en-US" w:eastAsia="zh-CN"/>
              </w:rPr>
              <w:t>0前）</w:t>
            </w:r>
            <w:r>
              <w:rPr>
                <w:rFonts w:hint="eastAsia" w:ascii="宋体" w:hAnsi="宋体" w:eastAsia="宋体" w:cs="宋体"/>
                <w:b/>
                <w:bCs/>
                <w:i w:val="0"/>
                <w:iCs w:val="0"/>
                <w:color w:val="auto"/>
                <w:sz w:val="24"/>
                <w:lang w:val="en-US" w:eastAsia="zh-CN"/>
              </w:rPr>
              <w:t>供应商登录“政采云”平台，用“项目采购-开标评标”功能进行解密投标文件。若供应商在规定时间内未按时解密的，视为无效投标。（解密时间开始时政采云平台将以短信形式向供应商在政采云平台预留的手机号发送短信通知，请供应商及时关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noWrap w:val="0"/>
            <w:vAlign w:val="center"/>
          </w:tcPr>
          <w:p>
            <w:pPr>
              <w:spacing w:line="360" w:lineRule="auto"/>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18.1</w:t>
            </w:r>
          </w:p>
        </w:tc>
        <w:tc>
          <w:tcPr>
            <w:tcW w:w="6840" w:type="dxa"/>
            <w:gridSpan w:val="2"/>
            <w:noWrap w:val="0"/>
            <w:vAlign w:val="center"/>
          </w:tcPr>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开标时间：</w:t>
            </w:r>
            <w:r>
              <w:rPr>
                <w:rFonts w:hint="eastAsia" w:ascii="宋体" w:hAnsi="宋体" w:eastAsia="宋体" w:cs="宋体"/>
                <w:i w:val="0"/>
                <w:iCs w:val="0"/>
                <w:color w:val="auto"/>
                <w:sz w:val="24"/>
                <w:highlight w:val="none"/>
                <w:lang w:val="en-US" w:eastAsia="zh-CN"/>
              </w:rPr>
              <w:t>2023年</w:t>
            </w:r>
            <w:r>
              <w:rPr>
                <w:rFonts w:hint="eastAsia" w:ascii="宋体" w:hAnsi="宋体" w:cs="宋体"/>
                <w:i w:val="0"/>
                <w:iCs w:val="0"/>
                <w:color w:val="auto"/>
                <w:sz w:val="24"/>
                <w:highlight w:val="none"/>
                <w:lang w:val="en-US" w:eastAsia="zh-CN"/>
              </w:rPr>
              <w:t>11</w:t>
            </w:r>
            <w:r>
              <w:rPr>
                <w:rFonts w:hint="eastAsia" w:ascii="宋体" w:hAnsi="宋体" w:eastAsia="宋体" w:cs="宋体"/>
                <w:i w:val="0"/>
                <w:iCs w:val="0"/>
                <w:color w:val="auto"/>
                <w:sz w:val="24"/>
                <w:highlight w:val="none"/>
                <w:lang w:val="en-US" w:eastAsia="zh-CN"/>
              </w:rPr>
              <w:t>月</w:t>
            </w:r>
            <w:r>
              <w:rPr>
                <w:rFonts w:hint="eastAsia" w:ascii="宋体" w:hAnsi="宋体" w:cs="宋体"/>
                <w:i w:val="0"/>
                <w:iCs w:val="0"/>
                <w:color w:val="auto"/>
                <w:sz w:val="24"/>
                <w:highlight w:val="none"/>
                <w:lang w:val="en-US" w:eastAsia="zh-CN"/>
              </w:rPr>
              <w:t>24</w:t>
            </w:r>
            <w:r>
              <w:rPr>
                <w:rFonts w:hint="eastAsia" w:ascii="宋体" w:hAnsi="宋体" w:eastAsia="宋体" w:cs="宋体"/>
                <w:i w:val="0"/>
                <w:iCs w:val="0"/>
                <w:color w:val="auto"/>
                <w:sz w:val="24"/>
                <w:highlight w:val="none"/>
                <w:lang w:val="en-US" w:eastAsia="zh-CN"/>
              </w:rPr>
              <w:t>日16：</w:t>
            </w:r>
            <w:r>
              <w:rPr>
                <w:rFonts w:hint="eastAsia" w:ascii="宋体" w:hAnsi="宋体" w:cs="宋体"/>
                <w:i w:val="0"/>
                <w:iCs w:val="0"/>
                <w:color w:val="auto"/>
                <w:sz w:val="24"/>
                <w:highlight w:val="none"/>
                <w:lang w:val="en-US" w:eastAsia="zh-CN"/>
              </w:rPr>
              <w:t>0</w:t>
            </w:r>
            <w:r>
              <w:rPr>
                <w:rFonts w:hint="eastAsia" w:ascii="宋体" w:hAnsi="宋体" w:eastAsia="宋体" w:cs="宋体"/>
                <w:i w:val="0"/>
                <w:iCs w:val="0"/>
                <w:color w:val="auto"/>
                <w:sz w:val="24"/>
                <w:highlight w:val="none"/>
                <w:lang w:val="en-US" w:eastAsia="zh-CN"/>
              </w:rPr>
              <w:t>0分</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开标</w:t>
            </w:r>
            <w:r>
              <w:rPr>
                <w:rFonts w:hint="eastAsia" w:ascii="宋体" w:hAnsi="宋体" w:eastAsia="宋体" w:cs="宋体"/>
                <w:i w:val="0"/>
                <w:iCs w:val="0"/>
                <w:color w:val="auto"/>
                <w:sz w:val="24"/>
                <w:lang w:val="en-US" w:eastAsia="zh-CN"/>
              </w:rPr>
              <w:t>地点：</w:t>
            </w:r>
            <w:r>
              <w:rPr>
                <w:rFonts w:hint="eastAsia" w:ascii="宋体" w:hAnsi="宋体" w:eastAsia="宋体" w:cs="宋体"/>
                <w:color w:val="auto"/>
                <w:sz w:val="24"/>
                <w:szCs w:val="24"/>
                <w:vertAlign w:val="baseline"/>
                <w:lang w:val="en-US" w:eastAsia="zh-CN"/>
              </w:rPr>
              <w:t>政府采购云平台（政采云网上不见面开评标系统）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0" w:hRule="atLeast"/>
        </w:trPr>
        <w:tc>
          <w:tcPr>
            <w:tcW w:w="1468" w:type="dxa"/>
            <w:noWrap w:val="0"/>
            <w:vAlign w:val="center"/>
          </w:tcPr>
          <w:p>
            <w:pPr>
              <w:spacing w:line="360" w:lineRule="auto"/>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23.2</w:t>
            </w:r>
          </w:p>
        </w:tc>
        <w:tc>
          <w:tcPr>
            <w:tcW w:w="6840" w:type="dxa"/>
            <w:gridSpan w:val="2"/>
            <w:noWrap w:val="0"/>
            <w:vAlign w:val="center"/>
          </w:tcPr>
          <w:p>
            <w:pPr>
              <w:spacing w:line="360" w:lineRule="auto"/>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评标方法：</w:t>
            </w:r>
            <w:r>
              <w:rPr>
                <w:rFonts w:hint="eastAsia" w:ascii="宋体" w:hAnsi="宋体" w:eastAsia="宋体" w:cs="宋体"/>
                <w:i w:val="0"/>
                <w:iCs w:val="0"/>
                <w:color w:val="auto"/>
                <w:sz w:val="24"/>
                <w:u w:val="none"/>
                <w:lang w:eastAsia="zh-CN"/>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0" w:hRule="atLeast"/>
        </w:trPr>
        <w:tc>
          <w:tcPr>
            <w:tcW w:w="1468" w:type="dxa"/>
            <w:noWrap w:val="0"/>
            <w:vAlign w:val="center"/>
          </w:tcPr>
          <w:p>
            <w:pPr>
              <w:spacing w:line="360" w:lineRule="auto"/>
              <w:jc w:val="center"/>
              <w:rPr>
                <w:rFonts w:hint="default" w:ascii="宋体" w:hAnsi="宋体" w:eastAsia="宋体" w:cs="宋体"/>
                <w:i w:val="0"/>
                <w:iCs w:val="0"/>
                <w:color w:val="auto"/>
                <w:sz w:val="24"/>
                <w:lang w:val="en-US" w:eastAsia="zh-CN"/>
              </w:rPr>
            </w:pPr>
            <w:r>
              <w:rPr>
                <w:rFonts w:hint="eastAsia" w:ascii="宋体" w:hAnsi="宋体" w:eastAsia="宋体" w:cs="宋体"/>
                <w:i w:val="0"/>
                <w:iCs w:val="0"/>
                <w:color w:val="auto"/>
                <w:sz w:val="24"/>
                <w:lang w:val="en-US" w:eastAsia="zh-CN"/>
              </w:rPr>
              <w:t>23.3</w:t>
            </w:r>
          </w:p>
        </w:tc>
        <w:tc>
          <w:tcPr>
            <w:tcW w:w="6840" w:type="dxa"/>
            <w:gridSpan w:val="2"/>
            <w:noWrap w:val="0"/>
            <w:vAlign w:val="center"/>
          </w:tcPr>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评标委员会的组建</w:t>
            </w:r>
            <w:r>
              <w:rPr>
                <w:rFonts w:hint="eastAsia" w:ascii="宋体" w:hAnsi="宋体" w:eastAsia="宋体" w:cs="宋体"/>
                <w:color w:val="auto"/>
                <w:sz w:val="24"/>
                <w:szCs w:val="24"/>
                <w:lang w:eastAsia="zh-CN"/>
              </w:rPr>
              <w:t>：评标委员会构成:5人，其中招标人代表</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人,专家</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人；</w:t>
            </w:r>
          </w:p>
          <w:p>
            <w:pPr>
              <w:spacing w:line="360" w:lineRule="auto"/>
              <w:jc w:val="left"/>
              <w:rPr>
                <w:rFonts w:hint="eastAsia" w:ascii="宋体" w:hAnsi="宋体" w:eastAsia="宋体" w:cs="宋体"/>
                <w:i w:val="0"/>
                <w:iCs w:val="0"/>
                <w:color w:val="auto"/>
                <w:sz w:val="24"/>
                <w:lang w:eastAsia="zh-CN"/>
              </w:rPr>
            </w:pPr>
            <w:r>
              <w:rPr>
                <w:rFonts w:hint="eastAsia" w:ascii="宋体" w:hAnsi="宋体" w:eastAsia="宋体" w:cs="宋体"/>
                <w:color w:val="auto"/>
                <w:sz w:val="24"/>
                <w:szCs w:val="24"/>
                <w:lang w:eastAsia="zh-CN"/>
              </w:rPr>
              <w:t>评标专家确定方式：从政采云平台专家库中随机抽取。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8" w:hRule="atLeast"/>
        </w:trPr>
        <w:tc>
          <w:tcPr>
            <w:tcW w:w="1468" w:type="dxa"/>
            <w:noWrap w:val="0"/>
            <w:vAlign w:val="center"/>
          </w:tcPr>
          <w:p>
            <w:pPr>
              <w:spacing w:line="360" w:lineRule="auto"/>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27</w:t>
            </w:r>
          </w:p>
        </w:tc>
        <w:tc>
          <w:tcPr>
            <w:tcW w:w="6840" w:type="dxa"/>
            <w:gridSpan w:val="2"/>
            <w:noWrap w:val="0"/>
            <w:vAlign w:val="center"/>
          </w:tcPr>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推荐中标候选供应商的数量：</w:t>
            </w:r>
            <w:r>
              <w:rPr>
                <w:rFonts w:hint="eastAsia" w:ascii="宋体" w:hAnsi="宋体" w:eastAsia="宋体" w:cs="宋体"/>
                <w:i w:val="0"/>
                <w:iCs w:val="0"/>
                <w:color w:val="auto"/>
                <w:sz w:val="24"/>
                <w:u w:val="single"/>
                <w:lang w:val="en-US" w:eastAsia="zh-CN"/>
              </w:rPr>
              <w:t>3</w:t>
            </w:r>
            <w:r>
              <w:rPr>
                <w:rFonts w:hint="eastAsia" w:ascii="宋体" w:hAnsi="宋体" w:eastAsia="宋体" w:cs="宋体"/>
                <w:i w:val="0"/>
                <w:iCs w:val="0"/>
                <w:color w:val="auto"/>
                <w:sz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trPr>
        <w:tc>
          <w:tcPr>
            <w:tcW w:w="1468" w:type="dxa"/>
            <w:noWrap w:val="0"/>
            <w:vAlign w:val="center"/>
          </w:tcPr>
          <w:p>
            <w:pPr>
              <w:spacing w:line="360" w:lineRule="auto"/>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27</w:t>
            </w:r>
          </w:p>
        </w:tc>
        <w:tc>
          <w:tcPr>
            <w:tcW w:w="6840" w:type="dxa"/>
            <w:gridSpan w:val="2"/>
            <w:noWrap w:val="0"/>
            <w:vAlign w:val="center"/>
          </w:tcPr>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招标人是否委托评标委员会直接确定中标人：</w:t>
            </w:r>
            <w:r>
              <w:rPr>
                <w:rFonts w:hint="eastAsia" w:ascii="宋体" w:hAnsi="宋体" w:eastAsia="宋体" w:cs="宋体"/>
                <w:i w:val="0"/>
                <w:iCs w:val="0"/>
                <w:color w:val="auto"/>
                <w:sz w:val="24"/>
                <w:u w:val="single"/>
                <w:lang w:val="en-US" w:eastAsia="zh-CN"/>
              </w:rPr>
              <w:t xml:space="preserve"> </w:t>
            </w:r>
            <w:r>
              <w:rPr>
                <w:rFonts w:hint="eastAsia" w:ascii="宋体" w:hAnsi="宋体" w:eastAsia="宋体" w:cs="宋体"/>
                <w:i w:val="0"/>
                <w:iCs w:val="0"/>
                <w:color w:val="auto"/>
                <w:sz w:val="24"/>
                <w:u w:val="single"/>
              </w:rPr>
              <w:t>是</w:t>
            </w:r>
            <w:r>
              <w:rPr>
                <w:rFonts w:hint="eastAsia" w:ascii="宋体" w:hAnsi="宋体" w:eastAsia="宋体" w:cs="宋体"/>
                <w:i w:val="0"/>
                <w:iCs w:val="0"/>
                <w:color w:val="auto"/>
                <w:sz w:val="24"/>
                <w:u w:val="single"/>
                <w:lang w:val="en-US" w:eastAsia="zh-CN"/>
              </w:rPr>
              <w:t xml:space="preserve"> </w:t>
            </w:r>
            <w:r>
              <w:rPr>
                <w:rFonts w:hint="eastAsia" w:ascii="宋体" w:hAnsi="宋体" w:eastAsia="宋体" w:cs="宋体"/>
                <w:i w:val="0"/>
                <w:iCs w:val="0"/>
                <w:color w:val="auto"/>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4" w:hRule="atLeast"/>
        </w:trPr>
        <w:tc>
          <w:tcPr>
            <w:tcW w:w="1468" w:type="dxa"/>
            <w:noWrap w:val="0"/>
            <w:vAlign w:val="center"/>
          </w:tcPr>
          <w:p>
            <w:pPr>
              <w:spacing w:line="360" w:lineRule="auto"/>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31.1</w:t>
            </w:r>
          </w:p>
        </w:tc>
        <w:tc>
          <w:tcPr>
            <w:tcW w:w="6840" w:type="dxa"/>
            <w:gridSpan w:val="2"/>
            <w:noWrap w:val="0"/>
            <w:vAlign w:val="center"/>
          </w:tcPr>
          <w:p>
            <w:pPr>
              <w:spacing w:line="360" w:lineRule="auto"/>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履约保证金金额：</w:t>
            </w:r>
            <w:r>
              <w:rPr>
                <w:rFonts w:hint="eastAsia" w:ascii="宋体" w:hAnsi="宋体" w:eastAsia="宋体" w:cs="宋体"/>
                <w:i w:val="0"/>
                <w:iCs w:val="0"/>
                <w:color w:val="auto"/>
                <w:sz w:val="24"/>
                <w:highlight w:val="none"/>
                <w:u w:val="single"/>
                <w:lang w:val="en-US" w:eastAsia="zh-CN"/>
              </w:rPr>
              <w:t>/</w:t>
            </w:r>
          </w:p>
          <w:p>
            <w:pPr>
              <w:spacing w:line="360" w:lineRule="auto"/>
              <w:rPr>
                <w:rFonts w:hint="eastAsia" w:ascii="宋体" w:hAnsi="宋体" w:eastAsia="宋体" w:cs="宋体"/>
                <w:i w:val="0"/>
                <w:iCs w:val="0"/>
                <w:color w:val="auto"/>
                <w:sz w:val="24"/>
                <w:highlight w:val="none"/>
                <w:u w:val="single"/>
                <w:lang w:eastAsia="zh-CN"/>
              </w:rPr>
            </w:pPr>
            <w:r>
              <w:rPr>
                <w:rFonts w:hint="eastAsia" w:ascii="宋体" w:hAnsi="宋体" w:eastAsia="宋体" w:cs="宋体"/>
                <w:i w:val="0"/>
                <w:iCs w:val="0"/>
                <w:color w:val="auto"/>
                <w:sz w:val="24"/>
                <w:highlight w:val="none"/>
              </w:rPr>
              <w:t>履约保证金形式：</w:t>
            </w:r>
            <w:r>
              <w:rPr>
                <w:rFonts w:hint="eastAsia" w:ascii="宋体" w:hAnsi="宋体" w:eastAsia="宋体" w:cs="宋体"/>
                <w:i w:val="0"/>
                <w:iCs w:val="0"/>
                <w:color w:val="auto"/>
                <w:sz w:val="24"/>
                <w:highlight w:val="none"/>
                <w:u w:val="single"/>
                <w:lang w:val="en-US" w:eastAsia="zh-CN"/>
              </w:rPr>
              <w:t>/</w:t>
            </w:r>
          </w:p>
          <w:p>
            <w:pPr>
              <w:spacing w:line="360" w:lineRule="auto"/>
              <w:rPr>
                <w:rFonts w:hint="eastAsia" w:ascii="宋体" w:hAnsi="宋体" w:eastAsia="宋体" w:cs="宋体"/>
                <w:i w:val="0"/>
                <w:iCs w:val="0"/>
                <w:color w:val="auto"/>
                <w:sz w:val="24"/>
                <w:u w:val="single"/>
                <w:lang w:eastAsia="zh-CN"/>
              </w:rPr>
            </w:pPr>
            <w:r>
              <w:rPr>
                <w:rFonts w:hint="eastAsia" w:ascii="宋体" w:hAnsi="宋体" w:eastAsia="宋体" w:cs="宋体"/>
                <w:i w:val="0"/>
                <w:iCs w:val="0"/>
                <w:color w:val="auto"/>
                <w:sz w:val="24"/>
                <w:highlight w:val="none"/>
              </w:rPr>
              <w:t>提交履约保证金的时间：</w:t>
            </w:r>
            <w:r>
              <w:rPr>
                <w:rFonts w:hint="eastAsia" w:ascii="宋体" w:hAnsi="宋体" w:eastAsia="宋体" w:cs="宋体"/>
                <w:i w:val="0"/>
                <w:iCs w:val="0"/>
                <w:color w:val="auto"/>
                <w:sz w:val="24"/>
                <w:highlight w:val="none"/>
                <w:u w:val="singl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6" w:hRule="atLeast"/>
        </w:trPr>
        <w:tc>
          <w:tcPr>
            <w:tcW w:w="1468" w:type="dxa"/>
            <w:noWrap w:val="0"/>
            <w:vAlign w:val="center"/>
          </w:tcPr>
          <w:p>
            <w:pPr>
              <w:spacing w:line="360" w:lineRule="auto"/>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32</w:t>
            </w:r>
          </w:p>
        </w:tc>
        <w:tc>
          <w:tcPr>
            <w:tcW w:w="6840" w:type="dxa"/>
            <w:gridSpan w:val="2"/>
            <w:noWrap w:val="0"/>
            <w:vAlign w:val="center"/>
          </w:tcPr>
          <w:p>
            <w:pPr>
              <w:spacing w:line="360" w:lineRule="auto"/>
              <w:rPr>
                <w:rFonts w:hint="eastAsia" w:ascii="宋体" w:hAnsi="宋体" w:eastAsia="宋体" w:cs="宋体"/>
                <w:i w:val="0"/>
                <w:iCs w:val="0"/>
                <w:color w:val="auto"/>
                <w:sz w:val="40"/>
              </w:rPr>
            </w:pPr>
            <w:r>
              <w:rPr>
                <w:rFonts w:hint="eastAsia" w:ascii="宋体" w:hAnsi="宋体" w:eastAsia="宋体" w:cs="宋体"/>
                <w:i w:val="0"/>
                <w:iCs w:val="0"/>
                <w:color w:val="auto"/>
                <w:sz w:val="24"/>
              </w:rPr>
              <w:t>中标服务费：参照原国家计委计价格【2002】1980号文和国家发改委发改办价格【2003】857号文的计算方法收取。</w:t>
            </w:r>
          </w:p>
          <w:p>
            <w:pPr>
              <w:spacing w:line="360" w:lineRule="auto"/>
              <w:rPr>
                <w:rFonts w:hint="eastAsia" w:ascii="宋体" w:hAnsi="宋体" w:eastAsia="宋体" w:cs="宋体"/>
                <w:i w:val="0"/>
                <w:iCs w:val="0"/>
                <w:color w:val="auto"/>
                <w:sz w:val="24"/>
                <w:lang w:eastAsia="zh-CN"/>
              </w:rPr>
            </w:pPr>
            <w:r>
              <w:rPr>
                <w:rFonts w:hint="eastAsia" w:ascii="宋体" w:hAnsi="宋体" w:eastAsia="宋体" w:cs="宋体"/>
                <w:i w:val="0"/>
                <w:iCs w:val="0"/>
                <w:color w:val="auto"/>
                <w:sz w:val="24"/>
              </w:rPr>
              <w:t>支付形式：</w:t>
            </w:r>
            <w:r>
              <w:rPr>
                <w:rFonts w:hint="eastAsia" w:ascii="宋体" w:hAnsi="宋体" w:eastAsia="宋体" w:cs="宋体"/>
                <w:i w:val="0"/>
                <w:iCs w:val="0"/>
                <w:color w:val="auto"/>
                <w:sz w:val="24"/>
                <w:lang w:eastAsia="zh-CN"/>
              </w:rPr>
              <w:t>由中标单位支付</w:t>
            </w:r>
          </w:p>
          <w:p>
            <w:pPr>
              <w:spacing w:line="360" w:lineRule="auto"/>
              <w:rPr>
                <w:rFonts w:hint="default" w:ascii="宋体" w:hAnsi="宋体" w:eastAsia="宋体" w:cs="宋体"/>
                <w:i w:val="0"/>
                <w:iCs w:val="0"/>
                <w:color w:val="auto"/>
                <w:sz w:val="24"/>
                <w:lang w:val="en-US"/>
              </w:rPr>
            </w:pPr>
            <w:r>
              <w:rPr>
                <w:rFonts w:hint="eastAsia" w:ascii="宋体" w:hAnsi="宋体" w:eastAsia="宋体" w:cs="宋体"/>
                <w:i w:val="0"/>
                <w:iCs w:val="0"/>
                <w:color w:val="auto"/>
                <w:sz w:val="24"/>
              </w:rPr>
              <w:t>支付时间：</w:t>
            </w:r>
            <w:r>
              <w:rPr>
                <w:rFonts w:hint="eastAsia" w:ascii="宋体" w:hAnsi="宋体" w:eastAsia="宋体" w:cs="宋体"/>
                <w:i w:val="0"/>
                <w:iCs w:val="0"/>
                <w:color w:val="auto"/>
                <w:sz w:val="24"/>
                <w:lang w:eastAsia="zh-CN"/>
              </w:rPr>
              <w:t>本项目招标工作全部结束后，</w:t>
            </w:r>
            <w:r>
              <w:rPr>
                <w:rFonts w:hint="eastAsia" w:ascii="宋体" w:hAnsi="宋体" w:eastAsia="宋体" w:cs="宋体"/>
                <w:i w:val="0"/>
                <w:iCs w:val="0"/>
                <w:color w:val="auto"/>
                <w:sz w:val="24"/>
                <w:lang w:val="en-US" w:eastAsia="zh-CN"/>
              </w:rPr>
              <w:t>领取中标通知书时一次性付清。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468" w:type="dxa"/>
            <w:noWrap w:val="0"/>
            <w:vAlign w:val="center"/>
          </w:tcPr>
          <w:p>
            <w:pPr>
              <w:spacing w:line="360" w:lineRule="auto"/>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33.1</w:t>
            </w:r>
          </w:p>
        </w:tc>
        <w:tc>
          <w:tcPr>
            <w:tcW w:w="6840" w:type="dxa"/>
            <w:gridSpan w:val="2"/>
            <w:noWrap w:val="0"/>
            <w:vAlign w:val="center"/>
          </w:tcPr>
          <w:p>
            <w:pPr>
              <w:spacing w:line="360" w:lineRule="auto"/>
              <w:rPr>
                <w:rFonts w:hint="eastAsia" w:ascii="宋体" w:hAnsi="宋体" w:eastAsia="宋体" w:cs="宋体"/>
                <w:i w:val="0"/>
                <w:iCs w:val="0"/>
                <w:color w:val="auto"/>
                <w:sz w:val="24"/>
                <w:highlight w:val="yellow"/>
              </w:rPr>
            </w:pPr>
            <w:r>
              <w:rPr>
                <w:rFonts w:hint="eastAsia" w:ascii="宋体" w:hAnsi="宋体" w:eastAsia="宋体" w:cs="宋体"/>
                <w:i w:val="0"/>
                <w:iCs w:val="0"/>
                <w:color w:val="auto"/>
                <w:sz w:val="24"/>
                <w:highlight w:val="none"/>
              </w:rPr>
              <w:t>本项目是否属于信用担保试点范围：</w:t>
            </w:r>
            <w:r>
              <w:rPr>
                <w:rFonts w:hint="eastAsia" w:ascii="宋体" w:hAnsi="宋体" w:eastAsia="宋体" w:cs="宋体"/>
                <w:i w:val="0"/>
                <w:iCs w:val="0"/>
                <w:color w:val="auto"/>
                <w:sz w:val="24"/>
                <w:highlight w:val="none"/>
                <w:u w:val="single"/>
              </w:rPr>
              <w:t xml:space="preserve"> 否  </w:t>
            </w:r>
            <w:r>
              <w:rPr>
                <w:rFonts w:hint="eastAsia" w:ascii="宋体" w:hAnsi="宋体" w:eastAsia="宋体" w:cs="宋体"/>
                <w:i w:val="0"/>
                <w:iCs w:val="0"/>
                <w:color w:val="auto"/>
                <w:sz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pacing w:line="360" w:lineRule="auto"/>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33.2</w:t>
            </w:r>
          </w:p>
        </w:tc>
        <w:tc>
          <w:tcPr>
            <w:tcW w:w="6840" w:type="dxa"/>
            <w:gridSpan w:val="2"/>
            <w:noWrap w:val="0"/>
            <w:vAlign w:val="center"/>
          </w:tcPr>
          <w:p>
            <w:pPr>
              <w:spacing w:line="360" w:lineRule="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1.</w:t>
            </w:r>
            <w:r>
              <w:rPr>
                <w:rFonts w:hint="eastAsia" w:ascii="宋体" w:hAnsi="宋体" w:eastAsia="宋体" w:cs="宋体"/>
                <w:i w:val="0"/>
                <w:iCs w:val="0"/>
                <w:color w:val="auto"/>
                <w:sz w:val="24"/>
                <w:highlight w:val="none"/>
              </w:rPr>
              <w:t>政府采购信用担保机构：</w:t>
            </w:r>
            <w:r>
              <w:rPr>
                <w:rFonts w:hint="eastAsia" w:ascii="宋体" w:hAnsi="宋体" w:eastAsia="宋体" w:cs="宋体"/>
                <w:i w:val="0"/>
                <w:iCs w:val="0"/>
                <w:color w:val="auto"/>
                <w:sz w:val="24"/>
                <w:highlight w:val="none"/>
                <w:u w:val="single"/>
                <w:lang w:val="en-US" w:eastAsia="zh-CN"/>
              </w:rPr>
              <w:t>/</w:t>
            </w:r>
          </w:p>
          <w:p>
            <w:pPr>
              <w:spacing w:line="360" w:lineRule="auto"/>
              <w:ind w:left="-48" w:leftChars="-23" w:firstLine="48" w:firstLineChars="20"/>
              <w:rPr>
                <w:rFonts w:hint="eastAsia" w:ascii="宋体" w:hAnsi="宋体" w:eastAsia="宋体" w:cs="宋体"/>
                <w:i w:val="0"/>
                <w:iCs w:val="0"/>
                <w:color w:val="auto"/>
                <w:sz w:val="24"/>
                <w:highlight w:val="yellow"/>
                <w:lang w:val="en-US" w:eastAsia="zh-CN"/>
              </w:rPr>
            </w:pPr>
            <w:r>
              <w:rPr>
                <w:rFonts w:hint="eastAsia" w:ascii="宋体" w:hAnsi="宋体" w:eastAsia="宋体" w:cs="宋体"/>
                <w:i w:val="0"/>
                <w:iCs w:val="0"/>
                <w:color w:val="auto"/>
                <w:sz w:val="24"/>
                <w:highlight w:val="none"/>
              </w:rPr>
              <w:t>2.本项目采购人本级和上级财政部门政府采购有关规定增加的担保机构：</w:t>
            </w:r>
            <w:r>
              <w:rPr>
                <w:rFonts w:hint="eastAsia" w:ascii="宋体" w:hAnsi="宋体" w:eastAsia="宋体" w:cs="宋体"/>
                <w:i w:val="0"/>
                <w:iCs w:val="0"/>
                <w:color w:val="auto"/>
                <w:sz w:val="24"/>
                <w:highlight w:val="none"/>
                <w:u w:val="singl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4" w:hRule="atLeast"/>
        </w:trPr>
        <w:tc>
          <w:tcPr>
            <w:tcW w:w="1468" w:type="dxa"/>
            <w:noWrap w:val="0"/>
            <w:vAlign w:val="center"/>
          </w:tcPr>
          <w:p>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34</w:t>
            </w:r>
          </w:p>
        </w:tc>
        <w:tc>
          <w:tcPr>
            <w:tcW w:w="68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lang w:eastAsia="zh-CN"/>
              </w:rPr>
              <w:t>付款方式和付款比例：</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付款方式：支票、银行汇票和电汇。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40" w:hanging="240" w:hangingChars="100"/>
              <w:textAlignment w:val="auto"/>
              <w:rPr>
                <w:rFonts w:hint="default" w:hAnsi="宋体"/>
                <w:color w:val="auto"/>
                <w:sz w:val="24"/>
                <w:szCs w:val="24"/>
                <w:highlight w:val="none"/>
                <w:lang w:val="en-US" w:eastAsia="zh-CN"/>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lang w:eastAsia="zh-CN"/>
              </w:rPr>
              <w:t>付款比例：</w:t>
            </w:r>
            <w:r>
              <w:rPr>
                <w:rFonts w:hint="eastAsia" w:ascii="宋体" w:hAnsi="宋体" w:cs="宋体"/>
                <w:i w:val="0"/>
                <w:iCs w:val="0"/>
                <w:color w:val="auto"/>
                <w:sz w:val="24"/>
                <w:highlight w:val="none"/>
                <w:lang w:val="en-US" w:eastAsia="zh-CN"/>
              </w:rPr>
              <w:t>合同签订后支付合同额的30%，形成初步成果支付30%，完成论证再支付30%，提交最终成果支付合同额的10%。（以采购人实际签订的合同为准。）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0" w:hRule="atLeast"/>
        </w:trPr>
        <w:tc>
          <w:tcPr>
            <w:tcW w:w="8308" w:type="dxa"/>
            <w:gridSpan w:val="3"/>
            <w:tcBorders>
              <w:top w:val="single" w:color="auto" w:sz="12" w:space="0"/>
              <w:left w:val="single" w:color="auto" w:sz="12" w:space="0"/>
              <w:bottom w:val="single" w:color="auto" w:sz="12" w:space="0"/>
              <w:right w:val="single" w:color="auto" w:sz="12" w:space="0"/>
            </w:tcBorders>
            <w:noWrap w:val="0"/>
            <w:vAlign w:val="center"/>
          </w:tcPr>
          <w:p>
            <w:pPr>
              <w:spacing w:line="360" w:lineRule="auto"/>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适用于本投标人须知的额外增加的变动：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35" w:hRule="atLeast"/>
        </w:trPr>
        <w:tc>
          <w:tcPr>
            <w:tcW w:w="1648" w:type="dxa"/>
            <w:gridSpan w:val="2"/>
            <w:noWrap w:val="0"/>
            <w:vAlign w:val="center"/>
          </w:tcPr>
          <w:p>
            <w:pPr>
              <w:spacing w:line="360" w:lineRule="auto"/>
              <w:ind w:left="1080" w:leftChars="257" w:hanging="540"/>
              <w:rPr>
                <w:rFonts w:hint="eastAsia" w:ascii="宋体" w:hAnsi="宋体" w:eastAsia="宋体" w:cs="宋体"/>
                <w:i w:val="0"/>
                <w:iCs w:val="0"/>
                <w:color w:val="auto"/>
                <w:sz w:val="24"/>
              </w:rPr>
            </w:pPr>
            <w:r>
              <w:rPr>
                <w:rFonts w:hint="eastAsia" w:ascii="宋体" w:hAnsi="宋体" w:eastAsia="宋体" w:cs="宋体"/>
                <w:i w:val="0"/>
                <w:iCs w:val="0"/>
                <w:color w:val="auto"/>
                <w:sz w:val="24"/>
              </w:rPr>
              <w:t>其他</w:t>
            </w:r>
          </w:p>
        </w:tc>
        <w:tc>
          <w:tcPr>
            <w:tcW w:w="6660" w:type="dxa"/>
            <w:noWrap w:val="0"/>
            <w:vAlign w:val="center"/>
          </w:tcPr>
          <w:p>
            <w:pPr>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1、投标人</w:t>
            </w:r>
            <w:r>
              <w:rPr>
                <w:rFonts w:hint="eastAsia" w:ascii="宋体" w:hAnsi="宋体" w:eastAsia="宋体" w:cs="宋体"/>
                <w:b/>
                <w:bCs/>
                <w:color w:val="auto"/>
                <w:sz w:val="24"/>
                <w:szCs w:val="24"/>
                <w:lang w:val="en-US" w:eastAsia="zh-CN"/>
              </w:rPr>
              <w:t>须</w:t>
            </w:r>
            <w:r>
              <w:rPr>
                <w:rFonts w:hint="eastAsia" w:ascii="宋体" w:hAnsi="宋体" w:eastAsia="宋体" w:cs="宋体"/>
                <w:b/>
                <w:bCs/>
                <w:color w:val="auto"/>
                <w:sz w:val="24"/>
                <w:szCs w:val="24"/>
                <w:lang w:eastAsia="zh-CN"/>
              </w:rPr>
              <w:t>提供</w:t>
            </w:r>
            <w:r>
              <w:rPr>
                <w:rFonts w:hint="eastAsia" w:ascii="宋体" w:hAnsi="宋体" w:eastAsia="宋体" w:cs="宋体"/>
                <w:b/>
                <w:bCs/>
                <w:color w:val="auto"/>
                <w:sz w:val="24"/>
                <w:szCs w:val="24"/>
                <w:lang w:val="en-US" w:eastAsia="zh-CN"/>
              </w:rPr>
              <w:t>上一年度</w:t>
            </w:r>
            <w:r>
              <w:rPr>
                <w:rFonts w:hint="eastAsia" w:ascii="宋体" w:hAnsi="宋体" w:eastAsia="宋体" w:cs="宋体"/>
                <w:b/>
                <w:bCs/>
                <w:color w:val="auto"/>
                <w:sz w:val="24"/>
                <w:szCs w:val="24"/>
                <w:lang w:eastAsia="zh-CN"/>
              </w:rPr>
              <w:t>证明具有良好的商业信誉和健全的财务会计制度（如会计师事务所出具的上一年度财务审计报告或银行出具的说明投标人商业信誉或结算情况等事项的证明文件）；</w:t>
            </w:r>
          </w:p>
          <w:p>
            <w:pPr>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2、提供投标人的最近</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lang w:eastAsia="zh-CN"/>
              </w:rPr>
              <w:t>个月的社保缴纳记录；</w:t>
            </w:r>
          </w:p>
          <w:p>
            <w:pPr>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eastAsia="zh-CN"/>
              </w:rPr>
              <w:t>、在法规范围内不需提供的，应做书面说明和证明文件。</w:t>
            </w:r>
          </w:p>
          <w:p>
            <w:pPr>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eastAsia="zh-CN"/>
              </w:rPr>
              <w:t>、中标候选人公示媒介及期限</w:t>
            </w:r>
          </w:p>
          <w:p>
            <w:pPr>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公示媒介：新疆政府采购网</w:t>
            </w:r>
            <w:r>
              <w:rPr>
                <w:rFonts w:hint="eastAsia" w:ascii="宋体" w:hAnsi="宋体" w:eastAsia="宋体" w:cs="宋体"/>
                <w:b/>
                <w:bCs/>
                <w:color w:val="auto"/>
                <w:sz w:val="16"/>
                <w:szCs w:val="16"/>
                <w:lang w:eastAsia="zh-CN"/>
              </w:rPr>
              <w:t>（http://www.ccgp-xinjiang.gov.cn/home.html）</w:t>
            </w:r>
            <w:r>
              <w:rPr>
                <w:rFonts w:hint="eastAsia" w:ascii="宋体" w:hAnsi="宋体" w:eastAsia="宋体" w:cs="宋体"/>
                <w:b/>
                <w:bCs/>
                <w:color w:val="auto"/>
                <w:sz w:val="24"/>
                <w:szCs w:val="24"/>
                <w:lang w:eastAsia="zh-CN"/>
              </w:rPr>
              <w:t>上发布 ；</w:t>
            </w:r>
          </w:p>
          <w:p>
            <w:pPr>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公示期限：1个工作日；</w:t>
            </w:r>
          </w:p>
          <w:p>
            <w:pPr>
              <w:pStyle w:val="5"/>
              <w:rPr>
                <w:rFonts w:hint="eastAsia"/>
                <w:color w:val="auto"/>
                <w:lang w:val="en-US" w:eastAsia="zh-CN"/>
              </w:rPr>
            </w:pPr>
            <w:r>
              <w:rPr>
                <w:rFonts w:hint="eastAsia" w:ascii="宋体" w:hAnsi="宋体" w:eastAsia="宋体" w:cs="宋体"/>
                <w:i w:val="0"/>
                <w:iCs w:val="0"/>
                <w:color w:val="auto"/>
                <w:sz w:val="24"/>
                <w:lang w:eastAsia="zh-CN"/>
              </w:rPr>
              <w:t>中标后提交的投标文件：中标后中标单位须</w:t>
            </w:r>
            <w:r>
              <w:rPr>
                <w:rFonts w:hint="eastAsia" w:ascii="宋体" w:hAnsi="宋体" w:eastAsia="宋体" w:cs="宋体"/>
                <w:i w:val="0"/>
                <w:iCs w:val="0"/>
                <w:color w:val="auto"/>
                <w:sz w:val="24"/>
              </w:rPr>
              <w:t>提供投标文件份数：正本一份、副本</w:t>
            </w:r>
            <w:r>
              <w:rPr>
                <w:rFonts w:hint="eastAsia" w:ascii="宋体" w:hAnsi="宋体" w:eastAsia="宋体" w:cs="宋体"/>
                <w:i w:val="0"/>
                <w:iCs w:val="0"/>
                <w:color w:val="auto"/>
                <w:sz w:val="24"/>
                <w:lang w:eastAsia="zh-CN"/>
              </w:rPr>
              <w:t>两</w:t>
            </w:r>
            <w:r>
              <w:rPr>
                <w:rFonts w:hint="eastAsia" w:ascii="宋体" w:hAnsi="宋体" w:eastAsia="宋体" w:cs="宋体"/>
                <w:i w:val="0"/>
                <w:iCs w:val="0"/>
                <w:color w:val="auto"/>
                <w:sz w:val="24"/>
              </w:rPr>
              <w:t>份</w:t>
            </w:r>
            <w:r>
              <w:rPr>
                <w:rFonts w:hint="eastAsia" w:ascii="宋体" w:hAnsi="宋体" w:cs="宋体"/>
                <w:i w:val="0"/>
                <w:iCs w:val="0"/>
                <w:color w:val="auto"/>
                <w:sz w:val="24"/>
                <w:lang w:eastAsia="zh-CN"/>
              </w:rPr>
              <w:t>；</w:t>
            </w:r>
            <w:r>
              <w:rPr>
                <w:rFonts w:hint="eastAsia" w:ascii="宋体" w:hAnsi="宋体" w:eastAsia="宋体" w:cs="宋体"/>
                <w:i w:val="0"/>
                <w:iCs w:val="0"/>
                <w:color w:val="auto"/>
                <w:sz w:val="24"/>
              </w:rPr>
              <w:t>电子版文件U盘</w:t>
            </w:r>
            <w:r>
              <w:rPr>
                <w:rFonts w:hint="eastAsia" w:ascii="宋体" w:hAnsi="宋体" w:eastAsia="宋体" w:cs="宋体"/>
                <w:i w:val="0"/>
                <w:iCs w:val="0"/>
                <w:color w:val="auto"/>
                <w:sz w:val="24"/>
                <w:lang w:val="en-US" w:eastAsia="zh-CN"/>
              </w:rPr>
              <w:t>3</w:t>
            </w:r>
            <w:r>
              <w:rPr>
                <w:rFonts w:hint="eastAsia" w:ascii="宋体" w:hAnsi="宋体" w:eastAsia="宋体" w:cs="宋体"/>
                <w:i w:val="0"/>
                <w:iCs w:val="0"/>
                <w:color w:val="auto"/>
                <w:sz w:val="24"/>
              </w:rPr>
              <w:t>份</w:t>
            </w:r>
            <w:r>
              <w:rPr>
                <w:rFonts w:hint="eastAsia" w:ascii="宋体" w:hAnsi="宋体" w:eastAsia="宋体" w:cs="宋体"/>
                <w:i w:val="0"/>
                <w:iCs w:val="0"/>
                <w:color w:val="auto"/>
                <w:sz w:val="24"/>
                <w:lang w:eastAsia="zh-CN"/>
              </w:rPr>
              <w:t>（</w:t>
            </w:r>
            <w:r>
              <w:rPr>
                <w:rFonts w:hint="eastAsia" w:ascii="宋体" w:hAnsi="宋体" w:eastAsia="宋体" w:cs="宋体"/>
                <w:i w:val="0"/>
                <w:iCs w:val="0"/>
                <w:color w:val="auto"/>
                <w:sz w:val="24"/>
                <w:lang w:val="en-US" w:eastAsia="zh-CN"/>
              </w:rPr>
              <w:t>U盘上注明项目名称及单位名称</w:t>
            </w:r>
            <w:r>
              <w:rPr>
                <w:rFonts w:hint="eastAsia" w:ascii="宋体" w:hAnsi="宋体" w:eastAsia="宋体" w:cs="宋体"/>
                <w:i w:val="0"/>
                <w:iCs w:val="0"/>
                <w:color w:val="auto"/>
                <w:sz w:val="24"/>
                <w:lang w:eastAsia="zh-CN"/>
              </w:rPr>
              <w:t>）</w:t>
            </w:r>
            <w:r>
              <w:rPr>
                <w:rFonts w:hint="eastAsia" w:ascii="宋体" w:hAnsi="宋体" w:eastAsia="宋体" w:cs="宋体"/>
                <w:i w:val="0"/>
                <w:iCs w:val="0"/>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648" w:type="dxa"/>
            <w:gridSpan w:val="2"/>
            <w:noWrap w:val="0"/>
            <w:vAlign w:val="center"/>
          </w:tcPr>
          <w:p>
            <w:pPr>
              <w:spacing w:line="360" w:lineRule="auto"/>
              <w:rPr>
                <w:rFonts w:hint="eastAsia" w:ascii="宋体" w:hAnsi="宋体" w:eastAsia="宋体" w:cs="宋体"/>
                <w:b/>
                <w:bCs/>
                <w:i w:val="0"/>
                <w:iCs w:val="0"/>
                <w:color w:val="auto"/>
                <w:sz w:val="24"/>
              </w:rPr>
            </w:pPr>
            <w:bookmarkStart w:id="243" w:name="_Toc35339868"/>
            <w:r>
              <w:rPr>
                <w:rFonts w:hint="eastAsia" w:ascii="宋体" w:hAnsi="宋体" w:eastAsia="宋体" w:cs="宋体"/>
                <w:b/>
                <w:bCs/>
                <w:i w:val="0"/>
                <w:iCs w:val="0"/>
                <w:color w:val="auto"/>
                <w:sz w:val="24"/>
              </w:rPr>
              <w:t>电子交易须知</w:t>
            </w:r>
            <w:bookmarkEnd w:id="243"/>
          </w:p>
          <w:p>
            <w:pPr>
              <w:spacing w:line="360" w:lineRule="auto"/>
              <w:ind w:left="1080" w:leftChars="257" w:hanging="540"/>
              <w:rPr>
                <w:rFonts w:hint="eastAsia" w:ascii="宋体" w:hAnsi="宋体" w:eastAsia="宋体" w:cs="宋体"/>
                <w:i w:val="0"/>
                <w:iCs w:val="0"/>
                <w:color w:val="auto"/>
                <w:sz w:val="24"/>
              </w:rPr>
            </w:pPr>
          </w:p>
        </w:tc>
        <w:tc>
          <w:tcPr>
            <w:tcW w:w="6660" w:type="dxa"/>
            <w:noWrap w:val="0"/>
            <w:vAlign w:val="center"/>
          </w:tcPr>
          <w:p>
            <w:pPr>
              <w:pStyle w:val="14"/>
              <w:spacing w:before="120" w:after="120" w:line="240" w:lineRule="auto"/>
              <w:rPr>
                <w:rFonts w:hint="eastAsia" w:ascii="宋体" w:hAnsi="宋体" w:eastAsia="宋体" w:cs="宋体"/>
                <w:b w:val="0"/>
                <w:bCs/>
                <w:color w:val="auto"/>
                <w:sz w:val="24"/>
                <w:szCs w:val="32"/>
              </w:rPr>
            </w:pPr>
            <w:r>
              <w:rPr>
                <w:rFonts w:hint="eastAsia" w:ascii="宋体" w:hAnsi="宋体" w:eastAsia="宋体" w:cs="宋体"/>
                <w:b w:val="0"/>
                <w:bCs/>
                <w:color w:val="auto"/>
                <w:sz w:val="24"/>
                <w:szCs w:val="32"/>
              </w:rPr>
              <w:t>1、本次采购采用电子交易方式，电子交易平台为“政府采购云平台（www.zcygov.cn）”。供应商参与本项目电子交易活动前，应注册成为政府采购云平台供应商。编制电子投标文件前还需申领CA证书并绑定帐号，CA获取地址请查看招标公告下方附件《</w:t>
            </w:r>
            <w:r>
              <w:rPr>
                <w:rFonts w:hint="eastAsia" w:ascii="宋体" w:hAnsi="宋体" w:eastAsia="宋体" w:cs="宋体"/>
                <w:b w:val="0"/>
                <w:bCs/>
                <w:color w:val="auto"/>
                <w:sz w:val="24"/>
                <w:szCs w:val="32"/>
                <w:u w:val="single"/>
              </w:rPr>
              <w:t>全疆服务机构联系表》</w:t>
            </w:r>
            <w:r>
              <w:rPr>
                <w:rFonts w:hint="eastAsia" w:ascii="宋体" w:hAnsi="宋体" w:eastAsia="宋体" w:cs="宋体"/>
                <w:b w:val="0"/>
                <w:bCs/>
                <w:color w:val="auto"/>
                <w:sz w:val="24"/>
                <w:szCs w:val="32"/>
              </w:rPr>
              <w:t>。</w:t>
            </w:r>
          </w:p>
          <w:p>
            <w:pPr>
              <w:pStyle w:val="14"/>
              <w:spacing w:before="120" w:after="120" w:line="240" w:lineRule="auto"/>
              <w:rPr>
                <w:rFonts w:hint="eastAsia" w:ascii="宋体" w:hAnsi="宋体" w:eastAsia="宋体" w:cs="宋体"/>
                <w:b w:val="0"/>
                <w:bCs/>
                <w:color w:val="auto"/>
                <w:sz w:val="24"/>
                <w:szCs w:val="32"/>
              </w:rPr>
            </w:pPr>
            <w:r>
              <w:rPr>
                <w:rFonts w:hint="eastAsia" w:ascii="宋体" w:hAnsi="宋体" w:eastAsia="宋体" w:cs="宋体"/>
                <w:b w:val="0"/>
                <w:bCs/>
                <w:color w:val="auto"/>
                <w:sz w:val="24"/>
                <w:szCs w:val="32"/>
              </w:rPr>
              <w:t>2、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pPr>
              <w:pStyle w:val="14"/>
              <w:spacing w:before="120" w:after="120" w:line="240" w:lineRule="auto"/>
              <w:rPr>
                <w:rFonts w:hint="eastAsia" w:ascii="宋体" w:hAnsi="宋体" w:eastAsia="宋体" w:cs="宋体"/>
                <w:b w:val="0"/>
                <w:bCs/>
                <w:color w:val="auto"/>
                <w:sz w:val="24"/>
                <w:szCs w:val="32"/>
              </w:rPr>
            </w:pPr>
            <w:r>
              <w:rPr>
                <w:rFonts w:hint="eastAsia" w:ascii="宋体" w:hAnsi="宋体" w:eastAsia="宋体" w:cs="宋体"/>
                <w:b w:val="0"/>
                <w:bCs/>
                <w:color w:val="auto"/>
                <w:sz w:val="24"/>
                <w:szCs w:val="32"/>
              </w:rPr>
              <w:t>3、供应商应当在投标截止时间前，将“电子招投标供应商客户端”生成的“电子加密投标文件”上传电子交易平台。</w:t>
            </w:r>
          </w:p>
          <w:p>
            <w:pPr>
              <w:pStyle w:val="51"/>
              <w:spacing w:line="240" w:lineRule="auto"/>
              <w:ind w:left="0" w:leftChars="0" w:firstLine="0" w:firstLineChars="0"/>
              <w:rPr>
                <w:rFonts w:hint="eastAsia" w:eastAsia="宋体"/>
                <w:color w:val="auto"/>
                <w:lang w:val="en-US" w:eastAsia="zh-CN"/>
              </w:rPr>
            </w:pPr>
            <w:r>
              <w:rPr>
                <w:rFonts w:hint="eastAsia" w:ascii="宋体" w:hAnsi="宋体" w:eastAsia="宋体" w:cs="宋体"/>
                <w:b w:val="0"/>
                <w:bCs/>
                <w:color w:val="auto"/>
                <w:sz w:val="24"/>
                <w:szCs w:val="32"/>
              </w:rPr>
              <w:t>4、服务与支持。各政府采购代理机构（含集采机构）及供应商对不见面开评标系统的技术操作咨询，可通过</w:t>
            </w:r>
            <w:r>
              <w:rPr>
                <w:rFonts w:hint="eastAsia" w:ascii="宋体" w:hAnsi="宋体" w:eastAsia="宋体" w:cs="宋体"/>
                <w:b w:val="0"/>
                <w:bCs/>
                <w:color w:val="auto"/>
                <w:sz w:val="24"/>
                <w:szCs w:val="22"/>
              </w:rPr>
              <w:fldChar w:fldCharType="begin"/>
            </w:r>
            <w:r>
              <w:rPr>
                <w:rFonts w:hint="eastAsia" w:ascii="宋体" w:hAnsi="宋体" w:eastAsia="宋体" w:cs="宋体"/>
                <w:b w:val="0"/>
                <w:bCs/>
                <w:color w:val="auto"/>
                <w:sz w:val="24"/>
                <w:szCs w:val="22"/>
              </w:rPr>
              <w:instrText xml:space="preserve"> HYPERLINK "https://edu.zcygov.cn/luban/xinjiang-e-biding" </w:instrText>
            </w:r>
            <w:r>
              <w:rPr>
                <w:rFonts w:hint="eastAsia" w:ascii="宋体" w:hAnsi="宋体" w:eastAsia="宋体" w:cs="宋体"/>
                <w:b w:val="0"/>
                <w:bCs/>
                <w:color w:val="auto"/>
                <w:sz w:val="24"/>
                <w:szCs w:val="22"/>
              </w:rPr>
              <w:fldChar w:fldCharType="separate"/>
            </w:r>
            <w:r>
              <w:rPr>
                <w:rFonts w:hint="eastAsia" w:ascii="宋体" w:hAnsi="宋体" w:eastAsia="宋体" w:cs="宋体"/>
                <w:b w:val="0"/>
                <w:bCs/>
                <w:color w:val="auto"/>
                <w:sz w:val="24"/>
                <w:szCs w:val="32"/>
                <w:u w:val="single"/>
              </w:rPr>
              <w:t>https://edu.zcygov.cn/luban/xinjiang-e-biding</w:t>
            </w:r>
            <w:r>
              <w:rPr>
                <w:rFonts w:hint="eastAsia" w:ascii="宋体" w:hAnsi="宋体" w:eastAsia="宋体" w:cs="宋体"/>
                <w:b w:val="0"/>
                <w:bCs/>
                <w:color w:val="auto"/>
                <w:sz w:val="24"/>
                <w:szCs w:val="32"/>
                <w:u w:val="single"/>
              </w:rPr>
              <w:fldChar w:fldCharType="end"/>
            </w:r>
            <w:r>
              <w:rPr>
                <w:rFonts w:hint="eastAsia" w:ascii="宋体" w:hAnsi="宋体" w:eastAsia="宋体" w:cs="宋体"/>
                <w:b w:val="0"/>
                <w:bCs/>
                <w:color w:val="auto"/>
                <w:sz w:val="24"/>
                <w:szCs w:val="32"/>
              </w:rPr>
              <w:t>自助查询，也可在政采云帮助中心常见问题解答和操作流程讲解视频中自助查询，网址为：</w:t>
            </w:r>
            <w:r>
              <w:rPr>
                <w:rFonts w:hint="eastAsia" w:ascii="宋体" w:hAnsi="宋体" w:eastAsia="宋体" w:cs="宋体"/>
                <w:b w:val="0"/>
                <w:bCs/>
                <w:color w:val="auto"/>
                <w:sz w:val="24"/>
                <w:szCs w:val="22"/>
              </w:rPr>
              <w:fldChar w:fldCharType="begin"/>
            </w:r>
            <w:r>
              <w:rPr>
                <w:rFonts w:hint="eastAsia" w:ascii="宋体" w:hAnsi="宋体" w:eastAsia="宋体" w:cs="宋体"/>
                <w:b w:val="0"/>
                <w:bCs/>
                <w:color w:val="auto"/>
                <w:sz w:val="24"/>
                <w:szCs w:val="22"/>
              </w:rPr>
              <w:instrText xml:space="preserve"> HYPERLINK "https://service.zcygov.cn/" \l "/help" </w:instrText>
            </w:r>
            <w:r>
              <w:rPr>
                <w:rFonts w:hint="eastAsia" w:ascii="宋体" w:hAnsi="宋体" w:eastAsia="宋体" w:cs="宋体"/>
                <w:b w:val="0"/>
                <w:bCs/>
                <w:color w:val="auto"/>
                <w:sz w:val="24"/>
                <w:szCs w:val="22"/>
              </w:rPr>
              <w:fldChar w:fldCharType="separate"/>
            </w:r>
            <w:r>
              <w:rPr>
                <w:rFonts w:hint="eastAsia" w:ascii="宋体" w:hAnsi="宋体" w:eastAsia="宋体" w:cs="宋体"/>
                <w:b w:val="0"/>
                <w:bCs/>
                <w:color w:val="auto"/>
                <w:sz w:val="24"/>
                <w:szCs w:val="32"/>
                <w:u w:val="single"/>
              </w:rPr>
              <w:t>https://service.zcygov.cn/#/help</w:t>
            </w:r>
            <w:r>
              <w:rPr>
                <w:rFonts w:hint="eastAsia" w:ascii="宋体" w:hAnsi="宋体" w:eastAsia="宋体" w:cs="宋体"/>
                <w:b w:val="0"/>
                <w:bCs/>
                <w:color w:val="auto"/>
                <w:sz w:val="24"/>
                <w:szCs w:val="32"/>
                <w:u w:val="single"/>
              </w:rPr>
              <w:fldChar w:fldCharType="end"/>
            </w:r>
            <w:r>
              <w:rPr>
                <w:rFonts w:hint="eastAsia" w:ascii="宋体" w:hAnsi="宋体" w:eastAsia="宋体" w:cs="宋体"/>
                <w:b w:val="0"/>
                <w:bCs/>
                <w:color w:val="auto"/>
                <w:sz w:val="24"/>
                <w:szCs w:val="32"/>
              </w:rPr>
              <w:t>，“项目采购”—“操作流程-电子招投标”—“政府采购项目电子交易管理操作指南-供应商”版面获取操作指南，同时对自助查询无法解决的问题可通过钉钉群及政采云在线客服获取服务支持。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648" w:type="dxa"/>
            <w:gridSpan w:val="2"/>
            <w:noWrap w:val="0"/>
            <w:vAlign w:val="center"/>
          </w:tcPr>
          <w:p>
            <w:pPr>
              <w:pStyle w:val="51"/>
              <w:spacing w:line="240" w:lineRule="auto"/>
              <w:ind w:left="0" w:leftChars="0" w:firstLine="0" w:firstLineChars="0"/>
              <w:rPr>
                <w:rFonts w:hint="eastAsia" w:ascii="宋体" w:hAnsi="宋体" w:eastAsia="宋体" w:cs="宋体"/>
                <w:b w:val="0"/>
                <w:bCs/>
                <w:color w:val="auto"/>
                <w:kern w:val="2"/>
                <w:sz w:val="24"/>
                <w:szCs w:val="32"/>
                <w:lang w:val="en-US" w:eastAsia="zh-CN" w:bidi="ar-SA"/>
              </w:rPr>
            </w:pPr>
            <w:r>
              <w:rPr>
                <w:rFonts w:hint="eastAsia" w:ascii="宋体" w:hAnsi="宋体" w:eastAsia="宋体" w:cs="宋体"/>
                <w:b w:val="0"/>
                <w:bCs/>
                <w:color w:val="auto"/>
                <w:kern w:val="2"/>
                <w:sz w:val="24"/>
                <w:szCs w:val="32"/>
                <w:lang w:val="en-US" w:eastAsia="zh-CN" w:bidi="ar-SA"/>
              </w:rPr>
              <w:t>属于中小企业评审优惠内容及价格扣除幅度</w:t>
            </w:r>
          </w:p>
          <w:p>
            <w:pPr>
              <w:spacing w:line="360" w:lineRule="auto"/>
              <w:ind w:left="1080" w:leftChars="257" w:hanging="540"/>
              <w:rPr>
                <w:rFonts w:hint="eastAsia" w:ascii="宋体" w:hAnsi="宋体" w:eastAsia="宋体" w:cs="宋体"/>
                <w:b w:val="0"/>
                <w:bCs/>
                <w:color w:val="auto"/>
                <w:kern w:val="2"/>
                <w:sz w:val="24"/>
                <w:szCs w:val="32"/>
                <w:lang w:val="en-US" w:eastAsia="zh-CN" w:bidi="ar-SA"/>
              </w:rPr>
            </w:pPr>
          </w:p>
        </w:tc>
        <w:tc>
          <w:tcPr>
            <w:tcW w:w="6660" w:type="dxa"/>
            <w:noWrap w:val="0"/>
            <w:vAlign w:val="center"/>
          </w:tcPr>
          <w:p>
            <w:pPr>
              <w:rPr>
                <w:rFonts w:hint="eastAsia" w:ascii="宋体" w:hAnsi="宋体" w:eastAsia="宋体" w:cs="宋体"/>
                <w:b w:val="0"/>
                <w:bCs/>
                <w:color w:val="auto"/>
                <w:kern w:val="2"/>
                <w:sz w:val="24"/>
                <w:szCs w:val="32"/>
                <w:lang w:val="en-US" w:eastAsia="zh-CN" w:bidi="ar-SA"/>
              </w:rPr>
            </w:pPr>
            <w:r>
              <w:rPr>
                <w:rFonts w:hint="eastAsia" w:ascii="宋体" w:hAnsi="宋体" w:eastAsia="宋体" w:cs="宋体"/>
                <w:b w:val="0"/>
                <w:bCs/>
                <w:color w:val="auto"/>
                <w:kern w:val="2"/>
                <w:sz w:val="24"/>
                <w:szCs w:val="32"/>
                <w:lang w:val="en-US" w:eastAsia="zh-CN" w:bidi="ar-SA"/>
              </w:rPr>
              <w:t>根据中华人民共和国财政部、中华人民共和国工业和信息化部《政府采购促进中小企业发展管理办法》（财库[2020]46号）文件、关于进一步加大政府采购支持中小企业力度的通知财库〔2022〕19号的规定，属于中小企业评审优惠内容及幅度如下：</w:t>
            </w:r>
          </w:p>
          <w:p>
            <w:pPr>
              <w:rPr>
                <w:rFonts w:hint="eastAsia" w:ascii="宋体" w:hAnsi="宋体" w:eastAsia="宋体" w:cs="宋体"/>
                <w:b w:val="0"/>
                <w:bCs/>
                <w:color w:val="auto"/>
                <w:kern w:val="2"/>
                <w:sz w:val="24"/>
                <w:szCs w:val="32"/>
                <w:lang w:val="en-US" w:eastAsia="zh-CN" w:bidi="ar-SA"/>
              </w:rPr>
            </w:pPr>
            <w:r>
              <w:rPr>
                <w:rFonts w:hint="eastAsia" w:ascii="宋体" w:hAnsi="宋体" w:eastAsia="宋体" w:cs="宋体"/>
                <w:b w:val="0"/>
                <w:bCs/>
                <w:color w:val="auto"/>
                <w:kern w:val="2"/>
                <w:sz w:val="24"/>
                <w:szCs w:val="32"/>
                <w:lang w:val="en-US" w:eastAsia="zh-CN" w:bidi="ar-SA"/>
              </w:rPr>
              <w:t>在政府采购活动中，供应商提供的货物、工程或者服务符合下列情形的，享受本办法规定的中小企业扶持政策：</w:t>
            </w:r>
          </w:p>
          <w:p>
            <w:pPr>
              <w:rPr>
                <w:rFonts w:hint="eastAsia" w:ascii="宋体" w:hAnsi="宋体" w:eastAsia="宋体" w:cs="宋体"/>
                <w:b w:val="0"/>
                <w:bCs/>
                <w:color w:val="auto"/>
                <w:kern w:val="2"/>
                <w:sz w:val="24"/>
                <w:szCs w:val="32"/>
                <w:lang w:val="en-US" w:eastAsia="zh-CN" w:bidi="ar-SA"/>
              </w:rPr>
            </w:pPr>
            <w:r>
              <w:rPr>
                <w:rFonts w:hint="eastAsia" w:ascii="宋体" w:hAnsi="宋体" w:eastAsia="宋体" w:cs="宋体"/>
                <w:b w:val="0"/>
                <w:bCs/>
                <w:color w:val="auto"/>
                <w:kern w:val="2"/>
                <w:sz w:val="24"/>
                <w:szCs w:val="32"/>
                <w:lang w:val="en-US" w:eastAsia="zh-CN" w:bidi="ar-SA"/>
              </w:rPr>
              <w:t>（一）在货物采购项目中，货物由中小企业制造，即货物由中小企业生产且使用该中小企业商号或者注册商标；</w:t>
            </w:r>
          </w:p>
          <w:p>
            <w:pPr>
              <w:rPr>
                <w:rFonts w:hint="eastAsia" w:ascii="宋体" w:hAnsi="宋体" w:eastAsia="宋体" w:cs="宋体"/>
                <w:b w:val="0"/>
                <w:bCs/>
                <w:color w:val="auto"/>
                <w:kern w:val="2"/>
                <w:sz w:val="24"/>
                <w:szCs w:val="32"/>
                <w:lang w:val="en-US" w:eastAsia="zh-CN" w:bidi="ar-SA"/>
              </w:rPr>
            </w:pPr>
            <w:r>
              <w:rPr>
                <w:rFonts w:hint="eastAsia" w:ascii="宋体" w:hAnsi="宋体" w:eastAsia="宋体" w:cs="宋体"/>
                <w:b w:val="0"/>
                <w:bCs/>
                <w:color w:val="auto"/>
                <w:kern w:val="2"/>
                <w:sz w:val="24"/>
                <w:szCs w:val="32"/>
                <w:lang w:val="en-US" w:eastAsia="zh-CN" w:bidi="ar-SA"/>
              </w:rPr>
              <w:t>（二）在工程采购项目中，工程由中小企业承建，即工程施工单位为中小企业；</w:t>
            </w:r>
          </w:p>
          <w:p>
            <w:pPr>
              <w:rPr>
                <w:rFonts w:hint="eastAsia" w:ascii="宋体" w:hAnsi="宋体" w:eastAsia="宋体" w:cs="宋体"/>
                <w:b w:val="0"/>
                <w:bCs/>
                <w:color w:val="auto"/>
                <w:kern w:val="2"/>
                <w:sz w:val="24"/>
                <w:szCs w:val="32"/>
                <w:lang w:val="en-US" w:eastAsia="zh-CN" w:bidi="ar-SA"/>
              </w:rPr>
            </w:pPr>
            <w:r>
              <w:rPr>
                <w:rFonts w:hint="eastAsia" w:ascii="宋体" w:hAnsi="宋体" w:eastAsia="宋体" w:cs="宋体"/>
                <w:b w:val="0"/>
                <w:bCs/>
                <w:color w:val="auto"/>
                <w:kern w:val="2"/>
                <w:sz w:val="24"/>
                <w:szCs w:val="32"/>
                <w:lang w:val="en-US" w:eastAsia="zh-CN" w:bidi="ar-SA"/>
              </w:rPr>
              <w:t>（三）在服务采购项目中，服务由中小企业承接，即提供服务的人员为中小企业依照《中华人民共和国劳动合同法》订立劳动合同的从业人员。</w:t>
            </w:r>
          </w:p>
          <w:p>
            <w:pPr>
              <w:rPr>
                <w:rFonts w:hint="eastAsia" w:ascii="宋体" w:hAnsi="宋体" w:eastAsia="宋体" w:cs="宋体"/>
                <w:b w:val="0"/>
                <w:bCs/>
                <w:color w:val="auto"/>
                <w:kern w:val="2"/>
                <w:sz w:val="24"/>
                <w:szCs w:val="32"/>
                <w:lang w:val="en-US" w:eastAsia="zh-CN" w:bidi="ar-SA"/>
              </w:rPr>
            </w:pPr>
            <w:r>
              <w:rPr>
                <w:rFonts w:hint="eastAsia" w:ascii="宋体" w:hAnsi="宋体" w:eastAsia="宋体" w:cs="宋体"/>
                <w:b w:val="0"/>
                <w:bCs/>
                <w:color w:val="auto"/>
                <w:kern w:val="2"/>
                <w:sz w:val="24"/>
                <w:szCs w:val="32"/>
                <w:lang w:val="en-US" w:eastAsia="zh-CN" w:bidi="ar-SA"/>
              </w:rPr>
              <w:t>在货物采购项目中，供应商提供的货物既有中小企业制造货物，也有大型企业制造货物的，不享受本办法规定的中小企业扶持政策。</w:t>
            </w:r>
          </w:p>
          <w:p>
            <w:pPr>
              <w:ind w:firstLine="480" w:firstLineChars="200"/>
              <w:rPr>
                <w:rFonts w:hint="eastAsia" w:ascii="宋体" w:hAnsi="宋体" w:eastAsia="宋体" w:cs="宋体"/>
                <w:b w:val="0"/>
                <w:bCs/>
                <w:color w:val="auto"/>
                <w:kern w:val="2"/>
                <w:sz w:val="24"/>
                <w:szCs w:val="32"/>
                <w:lang w:val="en-US" w:eastAsia="zh-CN" w:bidi="ar-SA"/>
              </w:rPr>
            </w:pPr>
            <w:r>
              <w:rPr>
                <w:rFonts w:hint="eastAsia" w:ascii="宋体" w:hAnsi="宋体" w:eastAsia="宋体" w:cs="宋体"/>
                <w:b w:val="0"/>
                <w:bCs/>
                <w:color w:val="auto"/>
                <w:kern w:val="2"/>
                <w:sz w:val="24"/>
                <w:szCs w:val="32"/>
                <w:lang w:val="en-US" w:eastAsia="zh-CN" w:bidi="ar-SA"/>
              </w:rPr>
              <w:t>以联合体形式参加政府采购活动，联合体各方均为中小企业的，联合体视同中小企业。其中，联合体各方均为小微企业的，联合体视同小微企业。</w:t>
            </w:r>
          </w:p>
          <w:p>
            <w:pPr>
              <w:ind w:firstLine="480" w:firstLineChars="200"/>
              <w:rPr>
                <w:rFonts w:hint="eastAsia" w:ascii="宋体" w:hAnsi="宋体" w:eastAsia="宋体" w:cs="宋体"/>
                <w:b w:val="0"/>
                <w:bCs/>
                <w:color w:val="auto"/>
                <w:kern w:val="2"/>
                <w:sz w:val="24"/>
                <w:szCs w:val="32"/>
                <w:lang w:val="en-US" w:eastAsia="zh-CN" w:bidi="ar-SA"/>
              </w:rPr>
            </w:pPr>
            <w:r>
              <w:rPr>
                <w:rFonts w:hint="eastAsia" w:ascii="宋体" w:hAnsi="宋体" w:eastAsia="宋体" w:cs="宋体"/>
                <w:b w:val="0"/>
                <w:bCs/>
                <w:color w:val="auto"/>
                <w:kern w:val="2"/>
                <w:sz w:val="24"/>
                <w:szCs w:val="32"/>
                <w:lang w:val="en-US" w:eastAsia="zh-CN" w:bidi="ar-SA"/>
              </w:rPr>
              <w:t>对于经主管预算单位统筹后未预留份额专门面向中小企业采购的采购项目，以及预留份额项目中的非预留部分采购包，采购人、采购代理机构应当对符合本办法规定的小微企业报价给予10%—20%的扣除，用扣除后的价格参加评审。</w:t>
            </w:r>
          </w:p>
          <w:p>
            <w:pPr>
              <w:ind w:firstLine="480" w:firstLineChars="200"/>
              <w:rPr>
                <w:rFonts w:hint="eastAsia" w:ascii="宋体" w:hAnsi="宋体" w:eastAsia="宋体" w:cs="宋体"/>
                <w:b w:val="0"/>
                <w:bCs/>
                <w:color w:val="auto"/>
                <w:kern w:val="2"/>
                <w:sz w:val="24"/>
                <w:szCs w:val="32"/>
                <w:lang w:val="en-US" w:eastAsia="zh-CN" w:bidi="ar-SA"/>
              </w:rPr>
            </w:pPr>
            <w:r>
              <w:rPr>
                <w:rFonts w:hint="eastAsia" w:ascii="宋体" w:hAnsi="宋体" w:eastAsia="宋体" w:cs="宋体"/>
                <w:b w:val="0"/>
                <w:bCs/>
                <w:color w:val="auto"/>
                <w:kern w:val="2"/>
                <w:sz w:val="24"/>
                <w:szCs w:val="32"/>
                <w:lang w:val="en-US" w:eastAsia="zh-CN" w:bidi="ar-SA"/>
              </w:rPr>
              <w:t>中小企业参加政府采购活动，应当出具本办法规定的《中小企业声明函》，否则不得享受相关中小企业扶持政策。中小企业对其声明内容的真实性负责，声明函内容不实的，属于提供虚假材料谋取中标、成交，依照《中华人民共和国政府采购法》等国家有关规定追究相应责任。</w:t>
            </w:r>
          </w:p>
          <w:p>
            <w:pPr>
              <w:ind w:firstLine="480" w:firstLineChars="200"/>
              <w:rPr>
                <w:rFonts w:hint="eastAsia" w:ascii="宋体" w:hAnsi="宋体" w:eastAsia="宋体" w:cs="宋体"/>
                <w:b w:val="0"/>
                <w:bCs/>
                <w:color w:val="auto"/>
                <w:kern w:val="2"/>
                <w:sz w:val="24"/>
                <w:szCs w:val="32"/>
                <w:lang w:val="en-US" w:eastAsia="zh-CN" w:bidi="ar-SA"/>
              </w:rPr>
            </w:pPr>
            <w:r>
              <w:rPr>
                <w:rFonts w:hint="eastAsia" w:ascii="宋体" w:hAnsi="宋体" w:eastAsia="宋体" w:cs="宋体"/>
                <w:b w:val="0"/>
                <w:bCs/>
                <w:color w:val="auto"/>
                <w:kern w:val="2"/>
                <w:sz w:val="24"/>
                <w:szCs w:val="32"/>
                <w:lang w:val="en-US" w:eastAsia="zh-CN" w:bidi="ar-SA"/>
              </w:rPr>
              <w:t>本项目属于服务类项目，对符合《政府采购促进中小企业发展管理办法》（财库[2020]46号）、关于进一步加大政府采购支持中小企业力度的通知（财库〔2022〕19号）规定的小微企业报价给予10%的扣除，用扣除后的价格参加评审。</w:t>
            </w:r>
          </w:p>
          <w:p>
            <w:pPr>
              <w:ind w:firstLine="480" w:firstLineChars="200"/>
              <w:rPr>
                <w:rFonts w:hint="eastAsia"/>
                <w:color w:val="auto"/>
                <w:lang w:val="en-US" w:eastAsia="zh-CN"/>
              </w:rPr>
            </w:pPr>
            <w:r>
              <w:rPr>
                <w:rFonts w:hint="eastAsia" w:ascii="宋体" w:hAnsi="宋体" w:eastAsia="宋体" w:cs="宋体"/>
                <w:b w:val="0"/>
                <w:bCs/>
                <w:color w:val="auto"/>
                <w:kern w:val="2"/>
                <w:sz w:val="24"/>
                <w:szCs w:val="32"/>
                <w:lang w:val="en-US" w:eastAsia="zh-CN" w:bidi="ar-SA"/>
              </w:rPr>
              <w:t>符合《政府采购促进中小企业发展管理办法》（财库[2020]46号）规定的投标人，需提交《中小企业声明函》（附件7）否则不享受相关中小企业扶持政策。</w:t>
            </w:r>
          </w:p>
          <w:p>
            <w:pPr>
              <w:rPr>
                <w:rFonts w:hint="eastAsia" w:ascii="宋体" w:hAnsi="宋体" w:eastAsia="宋体" w:cs="宋体"/>
                <w:b w:val="0"/>
                <w:bCs/>
                <w:color w:val="auto"/>
                <w:kern w:val="2"/>
                <w:sz w:val="24"/>
                <w:szCs w:val="32"/>
                <w:lang w:val="en-US" w:eastAsia="zh-CN" w:bidi="ar-SA"/>
              </w:rPr>
            </w:pPr>
          </w:p>
        </w:tc>
      </w:tr>
    </w:tbl>
    <w:p>
      <w:pPr>
        <w:pStyle w:val="6"/>
        <w:spacing w:before="168" w:line="360" w:lineRule="auto"/>
        <w:ind w:left="0" w:right="369"/>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kern w:val="2"/>
          <w:sz w:val="24"/>
          <w:szCs w:val="24"/>
          <w:u w:val="none"/>
          <w:lang w:val="en-US" w:eastAsia="zh-CN" w:bidi="ar-SA"/>
        </w:rPr>
        <w:t>注：本供应商须知前附表是对供应商须知正文的具体补充和修改，如有矛盾，以本前附表为准。</w:t>
      </w:r>
    </w:p>
    <w:p>
      <w:pPr>
        <w:spacing w:line="240" w:lineRule="atLeast"/>
        <w:ind w:left="1080" w:leftChars="257" w:hanging="540"/>
        <w:rPr>
          <w:rFonts w:hint="eastAsia" w:ascii="宋体" w:hAnsi="宋体" w:eastAsia="宋体" w:cs="宋体"/>
          <w:i w:val="0"/>
          <w:iCs w:val="0"/>
          <w:color w:val="auto"/>
          <w:sz w:val="24"/>
        </w:rPr>
        <w:sectPr>
          <w:headerReference r:id="rId8" w:type="default"/>
          <w:footerReference r:id="rId10" w:type="default"/>
          <w:headerReference r:id="rId9" w:type="even"/>
          <w:footerReference r:id="rId11" w:type="even"/>
          <w:pgSz w:w="11906" w:h="16838"/>
          <w:pgMar w:top="1440" w:right="1797" w:bottom="1440" w:left="1797" w:header="851" w:footer="992" w:gutter="0"/>
          <w:pgNumType w:fmt="decimal"/>
          <w:cols w:space="720" w:num="1"/>
          <w:docGrid w:linePitch="312" w:charSpace="0"/>
        </w:sectPr>
      </w:pPr>
    </w:p>
    <w:p>
      <w:pPr>
        <w:pStyle w:val="3"/>
        <w:numPr>
          <w:ilvl w:val="0"/>
          <w:numId w:val="6"/>
        </w:numPr>
        <w:tabs>
          <w:tab w:val="left" w:pos="0"/>
        </w:tabs>
        <w:spacing w:before="0" w:after="0" w:line="240" w:lineRule="atLeast"/>
        <w:ind w:leftChars="0"/>
        <w:jc w:val="center"/>
        <w:rPr>
          <w:rFonts w:hint="eastAsia" w:ascii="宋体" w:hAnsi="宋体" w:eastAsia="宋体" w:cs="宋体"/>
          <w:i w:val="0"/>
          <w:iCs w:val="0"/>
          <w:color w:val="auto"/>
        </w:rPr>
      </w:pPr>
      <w:bookmarkStart w:id="244" w:name="_Toc219175638"/>
      <w:bookmarkStart w:id="245" w:name="_Toc218935354"/>
      <w:bookmarkStart w:id="246" w:name="_Toc518923126"/>
      <w:bookmarkStart w:id="247" w:name="_Toc216582825"/>
      <w:bookmarkStart w:id="248" w:name="_Toc7112"/>
      <w:bookmarkStart w:id="249" w:name="_Toc507399906"/>
      <w:bookmarkStart w:id="250" w:name="_Toc512937852"/>
      <w:r>
        <w:rPr>
          <w:rFonts w:hint="eastAsia" w:ascii="宋体" w:hAnsi="宋体" w:eastAsia="宋体" w:cs="宋体"/>
          <w:i w:val="0"/>
          <w:iCs w:val="0"/>
          <w:color w:val="auto"/>
        </w:rPr>
        <w:t>服务需求</w:t>
      </w:r>
      <w:bookmarkEnd w:id="244"/>
      <w:bookmarkEnd w:id="245"/>
      <w:bookmarkEnd w:id="246"/>
      <w:bookmarkEnd w:id="247"/>
      <w:bookmarkEnd w:id="248"/>
      <w:bookmarkEnd w:id="249"/>
      <w:r>
        <w:rPr>
          <w:rFonts w:hint="eastAsia" w:hAnsi="宋体" w:eastAsia="宋体" w:cs="宋体"/>
          <w:i w:val="0"/>
          <w:iCs w:val="0"/>
          <w:color w:val="auto"/>
          <w:lang w:val="en-US" w:eastAsia="zh-CN"/>
        </w:rPr>
        <w:t>及内容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（一）服务需求</w:t>
      </w:r>
    </w:p>
    <w:p>
      <w:pPr>
        <w:spacing w:line="580" w:lineRule="exact"/>
        <w:ind w:firstLine="480"/>
        <w:rPr>
          <w:rFonts w:ascii="宋体" w:hAnsi="宋体" w:cs="宋体"/>
          <w:bCs/>
          <w:color w:val="auto"/>
          <w:sz w:val="24"/>
        </w:rPr>
      </w:pPr>
      <w:r>
        <w:rPr>
          <w:rFonts w:hint="eastAsia" w:ascii="宋体" w:hAnsi="宋体" w:cs="宋体"/>
          <w:bCs/>
          <w:color w:val="auto"/>
          <w:sz w:val="24"/>
        </w:rPr>
        <w:t>“两霍两伊”一体化发展战略规划成果包括综合报告、专题研究及图集。</w:t>
      </w:r>
    </w:p>
    <w:p>
      <w:pPr>
        <w:pStyle w:val="72"/>
        <w:spacing w:line="580" w:lineRule="exact"/>
        <w:ind w:firstLine="482"/>
        <w:jc w:val="left"/>
        <w:rPr>
          <w:rFonts w:ascii="宋体" w:hAnsi="宋体" w:eastAsia="宋体" w:cs="宋体"/>
          <w:b/>
          <w:bCs/>
          <w:color w:val="auto"/>
          <w:sz w:val="24"/>
          <w:lang w:val="en-US" w:eastAsia="zh-CN"/>
        </w:rPr>
      </w:pPr>
      <w:r>
        <w:rPr>
          <w:rFonts w:hint="eastAsia" w:ascii="宋体" w:hAnsi="宋体" w:eastAsia="宋体" w:cs="宋体"/>
          <w:b/>
          <w:bCs/>
          <w:color w:val="auto"/>
          <w:sz w:val="24"/>
          <w:szCs w:val="24"/>
          <w:lang w:val="en-US" w:eastAsia="zh-CN" w:bidi="ar-SA"/>
        </w:rPr>
        <w:t>1、</w:t>
      </w:r>
      <w:r>
        <w:rPr>
          <w:rFonts w:hint="eastAsia" w:ascii="宋体" w:hAnsi="宋体" w:eastAsia="宋体" w:cs="宋体"/>
          <w:b/>
          <w:bCs/>
          <w:color w:val="auto"/>
          <w:sz w:val="24"/>
          <w:lang w:val="en-US" w:eastAsia="zh-CN"/>
        </w:rPr>
        <w:t>综合报告</w:t>
      </w:r>
    </w:p>
    <w:p>
      <w:pPr>
        <w:spacing w:line="580" w:lineRule="exact"/>
        <w:ind w:firstLine="480"/>
        <w:rPr>
          <w:rFonts w:ascii="宋体" w:hAnsi="宋体" w:cs="宋体"/>
          <w:bCs/>
          <w:color w:val="auto"/>
          <w:sz w:val="24"/>
        </w:rPr>
      </w:pPr>
      <w:r>
        <w:rPr>
          <w:rFonts w:hint="eastAsia" w:ascii="宋体" w:hAnsi="宋体" w:cs="宋体"/>
          <w:bCs/>
          <w:color w:val="auto"/>
          <w:sz w:val="24"/>
        </w:rPr>
        <w:t>综合报告是对两霍两伊一体化发展战略规划技术思路和主要内容的说明性文字，包括但不限于：总则、规划目标、一体化发展策略、区域风貌指引、城市建设指引、实施保障等。</w:t>
      </w:r>
    </w:p>
    <w:p>
      <w:pPr>
        <w:pStyle w:val="72"/>
        <w:spacing w:line="580" w:lineRule="exact"/>
        <w:ind w:firstLine="482"/>
        <w:jc w:val="left"/>
        <w:rPr>
          <w:rFonts w:ascii="宋体" w:hAnsi="宋体" w:eastAsia="宋体" w:cs="宋体"/>
          <w:b/>
          <w:bCs/>
          <w:color w:val="auto"/>
          <w:sz w:val="24"/>
          <w:lang w:val="en-US" w:eastAsia="zh-CN"/>
        </w:rPr>
      </w:pPr>
      <w:r>
        <w:rPr>
          <w:rFonts w:ascii="宋体" w:hAnsi="宋体" w:eastAsia="宋体" w:cs="宋体"/>
          <w:b/>
          <w:bCs/>
          <w:color w:val="auto"/>
          <w:sz w:val="24"/>
          <w:szCs w:val="24"/>
          <w:lang w:val="en-US" w:eastAsia="zh-CN" w:bidi="ar-SA"/>
        </w:rPr>
        <w:t>2</w:t>
      </w:r>
      <w:r>
        <w:rPr>
          <w:rFonts w:hint="eastAsia" w:ascii="宋体" w:hAnsi="宋体" w:eastAsia="宋体" w:cs="宋体"/>
          <w:b/>
          <w:bCs/>
          <w:color w:val="auto"/>
          <w:sz w:val="24"/>
          <w:szCs w:val="24"/>
          <w:lang w:val="en-US" w:eastAsia="zh-CN" w:bidi="ar-SA"/>
        </w:rPr>
        <w:t>、专题研究</w:t>
      </w:r>
    </w:p>
    <w:p>
      <w:pPr>
        <w:spacing w:line="580" w:lineRule="exact"/>
        <w:ind w:firstLine="480"/>
        <w:rPr>
          <w:rFonts w:hint="eastAsia" w:ascii="宋体" w:hAnsi="宋体" w:cs="宋体"/>
          <w:bCs/>
          <w:color w:val="auto"/>
          <w:sz w:val="24"/>
        </w:rPr>
      </w:pPr>
      <w:r>
        <w:rPr>
          <w:rFonts w:hint="eastAsia" w:ascii="宋体" w:hAnsi="宋体" w:cs="宋体"/>
          <w:bCs/>
          <w:color w:val="auto"/>
          <w:sz w:val="24"/>
        </w:rPr>
        <w:t>专题研究</w:t>
      </w:r>
      <w:r>
        <w:rPr>
          <w:rFonts w:hint="eastAsia" w:ascii="宋体" w:hAnsi="宋体" w:cs="宋体"/>
          <w:bCs/>
          <w:color w:val="auto"/>
          <w:sz w:val="24"/>
          <w:lang w:val="en-US" w:eastAsia="zh-CN"/>
        </w:rPr>
        <w:t>是对</w:t>
      </w:r>
      <w:r>
        <w:rPr>
          <w:rFonts w:hint="eastAsia" w:ascii="宋体" w:hAnsi="宋体" w:cs="宋体"/>
          <w:bCs/>
          <w:color w:val="auto"/>
          <w:sz w:val="24"/>
        </w:rPr>
        <w:t>两霍两伊一体化发展战略</w:t>
      </w:r>
      <w:r>
        <w:rPr>
          <w:rFonts w:hint="eastAsia" w:ascii="宋体" w:hAnsi="宋体" w:cs="宋体"/>
          <w:bCs/>
          <w:color w:val="auto"/>
          <w:sz w:val="24"/>
          <w:lang w:val="en-US" w:eastAsia="zh-CN"/>
        </w:rPr>
        <w:t>中重点部分的详细说明，</w:t>
      </w:r>
      <w:r>
        <w:rPr>
          <w:rFonts w:hint="eastAsia" w:ascii="宋体" w:hAnsi="宋体" w:cs="宋体"/>
          <w:bCs/>
          <w:color w:val="auto"/>
          <w:sz w:val="24"/>
        </w:rPr>
        <w:t>聚焦战略定位、空间评估、产业发展、风貌塑造等方面。</w:t>
      </w:r>
    </w:p>
    <w:p>
      <w:pPr>
        <w:pStyle w:val="72"/>
        <w:spacing w:line="580" w:lineRule="exact"/>
        <w:ind w:firstLine="482"/>
        <w:jc w:val="left"/>
        <w:rPr>
          <w:rFonts w:hint="eastAsia" w:ascii="宋体" w:hAnsi="宋体" w:eastAsia="宋体" w:cs="宋体"/>
          <w:b/>
          <w:bCs/>
          <w:color w:val="auto"/>
          <w:sz w:val="24"/>
          <w:szCs w:val="24"/>
          <w:lang w:val="en-US" w:eastAsia="zh-CN" w:bidi="ar-SA"/>
        </w:rPr>
      </w:pPr>
      <w:r>
        <w:rPr>
          <w:rFonts w:ascii="宋体" w:hAnsi="宋体" w:eastAsia="宋体" w:cs="宋体"/>
          <w:b/>
          <w:bCs/>
          <w:color w:val="auto"/>
          <w:sz w:val="24"/>
          <w:szCs w:val="24"/>
          <w:lang w:val="en-US" w:eastAsia="zh-CN" w:bidi="ar-SA"/>
        </w:rPr>
        <w:t>3</w:t>
      </w:r>
      <w:r>
        <w:rPr>
          <w:rFonts w:hint="eastAsia" w:ascii="宋体" w:hAnsi="宋体" w:eastAsia="宋体" w:cs="宋体"/>
          <w:b/>
          <w:bCs/>
          <w:color w:val="auto"/>
          <w:sz w:val="24"/>
          <w:szCs w:val="24"/>
          <w:lang w:val="en-US" w:eastAsia="zh-CN" w:bidi="ar-SA"/>
        </w:rPr>
        <w:t>、图集</w:t>
      </w:r>
    </w:p>
    <w:p>
      <w:pPr>
        <w:spacing w:line="580" w:lineRule="exact"/>
        <w:ind w:firstLine="480"/>
        <w:rPr>
          <w:rFonts w:ascii="宋体" w:hAnsi="宋体" w:cs="宋体"/>
          <w:bCs/>
          <w:color w:val="auto"/>
          <w:sz w:val="24"/>
        </w:rPr>
      </w:pPr>
      <w:r>
        <w:rPr>
          <w:rFonts w:ascii="宋体" w:hAnsi="宋体" w:cs="宋体"/>
          <w:bCs/>
          <w:color w:val="auto"/>
          <w:sz w:val="24"/>
        </w:rPr>
        <w:t>图集内容包括：</w:t>
      </w:r>
      <w:r>
        <w:rPr>
          <w:rFonts w:hint="eastAsia" w:ascii="宋体" w:hAnsi="宋体" w:cs="宋体"/>
          <w:bCs/>
          <w:color w:val="auto"/>
          <w:sz w:val="24"/>
        </w:rPr>
        <w:t>两霍两伊区位图；现状用地、综合交通、产业分工、空间结构、功能结构、生态空间等相关规划图等。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Times New Roman"/>
          <w:color w:val="auto"/>
          <w:u w:val="none"/>
          <w:lang w:eastAsia="zh-CN"/>
        </w:rPr>
      </w:pPr>
      <w:r>
        <w:rPr>
          <w:rFonts w:hint="eastAsia" w:ascii="宋体" w:hAnsi="宋体" w:eastAsia="宋体" w:cs="宋体"/>
          <w:b/>
          <w:bCs/>
          <w:color w:val="auto"/>
          <w:sz w:val="24"/>
          <w:szCs w:val="24"/>
          <w:lang w:val="en-US" w:eastAsia="zh-CN"/>
        </w:rPr>
        <w:t>（二）服务内容</w:t>
      </w:r>
    </w:p>
    <w:p>
      <w:pPr>
        <w:spacing w:line="580" w:lineRule="exact"/>
        <w:ind w:firstLine="482"/>
        <w:jc w:val="left"/>
        <w:rPr>
          <w:rFonts w:hint="eastAsia" w:ascii="宋体" w:hAnsi="宋体" w:cs="宋体"/>
          <w:b/>
          <w:bCs/>
          <w:color w:val="auto"/>
          <w:sz w:val="24"/>
        </w:rPr>
      </w:pPr>
      <w:r>
        <w:rPr>
          <w:rFonts w:hint="eastAsia" w:ascii="宋体" w:hAnsi="宋体" w:cs="宋体"/>
          <w:b/>
          <w:bCs/>
          <w:color w:val="auto"/>
          <w:sz w:val="24"/>
        </w:rPr>
        <w:t>1、项目名称</w:t>
      </w:r>
    </w:p>
    <w:p>
      <w:pPr>
        <w:spacing w:line="580" w:lineRule="exact"/>
        <w:ind w:firstLine="480"/>
        <w:jc w:val="left"/>
        <w:rPr>
          <w:rFonts w:hint="eastAsia" w:ascii="宋体" w:hAnsi="宋体" w:cs="宋体"/>
          <w:color w:val="auto"/>
          <w:sz w:val="24"/>
        </w:rPr>
      </w:pPr>
      <w:r>
        <w:rPr>
          <w:rFonts w:hint="eastAsia" w:ascii="宋体" w:hAnsi="宋体" w:cs="宋体"/>
          <w:color w:val="auto"/>
          <w:sz w:val="24"/>
        </w:rPr>
        <w:t>“两霍两伊”一体化发展战略规划</w:t>
      </w:r>
    </w:p>
    <w:p>
      <w:pPr>
        <w:spacing w:line="580" w:lineRule="exact"/>
        <w:ind w:firstLine="482"/>
        <w:jc w:val="left"/>
        <w:rPr>
          <w:rFonts w:hint="eastAsia" w:ascii="宋体" w:hAnsi="宋体" w:cs="宋体"/>
          <w:b/>
          <w:bCs/>
          <w:color w:val="auto"/>
          <w:sz w:val="24"/>
        </w:rPr>
      </w:pPr>
      <w:r>
        <w:rPr>
          <w:rFonts w:hint="eastAsia" w:ascii="宋体" w:hAnsi="宋体" w:cs="宋体"/>
          <w:b/>
          <w:bCs/>
          <w:color w:val="auto"/>
          <w:sz w:val="24"/>
        </w:rPr>
        <w:t>2、项目范围</w:t>
      </w:r>
    </w:p>
    <w:p>
      <w:pPr>
        <w:spacing w:line="580" w:lineRule="exact"/>
        <w:ind w:firstLine="480"/>
        <w:jc w:val="left"/>
        <w:rPr>
          <w:rFonts w:hint="eastAsia" w:ascii="宋体" w:hAnsi="宋体" w:cs="宋体"/>
          <w:color w:val="auto"/>
          <w:sz w:val="24"/>
        </w:rPr>
      </w:pPr>
      <w:r>
        <w:rPr>
          <w:rFonts w:hint="eastAsia" w:ascii="宋体" w:hAnsi="宋体" w:cs="宋体"/>
          <w:color w:val="auto"/>
          <w:sz w:val="24"/>
        </w:rPr>
        <w:t>两霍两伊地区包含霍尔果斯市、伊宁市、霍城县、可克达拉市、伊宁县、察布查尔锡伯自治县六个县市，国土面积15164.49平方公里。</w:t>
      </w:r>
    </w:p>
    <w:p>
      <w:pPr>
        <w:spacing w:line="580" w:lineRule="exact"/>
        <w:ind w:firstLine="482"/>
        <w:jc w:val="left"/>
        <w:rPr>
          <w:rFonts w:hint="eastAsia" w:ascii="宋体" w:hAnsi="宋体" w:cs="宋体"/>
          <w:b/>
          <w:bCs/>
          <w:color w:val="auto"/>
          <w:sz w:val="24"/>
        </w:rPr>
      </w:pPr>
      <w:r>
        <w:rPr>
          <w:rFonts w:hint="eastAsia" w:ascii="宋体" w:hAnsi="宋体" w:cs="宋体"/>
          <w:b/>
          <w:bCs/>
          <w:color w:val="auto"/>
          <w:sz w:val="24"/>
          <w:lang w:val="en-US" w:eastAsia="zh-CN"/>
        </w:rPr>
        <w:t>3.</w:t>
      </w:r>
      <w:r>
        <w:rPr>
          <w:rFonts w:hint="eastAsia" w:ascii="宋体" w:hAnsi="宋体" w:cs="宋体"/>
          <w:b/>
          <w:bCs/>
          <w:color w:val="auto"/>
          <w:sz w:val="24"/>
        </w:rPr>
        <w:t>工作重点</w:t>
      </w:r>
    </w:p>
    <w:p>
      <w:pPr>
        <w:spacing w:line="580" w:lineRule="exact"/>
        <w:ind w:firstLine="480"/>
        <w:jc w:val="left"/>
        <w:rPr>
          <w:rFonts w:hint="eastAsia" w:ascii="宋体" w:hAnsi="宋体" w:cs="宋体"/>
          <w:color w:val="auto"/>
          <w:sz w:val="24"/>
        </w:rPr>
      </w:pPr>
      <w:r>
        <w:rPr>
          <w:rFonts w:hint="eastAsia" w:ascii="宋体" w:hAnsi="宋体" w:cs="宋体"/>
          <w:color w:val="auto"/>
          <w:sz w:val="24"/>
        </w:rPr>
        <w:t>（1）找准目标定位，做强发展引擎。深刻认识“两霍两伊”一体化地区在新疆各类重大战略中的重要性，依托向西开放的独特区位优势，拓宽国际视野、坚持高点目标定位，准确谋划该地区在丝绸之路经济带、全国、全疆的重要地位，加快提升城市建设发展现代化水平，不断增强对区域发展的引领带动能力。</w:t>
      </w:r>
    </w:p>
    <w:p>
      <w:pPr>
        <w:spacing w:line="580" w:lineRule="exact"/>
        <w:ind w:firstLine="480"/>
        <w:jc w:val="left"/>
        <w:rPr>
          <w:rFonts w:hint="eastAsia" w:ascii="宋体" w:hAnsi="宋体" w:cs="宋体"/>
          <w:color w:val="auto"/>
          <w:sz w:val="24"/>
        </w:rPr>
      </w:pPr>
      <w:r>
        <w:rPr>
          <w:rFonts w:hint="eastAsia" w:ascii="宋体" w:hAnsi="宋体" w:cs="宋体"/>
          <w:color w:val="auto"/>
          <w:sz w:val="24"/>
        </w:rPr>
        <w:t>（2）强化辐射作用，推动集聚发展。围绕丝绸之路经济带核心区高质量发展，进一步增强“两霍两伊”一体化地区在联通内外和全区商贸物流、文化旅游等重点领域发展中的重要功能，持续完善提升城市发展能级，促进产业、人口高效聚集。</w:t>
      </w:r>
    </w:p>
    <w:p>
      <w:pPr>
        <w:spacing w:line="580" w:lineRule="exact"/>
        <w:ind w:firstLine="480"/>
        <w:jc w:val="left"/>
        <w:rPr>
          <w:rFonts w:hint="eastAsia" w:ascii="宋体" w:hAnsi="宋体" w:cs="宋体"/>
          <w:color w:val="auto"/>
          <w:sz w:val="24"/>
        </w:rPr>
      </w:pPr>
      <w:r>
        <w:rPr>
          <w:rFonts w:hint="eastAsia" w:ascii="宋体" w:hAnsi="宋体" w:cs="宋体"/>
          <w:color w:val="auto"/>
          <w:sz w:val="24"/>
        </w:rPr>
        <w:t>（3）突出产业带动，夯实发展根基。统筹城市建设和产业发展，加快推动要素集聚、产业集中、服务集成，充分发挥资源优势，着力优化产业布局，积极融入口岸经济带建设，加快提升外向型经济发展水平，积极构建具有本地特色的现代化产业体系，夯实城市发展根基，壮大整体实力。</w:t>
      </w:r>
    </w:p>
    <w:p>
      <w:pPr>
        <w:spacing w:line="580" w:lineRule="exact"/>
        <w:ind w:firstLine="480"/>
        <w:jc w:val="left"/>
        <w:rPr>
          <w:color w:val="auto"/>
        </w:rPr>
      </w:pPr>
      <w:r>
        <w:rPr>
          <w:rFonts w:hint="eastAsia" w:ascii="宋体" w:hAnsi="宋体" w:cs="宋体"/>
          <w:color w:val="auto"/>
          <w:sz w:val="24"/>
        </w:rPr>
        <w:t>（4）提升城市品质，建设人民城市。深入践行“人民城市人民建，人民城市为人民”理念，加快集聚优质资源，不断拓展城市服务功能，打造独具特色的城市风貌，充分发掘展示文化底蕴，提升现代化城市内涵品位，加快提高治理体系和治理能力现代化水平，不断提升各族群众获得感幸福感安全感。</w:t>
      </w:r>
    </w:p>
    <w:p>
      <w:pPr>
        <w:pStyle w:val="5"/>
        <w:tabs>
          <w:tab w:val="clear" w:pos="567"/>
        </w:tabs>
        <w:spacing w:before="0" w:line="360" w:lineRule="auto"/>
        <w:ind w:left="-181" w:leftChars="-86" w:firstLine="180" w:firstLineChars="75"/>
        <w:rPr>
          <w:rFonts w:hint="eastAsia" w:ascii="宋体" w:hAnsi="宋体" w:eastAsia="宋体" w:cs="Times New Roman"/>
          <w:color w:val="auto"/>
          <w:u w:val="none"/>
          <w:lang w:eastAsia="zh-CN"/>
        </w:rPr>
      </w:pPr>
    </w:p>
    <w:p>
      <w:pPr>
        <w:pStyle w:val="5"/>
        <w:tabs>
          <w:tab w:val="clear" w:pos="567"/>
        </w:tabs>
        <w:spacing w:before="0" w:line="360" w:lineRule="auto"/>
        <w:ind w:left="-181" w:leftChars="-86" w:firstLine="180" w:firstLineChars="75"/>
        <w:rPr>
          <w:rFonts w:hint="eastAsia" w:ascii="宋体" w:hAnsi="宋体" w:eastAsia="宋体" w:cs="Times New Roman"/>
          <w:color w:val="auto"/>
          <w:u w:val="none"/>
          <w:lang w:eastAsia="zh-CN"/>
        </w:rPr>
      </w:pPr>
    </w:p>
    <w:p>
      <w:pPr>
        <w:pStyle w:val="5"/>
        <w:tabs>
          <w:tab w:val="clear" w:pos="567"/>
        </w:tabs>
        <w:spacing w:before="0" w:line="360" w:lineRule="auto"/>
        <w:ind w:left="-181" w:leftChars="-86" w:firstLine="180" w:firstLineChars="75"/>
        <w:rPr>
          <w:rFonts w:hint="eastAsia" w:ascii="宋体" w:hAnsi="宋体" w:eastAsia="宋体" w:cs="Times New Roman"/>
          <w:color w:val="auto"/>
          <w:u w:val="none"/>
          <w:lang w:val="en-US" w:eastAsia="zh-CN"/>
        </w:rPr>
      </w:pPr>
      <w:r>
        <w:rPr>
          <w:rFonts w:hint="eastAsia" w:ascii="宋体" w:hAnsi="宋体" w:eastAsia="宋体" w:cs="Times New Roman"/>
          <w:color w:val="auto"/>
          <w:u w:val="none"/>
          <w:lang w:val="en-US" w:eastAsia="zh-CN"/>
        </w:rPr>
        <w:t>说明：以上条款内容不得偏离，否则视为不响应采购文件要求作无效投标文件处理。</w:t>
      </w:r>
    </w:p>
    <w:p>
      <w:pPr>
        <w:pStyle w:val="5"/>
        <w:tabs>
          <w:tab w:val="clear" w:pos="567"/>
        </w:tabs>
        <w:spacing w:before="0" w:line="360" w:lineRule="auto"/>
        <w:ind w:left="-181" w:leftChars="-86" w:firstLine="180" w:firstLineChars="75"/>
        <w:rPr>
          <w:rFonts w:hint="eastAsia" w:ascii="宋体" w:hAnsi="宋体" w:eastAsia="宋体" w:cs="Times New Roman"/>
          <w:color w:val="auto"/>
          <w:u w:val="none"/>
          <w:lang w:val="en-US" w:eastAsia="zh-CN"/>
        </w:rPr>
      </w:pPr>
    </w:p>
    <w:p>
      <w:pPr>
        <w:pStyle w:val="5"/>
        <w:tabs>
          <w:tab w:val="clear" w:pos="567"/>
        </w:tabs>
        <w:spacing w:before="0" w:line="360" w:lineRule="auto"/>
        <w:ind w:left="-181" w:leftChars="-86" w:firstLine="180" w:firstLineChars="75"/>
        <w:rPr>
          <w:rFonts w:hint="eastAsia" w:ascii="宋体" w:hAnsi="宋体" w:eastAsia="宋体" w:cs="Times New Roman"/>
          <w:color w:val="auto"/>
          <w:u w:val="none"/>
          <w:lang w:val="en-US" w:eastAsia="zh-CN"/>
        </w:rPr>
      </w:pPr>
    </w:p>
    <w:p>
      <w:pPr>
        <w:pStyle w:val="32"/>
        <w:ind w:left="0" w:leftChars="0" w:firstLine="0" w:firstLineChars="0"/>
        <w:rPr>
          <w:rFonts w:hint="eastAsia"/>
          <w:b/>
          <w:bCs/>
          <w:color w:val="auto"/>
          <w:sz w:val="28"/>
          <w:szCs w:val="28"/>
          <w:lang w:val="en-US" w:eastAsia="zh-CN"/>
        </w:rPr>
      </w:pPr>
    </w:p>
    <w:p>
      <w:pPr>
        <w:pStyle w:val="32"/>
        <w:ind w:left="0" w:leftChars="0" w:firstLine="0" w:firstLineChars="0"/>
        <w:rPr>
          <w:rFonts w:hint="eastAsia"/>
          <w:b/>
          <w:bCs/>
          <w:color w:val="auto"/>
          <w:sz w:val="28"/>
          <w:szCs w:val="28"/>
          <w:lang w:val="en-US" w:eastAsia="zh-CN"/>
        </w:rPr>
      </w:pPr>
    </w:p>
    <w:p>
      <w:pPr>
        <w:pStyle w:val="8"/>
        <w:rPr>
          <w:rFonts w:hint="eastAsia"/>
          <w:b/>
          <w:bCs/>
          <w:color w:val="auto"/>
          <w:sz w:val="28"/>
          <w:szCs w:val="28"/>
          <w:lang w:val="en-US" w:eastAsia="zh-CN"/>
        </w:rPr>
      </w:pPr>
    </w:p>
    <w:p>
      <w:pPr>
        <w:pStyle w:val="8"/>
        <w:rPr>
          <w:rFonts w:hint="eastAsia"/>
          <w:b/>
          <w:bCs/>
          <w:color w:val="auto"/>
          <w:sz w:val="28"/>
          <w:szCs w:val="28"/>
          <w:lang w:val="en-US" w:eastAsia="zh-CN"/>
        </w:rPr>
      </w:pPr>
    </w:p>
    <w:p>
      <w:pPr>
        <w:pStyle w:val="32"/>
        <w:ind w:left="0" w:leftChars="0" w:firstLine="0" w:firstLineChars="0"/>
        <w:rPr>
          <w:rFonts w:hint="eastAsia"/>
          <w:b/>
          <w:bCs/>
          <w:color w:val="auto"/>
          <w:sz w:val="28"/>
          <w:szCs w:val="28"/>
          <w:lang w:val="en-US" w:eastAsia="zh-CN"/>
        </w:rPr>
      </w:pPr>
    </w:p>
    <w:p>
      <w:pPr>
        <w:pStyle w:val="32"/>
        <w:ind w:left="0" w:leftChars="0" w:firstLine="0" w:firstLineChars="0"/>
        <w:rPr>
          <w:rFonts w:hint="eastAsia"/>
          <w:b/>
          <w:bCs/>
          <w:color w:val="auto"/>
          <w:sz w:val="28"/>
          <w:szCs w:val="28"/>
          <w:lang w:val="en-US" w:eastAsia="zh-CN"/>
        </w:rPr>
      </w:pPr>
    </w:p>
    <w:p>
      <w:pPr>
        <w:pStyle w:val="32"/>
        <w:ind w:left="0" w:leftChars="0" w:firstLine="0" w:firstLineChars="0"/>
        <w:rPr>
          <w:rFonts w:hint="eastAsia"/>
          <w:b/>
          <w:bCs/>
          <w:color w:val="auto"/>
          <w:sz w:val="28"/>
          <w:szCs w:val="28"/>
          <w:lang w:val="en-US" w:eastAsia="zh-CN"/>
        </w:rPr>
      </w:pPr>
    </w:p>
    <w:bookmarkEnd w:id="250"/>
    <w:p>
      <w:pPr>
        <w:rPr>
          <w:rFonts w:hint="eastAsia" w:hAnsi="宋体" w:eastAsia="宋体" w:cs="宋体"/>
          <w:i w:val="0"/>
          <w:iCs w:val="0"/>
          <w:color w:val="auto"/>
          <w:lang w:val="en-US" w:eastAsia="zh-CN"/>
        </w:rPr>
      </w:pPr>
      <w:bookmarkStart w:id="251" w:name="_Toc216582826"/>
      <w:bookmarkStart w:id="252" w:name="_Toc219175639"/>
      <w:bookmarkStart w:id="253" w:name="_Toc218935355"/>
    </w:p>
    <w:p>
      <w:pPr>
        <w:pStyle w:val="3"/>
        <w:numPr>
          <w:ilvl w:val="0"/>
          <w:numId w:val="0"/>
        </w:numPr>
        <w:tabs>
          <w:tab w:val="left" w:pos="0"/>
        </w:tabs>
        <w:spacing w:before="0" w:after="0" w:line="240" w:lineRule="atLeast"/>
        <w:jc w:val="center"/>
        <w:rPr>
          <w:rFonts w:hint="eastAsia" w:hAnsi="宋体" w:eastAsia="宋体" w:cs="宋体"/>
          <w:i w:val="0"/>
          <w:iCs w:val="0"/>
          <w:color w:val="auto"/>
          <w:lang w:val="en-US" w:eastAsia="zh-CN"/>
        </w:rPr>
      </w:pPr>
    </w:p>
    <w:p>
      <w:pPr>
        <w:pStyle w:val="3"/>
        <w:numPr>
          <w:ilvl w:val="0"/>
          <w:numId w:val="6"/>
        </w:numPr>
        <w:tabs>
          <w:tab w:val="left" w:pos="0"/>
        </w:tabs>
        <w:spacing w:before="0" w:after="0" w:line="240" w:lineRule="atLeast"/>
        <w:ind w:left="0" w:leftChars="0" w:firstLine="0" w:firstLineChars="0"/>
        <w:jc w:val="center"/>
        <w:rPr>
          <w:rFonts w:hint="eastAsia" w:ascii="宋体" w:hAnsi="宋体" w:eastAsia="宋体" w:cs="宋体"/>
          <w:i w:val="0"/>
          <w:iCs w:val="0"/>
          <w:color w:val="auto"/>
        </w:rPr>
      </w:pPr>
      <w:bookmarkStart w:id="254" w:name="_Toc518923127"/>
      <w:bookmarkStart w:id="255" w:name="_Toc507399907"/>
      <w:bookmarkStart w:id="256" w:name="_Toc10220"/>
      <w:r>
        <w:rPr>
          <w:rFonts w:hint="eastAsia" w:hAnsi="宋体" w:eastAsia="宋体" w:cs="宋体"/>
          <w:i w:val="0"/>
          <w:iCs w:val="0"/>
          <w:color w:val="auto"/>
          <w:lang w:val="en-US" w:eastAsia="zh-CN"/>
        </w:rPr>
        <w:t xml:space="preserve"> </w:t>
      </w:r>
      <w:r>
        <w:rPr>
          <w:rFonts w:hint="eastAsia" w:ascii="宋体" w:hAnsi="宋体" w:eastAsia="宋体" w:cs="宋体"/>
          <w:i w:val="0"/>
          <w:iCs w:val="0"/>
          <w:color w:val="auto"/>
        </w:rPr>
        <w:t>评标方法和标准</w:t>
      </w:r>
      <w:bookmarkEnd w:id="251"/>
      <w:bookmarkEnd w:id="252"/>
      <w:bookmarkEnd w:id="253"/>
      <w:bookmarkEnd w:id="254"/>
      <w:bookmarkEnd w:id="255"/>
      <w:bookmarkEnd w:id="256"/>
    </w:p>
    <w:p>
      <w:pPr>
        <w:numPr>
          <w:ilvl w:val="0"/>
          <w:numId w:val="0"/>
        </w:numPr>
        <w:ind w:leftChars="0"/>
        <w:rPr>
          <w:rFonts w:hint="eastAsia"/>
          <w:color w:val="auto"/>
        </w:rPr>
      </w:pPr>
    </w:p>
    <w:p>
      <w:pPr>
        <w:pStyle w:val="5"/>
        <w:tabs>
          <w:tab w:val="clear" w:pos="567"/>
        </w:tabs>
        <w:spacing w:before="0" w:line="240" w:lineRule="atLeast"/>
        <w:ind w:firstLine="540" w:firstLineChars="225"/>
        <w:rPr>
          <w:rFonts w:hint="eastAsia" w:ascii="宋体" w:hAnsi="宋体" w:eastAsia="宋体" w:cs="宋体"/>
          <w:i w:val="0"/>
          <w:iCs w:val="0"/>
          <w:color w:val="auto"/>
        </w:rPr>
      </w:pPr>
    </w:p>
    <w:p>
      <w:pPr>
        <w:pStyle w:val="5"/>
        <w:tabs>
          <w:tab w:val="clear" w:pos="567"/>
        </w:tabs>
        <w:spacing w:before="0" w:line="360" w:lineRule="auto"/>
        <w:ind w:firstLine="540" w:firstLineChars="225"/>
        <w:rPr>
          <w:rFonts w:hint="eastAsia" w:ascii="宋体" w:hAnsi="宋体" w:eastAsia="宋体" w:cs="宋体"/>
          <w:i w:val="0"/>
          <w:iCs w:val="0"/>
          <w:color w:val="auto"/>
        </w:rPr>
      </w:pPr>
      <w:r>
        <w:rPr>
          <w:rFonts w:hint="eastAsia" w:ascii="宋体" w:hAnsi="宋体" w:eastAsia="宋体" w:cs="宋体"/>
          <w:i w:val="0"/>
          <w:iCs w:val="0"/>
          <w:color w:val="auto"/>
        </w:rPr>
        <w:t>本项目将按照招标文件第一章投标人须知中“五 开标及评标”、“六 确定中标”及本章的规定评标。</w:t>
      </w:r>
    </w:p>
    <w:p>
      <w:pPr>
        <w:pStyle w:val="5"/>
        <w:tabs>
          <w:tab w:val="clear" w:pos="567"/>
        </w:tabs>
        <w:spacing w:before="100" w:beforeAutospacing="1" w:after="100" w:afterAutospacing="1" w:line="360" w:lineRule="auto"/>
        <w:rPr>
          <w:rFonts w:hint="eastAsia" w:ascii="宋体" w:hAnsi="宋体" w:eastAsia="宋体" w:cs="宋体"/>
          <w:i w:val="0"/>
          <w:iCs w:val="0"/>
          <w:color w:val="auto"/>
        </w:rPr>
      </w:pPr>
      <w:r>
        <w:rPr>
          <w:rFonts w:hint="eastAsia" w:ascii="宋体" w:hAnsi="宋体" w:eastAsia="宋体" w:cs="宋体"/>
          <w:i w:val="0"/>
          <w:iCs w:val="0"/>
          <w:color w:val="auto"/>
        </w:rPr>
        <w:t>（内容要包括</w:t>
      </w:r>
      <w:r>
        <w:rPr>
          <w:rFonts w:hint="eastAsia" w:ascii="宋体" w:hAnsi="宋体" w:eastAsia="宋体" w:cs="宋体"/>
          <w:b/>
          <w:i w:val="0"/>
          <w:iCs w:val="0"/>
          <w:color w:val="auto"/>
        </w:rPr>
        <w:t>投标无效</w:t>
      </w:r>
      <w:r>
        <w:rPr>
          <w:rFonts w:hint="eastAsia" w:ascii="宋体" w:hAnsi="宋体" w:eastAsia="宋体" w:cs="宋体"/>
          <w:i w:val="0"/>
          <w:iCs w:val="0"/>
          <w:color w:val="auto"/>
        </w:rPr>
        <w:t>界定和详细评标标准）</w:t>
      </w:r>
    </w:p>
    <w:p>
      <w:pPr>
        <w:widowControl/>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注：1.根据《政府采购促进中小企业发展暂行办法》（财库[2011]181号）、</w:t>
      </w:r>
      <w:r>
        <w:rPr>
          <w:rFonts w:hint="eastAsia" w:ascii="宋体" w:hAnsi="宋体" w:eastAsia="宋体" w:cs="宋体"/>
          <w:b w:val="0"/>
          <w:bCs/>
          <w:color w:val="auto"/>
          <w:kern w:val="2"/>
          <w:sz w:val="24"/>
          <w:szCs w:val="32"/>
          <w:lang w:val="en-US" w:eastAsia="zh-CN" w:bidi="ar-SA"/>
        </w:rPr>
        <w:t>《政府采购促进中小企业发展管理办法》（财库[2020]46号）文件、关于进一步加大政府采购支持中小企业力度的通知财库〔2022〕19号的规定，</w:t>
      </w:r>
      <w:r>
        <w:rPr>
          <w:rFonts w:hint="eastAsia" w:ascii="宋体" w:hAnsi="宋体" w:eastAsia="宋体" w:cs="宋体"/>
          <w:i w:val="0"/>
          <w:iCs w:val="0"/>
          <w:color w:val="auto"/>
          <w:sz w:val="24"/>
        </w:rPr>
        <w:t>《财政部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u w:val="single"/>
          <w:lang w:val="en-US" w:eastAsia="zh-CN"/>
        </w:rPr>
        <w:t>10</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 xml:space="preserve"> %后参与评审。对于同时属于小微企业、监狱企业或残疾人福利性单位的，不重复进行投标报价扣除。如有其它政策支持因素（如鼓励创新等）需一并列出。</w:t>
      </w:r>
    </w:p>
    <w:p>
      <w:pPr>
        <w:pStyle w:val="5"/>
        <w:tabs>
          <w:tab w:val="clear" w:pos="567"/>
        </w:tabs>
        <w:spacing w:before="0" w:line="360" w:lineRule="auto"/>
        <w:ind w:left="-181" w:leftChars="-86" w:firstLine="660" w:firstLineChars="275"/>
        <w:rPr>
          <w:rFonts w:hint="eastAsia" w:ascii="宋体" w:hAnsi="宋体" w:eastAsia="宋体" w:cs="宋体"/>
          <w:i w:val="0"/>
          <w:iCs w:val="0"/>
          <w:color w:val="auto"/>
        </w:rPr>
      </w:pPr>
      <w:r>
        <w:rPr>
          <w:rFonts w:hint="eastAsia" w:eastAsia="宋体" w:cs="宋体"/>
          <w:i w:val="0"/>
          <w:iCs w:val="0"/>
          <w:color w:val="auto"/>
          <w:lang w:val="en-US" w:eastAsia="zh-CN"/>
        </w:rPr>
        <w:t>2</w:t>
      </w:r>
      <w:r>
        <w:rPr>
          <w:rFonts w:hint="eastAsia" w:ascii="宋体" w:hAnsi="宋体" w:eastAsia="宋体" w:cs="宋体"/>
          <w:i w:val="0"/>
          <w:iCs w:val="0"/>
          <w:color w:val="auto"/>
        </w:rPr>
        <w:t xml:space="preserve">.中标候选人并列时的处理方式：   </w:t>
      </w:r>
    </w:p>
    <w:p>
      <w:pPr>
        <w:pStyle w:val="5"/>
        <w:tabs>
          <w:tab w:val="clear" w:pos="567"/>
        </w:tabs>
        <w:spacing w:before="0" w:line="360" w:lineRule="auto"/>
        <w:rPr>
          <w:rFonts w:hint="eastAsia" w:ascii="宋体" w:hAnsi="宋体" w:eastAsia="宋体" w:cs="宋体"/>
          <w:i w:val="0"/>
          <w:iCs w:val="0"/>
          <w:color w:val="auto"/>
        </w:rPr>
      </w:pPr>
      <w:r>
        <w:rPr>
          <w:rFonts w:hint="eastAsia" w:ascii="宋体" w:hAnsi="宋体" w:eastAsia="宋体" w:cs="宋体"/>
          <w:i w:val="0"/>
          <w:iCs w:val="0"/>
          <w:color w:val="auto"/>
        </w:rPr>
        <w:t>如采用综合评</w:t>
      </w:r>
      <w:r>
        <w:rPr>
          <w:rFonts w:hint="eastAsia" w:eastAsia="宋体" w:cs="宋体"/>
          <w:i w:val="0"/>
          <w:iCs w:val="0"/>
          <w:color w:val="auto"/>
          <w:lang w:eastAsia="zh-CN"/>
        </w:rPr>
        <w:t>分</w:t>
      </w:r>
      <w:r>
        <w:rPr>
          <w:rFonts w:hint="eastAsia" w:ascii="宋体" w:hAnsi="宋体" w:eastAsia="宋体" w:cs="宋体"/>
          <w:i w:val="0"/>
          <w:iCs w:val="0"/>
          <w:color w:val="auto"/>
        </w:rPr>
        <w:t>法，则：</w:t>
      </w:r>
      <w:r>
        <w:rPr>
          <w:rFonts w:hint="eastAsia" w:eastAsia="宋体" w:cs="宋体"/>
          <w:i w:val="0"/>
          <w:iCs w:val="0"/>
          <w:color w:val="auto"/>
          <w:u w:val="single"/>
          <w:lang w:eastAsia="zh-CN"/>
        </w:rPr>
        <w:t>评标结果按评审后得分由高到低顺序排列</w:t>
      </w:r>
      <w:r>
        <w:rPr>
          <w:rFonts w:hint="eastAsia" w:ascii="宋体" w:hAnsi="宋体" w:eastAsia="宋体" w:cs="宋体"/>
          <w:i w:val="0"/>
          <w:iCs w:val="0"/>
          <w:color w:val="auto"/>
        </w:rPr>
        <w:t>。</w:t>
      </w:r>
    </w:p>
    <w:p>
      <w:pPr>
        <w:pStyle w:val="5"/>
        <w:tabs>
          <w:tab w:val="clear" w:pos="567"/>
        </w:tabs>
        <w:spacing w:before="0" w:line="360" w:lineRule="auto"/>
        <w:ind w:left="-181" w:leftChars="-86" w:firstLine="181" w:firstLineChars="75"/>
        <w:rPr>
          <w:rFonts w:hint="eastAsia"/>
          <w:b/>
          <w:bCs/>
          <w:color w:val="auto"/>
          <w:u w:val="none"/>
        </w:rPr>
      </w:pPr>
      <w:r>
        <w:rPr>
          <w:rFonts w:hint="eastAsia"/>
          <w:b/>
          <w:bCs/>
          <w:color w:val="auto"/>
          <w:u w:val="none"/>
        </w:rPr>
        <w:t>1、 总则</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1.1 参照《中华人民共和国政府采购法》、《中华人民共和国政府采购法实施条例》、《政府采购货物和服务招标投标管理办法》（财政部令第87号）、等法律制度，结合采购项目特点制定本评标办法。</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1.2 评标工作由采购人和采购代理机构负责组织，具体评标事务由采购人依法组建的评标委员会负责。评标委员会由采购人代表和有关技术、经济、法律等方面的专家组成。</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1.3 评标工作应遵循公平、公正、科学及择优的原则，并以相同的评标程序和标准对待所有的投标人。</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1.4 评标委员会按照招标文件规定的评标方法和标准进行评标，并独立履行下列职责：</w:t>
      </w:r>
    </w:p>
    <w:p>
      <w:pPr>
        <w:pStyle w:val="5"/>
        <w:tabs>
          <w:tab w:val="clear" w:pos="567"/>
        </w:tabs>
        <w:spacing w:before="0" w:line="360" w:lineRule="auto"/>
        <w:ind w:left="-181" w:leftChars="-86" w:firstLine="180" w:firstLineChars="75"/>
        <w:rPr>
          <w:rFonts w:hint="eastAsia"/>
          <w:color w:val="auto"/>
          <w:u w:val="none"/>
        </w:rPr>
      </w:pPr>
      <w:bookmarkStart w:id="257" w:name="_Toc217446098"/>
      <w:r>
        <w:rPr>
          <w:rFonts w:hint="eastAsia"/>
          <w:color w:val="auto"/>
          <w:u w:val="none"/>
        </w:rPr>
        <w:t>（1）熟悉和理解招标文件；</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（2）审查供应商投标文件等是否满足招标文件的实质性要求，并作出比较和评价；</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（3）根据需要要求采购人、采购代理机构对招标文件作出解释；根据需要要求供应商对投标文件有关事项作出澄清、说明或者更正；</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（4）推荐中标候选供应商，或者受采购人委托确定中标供应商；</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（5）起草评标报告并进行签署；</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（6）向采购人、采购代理机构、财政部门或者其他监督部门报告非法干预评标工作的行为；</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（7）法律、法规和规章规定的其他职责。</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1.5 评标过程独立、保密。投标人非法干预评标过程的行为将导致其投标文件被作为无效处理。</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1.6评标委员会评价投标文件的响应性，对于投标人而言，除评标委员会要求其澄清、说明或者更正而提供的资料外，仅依据投标文件本身的内容，不寻求其他外部证据。</w:t>
      </w:r>
    </w:p>
    <w:p>
      <w:pPr>
        <w:pStyle w:val="5"/>
        <w:tabs>
          <w:tab w:val="clear" w:pos="567"/>
        </w:tabs>
        <w:spacing w:before="0" w:line="360" w:lineRule="auto"/>
        <w:ind w:left="-181" w:leftChars="-86" w:firstLine="180" w:firstLineChars="75"/>
        <w:rPr>
          <w:rFonts w:hint="eastAsia" w:ascii="宋体" w:hAnsi="宋体" w:eastAsia="宋体" w:cs="Times New Roman"/>
          <w:color w:val="auto"/>
          <w:u w:val="none"/>
        </w:rPr>
      </w:pPr>
      <w:r>
        <w:rPr>
          <w:rFonts w:hint="eastAsia" w:ascii="宋体" w:hAnsi="宋体" w:eastAsia="宋体" w:cs="Times New Roman"/>
          <w:color w:val="auto"/>
          <w:u w:val="none"/>
        </w:rPr>
        <w:t>2、评标方法</w:t>
      </w:r>
    </w:p>
    <w:p>
      <w:pPr>
        <w:pStyle w:val="5"/>
        <w:tabs>
          <w:tab w:val="clear" w:pos="567"/>
        </w:tabs>
        <w:spacing w:before="0" w:line="360" w:lineRule="auto"/>
        <w:ind w:left="-181" w:leftChars="-86" w:firstLine="180" w:firstLineChars="75"/>
        <w:rPr>
          <w:rFonts w:hint="eastAsia" w:ascii="宋体" w:hAnsi="宋体" w:eastAsia="宋体" w:cs="Times New Roman"/>
          <w:color w:val="auto"/>
          <w:u w:val="none"/>
        </w:rPr>
      </w:pPr>
      <w:r>
        <w:rPr>
          <w:rFonts w:hint="eastAsia" w:ascii="宋体" w:hAnsi="宋体" w:eastAsia="宋体" w:cs="Times New Roman"/>
          <w:color w:val="auto"/>
          <w:u w:val="none"/>
        </w:rPr>
        <w:t>本项目评标方法为：综合评分法</w:t>
      </w:r>
    </w:p>
    <w:p>
      <w:pPr>
        <w:pStyle w:val="5"/>
        <w:tabs>
          <w:tab w:val="clear" w:pos="567"/>
        </w:tabs>
        <w:spacing w:before="0" w:line="360" w:lineRule="auto"/>
        <w:ind w:left="-181" w:leftChars="-86" w:firstLine="180" w:firstLineChars="75"/>
        <w:rPr>
          <w:rFonts w:hint="eastAsia" w:ascii="宋体" w:hAnsi="宋体" w:eastAsia="宋体" w:cs="Times New Roman"/>
          <w:color w:val="auto"/>
          <w:u w:val="none"/>
        </w:rPr>
      </w:pPr>
      <w:r>
        <w:rPr>
          <w:rFonts w:hint="eastAsia" w:ascii="宋体" w:hAnsi="宋体" w:eastAsia="宋体" w:cs="Times New Roman"/>
          <w:color w:val="auto"/>
          <w:u w:val="none"/>
        </w:rPr>
        <w:t>3、</w:t>
      </w:r>
      <w:bookmarkEnd w:id="257"/>
      <w:r>
        <w:rPr>
          <w:rFonts w:hint="eastAsia" w:ascii="宋体" w:hAnsi="宋体" w:eastAsia="宋体" w:cs="Times New Roman"/>
          <w:color w:val="auto"/>
          <w:u w:val="none"/>
        </w:rPr>
        <w:t>评标前投标文件的初步审核</w:t>
      </w:r>
    </w:p>
    <w:p>
      <w:pPr>
        <w:pStyle w:val="5"/>
        <w:tabs>
          <w:tab w:val="clear" w:pos="567"/>
        </w:tabs>
        <w:spacing w:before="0" w:line="360" w:lineRule="auto"/>
        <w:ind w:left="-181" w:leftChars="-86" w:firstLine="180" w:firstLineChars="75"/>
        <w:rPr>
          <w:rFonts w:hint="eastAsia" w:ascii="宋体" w:hAnsi="宋体" w:eastAsia="宋体" w:cs="Times New Roman"/>
          <w:color w:val="auto"/>
          <w:u w:val="none"/>
          <w:lang w:val="en-US" w:eastAsia="zh-CN"/>
        </w:rPr>
      </w:pPr>
      <w:r>
        <w:rPr>
          <w:rFonts w:hint="eastAsia" w:ascii="宋体" w:hAnsi="宋体" w:eastAsia="宋体" w:cs="Times New Roman"/>
          <w:color w:val="auto"/>
          <w:u w:val="none"/>
          <w:lang w:val="en-US" w:eastAsia="zh-CN"/>
        </w:rPr>
        <w:t>3.1初步评审为资格性检查和符合性检查。</w:t>
      </w:r>
    </w:p>
    <w:p>
      <w:pPr>
        <w:pStyle w:val="5"/>
        <w:tabs>
          <w:tab w:val="clear" w:pos="567"/>
        </w:tabs>
        <w:spacing w:before="0" w:line="360" w:lineRule="auto"/>
        <w:ind w:left="-181" w:leftChars="-86" w:firstLine="180" w:firstLineChars="75"/>
        <w:rPr>
          <w:rFonts w:hint="eastAsia" w:ascii="宋体" w:hAnsi="宋体" w:eastAsia="宋体" w:cs="Times New Roman"/>
          <w:color w:val="auto"/>
          <w:u w:val="none"/>
          <w:lang w:val="en-US" w:eastAsia="zh-CN"/>
        </w:rPr>
      </w:pPr>
      <w:r>
        <w:rPr>
          <w:rFonts w:hint="eastAsia" w:ascii="宋体" w:hAnsi="宋体" w:eastAsia="宋体" w:cs="Times New Roman"/>
          <w:color w:val="auto"/>
          <w:u w:val="none"/>
          <w:lang w:val="en-US" w:eastAsia="zh-CN"/>
        </w:rPr>
        <w:t>3.1.1资格性检查。根据法律法规和招标文件的规定，对投标文件中的资格证明、投标保证金等进行审查，以确定投标人是否具备投标资格。</w:t>
      </w:r>
    </w:p>
    <w:p>
      <w:pPr>
        <w:pStyle w:val="5"/>
        <w:tabs>
          <w:tab w:val="clear" w:pos="567"/>
        </w:tabs>
        <w:spacing w:before="0" w:line="360" w:lineRule="auto"/>
        <w:ind w:left="-181" w:leftChars="-86" w:firstLine="180" w:firstLineChars="75"/>
        <w:rPr>
          <w:rFonts w:hint="eastAsia" w:ascii="宋体" w:hAnsi="宋体" w:eastAsia="宋体" w:cs="Times New Roman"/>
          <w:color w:val="auto"/>
          <w:u w:val="none"/>
          <w:lang w:val="en-US" w:eastAsia="zh-CN"/>
        </w:rPr>
      </w:pPr>
      <w:r>
        <w:rPr>
          <w:rFonts w:hint="eastAsia" w:ascii="宋体" w:hAnsi="宋体" w:eastAsia="宋体" w:cs="Times New Roman"/>
          <w:color w:val="auto"/>
          <w:u w:val="none"/>
          <w:lang w:val="en-US" w:eastAsia="zh-CN"/>
        </w:rPr>
        <w:t>3.1.2符合性检查。依据招标文件的规定，从投标文件的有效性、完整性和对招标文件的响应程度进行审查，以确定是否对招标文件的实质性要求作出响应。采购人决定投标文件的响应性只根据投标文件真实无误的内容，而不依据外部的证据，但投标文件有不真实、不正确的内容时除外。</w:t>
      </w:r>
    </w:p>
    <w:p>
      <w:pPr>
        <w:pStyle w:val="5"/>
        <w:tabs>
          <w:tab w:val="clear" w:pos="567"/>
        </w:tabs>
        <w:spacing w:before="0" w:line="360" w:lineRule="auto"/>
        <w:ind w:left="-181" w:leftChars="-86" w:firstLine="180" w:firstLineChars="75"/>
        <w:rPr>
          <w:rFonts w:hint="eastAsia" w:ascii="宋体" w:hAnsi="宋体" w:eastAsia="宋体" w:cs="Times New Roman"/>
          <w:color w:val="auto"/>
          <w:u w:val="none"/>
          <w:lang w:val="en-US" w:eastAsia="zh-CN"/>
        </w:rPr>
      </w:pPr>
      <w:r>
        <w:rPr>
          <w:rFonts w:hint="eastAsia" w:ascii="宋体" w:hAnsi="宋体" w:eastAsia="宋体" w:cs="Times New Roman"/>
          <w:color w:val="auto"/>
          <w:u w:val="none"/>
          <w:lang w:val="en-US" w:eastAsia="zh-CN"/>
        </w:rPr>
        <w:t>3.1.3投标人不得通过修正或撤销不合要求的偏离从而使其投标成为实质上响应的投标。</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lang w:val="en-US" w:eastAsia="zh-CN"/>
        </w:rPr>
        <w:t>4</w:t>
      </w:r>
      <w:r>
        <w:rPr>
          <w:rFonts w:hint="eastAsia"/>
          <w:color w:val="auto"/>
          <w:u w:val="none"/>
        </w:rPr>
        <w:t>、评标程序</w:t>
      </w:r>
    </w:p>
    <w:p>
      <w:pPr>
        <w:pStyle w:val="5"/>
        <w:tabs>
          <w:tab w:val="clear" w:pos="567"/>
        </w:tabs>
        <w:spacing w:before="0" w:line="360" w:lineRule="auto"/>
        <w:ind w:left="-181" w:leftChars="-86" w:firstLine="180" w:firstLineChars="75"/>
        <w:rPr>
          <w:rFonts w:hint="eastAsia"/>
          <w:color w:val="auto"/>
          <w:u w:val="none"/>
        </w:rPr>
      </w:pPr>
      <w:bookmarkStart w:id="258" w:name="_Toc217446103"/>
      <w:r>
        <w:rPr>
          <w:rFonts w:hint="eastAsia"/>
          <w:color w:val="auto"/>
          <w:u w:val="none"/>
          <w:lang w:val="en-US" w:eastAsia="zh-CN"/>
        </w:rPr>
        <w:t>4.1</w:t>
      </w:r>
      <w:r>
        <w:rPr>
          <w:rFonts w:hint="eastAsia"/>
          <w:color w:val="auto"/>
          <w:u w:val="none"/>
        </w:rPr>
        <w:t>熟悉和理解招标文件和停止评标。</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lang w:val="en-US" w:eastAsia="zh-CN"/>
        </w:rPr>
        <w:t>4</w:t>
      </w:r>
      <w:r>
        <w:rPr>
          <w:rFonts w:hint="eastAsia"/>
          <w:color w:val="auto"/>
          <w:u w:val="none"/>
        </w:rPr>
        <w:t>.2.1评标委员会正式评标前，应当对招标文件进行熟悉和理解，内容主要包括招标文件中采购项目技术、服务和商务要求、评标方法和标准以及可能涉及签订采购合同的内容等。</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lang w:val="en-US" w:eastAsia="zh-CN"/>
        </w:rPr>
        <w:t>4</w:t>
      </w:r>
      <w:r>
        <w:rPr>
          <w:rFonts w:hint="eastAsia"/>
          <w:color w:val="auto"/>
          <w:u w:val="none"/>
        </w:rPr>
        <w:t>.2.2评标委员会熟悉和理解招标文件以及评标过程中，发现本招标文件有下列情形之一的，评标委员会应当停止评标：</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（1）评标委员会发现招标文件存在歧义、重大缺陷导致评标工作无法进行，或者招标文件内容违反国家有关强制性规定的，应当停止评标工作，与采购人或者采购代理机构沟通并作书面记录。</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（2）招标文件明显以不合理条件对供应商实行差别待遇或者歧视待遇的；</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（3）招标文件规定的评标方法是综合评分法之外的评标方法，或者虽然名称为综合评分法，但实际上不符合国家规定；</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（4）招标文件将投标人的资格条件列为评分因素的；</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（5）招标文件有违反国家其他有关强制性规定的情形。</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lang w:val="en-US" w:eastAsia="zh-CN"/>
        </w:rPr>
        <w:t>4</w:t>
      </w:r>
      <w:r>
        <w:rPr>
          <w:rFonts w:hint="eastAsia"/>
          <w:color w:val="auto"/>
          <w:u w:val="none"/>
        </w:rPr>
        <w:t>.2.3出现本条3.1.2规定应情形的，评标委员会成员应当向采购人、采购代理机构书面说明情况。除本条规定和评标委员会无法依法组建的情形外，评标委员会成员不得以任何方式和理由停止评标。</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lang w:val="en-US" w:eastAsia="zh-CN"/>
        </w:rPr>
        <w:t>4</w:t>
      </w:r>
      <w:r>
        <w:rPr>
          <w:rFonts w:hint="eastAsia"/>
          <w:color w:val="auto"/>
          <w:u w:val="none"/>
        </w:rPr>
        <w:t>.3符合性检查。</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lang w:val="en-US" w:eastAsia="zh-CN"/>
        </w:rPr>
        <w:t>4</w:t>
      </w:r>
      <w:r>
        <w:rPr>
          <w:rFonts w:hint="eastAsia"/>
          <w:color w:val="auto"/>
          <w:u w:val="none"/>
        </w:rPr>
        <w:t>.3.1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5"/>
        <w:tabs>
          <w:tab w:val="clear" w:pos="567"/>
        </w:tabs>
        <w:spacing w:before="0" w:line="360" w:lineRule="auto"/>
        <w:ind w:left="-181" w:leftChars="-86" w:firstLine="180" w:firstLineChars="75"/>
        <w:rPr>
          <w:rFonts w:hint="eastAsia"/>
          <w:b w:val="0"/>
          <w:bCs w:val="0"/>
          <w:color w:val="auto"/>
          <w:u w:val="none"/>
        </w:rPr>
      </w:pPr>
      <w:r>
        <w:rPr>
          <w:rFonts w:hint="eastAsia"/>
          <w:b w:val="0"/>
          <w:bCs w:val="0"/>
          <w:color w:val="auto"/>
          <w:u w:val="none"/>
          <w:lang w:val="en-US" w:eastAsia="zh-CN"/>
        </w:rPr>
        <w:t>4</w:t>
      </w:r>
      <w:r>
        <w:rPr>
          <w:rFonts w:hint="eastAsia"/>
          <w:b w:val="0"/>
          <w:bCs w:val="0"/>
          <w:color w:val="auto"/>
          <w:u w:val="none"/>
        </w:rPr>
        <w:t>.3.2</w:t>
      </w:r>
      <w:r>
        <w:rPr>
          <w:rFonts w:hint="eastAsia"/>
          <w:b w:val="0"/>
          <w:bCs w:val="0"/>
          <w:color w:val="auto"/>
          <w:u w:val="none"/>
          <w:lang w:eastAsia="zh-CN"/>
        </w:rPr>
        <w:t>商务</w:t>
      </w:r>
      <w:r>
        <w:rPr>
          <w:rFonts w:hint="eastAsia"/>
          <w:b w:val="0"/>
          <w:bCs w:val="0"/>
          <w:color w:val="auto"/>
          <w:u w:val="none"/>
        </w:rPr>
        <w:t>符合性审查内容：</w:t>
      </w:r>
      <w:r>
        <w:rPr>
          <w:rFonts w:hint="eastAsia"/>
          <w:b w:val="0"/>
          <w:bCs w:val="0"/>
          <w:color w:val="auto"/>
          <w:u w:val="none"/>
          <w:lang w:eastAsia="zh-CN"/>
        </w:rPr>
        <w:t>详见</w:t>
      </w:r>
      <w:r>
        <w:rPr>
          <w:rFonts w:hint="eastAsia"/>
          <w:b w:val="0"/>
          <w:bCs w:val="0"/>
          <w:color w:val="auto"/>
          <w:u w:val="none"/>
        </w:rPr>
        <w:t>商务符合性审查表</w:t>
      </w:r>
    </w:p>
    <w:p>
      <w:pPr>
        <w:pStyle w:val="5"/>
        <w:tabs>
          <w:tab w:val="clear" w:pos="567"/>
        </w:tabs>
        <w:spacing w:before="0" w:line="360" w:lineRule="auto"/>
        <w:ind w:left="-181" w:leftChars="-86" w:firstLine="180" w:firstLineChars="75"/>
        <w:rPr>
          <w:rFonts w:hint="eastAsia"/>
          <w:b w:val="0"/>
          <w:bCs w:val="0"/>
          <w:color w:val="auto"/>
          <w:u w:val="none"/>
        </w:rPr>
      </w:pPr>
      <w:r>
        <w:rPr>
          <w:rFonts w:hint="eastAsia"/>
          <w:b w:val="0"/>
          <w:bCs w:val="0"/>
          <w:color w:val="auto"/>
          <w:u w:val="none"/>
        </w:rPr>
        <w:t>投标文件有上述情形之一的，作为无效投标处理。</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lang w:val="en-US" w:eastAsia="zh-CN"/>
        </w:rPr>
        <w:t>4</w:t>
      </w:r>
      <w:r>
        <w:rPr>
          <w:rFonts w:hint="eastAsia"/>
          <w:color w:val="auto"/>
          <w:u w:val="none"/>
        </w:rPr>
        <w:t>.3.3比较与评价。按招标文件中规定的评标方法和标准，对未作无效投标处理的投标文件进行技术、服务、商务等方面评估，综合比较与评价。</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lang w:val="en-US" w:eastAsia="zh-CN"/>
        </w:rPr>
        <w:t>4</w:t>
      </w:r>
      <w:r>
        <w:rPr>
          <w:rFonts w:hint="eastAsia"/>
          <w:color w:val="auto"/>
          <w:u w:val="none"/>
        </w:rPr>
        <w:t>.4复核。评标结果汇总结束后，评标委员会应当进行复核，特别要对拟推荐为中标候选供应商的、报价最低的、投标文件被认定为无效的进行重点复核。</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lang w:val="en-US" w:eastAsia="zh-CN"/>
        </w:rPr>
        <w:t>4</w:t>
      </w:r>
      <w:r>
        <w:rPr>
          <w:rFonts w:hint="eastAsia"/>
          <w:color w:val="auto"/>
          <w:u w:val="none"/>
        </w:rPr>
        <w:t xml:space="preserve">.5推荐中标候选供应商。本项目推荐中标候选人 </w:t>
      </w:r>
      <w:r>
        <w:rPr>
          <w:rFonts w:hint="eastAsia"/>
          <w:color w:val="auto"/>
          <w:u w:val="single"/>
        </w:rPr>
        <w:t xml:space="preserve">  3  </w:t>
      </w:r>
      <w:r>
        <w:rPr>
          <w:rFonts w:hint="eastAsia"/>
          <w:color w:val="auto"/>
          <w:u w:val="none"/>
        </w:rPr>
        <w:t>名。</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评标结果按评审后得分由高到低顺序排列，得分相同的，按投标报价由低到高顺序排列，还相等的由评标委员会组织供应商抽签确定供应商排序。投标文件满足招标文件全部实质性要求，且按照评审因素的量化指标评审得分最高的投标人为排名第一的中标候选人。</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lang w:val="en-US" w:eastAsia="zh-CN"/>
        </w:rPr>
        <w:t>4</w:t>
      </w:r>
      <w:r>
        <w:rPr>
          <w:rFonts w:hint="eastAsia"/>
          <w:color w:val="auto"/>
          <w:u w:val="none"/>
        </w:rPr>
        <w:t>.6出具评标报告。评标委员会推荐中标候选供应商后，应当向采购人、采购代理机构出具评标报告。评标报告应当包括下列内容：</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（1）招标公告刊登的媒体名称、开标日期和地点；</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（2）获取招标文件的投标人名单和评标委员会成员名单；</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（3）评标方法和标准；</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（4）开标记录和评标情况及说明，包括无效投标人名单及原因；</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（5）评标结果和中标候选供应商排序表；</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（6）评标委员会授标建议；</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（7）报价最高的投标人为中标候选人的，评标委员会应当对其报价的合理性予以特别说明。</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lang w:val="en-US" w:eastAsia="zh-CN"/>
        </w:rPr>
        <w:t>4</w:t>
      </w:r>
      <w:r>
        <w:rPr>
          <w:rFonts w:hint="eastAsia"/>
          <w:color w:val="auto"/>
          <w:u w:val="none"/>
        </w:rPr>
        <w:t>.7评标争议处理规则。评标委员会在评审过程中，对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采购人、采购代理机构书面反映。采购人、采购代理机构收到书面反映后，应当书面报告采购项目同级财政部门依法处理。</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lang w:val="en-US" w:eastAsia="zh-CN"/>
        </w:rPr>
        <w:t>4</w:t>
      </w:r>
      <w:r>
        <w:rPr>
          <w:rFonts w:hint="eastAsia"/>
          <w:color w:val="auto"/>
          <w:u w:val="none"/>
        </w:rPr>
        <w:t>.8澄清、说明或者更正。</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lang w:val="en-US" w:eastAsia="zh-CN"/>
        </w:rPr>
        <w:t>4</w:t>
      </w:r>
      <w:r>
        <w:rPr>
          <w:rFonts w:hint="eastAsia"/>
          <w:color w:val="auto"/>
          <w:u w:val="none"/>
        </w:rPr>
        <w:t>.8.1在评审过程中，评审委员会认为采购文件有关事项表述不明确或需要说明的，可以要求采购人、采购代理机构书面解释。采购人、采购代理机构应当给予书面解释。采购人、采购代理机构的解释不得改变采购文件的原义和影响公平、公正。采购人、代购代理机构应在60分钟内回复。</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lang w:val="en-US" w:eastAsia="zh-CN"/>
        </w:rPr>
        <w:t>4</w:t>
      </w:r>
      <w:r>
        <w:rPr>
          <w:rFonts w:hint="eastAsia"/>
          <w:color w:val="auto"/>
          <w:u w:val="none"/>
        </w:rPr>
        <w:t>.8.2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lang w:val="en-US" w:eastAsia="zh-CN"/>
        </w:rPr>
        <w:t>4</w:t>
      </w:r>
      <w:r>
        <w:rPr>
          <w:rFonts w:hint="eastAsia"/>
          <w:color w:val="auto"/>
          <w:u w:val="none"/>
        </w:rPr>
        <w:t>.8.3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供应商应在评标委员会发出澄清、说明或者更正后60分钟内回复，超过时间的视为未回复。</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lang w:val="en-US" w:eastAsia="zh-CN"/>
        </w:rPr>
        <w:t>4</w:t>
      </w:r>
      <w:r>
        <w:rPr>
          <w:rFonts w:hint="eastAsia"/>
          <w:color w:val="auto"/>
          <w:u w:val="none"/>
        </w:rPr>
        <w:t>.8.4评标委员会要求供应商澄清、说明或者更正，不得超出招标文件的范围，不得以此让供应商实质改变投标文件的内容，不得影响供应商公平竞争。本项目下列内容不得澄清：</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（1）按财政部规定应当在评标时不予承认的投标文件内容事项；</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（2）投标文件中已经明确的内容事项；</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（3）投标文件未提供的材料。</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lang w:val="en-US" w:eastAsia="zh-CN"/>
        </w:rPr>
        <w:t>4</w:t>
      </w:r>
      <w:r>
        <w:rPr>
          <w:rFonts w:hint="eastAsia"/>
          <w:color w:val="auto"/>
          <w:u w:val="none"/>
        </w:rPr>
        <w:t>.8.5评标委员会发出澄清，采购人、采购代理机构、供应商的回复，以书面的形式进行。</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lang w:val="en-US" w:eastAsia="zh-CN"/>
        </w:rPr>
        <w:t>4</w:t>
      </w:r>
      <w:r>
        <w:rPr>
          <w:rFonts w:hint="eastAsia"/>
          <w:color w:val="auto"/>
          <w:u w:val="none"/>
        </w:rPr>
        <w:t>.8.6 投标文件报价出现前后不一致的，按照以下原则进行价格修正：</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(1)投标文件中开标一览表（报价表）内容与投标文件中相应内容不一致的，以开标一览表（报价表）为准；</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(2)大写金额和小写金额不一致的，以大写金额为准；</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(3)单价金额小数点或者百分比有明显错位的，以开标一览表（报价表）的总价为准，并修改单价；</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(4)总价金额与按单价汇总金额不一致的，以单价金额计算结果为准。</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　　同时出现两种以上不一致的，按照前款规定的顺序修正。修正后的报价经投标人确认后产生约束力，投标人不确认的，其投标无效。供应商应在评标委员会发出澄清后60分钟内确认，超出时间不确认的其投标无效。评标委员会可通过书面形式并经全体评标委员会成员签字后向投标人发出澄清，列明投标报价的修改内容，投标人通过纸质签字或盖章确认。</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出现该款规定情形，单价汇总金额比总价金额高，且超过项目最高限价的，供应商投标文件应作为无效投标处理；单价汇总金额比总价金额高，但未超过本项目最高限价的，应以单价汇总金额作为价格评分依据。</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评标委员会当积极履行澄清、说明或者更正的职责，不得滥用权力。供应商的投标文件可以要求澄清、说明或者更正的，不得未经澄清、说明或者更正而直接作无效投标处理。</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lang w:val="en-US" w:eastAsia="zh-CN"/>
        </w:rPr>
        <w:t>5</w:t>
      </w:r>
      <w:r>
        <w:rPr>
          <w:rFonts w:hint="eastAsia"/>
          <w:color w:val="auto"/>
          <w:u w:val="none"/>
        </w:rPr>
        <w:t>. 评标细则及标准</w:t>
      </w:r>
      <w:bookmarkEnd w:id="258"/>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lang w:val="en-US" w:eastAsia="zh-CN"/>
        </w:rPr>
        <w:t>5</w:t>
      </w:r>
      <w:r>
        <w:rPr>
          <w:rFonts w:hint="eastAsia"/>
          <w:color w:val="auto"/>
          <w:u w:val="none"/>
        </w:rPr>
        <w:t>.1本项目综合评分采用百分制，总分100分。评分过程中采用四舍五入法，并保留小数点后2位。投标人综合得分为评标委员会各成员评标平均分</w:t>
      </w:r>
      <w:r>
        <w:rPr>
          <w:rFonts w:hint="eastAsia" w:eastAsia="宋体"/>
          <w:color w:val="auto"/>
          <w:u w:val="none"/>
          <w:lang w:eastAsia="zh-CN"/>
        </w:rPr>
        <w:t>之和</w:t>
      </w:r>
      <w:r>
        <w:rPr>
          <w:rFonts w:hint="eastAsia"/>
          <w:color w:val="auto"/>
          <w:u w:val="none"/>
        </w:rPr>
        <w:t>。</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lang w:val="en-US" w:eastAsia="zh-CN"/>
        </w:rPr>
        <w:t>5</w:t>
      </w:r>
      <w:r>
        <w:rPr>
          <w:rFonts w:hint="eastAsia"/>
          <w:color w:val="auto"/>
          <w:u w:val="none"/>
        </w:rPr>
        <w:t>.2 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pStyle w:val="50"/>
        <w:rPr>
          <w:rFonts w:hint="eastAsia"/>
          <w:color w:val="auto"/>
          <w:u w:val="none"/>
        </w:rPr>
      </w:pPr>
    </w:p>
    <w:p>
      <w:pPr>
        <w:pStyle w:val="50"/>
        <w:rPr>
          <w:rFonts w:hint="eastAsia"/>
          <w:color w:val="auto"/>
          <w:u w:val="none"/>
        </w:rPr>
      </w:pPr>
    </w:p>
    <w:p>
      <w:pPr>
        <w:pStyle w:val="50"/>
        <w:rPr>
          <w:rFonts w:hint="eastAsia"/>
          <w:color w:val="auto"/>
          <w:u w:val="none"/>
        </w:rPr>
      </w:pPr>
    </w:p>
    <w:p>
      <w:pPr>
        <w:pStyle w:val="50"/>
        <w:rPr>
          <w:rFonts w:hint="eastAsia"/>
          <w:color w:val="auto"/>
          <w:u w:val="none"/>
        </w:rPr>
      </w:pPr>
    </w:p>
    <w:p>
      <w:pPr>
        <w:pStyle w:val="50"/>
        <w:rPr>
          <w:rFonts w:hint="eastAsia"/>
          <w:color w:val="auto"/>
          <w:u w:val="none"/>
        </w:rPr>
      </w:pPr>
    </w:p>
    <w:p>
      <w:pPr>
        <w:pStyle w:val="50"/>
        <w:rPr>
          <w:rFonts w:hint="eastAsia"/>
          <w:color w:val="auto"/>
          <w:u w:val="none"/>
        </w:rPr>
      </w:pPr>
    </w:p>
    <w:p>
      <w:pPr>
        <w:pStyle w:val="50"/>
        <w:rPr>
          <w:rFonts w:hint="eastAsia"/>
          <w:color w:val="auto"/>
          <w:u w:val="none"/>
        </w:rPr>
      </w:pPr>
    </w:p>
    <w:p>
      <w:pPr>
        <w:pStyle w:val="50"/>
        <w:rPr>
          <w:rFonts w:hint="eastAsia"/>
          <w:color w:val="auto"/>
          <w:u w:val="none"/>
        </w:rPr>
      </w:pPr>
    </w:p>
    <w:p>
      <w:pPr>
        <w:pStyle w:val="50"/>
        <w:rPr>
          <w:rFonts w:hint="eastAsia"/>
          <w:color w:val="auto"/>
          <w:u w:val="none"/>
        </w:rPr>
      </w:pPr>
    </w:p>
    <w:p>
      <w:pPr>
        <w:pStyle w:val="50"/>
        <w:rPr>
          <w:rFonts w:hint="eastAsia"/>
          <w:color w:val="auto"/>
          <w:u w:val="none"/>
        </w:rPr>
      </w:pPr>
    </w:p>
    <w:p>
      <w:pPr>
        <w:pStyle w:val="50"/>
        <w:rPr>
          <w:rFonts w:hint="eastAsia"/>
          <w:color w:val="auto"/>
          <w:u w:val="none"/>
        </w:rPr>
      </w:pPr>
    </w:p>
    <w:p>
      <w:pPr>
        <w:pStyle w:val="50"/>
        <w:rPr>
          <w:rFonts w:hint="eastAsia"/>
          <w:color w:val="auto"/>
          <w:u w:val="none"/>
        </w:rPr>
      </w:pPr>
    </w:p>
    <w:p>
      <w:pPr>
        <w:pStyle w:val="50"/>
        <w:rPr>
          <w:rFonts w:hint="eastAsia"/>
          <w:color w:val="auto"/>
          <w:u w:val="none"/>
        </w:rPr>
      </w:pPr>
    </w:p>
    <w:p>
      <w:pPr>
        <w:pStyle w:val="50"/>
        <w:rPr>
          <w:rFonts w:hint="eastAsia"/>
          <w:color w:val="auto"/>
          <w:u w:val="none"/>
        </w:rPr>
      </w:pPr>
    </w:p>
    <w:p>
      <w:pPr>
        <w:pStyle w:val="50"/>
        <w:rPr>
          <w:rFonts w:hint="eastAsia"/>
          <w:color w:val="auto"/>
          <w:u w:val="none"/>
        </w:rPr>
      </w:pPr>
    </w:p>
    <w:p>
      <w:pPr>
        <w:pStyle w:val="50"/>
        <w:rPr>
          <w:rFonts w:hint="eastAsia"/>
          <w:color w:val="auto"/>
          <w:u w:val="none"/>
        </w:rPr>
      </w:pPr>
    </w:p>
    <w:p>
      <w:pPr>
        <w:pStyle w:val="50"/>
        <w:rPr>
          <w:rFonts w:hint="eastAsia"/>
          <w:color w:val="auto"/>
          <w:u w:val="none"/>
        </w:rPr>
      </w:pPr>
    </w:p>
    <w:p>
      <w:pPr>
        <w:pStyle w:val="50"/>
        <w:rPr>
          <w:rFonts w:hint="eastAsia"/>
          <w:color w:val="auto"/>
          <w:u w:val="none"/>
        </w:rPr>
      </w:pPr>
    </w:p>
    <w:p>
      <w:pPr>
        <w:pStyle w:val="50"/>
        <w:rPr>
          <w:rFonts w:hint="eastAsia"/>
          <w:color w:val="auto"/>
          <w:u w:val="none"/>
        </w:rPr>
      </w:pPr>
    </w:p>
    <w:p>
      <w:pPr>
        <w:pStyle w:val="50"/>
        <w:rPr>
          <w:rFonts w:hint="eastAsia"/>
          <w:color w:val="auto"/>
          <w:u w:val="none"/>
        </w:rPr>
      </w:pPr>
    </w:p>
    <w:p>
      <w:pPr>
        <w:pStyle w:val="50"/>
        <w:rPr>
          <w:rFonts w:hint="eastAsia"/>
          <w:color w:val="auto"/>
          <w:u w:val="none"/>
        </w:rPr>
      </w:pPr>
    </w:p>
    <w:p>
      <w:pPr>
        <w:pStyle w:val="50"/>
        <w:rPr>
          <w:rFonts w:hint="eastAsia"/>
          <w:color w:val="auto"/>
          <w:u w:val="none"/>
        </w:rPr>
      </w:pPr>
    </w:p>
    <w:p>
      <w:pPr>
        <w:pStyle w:val="50"/>
        <w:rPr>
          <w:rFonts w:hint="eastAsia"/>
          <w:color w:val="auto"/>
          <w:u w:val="none"/>
        </w:rPr>
      </w:pPr>
    </w:p>
    <w:p>
      <w:pPr>
        <w:pStyle w:val="50"/>
        <w:rPr>
          <w:rFonts w:hint="eastAsia"/>
          <w:color w:val="auto"/>
          <w:u w:val="none"/>
        </w:rPr>
      </w:pPr>
    </w:p>
    <w:p>
      <w:pPr>
        <w:pStyle w:val="50"/>
        <w:jc w:val="center"/>
        <w:rPr>
          <w:rFonts w:hint="eastAsia" w:ascii="宋体" w:hAnsi="宋体" w:eastAsia="宋体" w:cs="宋体"/>
          <w:b/>
          <w:bCs/>
          <w:i w:val="0"/>
          <w:iCs w:val="0"/>
          <w:color w:val="auto"/>
          <w:kern w:val="0"/>
          <w:sz w:val="32"/>
          <w:szCs w:val="32"/>
        </w:rPr>
      </w:pPr>
    </w:p>
    <w:p>
      <w:pPr>
        <w:pStyle w:val="50"/>
        <w:numPr>
          <w:ilvl w:val="0"/>
          <w:numId w:val="7"/>
        </w:numPr>
        <w:jc w:val="center"/>
        <w:rPr>
          <w:rFonts w:hint="eastAsia" w:ascii="宋体" w:hAnsi="宋体" w:eastAsia="宋体" w:cs="宋体"/>
          <w:b/>
          <w:bCs/>
          <w:i w:val="0"/>
          <w:iCs w:val="0"/>
          <w:color w:val="auto"/>
          <w:kern w:val="0"/>
          <w:sz w:val="32"/>
          <w:szCs w:val="32"/>
        </w:rPr>
      </w:pPr>
      <w:r>
        <w:rPr>
          <w:rFonts w:hint="eastAsia" w:ascii="宋体" w:hAnsi="宋体" w:eastAsia="宋体" w:cs="宋体"/>
          <w:b/>
          <w:bCs/>
          <w:i w:val="0"/>
          <w:iCs w:val="0"/>
          <w:color w:val="auto"/>
          <w:kern w:val="0"/>
          <w:sz w:val="32"/>
          <w:szCs w:val="32"/>
        </w:rPr>
        <w:t>商务符合性审查表</w:t>
      </w:r>
    </w:p>
    <w:p>
      <w:pPr>
        <w:pStyle w:val="50"/>
        <w:numPr>
          <w:ilvl w:val="0"/>
          <w:numId w:val="0"/>
        </w:numPr>
        <w:jc w:val="both"/>
        <w:rPr>
          <w:rFonts w:hint="eastAsia" w:ascii="宋体" w:hAnsi="宋体" w:eastAsia="宋体" w:cs="宋体"/>
          <w:b/>
          <w:bCs/>
          <w:i w:val="0"/>
          <w:iCs w:val="0"/>
          <w:color w:val="auto"/>
          <w:kern w:val="0"/>
          <w:sz w:val="32"/>
          <w:szCs w:val="32"/>
        </w:rPr>
      </w:pPr>
    </w:p>
    <w:tbl>
      <w:tblPr>
        <w:tblStyle w:val="33"/>
        <w:tblW w:w="88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7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center"/>
          </w:tcPr>
          <w:p>
            <w:pPr>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项目</w:t>
            </w:r>
          </w:p>
        </w:tc>
        <w:tc>
          <w:tcPr>
            <w:tcW w:w="7836" w:type="dxa"/>
            <w:noWrap w:val="0"/>
            <w:vAlign w:val="center"/>
          </w:tcPr>
          <w:p>
            <w:pPr>
              <w:spacing w:line="400" w:lineRule="exact"/>
              <w:jc w:val="center"/>
              <w:rPr>
                <w:rFonts w:ascii="宋体" w:hAnsi="宋体"/>
                <w:b/>
                <w:color w:val="auto"/>
                <w:szCs w:val="21"/>
              </w:rPr>
            </w:pPr>
            <w:r>
              <w:rPr>
                <w:rFonts w:hint="eastAsia" w:ascii="宋体" w:hAnsi="宋体"/>
                <w:b/>
                <w:color w:val="auto"/>
                <w:sz w:val="24"/>
                <w:szCs w:val="24"/>
              </w:rPr>
              <w:t>审</w:t>
            </w:r>
            <w:r>
              <w:rPr>
                <w:rFonts w:hint="eastAsia" w:ascii="宋体" w:hAnsi="宋体"/>
                <w:b/>
                <w:color w:val="auto"/>
                <w:sz w:val="24"/>
                <w:szCs w:val="24"/>
                <w:lang w:val="en-US" w:eastAsia="zh-CN"/>
              </w:rPr>
              <w:t xml:space="preserve"> </w:t>
            </w:r>
            <w:r>
              <w:rPr>
                <w:rFonts w:hint="eastAsia" w:ascii="宋体" w:hAnsi="宋体"/>
                <w:b/>
                <w:color w:val="auto"/>
                <w:sz w:val="24"/>
                <w:szCs w:val="24"/>
              </w:rPr>
              <w:t>核</w:t>
            </w:r>
            <w:r>
              <w:rPr>
                <w:rFonts w:hint="eastAsia" w:ascii="宋体" w:hAnsi="宋体"/>
                <w:b/>
                <w:color w:val="auto"/>
                <w:sz w:val="24"/>
                <w:szCs w:val="24"/>
                <w:lang w:val="en-US" w:eastAsia="zh-CN"/>
              </w:rPr>
              <w:t xml:space="preserve"> </w:t>
            </w:r>
            <w:r>
              <w:rPr>
                <w:rFonts w:ascii="宋体" w:hAnsi="宋体"/>
                <w:b/>
                <w:color w:val="auto"/>
                <w:sz w:val="24"/>
                <w:szCs w:val="24"/>
              </w:rPr>
              <w:t>因</w:t>
            </w:r>
            <w:r>
              <w:rPr>
                <w:rFonts w:hint="eastAsia" w:ascii="宋体" w:hAnsi="宋体"/>
                <w:b/>
                <w:color w:val="auto"/>
                <w:sz w:val="24"/>
                <w:szCs w:val="24"/>
                <w:lang w:val="en-US" w:eastAsia="zh-CN"/>
              </w:rPr>
              <w:t xml:space="preserve"> </w:t>
            </w:r>
            <w:r>
              <w:rPr>
                <w:rFonts w:ascii="宋体" w:hAnsi="宋体"/>
                <w:b/>
                <w:color w:val="auto"/>
                <w:sz w:val="24"/>
                <w:szCs w:val="24"/>
              </w:rPr>
              <w:t>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96" w:type="dxa"/>
            <w:vMerge w:val="restart"/>
            <w:noWrap w:val="0"/>
            <w:vAlign w:val="center"/>
          </w:tcPr>
          <w:p>
            <w:pPr>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资格性检查</w:t>
            </w:r>
          </w:p>
        </w:tc>
        <w:tc>
          <w:tcPr>
            <w:tcW w:w="7836" w:type="dxa"/>
            <w:noWrap w:val="0"/>
            <w:vAlign w:val="center"/>
          </w:tcPr>
          <w:p>
            <w:pPr>
              <w:spacing w:line="400" w:lineRule="exact"/>
              <w:rPr>
                <w:rFonts w:hint="eastAsia" w:ascii="宋体" w:hAnsi="宋体" w:eastAsia="宋体" w:cs="宋体"/>
                <w:color w:val="auto"/>
                <w:sz w:val="24"/>
                <w:szCs w:val="32"/>
              </w:rPr>
            </w:pPr>
            <w:r>
              <w:rPr>
                <w:rFonts w:hint="eastAsia" w:ascii="宋体" w:hAnsi="宋体" w:eastAsia="宋体" w:cs="宋体"/>
                <w:color w:val="auto"/>
                <w:sz w:val="24"/>
                <w:szCs w:val="32"/>
              </w:rPr>
              <w:t>1、法人提供法定代表人身份证明，</w:t>
            </w:r>
            <w:r>
              <w:rPr>
                <w:rFonts w:hint="eastAsia" w:ascii="宋体" w:hAnsi="宋体" w:eastAsia="宋体" w:cs="宋体"/>
                <w:b w:val="0"/>
                <w:bCs w:val="0"/>
                <w:color w:val="auto"/>
                <w:sz w:val="24"/>
                <w:szCs w:val="32"/>
              </w:rPr>
              <w:t>或</w:t>
            </w:r>
            <w:r>
              <w:rPr>
                <w:rFonts w:hint="eastAsia" w:ascii="宋体" w:hAnsi="宋体" w:eastAsia="宋体" w:cs="宋体"/>
                <w:color w:val="auto"/>
                <w:sz w:val="24"/>
                <w:szCs w:val="32"/>
              </w:rPr>
              <w:t>委托代理人提供授权委托书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96" w:type="dxa"/>
            <w:vMerge w:val="continue"/>
            <w:noWrap w:val="0"/>
            <w:vAlign w:val="center"/>
          </w:tcPr>
          <w:p>
            <w:pPr>
              <w:spacing w:line="400" w:lineRule="exact"/>
              <w:jc w:val="center"/>
              <w:rPr>
                <w:rFonts w:hint="eastAsia" w:ascii="宋体" w:hAnsi="宋体" w:eastAsia="宋体" w:cs="宋体"/>
                <w:b/>
                <w:color w:val="auto"/>
                <w:sz w:val="24"/>
                <w:szCs w:val="24"/>
              </w:rPr>
            </w:pPr>
          </w:p>
        </w:tc>
        <w:tc>
          <w:tcPr>
            <w:tcW w:w="7836" w:type="dxa"/>
            <w:noWrap w:val="0"/>
            <w:vAlign w:val="center"/>
          </w:tcPr>
          <w:p>
            <w:pPr>
              <w:spacing w:line="400" w:lineRule="exact"/>
              <w:rPr>
                <w:rFonts w:hint="eastAsia" w:ascii="宋体" w:hAnsi="宋体" w:eastAsia="宋体" w:cs="宋体"/>
                <w:color w:val="auto"/>
                <w:sz w:val="24"/>
                <w:szCs w:val="32"/>
              </w:rPr>
            </w:pPr>
            <w:r>
              <w:rPr>
                <w:rFonts w:hint="eastAsia" w:ascii="宋体" w:hAnsi="宋体" w:eastAsia="宋体" w:cs="宋体"/>
                <w:color w:val="auto"/>
                <w:sz w:val="24"/>
                <w:szCs w:val="32"/>
              </w:rPr>
              <w:t>2、</w:t>
            </w:r>
            <w:r>
              <w:rPr>
                <w:rFonts w:hint="eastAsia" w:ascii="宋体" w:hAnsi="宋体" w:eastAsia="宋体" w:cs="宋体"/>
                <w:i w:val="0"/>
                <w:iCs w:val="0"/>
                <w:caps w:val="0"/>
                <w:color w:val="auto"/>
                <w:spacing w:val="0"/>
                <w:sz w:val="24"/>
                <w:szCs w:val="24"/>
                <w:lang w:eastAsia="zh-CN"/>
              </w:rPr>
              <w:t>投标供应商有效的企业法人营业执照、城乡规划编制甲级资质，</w:t>
            </w:r>
            <w:r>
              <w:rPr>
                <w:rFonts w:hint="eastAsia" w:ascii="宋体" w:hAnsi="宋体" w:eastAsia="宋体" w:cs="宋体"/>
                <w:i w:val="0"/>
                <w:iCs w:val="0"/>
                <w:caps w:val="0"/>
                <w:color w:val="auto"/>
                <w:spacing w:val="0"/>
                <w:sz w:val="24"/>
                <w:szCs w:val="24"/>
                <w:lang w:val="en-US" w:eastAsia="zh-CN"/>
              </w:rPr>
              <w:t>项目</w:t>
            </w:r>
            <w:r>
              <w:rPr>
                <w:rFonts w:hint="eastAsia" w:ascii="宋体" w:hAnsi="宋体" w:eastAsia="宋体" w:cs="宋体"/>
                <w:i w:val="0"/>
                <w:iCs w:val="0"/>
                <w:caps w:val="0"/>
                <w:color w:val="auto"/>
                <w:spacing w:val="0"/>
                <w:sz w:val="24"/>
                <w:szCs w:val="24"/>
                <w:lang w:eastAsia="zh-CN"/>
              </w:rPr>
              <w:t>负责人具备注册城市规划师和</w:t>
            </w:r>
            <w:r>
              <w:rPr>
                <w:rFonts w:hint="eastAsia" w:ascii="宋体" w:hAnsi="宋体" w:eastAsia="宋体" w:cs="宋体"/>
                <w:i w:val="0"/>
                <w:iCs w:val="0"/>
                <w:caps w:val="0"/>
                <w:color w:val="auto"/>
                <w:spacing w:val="0"/>
                <w:sz w:val="24"/>
                <w:szCs w:val="24"/>
              </w:rPr>
              <w:t>正高</w:t>
            </w:r>
            <w:r>
              <w:rPr>
                <w:rFonts w:hint="eastAsia" w:hAnsi="宋体" w:cs="宋体"/>
                <w:i w:val="0"/>
                <w:iCs w:val="0"/>
                <w:caps w:val="0"/>
                <w:color w:val="auto"/>
                <w:spacing w:val="0"/>
                <w:sz w:val="24"/>
                <w:szCs w:val="24"/>
                <w:lang w:val="en-US" w:eastAsia="zh-CN"/>
              </w:rPr>
              <w:t>级相关</w:t>
            </w:r>
            <w:r>
              <w:rPr>
                <w:rFonts w:hint="eastAsia" w:ascii="宋体" w:hAnsi="宋体" w:eastAsia="宋体" w:cs="宋体"/>
                <w:i w:val="0"/>
                <w:iCs w:val="0"/>
                <w:caps w:val="0"/>
                <w:color w:val="auto"/>
                <w:spacing w:val="0"/>
                <w:sz w:val="24"/>
                <w:szCs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96" w:type="dxa"/>
            <w:vMerge w:val="continue"/>
            <w:noWrap w:val="0"/>
            <w:vAlign w:val="center"/>
          </w:tcPr>
          <w:p>
            <w:pPr>
              <w:adjustRightInd w:val="0"/>
              <w:snapToGrid w:val="0"/>
              <w:spacing w:line="400" w:lineRule="exact"/>
              <w:jc w:val="left"/>
              <w:rPr>
                <w:rFonts w:hint="eastAsia" w:ascii="宋体" w:hAnsi="宋体" w:eastAsia="宋体" w:cs="宋体"/>
                <w:color w:val="auto"/>
                <w:sz w:val="24"/>
                <w:szCs w:val="32"/>
              </w:rPr>
            </w:pPr>
          </w:p>
        </w:tc>
        <w:tc>
          <w:tcPr>
            <w:tcW w:w="7836" w:type="dxa"/>
            <w:noWrap w:val="0"/>
            <w:vAlign w:val="center"/>
          </w:tcPr>
          <w:p>
            <w:pPr>
              <w:numPr>
                <w:ilvl w:val="0"/>
                <w:numId w:val="0"/>
              </w:numPr>
              <w:adjustRightInd w:val="0"/>
              <w:snapToGrid w:val="0"/>
              <w:spacing w:line="400" w:lineRule="exact"/>
              <w:jc w:val="left"/>
              <w:rPr>
                <w:rFonts w:hint="eastAsia" w:ascii="宋体" w:hAnsi="宋体" w:eastAsia="宋体" w:cs="宋体"/>
                <w:color w:val="auto"/>
                <w:sz w:val="24"/>
                <w:szCs w:val="32"/>
                <w:lang w:val="en-US"/>
              </w:rPr>
            </w:pPr>
            <w:r>
              <w:rPr>
                <w:rFonts w:hint="eastAsia" w:ascii="宋体" w:hAnsi="宋体" w:eastAsia="宋体" w:cs="宋体"/>
                <w:color w:val="auto"/>
                <w:sz w:val="24"/>
                <w:szCs w:val="32"/>
                <w:lang w:val="en-US" w:eastAsia="zh-CN"/>
              </w:rPr>
              <w:t>3</w:t>
            </w:r>
            <w:r>
              <w:rPr>
                <w:rFonts w:hint="eastAsia" w:ascii="宋体" w:hAnsi="宋体" w:eastAsia="宋体" w:cs="宋体"/>
                <w:color w:val="auto"/>
                <w:sz w:val="24"/>
                <w:szCs w:val="32"/>
              </w:rPr>
              <w:t>、上一年度财务审计报告或银行出具的说明投标人商业信誉或结算情况等事项的证明文件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96" w:type="dxa"/>
            <w:vMerge w:val="continue"/>
            <w:noWrap w:val="0"/>
            <w:vAlign w:val="center"/>
          </w:tcPr>
          <w:p>
            <w:pPr>
              <w:adjustRightInd w:val="0"/>
              <w:snapToGrid w:val="0"/>
              <w:spacing w:line="400" w:lineRule="exact"/>
              <w:jc w:val="left"/>
              <w:rPr>
                <w:rFonts w:hint="eastAsia" w:ascii="宋体" w:hAnsi="宋体" w:eastAsia="宋体" w:cs="宋体"/>
                <w:color w:val="auto"/>
                <w:sz w:val="24"/>
                <w:szCs w:val="32"/>
              </w:rPr>
            </w:pPr>
          </w:p>
        </w:tc>
        <w:tc>
          <w:tcPr>
            <w:tcW w:w="7836" w:type="dxa"/>
            <w:noWrap w:val="0"/>
            <w:vAlign w:val="center"/>
          </w:tcPr>
          <w:p>
            <w:pPr>
              <w:adjustRightInd w:val="0"/>
              <w:snapToGrid w:val="0"/>
              <w:spacing w:line="400" w:lineRule="exact"/>
              <w:jc w:val="left"/>
              <w:rPr>
                <w:rFonts w:hint="eastAsia" w:ascii="宋体" w:hAnsi="宋体" w:eastAsia="宋体" w:cs="宋体"/>
                <w:color w:val="auto"/>
                <w:sz w:val="24"/>
                <w:szCs w:val="32"/>
              </w:rPr>
            </w:pP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w:t>
            </w:r>
            <w:r>
              <w:rPr>
                <w:rFonts w:hint="eastAsia" w:ascii="宋体" w:hAnsi="宋体" w:eastAsia="宋体" w:cs="宋体"/>
                <w:color w:val="auto"/>
                <w:sz w:val="24"/>
                <w:szCs w:val="24"/>
              </w:rPr>
              <w:t>有</w:t>
            </w:r>
            <w:r>
              <w:rPr>
                <w:rFonts w:hint="eastAsia" w:ascii="宋体" w:hAnsi="宋体" w:eastAsia="宋体" w:cs="宋体"/>
                <w:color w:val="auto"/>
                <w:sz w:val="24"/>
                <w:szCs w:val="32"/>
              </w:rPr>
              <w:fldChar w:fldCharType="begin"/>
            </w:r>
            <w:r>
              <w:rPr>
                <w:rFonts w:hint="eastAsia" w:ascii="宋体" w:hAnsi="宋体" w:eastAsia="宋体" w:cs="宋体"/>
                <w:color w:val="auto"/>
                <w:sz w:val="24"/>
                <w:szCs w:val="32"/>
              </w:rPr>
              <w:instrText xml:space="preserve"> HYPERLINK "http://www.so.com/s?q=%E7%A4%BE%E4%BC%9A%E4%BF%9D%E9%9A%9C%E8%B5%84%E9%87%91&amp;ie=utf-8&amp;src=internal_wenda_recommend_textn" \t "https://wenda.so.com/q/_blank" </w:instrText>
            </w:r>
            <w:r>
              <w:rPr>
                <w:rFonts w:hint="eastAsia" w:ascii="宋体" w:hAnsi="宋体" w:eastAsia="宋体" w:cs="宋体"/>
                <w:color w:val="auto"/>
                <w:sz w:val="24"/>
                <w:szCs w:val="32"/>
              </w:rPr>
              <w:fldChar w:fldCharType="separate"/>
            </w:r>
            <w:r>
              <w:rPr>
                <w:rFonts w:hint="eastAsia" w:ascii="宋体" w:hAnsi="宋体" w:eastAsia="宋体" w:cs="宋体"/>
                <w:color w:val="auto"/>
                <w:sz w:val="24"/>
                <w:szCs w:val="24"/>
              </w:rPr>
              <w:t>社会保障资金</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的良好记录，</w:t>
            </w:r>
            <w:r>
              <w:rPr>
                <w:rFonts w:hint="eastAsia" w:ascii="宋体" w:hAnsi="宋体" w:eastAsia="宋体" w:cs="宋体"/>
                <w:color w:val="auto"/>
                <w:sz w:val="24"/>
                <w:szCs w:val="32"/>
              </w:rPr>
              <w:t>提供社保机构出具的投标单位给员工近半年社保缴纳证明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96" w:type="dxa"/>
            <w:vMerge w:val="continue"/>
            <w:noWrap w:val="0"/>
            <w:vAlign w:val="center"/>
          </w:tcPr>
          <w:p>
            <w:pPr>
              <w:adjustRightInd w:val="0"/>
              <w:snapToGrid w:val="0"/>
              <w:spacing w:line="400" w:lineRule="exact"/>
              <w:jc w:val="left"/>
              <w:rPr>
                <w:rFonts w:hint="eastAsia" w:ascii="宋体" w:hAnsi="宋体" w:eastAsia="宋体" w:cs="宋体"/>
                <w:color w:val="auto"/>
                <w:sz w:val="24"/>
                <w:szCs w:val="32"/>
              </w:rPr>
            </w:pPr>
          </w:p>
        </w:tc>
        <w:tc>
          <w:tcPr>
            <w:tcW w:w="7836" w:type="dxa"/>
            <w:noWrap w:val="0"/>
            <w:vAlign w:val="center"/>
          </w:tcPr>
          <w:p>
            <w:pPr>
              <w:adjustRightInd w:val="0"/>
              <w:snapToGrid w:val="0"/>
              <w:spacing w:line="400" w:lineRule="exact"/>
              <w:jc w:val="left"/>
              <w:rPr>
                <w:rFonts w:hint="eastAsia" w:ascii="宋体" w:hAnsi="宋体" w:eastAsia="宋体" w:cs="宋体"/>
                <w:color w:val="auto"/>
                <w:sz w:val="24"/>
                <w:szCs w:val="32"/>
              </w:rPr>
            </w:pPr>
            <w:r>
              <w:rPr>
                <w:rFonts w:hint="eastAsia" w:ascii="宋体" w:hAnsi="宋体" w:eastAsia="宋体" w:cs="宋体"/>
                <w:color w:val="auto"/>
                <w:sz w:val="24"/>
                <w:szCs w:val="32"/>
                <w:lang w:val="en-US" w:eastAsia="zh-CN"/>
              </w:rPr>
              <w:t>5</w:t>
            </w:r>
            <w:r>
              <w:rPr>
                <w:rFonts w:hint="eastAsia" w:ascii="宋体" w:hAnsi="宋体" w:eastAsia="宋体" w:cs="宋体"/>
                <w:color w:val="auto"/>
                <w:sz w:val="24"/>
                <w:szCs w:val="32"/>
              </w:rPr>
              <w:t>、</w:t>
            </w:r>
            <w:r>
              <w:rPr>
                <w:rFonts w:hint="eastAsia" w:ascii="宋体" w:hAnsi="宋体" w:eastAsia="宋体" w:cs="宋体"/>
                <w:i w:val="0"/>
                <w:iCs w:val="0"/>
                <w:caps w:val="0"/>
                <w:color w:val="auto"/>
                <w:spacing w:val="0"/>
                <w:sz w:val="24"/>
                <w:szCs w:val="24"/>
                <w:lang w:val="en-US" w:eastAsia="zh-CN"/>
              </w:rPr>
              <w:t>企业近三年在经营活动中没有重大违法记录声明函</w:t>
            </w:r>
            <w:r>
              <w:rPr>
                <w:rFonts w:hint="eastAsia" w:ascii="宋体" w:hAnsi="宋体" w:eastAsia="宋体" w:cs="宋体"/>
                <w:color w:val="auto"/>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996" w:type="dxa"/>
            <w:vMerge w:val="continue"/>
            <w:noWrap w:val="0"/>
            <w:vAlign w:val="center"/>
          </w:tcPr>
          <w:p>
            <w:pPr>
              <w:spacing w:line="400" w:lineRule="exact"/>
              <w:jc w:val="center"/>
              <w:rPr>
                <w:rFonts w:hint="eastAsia" w:ascii="宋体" w:hAnsi="宋体" w:eastAsia="宋体" w:cs="宋体"/>
                <w:color w:val="auto"/>
                <w:sz w:val="24"/>
                <w:szCs w:val="24"/>
              </w:rPr>
            </w:pPr>
          </w:p>
        </w:tc>
        <w:tc>
          <w:tcPr>
            <w:tcW w:w="7836" w:type="dxa"/>
            <w:noWrap w:val="0"/>
            <w:vAlign w:val="center"/>
          </w:tcPr>
          <w:p>
            <w:pPr>
              <w:numPr>
                <w:ilvl w:val="0"/>
                <w:numId w:val="0"/>
              </w:numPr>
              <w:adjustRightInd w:val="0"/>
              <w:snapToGrid w:val="0"/>
              <w:spacing w:line="400" w:lineRule="exact"/>
              <w:jc w:val="left"/>
              <w:rPr>
                <w:rFonts w:hint="eastAsia" w:ascii="宋体" w:hAnsi="宋体" w:eastAsia="宋体" w:cs="宋体"/>
                <w:color w:val="auto"/>
                <w:sz w:val="24"/>
                <w:szCs w:val="32"/>
              </w:rPr>
            </w:pPr>
            <w:r>
              <w:rPr>
                <w:rFonts w:hint="eastAsia" w:ascii="宋体" w:hAnsi="宋体" w:eastAsia="宋体" w:cs="宋体"/>
                <w:color w:val="auto"/>
                <w:sz w:val="24"/>
                <w:szCs w:val="32"/>
                <w:lang w:val="en-US" w:eastAsia="zh-CN"/>
              </w:rPr>
              <w:t>6、</w:t>
            </w:r>
            <w:r>
              <w:rPr>
                <w:rFonts w:hint="eastAsia" w:ascii="宋体" w:hAnsi="宋体" w:eastAsia="宋体" w:cs="宋体"/>
                <w:color w:val="auto"/>
                <w:sz w:val="24"/>
                <w:szCs w:val="32"/>
              </w:rPr>
              <w:t>提供在“信用中国”（www.creditchina.gov.cn）和中国政府采购网（www.ccgp.gov.cn）网站上未被列入失信被执行人、重大税收违法案件当事人名单以及政府采购严重违法失信行为记录名单的网页打印件；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996" w:type="dxa"/>
            <w:vMerge w:val="continue"/>
            <w:noWrap w:val="0"/>
            <w:vAlign w:val="center"/>
          </w:tcPr>
          <w:p>
            <w:pPr>
              <w:spacing w:line="400" w:lineRule="exact"/>
              <w:jc w:val="center"/>
              <w:rPr>
                <w:rFonts w:hint="eastAsia" w:ascii="宋体" w:hAnsi="宋体" w:eastAsia="宋体" w:cs="宋体"/>
                <w:color w:val="auto"/>
                <w:sz w:val="24"/>
                <w:szCs w:val="24"/>
              </w:rPr>
            </w:pPr>
          </w:p>
        </w:tc>
        <w:tc>
          <w:tcPr>
            <w:tcW w:w="7836" w:type="dxa"/>
            <w:noWrap w:val="0"/>
            <w:vAlign w:val="center"/>
          </w:tcPr>
          <w:p>
            <w:pPr>
              <w:numPr>
                <w:ilvl w:val="0"/>
                <w:numId w:val="0"/>
              </w:numPr>
              <w:adjustRightInd w:val="0"/>
              <w:snapToGrid w:val="0"/>
              <w:spacing w:line="400" w:lineRule="exact"/>
              <w:jc w:val="left"/>
              <w:rPr>
                <w:rFonts w:hint="default"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7、与采购人存在利害关系可能影响公正性的单位，不得参加本次采购活动。单位负责人为同一人或存在控股、管理关系的不同单位，不得参加同一标段采购活动。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996" w:type="dxa"/>
            <w:vMerge w:val="restart"/>
            <w:noWrap w:val="0"/>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b/>
                <w:color w:val="auto"/>
                <w:sz w:val="24"/>
                <w:szCs w:val="24"/>
              </w:rPr>
              <w:t>符合性检查</w:t>
            </w:r>
          </w:p>
        </w:tc>
        <w:tc>
          <w:tcPr>
            <w:tcW w:w="7836" w:type="dxa"/>
            <w:noWrap w:val="0"/>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1.投标文件按照按招标文件要求上传、解密、签署电子章的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trPr>
        <w:tc>
          <w:tcPr>
            <w:tcW w:w="996" w:type="dxa"/>
            <w:vMerge w:val="continue"/>
            <w:noWrap w:val="0"/>
            <w:vAlign w:val="center"/>
          </w:tcPr>
          <w:p>
            <w:pPr>
              <w:spacing w:line="400" w:lineRule="exact"/>
              <w:jc w:val="center"/>
              <w:rPr>
                <w:rFonts w:hint="eastAsia" w:ascii="宋体" w:hAnsi="宋体" w:eastAsia="宋体" w:cs="宋体"/>
                <w:color w:val="auto"/>
                <w:sz w:val="24"/>
                <w:szCs w:val="24"/>
              </w:rPr>
            </w:pPr>
          </w:p>
        </w:tc>
        <w:tc>
          <w:tcPr>
            <w:tcW w:w="7836" w:type="dxa"/>
            <w:noWrap w:val="0"/>
            <w:vAlign w:val="center"/>
          </w:tcPr>
          <w:p>
            <w:pPr>
              <w:spacing w:line="4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报价具有唯一性，报价未超过招标文件中规定的</w:t>
            </w:r>
            <w:r>
              <w:rPr>
                <w:rFonts w:hint="eastAsia" w:ascii="宋体" w:hAnsi="宋体" w:cs="宋体"/>
                <w:color w:val="auto"/>
                <w:sz w:val="24"/>
                <w:szCs w:val="24"/>
                <w:lang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trPr>
        <w:tc>
          <w:tcPr>
            <w:tcW w:w="996" w:type="dxa"/>
            <w:vMerge w:val="continue"/>
            <w:noWrap w:val="0"/>
            <w:vAlign w:val="center"/>
          </w:tcPr>
          <w:p>
            <w:pPr>
              <w:spacing w:line="400" w:lineRule="exact"/>
              <w:jc w:val="center"/>
              <w:rPr>
                <w:rFonts w:hint="eastAsia" w:ascii="宋体" w:hAnsi="宋体" w:eastAsia="宋体" w:cs="宋体"/>
                <w:color w:val="auto"/>
                <w:sz w:val="24"/>
                <w:szCs w:val="24"/>
              </w:rPr>
            </w:pPr>
          </w:p>
        </w:tc>
        <w:tc>
          <w:tcPr>
            <w:tcW w:w="7836" w:type="dxa"/>
            <w:noWrap w:val="0"/>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.按规定形式、金额提交投标保证金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96" w:type="dxa"/>
            <w:vMerge w:val="continue"/>
            <w:noWrap w:val="0"/>
            <w:vAlign w:val="center"/>
          </w:tcPr>
          <w:p>
            <w:pPr>
              <w:spacing w:line="400" w:lineRule="exact"/>
              <w:jc w:val="center"/>
              <w:rPr>
                <w:rFonts w:hint="eastAsia" w:ascii="宋体" w:hAnsi="宋体" w:eastAsia="宋体" w:cs="宋体"/>
                <w:color w:val="auto"/>
                <w:sz w:val="24"/>
                <w:szCs w:val="24"/>
              </w:rPr>
            </w:pPr>
          </w:p>
        </w:tc>
        <w:tc>
          <w:tcPr>
            <w:tcW w:w="7836" w:type="dxa"/>
            <w:noWrap w:val="0"/>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.响应</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期满足招标文件要求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96" w:type="dxa"/>
            <w:vMerge w:val="continue"/>
            <w:noWrap w:val="0"/>
            <w:vAlign w:val="center"/>
          </w:tcPr>
          <w:p>
            <w:pPr>
              <w:spacing w:line="400" w:lineRule="exact"/>
              <w:jc w:val="center"/>
              <w:rPr>
                <w:rFonts w:hint="eastAsia" w:ascii="宋体" w:hAnsi="宋体" w:eastAsia="宋体" w:cs="宋体"/>
                <w:color w:val="auto"/>
                <w:sz w:val="24"/>
                <w:szCs w:val="24"/>
              </w:rPr>
            </w:pPr>
          </w:p>
        </w:tc>
        <w:tc>
          <w:tcPr>
            <w:tcW w:w="7836" w:type="dxa"/>
            <w:noWrap w:val="0"/>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有商务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技术</w:t>
            </w:r>
            <w:r>
              <w:rPr>
                <w:rFonts w:hint="eastAsia" w:ascii="宋体" w:hAnsi="宋体" w:eastAsia="宋体" w:cs="宋体"/>
                <w:color w:val="auto"/>
                <w:sz w:val="24"/>
                <w:szCs w:val="24"/>
              </w:rPr>
              <w:t>偏离表，并且对本次招标的所有商务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技术</w:t>
            </w:r>
            <w:r>
              <w:rPr>
                <w:rFonts w:hint="eastAsia" w:ascii="宋体" w:hAnsi="宋体" w:eastAsia="宋体" w:cs="宋体"/>
                <w:color w:val="auto"/>
                <w:sz w:val="24"/>
                <w:szCs w:val="24"/>
              </w:rPr>
              <w:t>条件全部响应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trPr>
        <w:tc>
          <w:tcPr>
            <w:tcW w:w="996" w:type="dxa"/>
            <w:vMerge w:val="continue"/>
            <w:noWrap w:val="0"/>
            <w:vAlign w:val="center"/>
          </w:tcPr>
          <w:p>
            <w:pPr>
              <w:spacing w:line="400" w:lineRule="exact"/>
              <w:jc w:val="center"/>
              <w:rPr>
                <w:rFonts w:hint="eastAsia" w:ascii="宋体" w:hAnsi="宋体" w:eastAsia="宋体" w:cs="宋体"/>
                <w:color w:val="auto"/>
                <w:sz w:val="24"/>
                <w:szCs w:val="24"/>
              </w:rPr>
            </w:pPr>
          </w:p>
        </w:tc>
        <w:tc>
          <w:tcPr>
            <w:tcW w:w="7836" w:type="dxa"/>
            <w:noWrap w:val="0"/>
            <w:vAlign w:val="center"/>
          </w:tcPr>
          <w:p>
            <w:pPr>
              <w:spacing w:line="400" w:lineRule="exac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96" w:type="dxa"/>
            <w:noWrap w:val="0"/>
            <w:vAlign w:val="center"/>
          </w:tcPr>
          <w:p>
            <w:pPr>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结论</w:t>
            </w:r>
          </w:p>
        </w:tc>
        <w:tc>
          <w:tcPr>
            <w:tcW w:w="7836" w:type="dxa"/>
            <w:noWrap w:val="0"/>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是否通过资格审查，进入下一阶段专家评审。</w:t>
            </w:r>
          </w:p>
        </w:tc>
      </w:tr>
    </w:tbl>
    <w:p>
      <w:pPr>
        <w:pStyle w:val="5"/>
        <w:tabs>
          <w:tab w:val="clear" w:pos="567"/>
        </w:tabs>
        <w:spacing w:before="0" w:line="360" w:lineRule="auto"/>
        <w:rPr>
          <w:rFonts w:hint="eastAsia" w:ascii="宋体" w:hAnsi="宋体" w:eastAsia="宋体" w:cs="宋体"/>
          <w:i w:val="0"/>
          <w:iCs w:val="0"/>
          <w:color w:val="auto"/>
        </w:rPr>
      </w:pPr>
    </w:p>
    <w:p>
      <w:pPr>
        <w:pStyle w:val="50"/>
        <w:rPr>
          <w:rFonts w:hint="eastAsia"/>
          <w:color w:val="auto"/>
        </w:rPr>
      </w:pPr>
    </w:p>
    <w:p>
      <w:pPr>
        <w:pStyle w:val="5"/>
        <w:tabs>
          <w:tab w:val="clear" w:pos="567"/>
        </w:tabs>
        <w:spacing w:before="0" w:line="360" w:lineRule="auto"/>
        <w:ind w:left="-181" w:leftChars="-86" w:firstLine="660" w:firstLineChars="275"/>
        <w:rPr>
          <w:rFonts w:hint="eastAsia" w:ascii="宋体" w:hAnsi="宋体" w:eastAsia="宋体" w:cs="宋体"/>
          <w:i w:val="0"/>
          <w:iCs w:val="0"/>
          <w:color w:val="auto"/>
        </w:rPr>
      </w:pPr>
    </w:p>
    <w:p>
      <w:pPr>
        <w:pStyle w:val="5"/>
        <w:tabs>
          <w:tab w:val="clear" w:pos="567"/>
        </w:tabs>
        <w:spacing w:before="0" w:line="360" w:lineRule="auto"/>
        <w:ind w:left="-181" w:leftChars="-86" w:firstLine="180" w:firstLineChars="75"/>
        <w:jc w:val="center"/>
        <w:rPr>
          <w:rFonts w:hint="eastAsia" w:ascii="黑体" w:hAnsi="黑体" w:eastAsia="黑体" w:cs="黑体"/>
          <w:i w:val="0"/>
          <w:iCs w:val="0"/>
          <w:color w:val="auto"/>
          <w:sz w:val="28"/>
          <w:szCs w:val="28"/>
          <w:highlight w:val="yellow"/>
        </w:rPr>
      </w:pPr>
      <w:r>
        <w:rPr>
          <w:rFonts w:hint="eastAsia" w:ascii="宋体" w:hAnsi="宋体" w:eastAsia="宋体" w:cs="宋体"/>
          <w:i w:val="0"/>
          <w:iCs w:val="0"/>
          <w:color w:val="auto"/>
        </w:rPr>
        <w:br w:type="page"/>
      </w:r>
      <w:bookmarkStart w:id="259" w:name="_Toc507399904"/>
      <w:r>
        <w:rPr>
          <w:rFonts w:hint="eastAsia" w:ascii="宋体" w:hAnsi="宋体" w:eastAsia="宋体" w:cs="宋体"/>
          <w:b/>
          <w:bCs/>
          <w:i w:val="0"/>
          <w:iCs w:val="0"/>
          <w:color w:val="auto"/>
          <w:kern w:val="0"/>
          <w:sz w:val="32"/>
          <w:szCs w:val="32"/>
          <w:lang w:val="en-US" w:eastAsia="zh-CN" w:bidi="ar-SA"/>
        </w:rPr>
        <w:t>二、综合评分明细表</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rPr>
        <w:t>注：为方便电子评审，目录需关联至指定信息处，否则视同为未提供。</w:t>
      </w:r>
      <w:r>
        <w:rPr>
          <w:rFonts w:hint="eastAsia" w:ascii="宋体" w:hAnsi="宋体" w:eastAsia="宋体" w:cs="宋体"/>
          <w:b/>
          <w:bCs/>
          <w:i w:val="0"/>
          <w:iCs w:val="0"/>
          <w:color w:val="auto"/>
          <w:sz w:val="24"/>
          <w:szCs w:val="24"/>
          <w:highlight w:val="none"/>
          <w:lang w:val="en-US" w:eastAsia="zh-CN"/>
        </w:rPr>
        <w:t>标书内提供的</w:t>
      </w:r>
      <w:r>
        <w:rPr>
          <w:rFonts w:hint="eastAsia" w:ascii="宋体" w:hAnsi="宋体" w:eastAsia="宋体" w:cs="宋体"/>
          <w:b/>
          <w:bCs/>
          <w:i w:val="0"/>
          <w:iCs w:val="0"/>
          <w:color w:val="auto"/>
          <w:sz w:val="24"/>
          <w:szCs w:val="24"/>
          <w:highlight w:val="none"/>
        </w:rPr>
        <w:t>证明资质，在投标有效期内应招标方要求可随时提供原件备查</w:t>
      </w: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lang w:val="en-US" w:eastAsia="zh-CN"/>
        </w:rPr>
        <w:t>如发现提供虚假资料谋取中标则取消中标资格并上报财政监管部门。</w:t>
      </w:r>
    </w:p>
    <w:p>
      <w:pPr>
        <w:rPr>
          <w:rFonts w:hint="eastAsia"/>
          <w:color w:val="auto"/>
        </w:rPr>
      </w:pPr>
    </w:p>
    <w:p>
      <w:pPr>
        <w:spacing w:line="240" w:lineRule="atLeast"/>
        <w:jc w:val="center"/>
        <w:rPr>
          <w:rFonts w:hint="eastAsia" w:ascii="宋体" w:hAnsi="宋体" w:cs="宋体"/>
          <w:b/>
          <w:bCs/>
          <w:color w:val="auto"/>
          <w:kern w:val="0"/>
          <w:sz w:val="28"/>
          <w:szCs w:val="32"/>
        </w:rPr>
      </w:pPr>
      <w:r>
        <w:rPr>
          <w:rFonts w:hint="eastAsia" w:ascii="宋体" w:hAnsi="宋体" w:cs="宋体"/>
          <w:b/>
          <w:bCs/>
          <w:color w:val="auto"/>
          <w:kern w:val="0"/>
          <w:sz w:val="28"/>
          <w:szCs w:val="32"/>
        </w:rPr>
        <w:t>评</w:t>
      </w:r>
      <w:r>
        <w:rPr>
          <w:rFonts w:hint="eastAsia" w:ascii="宋体" w:hAnsi="宋体" w:cs="宋体"/>
          <w:b/>
          <w:bCs/>
          <w:color w:val="auto"/>
          <w:kern w:val="0"/>
          <w:sz w:val="28"/>
          <w:szCs w:val="32"/>
          <w:lang w:val="en-US" w:eastAsia="zh-CN"/>
        </w:rPr>
        <w:t xml:space="preserve"> </w:t>
      </w:r>
      <w:r>
        <w:rPr>
          <w:rFonts w:hint="eastAsia" w:ascii="宋体" w:hAnsi="宋体" w:cs="宋体"/>
          <w:b/>
          <w:bCs/>
          <w:color w:val="auto"/>
          <w:kern w:val="0"/>
          <w:sz w:val="28"/>
          <w:szCs w:val="32"/>
        </w:rPr>
        <w:t>分</w:t>
      </w:r>
      <w:r>
        <w:rPr>
          <w:rFonts w:hint="eastAsia" w:ascii="宋体" w:hAnsi="宋体" w:cs="宋体"/>
          <w:b/>
          <w:bCs/>
          <w:color w:val="auto"/>
          <w:kern w:val="0"/>
          <w:sz w:val="28"/>
          <w:szCs w:val="32"/>
          <w:lang w:val="en-US" w:eastAsia="zh-CN"/>
        </w:rPr>
        <w:t xml:space="preserve"> </w:t>
      </w:r>
      <w:r>
        <w:rPr>
          <w:rFonts w:hint="eastAsia" w:ascii="宋体" w:hAnsi="宋体" w:cs="宋体"/>
          <w:b/>
          <w:bCs/>
          <w:color w:val="auto"/>
          <w:kern w:val="0"/>
          <w:sz w:val="28"/>
          <w:szCs w:val="32"/>
        </w:rPr>
        <w:t>标</w:t>
      </w:r>
      <w:r>
        <w:rPr>
          <w:rFonts w:hint="eastAsia" w:ascii="宋体" w:hAnsi="宋体" w:cs="宋体"/>
          <w:b/>
          <w:bCs/>
          <w:color w:val="auto"/>
          <w:kern w:val="0"/>
          <w:sz w:val="28"/>
          <w:szCs w:val="32"/>
          <w:lang w:val="en-US" w:eastAsia="zh-CN"/>
        </w:rPr>
        <w:t xml:space="preserve"> </w:t>
      </w:r>
      <w:r>
        <w:rPr>
          <w:rFonts w:hint="eastAsia" w:ascii="宋体" w:hAnsi="宋体" w:cs="宋体"/>
          <w:b/>
          <w:bCs/>
          <w:color w:val="auto"/>
          <w:kern w:val="0"/>
          <w:sz w:val="28"/>
          <w:szCs w:val="32"/>
        </w:rPr>
        <w:t>准</w:t>
      </w:r>
    </w:p>
    <w:p>
      <w:pPr>
        <w:pStyle w:val="23"/>
        <w:rPr>
          <w:color w:val="auto"/>
        </w:rPr>
      </w:pPr>
    </w:p>
    <w:tbl>
      <w:tblPr>
        <w:tblStyle w:val="33"/>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240"/>
        <w:gridCol w:w="767"/>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83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939"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价格部分（10分）</w:t>
            </w:r>
          </w:p>
        </w:tc>
        <w:tc>
          <w:tcPr>
            <w:tcW w:w="8345" w:type="dxa"/>
            <w:gridSpan w:val="3"/>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评标基准价：满足招标文件要求且投标报价最低的投标报价为评标基准价，其余投标人投标价与该基准价对比计算出报价评分值（保留小数点后2位）：</w:t>
            </w:r>
          </w:p>
          <w:p>
            <w:pPr>
              <w:rPr>
                <w:rFonts w:hint="eastAsia" w:ascii="宋体" w:hAnsi="宋体" w:eastAsia="宋体" w:cs="宋体"/>
                <w:color w:val="auto"/>
                <w:sz w:val="24"/>
                <w:szCs w:val="24"/>
              </w:rPr>
            </w:pPr>
            <w:r>
              <w:rPr>
                <w:rFonts w:hint="eastAsia" w:ascii="宋体" w:hAnsi="宋体" w:eastAsia="宋体" w:cs="宋体"/>
                <w:color w:val="auto"/>
                <w:sz w:val="24"/>
                <w:szCs w:val="24"/>
              </w:rPr>
              <w:t>有效投标人的投标价等于评标基准价时，其报价为满分10分。</w:t>
            </w:r>
          </w:p>
          <w:p>
            <w:pPr>
              <w:rPr>
                <w:rFonts w:hint="eastAsia" w:ascii="宋体" w:hAnsi="宋体" w:eastAsia="宋体" w:cs="宋体"/>
                <w:color w:val="auto"/>
                <w:sz w:val="24"/>
                <w:szCs w:val="24"/>
              </w:rPr>
            </w:pPr>
            <w:r>
              <w:rPr>
                <w:rFonts w:hint="eastAsia" w:ascii="宋体" w:hAnsi="宋体" w:eastAsia="宋体" w:cs="宋体"/>
                <w:color w:val="auto"/>
                <w:sz w:val="24"/>
                <w:szCs w:val="24"/>
              </w:rPr>
              <w:t>其他投标人的价格分按以下公式计算：</w:t>
            </w:r>
          </w:p>
          <w:p>
            <w:pPr>
              <w:jc w:val="left"/>
              <w:rPr>
                <w:rFonts w:hint="eastAsia" w:ascii="宋体" w:hAnsi="宋体" w:eastAsia="宋体" w:cs="宋体"/>
                <w:color w:val="auto"/>
                <w:sz w:val="21"/>
                <w:szCs w:val="21"/>
              </w:rPr>
            </w:pPr>
            <w:r>
              <w:rPr>
                <w:rFonts w:hint="eastAsia" w:ascii="宋体" w:hAnsi="宋体" w:eastAsia="宋体" w:cs="宋体"/>
                <w:color w:val="auto"/>
                <w:sz w:val="24"/>
                <w:szCs w:val="24"/>
              </w:rPr>
              <w:t>投标价得分=（评标基准价/投标人投标价）×价格权分（10%）×100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39" w:type="dxa"/>
            <w:tcBorders>
              <w:left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p>
        </w:tc>
        <w:tc>
          <w:tcPr>
            <w:tcW w:w="1240"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评分因素</w:t>
            </w:r>
          </w:p>
        </w:tc>
        <w:tc>
          <w:tcPr>
            <w:tcW w:w="767"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63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39" w:type="dxa"/>
            <w:vMerge w:val="restart"/>
            <w:tcBorders>
              <w:left w:val="single" w:color="auto" w:sz="4" w:space="0"/>
              <w:right w:val="single" w:color="auto" w:sz="4" w:space="0"/>
            </w:tcBorders>
            <w:noWrap w:val="0"/>
            <w:vAlign w:val="center"/>
          </w:tcPr>
          <w:p>
            <w:pPr>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商务部分（</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0分）</w:t>
            </w:r>
          </w:p>
          <w:p>
            <w:pPr>
              <w:spacing w:line="400" w:lineRule="exact"/>
              <w:rPr>
                <w:rFonts w:hint="eastAsia" w:ascii="宋体" w:hAnsi="宋体" w:eastAsia="宋体" w:cs="宋体"/>
                <w:color w:val="auto"/>
                <w:sz w:val="24"/>
                <w:szCs w:val="24"/>
                <w:lang w:val="en-US" w:eastAsia="zh-CN"/>
              </w:rPr>
            </w:pPr>
          </w:p>
        </w:tc>
        <w:tc>
          <w:tcPr>
            <w:tcW w:w="1240"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业绩</w:t>
            </w:r>
          </w:p>
        </w:tc>
        <w:tc>
          <w:tcPr>
            <w:tcW w:w="767"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tc>
        <w:tc>
          <w:tcPr>
            <w:tcW w:w="6338" w:type="dxa"/>
            <w:tcBorders>
              <w:top w:val="single" w:color="auto" w:sz="4" w:space="0"/>
              <w:left w:val="single" w:color="auto" w:sz="4" w:space="0"/>
              <w:bottom w:val="single" w:color="auto" w:sz="4" w:space="0"/>
              <w:right w:val="single" w:color="auto" w:sz="4" w:space="0"/>
            </w:tcBorders>
            <w:noWrap w:val="0"/>
            <w:vAlign w:val="center"/>
          </w:tcPr>
          <w:p>
            <w:pPr>
              <w:pStyle w:val="54"/>
              <w:tabs>
                <w:tab w:val="left" w:pos="0"/>
              </w:tabs>
              <w:spacing w:line="360" w:lineRule="auto"/>
              <w:ind w:firstLine="0" w:firstLineChars="0"/>
              <w:rPr>
                <w:rFonts w:hint="default" w:ascii="宋体" w:hAnsi="宋体"/>
                <w:bCs/>
                <w:color w:val="auto"/>
                <w:sz w:val="24"/>
                <w:szCs w:val="24"/>
                <w:lang w:val="en-US" w:eastAsia="zh-CN"/>
              </w:rPr>
            </w:pPr>
            <w:r>
              <w:rPr>
                <w:rFonts w:hint="default" w:ascii="宋体" w:hAnsi="宋体"/>
                <w:bCs/>
                <w:color w:val="auto"/>
                <w:sz w:val="24"/>
                <w:szCs w:val="24"/>
                <w:lang w:val="en-US" w:eastAsia="zh-CN"/>
              </w:rPr>
              <w:t>投标人</w:t>
            </w:r>
            <w:r>
              <w:rPr>
                <w:rFonts w:hint="eastAsia" w:ascii="宋体" w:hAnsi="宋体"/>
                <w:bCs/>
                <w:color w:val="auto"/>
                <w:sz w:val="24"/>
                <w:szCs w:val="24"/>
                <w:lang w:val="en-US" w:eastAsia="zh-CN"/>
              </w:rPr>
              <w:t>近三年</w:t>
            </w:r>
            <w:r>
              <w:rPr>
                <w:rFonts w:hint="default" w:ascii="宋体" w:hAnsi="宋体"/>
                <w:bCs/>
                <w:color w:val="auto"/>
                <w:sz w:val="24"/>
                <w:szCs w:val="24"/>
                <w:lang w:val="en-US" w:eastAsia="zh-CN"/>
              </w:rPr>
              <w:t>（20</w:t>
            </w:r>
            <w:r>
              <w:rPr>
                <w:rFonts w:hint="eastAsia" w:ascii="宋体" w:hAnsi="宋体"/>
                <w:bCs/>
                <w:color w:val="auto"/>
                <w:sz w:val="24"/>
                <w:szCs w:val="24"/>
                <w:lang w:val="en-US" w:eastAsia="zh-CN"/>
              </w:rPr>
              <w:t>20</w:t>
            </w:r>
            <w:r>
              <w:rPr>
                <w:rFonts w:hint="default" w:ascii="宋体" w:hAnsi="宋体"/>
                <w:bCs/>
                <w:color w:val="auto"/>
                <w:sz w:val="24"/>
                <w:szCs w:val="24"/>
                <w:lang w:val="en-US" w:eastAsia="zh-CN"/>
              </w:rPr>
              <w:t>年1月1日至现在）</w:t>
            </w:r>
            <w:r>
              <w:rPr>
                <w:rFonts w:hint="eastAsia" w:ascii="宋体" w:hAnsi="宋体"/>
                <w:bCs/>
                <w:color w:val="auto"/>
                <w:sz w:val="24"/>
                <w:szCs w:val="24"/>
                <w:lang w:val="en-US" w:eastAsia="zh-CN"/>
              </w:rPr>
              <w:t>完成</w:t>
            </w:r>
            <w:r>
              <w:rPr>
                <w:rFonts w:hint="default" w:ascii="宋体" w:hAnsi="宋体"/>
                <w:bCs/>
                <w:color w:val="auto"/>
                <w:sz w:val="24"/>
                <w:szCs w:val="24"/>
                <w:lang w:val="en-US" w:eastAsia="zh-CN"/>
              </w:rPr>
              <w:t>的</w:t>
            </w:r>
            <w:r>
              <w:rPr>
                <w:rFonts w:hint="eastAsia" w:ascii="宋体" w:hAnsi="宋体"/>
                <w:bCs/>
                <w:color w:val="auto"/>
                <w:sz w:val="24"/>
                <w:szCs w:val="24"/>
                <w:lang w:val="en-US" w:eastAsia="zh-CN"/>
              </w:rPr>
              <w:t>类似</w:t>
            </w:r>
            <w:r>
              <w:rPr>
                <w:rFonts w:hint="default" w:ascii="宋体" w:hAnsi="宋体"/>
                <w:bCs/>
                <w:color w:val="auto"/>
                <w:sz w:val="24"/>
                <w:szCs w:val="24"/>
                <w:lang w:val="en-US" w:eastAsia="zh-CN"/>
              </w:rPr>
              <w:t>项目，每项得</w:t>
            </w:r>
            <w:r>
              <w:rPr>
                <w:rFonts w:hint="eastAsia" w:ascii="宋体" w:hAnsi="宋体"/>
                <w:bCs/>
                <w:color w:val="auto"/>
                <w:sz w:val="24"/>
                <w:szCs w:val="24"/>
                <w:lang w:val="en-US" w:eastAsia="zh-CN"/>
              </w:rPr>
              <w:t>2</w:t>
            </w:r>
            <w:r>
              <w:rPr>
                <w:rFonts w:hint="default" w:ascii="宋体" w:hAnsi="宋体"/>
                <w:bCs/>
                <w:color w:val="auto"/>
                <w:sz w:val="24"/>
                <w:szCs w:val="24"/>
                <w:lang w:val="en-US" w:eastAsia="zh-CN"/>
              </w:rPr>
              <w:t>分，满分</w:t>
            </w:r>
            <w:r>
              <w:rPr>
                <w:rFonts w:hint="eastAsia" w:ascii="宋体" w:hAnsi="宋体"/>
                <w:bCs/>
                <w:color w:val="auto"/>
                <w:sz w:val="24"/>
                <w:szCs w:val="24"/>
                <w:lang w:val="en-US" w:eastAsia="zh-CN"/>
              </w:rPr>
              <w:t>4</w:t>
            </w:r>
            <w:r>
              <w:rPr>
                <w:rFonts w:hint="default" w:ascii="宋体" w:hAnsi="宋体"/>
                <w:bCs/>
                <w:color w:val="auto"/>
                <w:sz w:val="24"/>
                <w:szCs w:val="24"/>
                <w:lang w:val="en-US" w:eastAsia="zh-CN"/>
              </w:rPr>
              <w:t>分。</w:t>
            </w:r>
          </w:p>
          <w:p>
            <w:pPr>
              <w:pStyle w:val="54"/>
              <w:tabs>
                <w:tab w:val="left" w:pos="0"/>
              </w:tabs>
              <w:spacing w:line="360" w:lineRule="auto"/>
              <w:ind w:firstLine="0" w:firstLineChars="0"/>
              <w:rPr>
                <w:rFonts w:hint="eastAsia" w:ascii="宋体" w:hAnsi="宋体"/>
                <w:bCs/>
                <w:color w:val="auto"/>
                <w:sz w:val="24"/>
                <w:szCs w:val="24"/>
                <w:lang w:val="en-US" w:eastAsia="zh-CN"/>
              </w:rPr>
            </w:pPr>
            <w:r>
              <w:rPr>
                <w:rFonts w:hint="eastAsia" w:ascii="宋体" w:hAnsi="宋体"/>
                <w:bCs/>
                <w:color w:val="auto"/>
                <w:sz w:val="24"/>
                <w:szCs w:val="24"/>
                <w:lang w:val="en-US" w:eastAsia="zh-CN"/>
              </w:rPr>
              <w:t>注：</w:t>
            </w:r>
            <w:r>
              <w:rPr>
                <w:rFonts w:hint="eastAsia" w:ascii="宋体" w:hAnsi="宋体"/>
                <w:bCs/>
                <w:color w:val="auto"/>
                <w:sz w:val="24"/>
                <w:szCs w:val="24"/>
              </w:rPr>
              <w:t>须提供合同及相关材料复印件加盖公章。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39" w:type="dxa"/>
            <w:vMerge w:val="continue"/>
            <w:tcBorders>
              <w:left w:val="single" w:color="auto" w:sz="4" w:space="0"/>
              <w:right w:val="single" w:color="auto" w:sz="4" w:space="0"/>
            </w:tcBorders>
            <w:noWrap w:val="0"/>
            <w:vAlign w:val="center"/>
          </w:tcPr>
          <w:p>
            <w:pPr>
              <w:spacing w:line="400" w:lineRule="exact"/>
              <w:rPr>
                <w:rFonts w:hint="eastAsia" w:ascii="宋体" w:hAnsi="宋体" w:eastAsia="宋体" w:cs="宋体"/>
                <w:color w:val="auto"/>
                <w:sz w:val="24"/>
                <w:szCs w:val="24"/>
                <w:lang w:val="en-US" w:eastAsia="zh-CN"/>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auto"/>
                <w:sz w:val="24"/>
                <w:highlight w:val="none"/>
                <w:lang w:val="en-US" w:eastAsia="zh-CN"/>
              </w:rPr>
            </w:pPr>
            <w:r>
              <w:rPr>
                <w:rFonts w:hint="eastAsia" w:ascii="宋体" w:hAnsi="宋体" w:cs="宋体"/>
                <w:sz w:val="24"/>
              </w:rPr>
              <w:t>投标人综合实力及</w:t>
            </w:r>
            <w:r>
              <w:rPr>
                <w:rFonts w:hint="eastAsia" w:ascii="宋体" w:hAnsi="宋体" w:cs="宋体"/>
                <w:sz w:val="24"/>
                <w:lang w:val="en-US" w:eastAsia="zh-CN"/>
              </w:rPr>
              <w:t>履</w:t>
            </w:r>
            <w:r>
              <w:rPr>
                <w:rFonts w:hint="eastAsia" w:ascii="宋体" w:hAnsi="宋体" w:cs="宋体"/>
                <w:sz w:val="24"/>
              </w:rPr>
              <w:t>约能力</w:t>
            </w: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auto"/>
                <w:sz w:val="24"/>
                <w:szCs w:val="24"/>
                <w:highlight w:val="none"/>
                <w:lang w:val="en-US" w:eastAsia="zh-CN"/>
              </w:rPr>
            </w:pPr>
            <w:r>
              <w:rPr>
                <w:rFonts w:hint="eastAsia" w:ascii="宋体" w:hAnsi="宋体" w:cs="宋体"/>
                <w:sz w:val="24"/>
              </w:rPr>
              <w:t>8分</w:t>
            </w:r>
          </w:p>
        </w:tc>
        <w:tc>
          <w:tcPr>
            <w:tcW w:w="6338" w:type="dxa"/>
            <w:tcBorders>
              <w:top w:val="single" w:color="auto" w:sz="4" w:space="0"/>
              <w:left w:val="single" w:color="auto" w:sz="4" w:space="0"/>
              <w:bottom w:val="single" w:color="auto" w:sz="4" w:space="0"/>
              <w:right w:val="single" w:color="auto" w:sz="4" w:space="0"/>
            </w:tcBorders>
            <w:noWrap w:val="0"/>
            <w:vAlign w:val="center"/>
          </w:tcPr>
          <w:p>
            <w:pPr>
              <w:pStyle w:val="54"/>
              <w:tabs>
                <w:tab w:val="left" w:pos="0"/>
              </w:tabs>
              <w:spacing w:line="360" w:lineRule="auto"/>
              <w:ind w:firstLine="0" w:firstLineChars="0"/>
              <w:rPr>
                <w:rFonts w:hint="eastAsia" w:ascii="宋体" w:hAnsi="宋体"/>
                <w:bCs/>
                <w:color w:val="auto"/>
                <w:sz w:val="24"/>
                <w:szCs w:val="24"/>
                <w:lang w:val="en-US" w:eastAsia="zh-CN"/>
              </w:rPr>
            </w:pPr>
            <w:r>
              <w:rPr>
                <w:rFonts w:hint="eastAsia" w:ascii="宋体" w:hAnsi="宋体"/>
                <w:bCs/>
                <w:color w:val="auto"/>
                <w:sz w:val="24"/>
                <w:szCs w:val="24"/>
                <w:lang w:val="en-US" w:eastAsia="zh-CN"/>
              </w:rPr>
              <w:t>响应招标文件的要求，能够切实履行各项承诺并提供能够体现企业综合实力和履约能力的证明材料，</w:t>
            </w:r>
            <w:r>
              <w:rPr>
                <w:rFonts w:hint="eastAsia" w:hAnsi="宋体"/>
                <w:bCs/>
                <w:color w:val="auto"/>
                <w:sz w:val="24"/>
                <w:szCs w:val="24"/>
                <w:lang w:val="en-US" w:eastAsia="zh-CN"/>
              </w:rPr>
              <w:t>每有一项证明材料得1分，满分8分</w:t>
            </w:r>
            <w:r>
              <w:rPr>
                <w:rFonts w:hint="eastAsia" w:ascii="宋体" w:hAnsi="宋体"/>
                <w:bCs/>
                <w:color w:val="auto"/>
                <w:sz w:val="24"/>
                <w:szCs w:val="24"/>
                <w:lang w:val="en-US" w:eastAsia="zh-CN"/>
              </w:rPr>
              <w:t>。注:证明资料包括投标人取得的证书、验收单及其它能够体现履约能力的相关资料。《需提供复印件加盖公章)。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39" w:type="dxa"/>
            <w:vMerge w:val="continue"/>
            <w:tcBorders>
              <w:left w:val="single" w:color="auto" w:sz="4" w:space="0"/>
              <w:right w:val="single" w:color="auto" w:sz="4" w:space="0"/>
            </w:tcBorders>
            <w:noWrap w:val="0"/>
            <w:vAlign w:val="center"/>
          </w:tcPr>
          <w:p>
            <w:pPr>
              <w:spacing w:line="400" w:lineRule="exact"/>
              <w:rPr>
                <w:rFonts w:hint="eastAsia" w:ascii="宋体" w:hAnsi="宋体" w:eastAsia="宋体" w:cs="宋体"/>
                <w:color w:val="auto"/>
                <w:sz w:val="24"/>
                <w:szCs w:val="24"/>
                <w:lang w:val="en-US" w:eastAsia="zh-CN"/>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b w:val="0"/>
                <w:bCs/>
                <w:color w:val="auto"/>
                <w:kern w:val="2"/>
                <w:sz w:val="24"/>
                <w:szCs w:val="24"/>
                <w:lang w:val="en-US" w:eastAsia="zh-CN" w:bidi="ar-SA"/>
              </w:rPr>
            </w:pPr>
            <w:r>
              <w:rPr>
                <w:rFonts w:hint="eastAsia" w:ascii="宋体" w:hAnsi="宋体" w:cs="宋体"/>
                <w:color w:val="auto"/>
                <w:sz w:val="24"/>
                <w:highlight w:val="none"/>
                <w:lang w:val="en-US" w:eastAsia="zh-CN"/>
              </w:rPr>
              <w:t>项目团队技术力量</w:t>
            </w: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color w:val="auto"/>
                <w:kern w:val="2"/>
                <w:sz w:val="24"/>
                <w:szCs w:val="24"/>
                <w:lang w:val="en-US" w:eastAsia="zh-CN" w:bidi="ar-SA"/>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tc>
        <w:tc>
          <w:tcPr>
            <w:tcW w:w="6338" w:type="dxa"/>
            <w:tcBorders>
              <w:top w:val="single" w:color="auto" w:sz="4" w:space="0"/>
              <w:left w:val="single" w:color="auto" w:sz="4" w:space="0"/>
              <w:bottom w:val="single" w:color="auto" w:sz="4" w:space="0"/>
              <w:right w:val="single" w:color="auto" w:sz="4" w:space="0"/>
            </w:tcBorders>
            <w:noWrap w:val="0"/>
            <w:vAlign w:val="center"/>
          </w:tcPr>
          <w:p>
            <w:pPr>
              <w:pStyle w:val="54"/>
              <w:tabs>
                <w:tab w:val="left" w:pos="0"/>
              </w:tabs>
              <w:spacing w:line="360" w:lineRule="auto"/>
              <w:ind w:firstLine="0"/>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除项目负责人以外的其他项目成员中：</w:t>
            </w:r>
          </w:p>
          <w:p>
            <w:pPr>
              <w:pStyle w:val="54"/>
              <w:tabs>
                <w:tab w:val="left" w:pos="0"/>
              </w:tabs>
              <w:spacing w:line="360" w:lineRule="auto"/>
              <w:ind w:firstLine="0"/>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①具有规划、道路交通、园林景观、建筑、土地、市政等专业技术人员，满足全部专业要求，且配备齐全的，得满分4分。若未满足全部专业要求，无法配备齐全的，少一个扣一分，扣完为止。注：以专业职称证或毕业证为准，以上人员不可重复。</w:t>
            </w:r>
          </w:p>
          <w:p>
            <w:pPr>
              <w:pStyle w:val="54"/>
              <w:tabs>
                <w:tab w:val="left" w:pos="0"/>
              </w:tabs>
              <w:spacing w:line="360" w:lineRule="auto"/>
              <w:ind w:firstLine="0"/>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②上述专业技术人员具备高级及以上职称的，每有一个得1分；本项最高得4分。注：以专业职称证为准。</w:t>
            </w:r>
          </w:p>
          <w:p>
            <w:pPr>
              <w:pStyle w:val="54"/>
              <w:tabs>
                <w:tab w:val="left" w:pos="0"/>
              </w:tabs>
              <w:spacing w:line="360" w:lineRule="auto"/>
              <w:ind w:firstLine="0"/>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注：1、项目组人员均为投标单位在职员工，须提供近一个月社保证明材料，所有复印件加盖公章。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39" w:type="dxa"/>
            <w:vMerge w:val="continue"/>
            <w:tcBorders>
              <w:left w:val="single" w:color="auto" w:sz="4" w:space="0"/>
              <w:right w:val="single" w:color="auto" w:sz="4" w:space="0"/>
            </w:tcBorders>
            <w:noWrap w:val="0"/>
            <w:vAlign w:val="center"/>
          </w:tcPr>
          <w:p>
            <w:pPr>
              <w:spacing w:line="400" w:lineRule="exact"/>
              <w:rPr>
                <w:rFonts w:hint="eastAsia" w:ascii="宋体" w:hAnsi="宋体" w:eastAsia="宋体" w:cs="宋体"/>
                <w:color w:val="auto"/>
                <w:sz w:val="24"/>
                <w:szCs w:val="24"/>
                <w:lang w:val="en-US" w:eastAsia="zh-CN"/>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pPr>
              <w:pStyle w:val="54"/>
              <w:tabs>
                <w:tab w:val="left" w:pos="0"/>
              </w:tabs>
              <w:spacing w:line="36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b/>
                <w:color w:val="auto"/>
                <w:sz w:val="24"/>
                <w:szCs w:val="24"/>
              </w:rPr>
              <w:t>项目管理制度和进度计划</w:t>
            </w:r>
          </w:p>
        </w:tc>
        <w:tc>
          <w:tcPr>
            <w:tcW w:w="767" w:type="dxa"/>
            <w:tcBorders>
              <w:top w:val="single" w:color="auto" w:sz="4" w:space="0"/>
              <w:left w:val="single" w:color="auto" w:sz="4" w:space="0"/>
              <w:bottom w:val="single" w:color="auto" w:sz="4" w:space="0"/>
              <w:right w:val="single" w:color="auto" w:sz="4" w:space="0"/>
            </w:tcBorders>
            <w:noWrap w:val="0"/>
            <w:vAlign w:val="center"/>
          </w:tcPr>
          <w:p>
            <w:pPr>
              <w:pStyle w:val="54"/>
              <w:tabs>
                <w:tab w:val="left" w:pos="0"/>
              </w:tabs>
              <w:spacing w:line="360" w:lineRule="auto"/>
              <w:ind w:firstLine="0" w:firstLineChars="0"/>
              <w:jc w:val="center"/>
              <w:rPr>
                <w:rFonts w:hint="eastAsia" w:ascii="宋体" w:hAnsi="宋体" w:eastAsia="宋体" w:cs="宋体"/>
                <w:color w:val="auto"/>
                <w:sz w:val="24"/>
                <w:szCs w:val="24"/>
                <w:lang w:val="en-US" w:eastAsia="zh-CN"/>
              </w:rPr>
            </w:pPr>
            <w:r>
              <w:rPr>
                <w:rFonts w:hint="eastAsia" w:hAnsi="宋体"/>
                <w:color w:val="auto"/>
                <w:sz w:val="24"/>
                <w:szCs w:val="24"/>
                <w:lang w:val="en-US" w:eastAsia="zh-CN"/>
              </w:rPr>
              <w:t>5</w:t>
            </w:r>
            <w:r>
              <w:rPr>
                <w:rFonts w:hint="eastAsia" w:ascii="宋体" w:hAnsi="宋体" w:eastAsia="宋体" w:cs="宋体"/>
                <w:color w:val="auto"/>
                <w:sz w:val="24"/>
                <w:szCs w:val="24"/>
                <w:lang w:val="en-US" w:eastAsia="zh-CN"/>
              </w:rPr>
              <w:t>分</w:t>
            </w:r>
          </w:p>
        </w:tc>
        <w:tc>
          <w:tcPr>
            <w:tcW w:w="6338" w:type="dxa"/>
            <w:tcBorders>
              <w:top w:val="single" w:color="auto" w:sz="4" w:space="0"/>
              <w:left w:val="single" w:color="auto" w:sz="4" w:space="0"/>
              <w:bottom w:val="single" w:color="auto" w:sz="4" w:space="0"/>
              <w:right w:val="single" w:color="auto" w:sz="4" w:space="0"/>
            </w:tcBorders>
            <w:noWrap w:val="0"/>
            <w:vAlign w:val="center"/>
          </w:tcPr>
          <w:p>
            <w:pPr>
              <w:pStyle w:val="54"/>
              <w:tabs>
                <w:tab w:val="left" w:pos="0"/>
              </w:tabs>
              <w:spacing w:line="360" w:lineRule="auto"/>
              <w:ind w:firstLine="0" w:firstLineChars="0"/>
              <w:rPr>
                <w:rFonts w:hint="eastAsia" w:ascii="宋体" w:hAnsi="宋体"/>
                <w:color w:val="auto"/>
                <w:sz w:val="24"/>
                <w:szCs w:val="24"/>
              </w:rPr>
            </w:pPr>
            <w:r>
              <w:rPr>
                <w:rFonts w:hint="eastAsia" w:ascii="宋体" w:hAnsi="宋体"/>
                <w:color w:val="auto"/>
                <w:sz w:val="24"/>
                <w:szCs w:val="24"/>
              </w:rPr>
              <w:t>对工作进度计划和保障规划工作质量和进度的措施等方面进行综合评分：</w:t>
            </w:r>
          </w:p>
          <w:p>
            <w:pPr>
              <w:pStyle w:val="54"/>
              <w:numPr>
                <w:ilvl w:val="0"/>
                <w:numId w:val="0"/>
              </w:numPr>
              <w:tabs>
                <w:tab w:val="left" w:pos="0"/>
              </w:tabs>
              <w:spacing w:line="360" w:lineRule="auto"/>
              <w:rPr>
                <w:rFonts w:hint="eastAsia" w:hAnsi="宋体"/>
                <w:color w:val="auto"/>
                <w:sz w:val="24"/>
                <w:szCs w:val="24"/>
                <w:lang w:val="en-US" w:eastAsia="zh-CN"/>
              </w:rPr>
            </w:pPr>
            <w:r>
              <w:rPr>
                <w:rFonts w:hint="eastAsia" w:hAnsi="宋体"/>
                <w:color w:val="auto"/>
                <w:sz w:val="24"/>
                <w:szCs w:val="24"/>
                <w:lang w:val="en-US" w:eastAsia="zh-CN"/>
              </w:rPr>
              <w:t>1.具备可行的项目管理工作制度得2.5分；</w:t>
            </w:r>
          </w:p>
          <w:p>
            <w:pPr>
              <w:pStyle w:val="54"/>
              <w:numPr>
                <w:ilvl w:val="0"/>
                <w:numId w:val="0"/>
              </w:numPr>
              <w:tabs>
                <w:tab w:val="left" w:pos="0"/>
              </w:tabs>
              <w:spacing w:line="360" w:lineRule="auto"/>
              <w:rPr>
                <w:rFonts w:hint="default" w:hAnsi="宋体"/>
                <w:color w:val="auto"/>
                <w:sz w:val="24"/>
                <w:szCs w:val="24"/>
                <w:lang w:val="en-US" w:eastAsia="zh-CN"/>
              </w:rPr>
            </w:pPr>
            <w:r>
              <w:rPr>
                <w:rFonts w:hint="eastAsia" w:hAnsi="宋体"/>
                <w:color w:val="auto"/>
                <w:sz w:val="24"/>
                <w:szCs w:val="24"/>
                <w:lang w:val="en-US" w:eastAsia="zh-CN"/>
              </w:rPr>
              <w:t>2.具备可行的项目管理工作进度计划得2.5分；</w:t>
            </w:r>
          </w:p>
          <w:p>
            <w:pPr>
              <w:pStyle w:val="54"/>
              <w:tabs>
                <w:tab w:val="left" w:pos="0"/>
              </w:tabs>
              <w:spacing w:line="360" w:lineRule="auto"/>
              <w:ind w:firstLine="0" w:firstLineChars="0"/>
              <w:rPr>
                <w:rFonts w:hint="default" w:ascii="宋体" w:hAnsi="宋体" w:eastAsia="宋体" w:cs="宋体"/>
                <w:color w:val="auto"/>
                <w:sz w:val="24"/>
                <w:szCs w:val="24"/>
                <w:lang w:val="en-US" w:eastAsia="zh-CN"/>
              </w:rPr>
            </w:pPr>
            <w:r>
              <w:rPr>
                <w:rFonts w:hint="eastAsia" w:hAnsi="宋体"/>
                <w:color w:val="auto"/>
                <w:sz w:val="24"/>
                <w:szCs w:val="24"/>
                <w:lang w:val="en-US" w:eastAsia="zh-CN"/>
              </w:rPr>
              <w:t>最多得5分，未提供不得分</w:t>
            </w: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9"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pPr>
              <w:pStyle w:val="54"/>
              <w:tabs>
                <w:tab w:val="left" w:pos="0"/>
              </w:tabs>
              <w:spacing w:line="36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b/>
                <w:color w:val="auto"/>
                <w:sz w:val="24"/>
                <w:szCs w:val="24"/>
              </w:rPr>
              <w:t>服务承诺</w:t>
            </w:r>
          </w:p>
        </w:tc>
        <w:tc>
          <w:tcPr>
            <w:tcW w:w="767" w:type="dxa"/>
            <w:tcBorders>
              <w:top w:val="single" w:color="auto" w:sz="4" w:space="0"/>
              <w:left w:val="single" w:color="auto" w:sz="4" w:space="0"/>
              <w:bottom w:val="single" w:color="auto" w:sz="4" w:space="0"/>
              <w:right w:val="single" w:color="auto" w:sz="4" w:space="0"/>
            </w:tcBorders>
            <w:noWrap w:val="0"/>
            <w:vAlign w:val="center"/>
          </w:tcPr>
          <w:p>
            <w:pPr>
              <w:pStyle w:val="54"/>
              <w:tabs>
                <w:tab w:val="left" w:pos="0"/>
              </w:tabs>
              <w:spacing w:line="360" w:lineRule="auto"/>
              <w:ind w:firstLine="0" w:firstLineChars="0"/>
              <w:jc w:val="center"/>
              <w:rPr>
                <w:rFonts w:hint="eastAsia" w:ascii="宋体" w:hAnsi="宋体" w:eastAsia="宋体" w:cs="宋体"/>
                <w:color w:val="auto"/>
                <w:sz w:val="24"/>
                <w:szCs w:val="24"/>
                <w:lang w:val="en-US" w:eastAsia="zh-CN"/>
              </w:rPr>
            </w:pPr>
            <w:r>
              <w:rPr>
                <w:rFonts w:hint="eastAsia" w:hAnsi="宋体"/>
                <w:bCs/>
                <w:color w:val="auto"/>
                <w:sz w:val="24"/>
                <w:szCs w:val="24"/>
                <w:lang w:val="en-US" w:eastAsia="zh-CN"/>
              </w:rPr>
              <w:t>2</w:t>
            </w:r>
            <w:r>
              <w:rPr>
                <w:rFonts w:hint="eastAsia" w:ascii="宋体" w:hAnsi="宋体" w:eastAsia="宋体" w:cs="宋体"/>
                <w:color w:val="auto"/>
                <w:sz w:val="24"/>
                <w:szCs w:val="24"/>
                <w:lang w:val="en-US" w:eastAsia="zh-CN"/>
              </w:rPr>
              <w:t>分</w:t>
            </w:r>
          </w:p>
        </w:tc>
        <w:tc>
          <w:tcPr>
            <w:tcW w:w="6338" w:type="dxa"/>
            <w:tcBorders>
              <w:top w:val="single" w:color="auto" w:sz="4" w:space="0"/>
              <w:left w:val="single" w:color="auto" w:sz="4" w:space="0"/>
              <w:bottom w:val="single" w:color="auto" w:sz="4" w:space="0"/>
              <w:right w:val="single" w:color="auto" w:sz="4" w:space="0"/>
            </w:tcBorders>
            <w:noWrap w:val="0"/>
            <w:vAlign w:val="center"/>
          </w:tcPr>
          <w:p>
            <w:pPr>
              <w:pStyle w:val="54"/>
              <w:tabs>
                <w:tab w:val="left" w:pos="0"/>
              </w:tabs>
              <w:spacing w:line="360" w:lineRule="auto"/>
              <w:ind w:firstLine="0" w:firstLineChars="0"/>
              <w:rPr>
                <w:rFonts w:hint="default" w:ascii="宋体" w:hAnsi="宋体" w:eastAsia="宋体" w:cs="宋体"/>
                <w:color w:val="auto"/>
                <w:sz w:val="24"/>
                <w:szCs w:val="24"/>
                <w:lang w:val="en-US" w:eastAsia="zh-CN"/>
              </w:rPr>
            </w:pPr>
            <w:r>
              <w:rPr>
                <w:rFonts w:hint="eastAsia" w:ascii="宋体" w:hAnsi="宋体"/>
                <w:bCs/>
                <w:color w:val="auto"/>
                <w:sz w:val="24"/>
                <w:szCs w:val="24"/>
              </w:rPr>
              <w:t>对投标方案中后续服务保障承诺及措施等方面进行综合评分：保障承诺及措施有力可行得</w:t>
            </w:r>
            <w:r>
              <w:rPr>
                <w:rFonts w:hint="eastAsia" w:hAnsi="宋体"/>
                <w:color w:val="auto"/>
                <w:sz w:val="24"/>
                <w:szCs w:val="24"/>
                <w:lang w:val="en-US" w:eastAsia="zh-CN"/>
              </w:rPr>
              <w:t>2</w:t>
            </w:r>
            <w:r>
              <w:rPr>
                <w:rFonts w:hint="eastAsia" w:ascii="宋体" w:hAnsi="宋体"/>
                <w:color w:val="auto"/>
                <w:sz w:val="24"/>
                <w:szCs w:val="24"/>
              </w:rPr>
              <w:t>分</w:t>
            </w:r>
            <w:r>
              <w:rPr>
                <w:rFonts w:hint="eastAsia" w:ascii="宋体" w:hAnsi="宋体"/>
                <w:bCs/>
                <w:color w:val="auto"/>
                <w:sz w:val="24"/>
                <w:szCs w:val="24"/>
              </w:rPr>
              <w:t>；</w:t>
            </w:r>
            <w:r>
              <w:rPr>
                <w:rFonts w:hint="eastAsia" w:hAnsi="宋体"/>
                <w:color w:val="auto"/>
                <w:sz w:val="24"/>
                <w:szCs w:val="24"/>
                <w:lang w:val="en-US" w:eastAsia="zh-CN"/>
              </w:rPr>
              <w:t>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9"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Times New Roman"/>
                <w:b/>
                <w:color w:val="auto"/>
                <w:kern w:val="0"/>
                <w:sz w:val="24"/>
                <w:szCs w:val="24"/>
                <w:lang w:val="zh-CN" w:eastAsia="zh-CN" w:bidi="ar-SA"/>
              </w:rPr>
            </w:pPr>
            <w:r>
              <w:rPr>
                <w:rFonts w:hint="eastAsia" w:ascii="宋体" w:hAnsi="宋体" w:eastAsia="宋体" w:cs="Times New Roman"/>
                <w:b/>
                <w:color w:val="auto"/>
                <w:kern w:val="0"/>
                <w:sz w:val="24"/>
                <w:szCs w:val="24"/>
                <w:lang w:val="en-US" w:eastAsia="zh-CN" w:bidi="ar-SA"/>
              </w:rPr>
              <w:t>标函质量</w:t>
            </w: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3分</w:t>
            </w:r>
          </w:p>
        </w:tc>
        <w:tc>
          <w:tcPr>
            <w:tcW w:w="63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商务技术响应电子文件内扫描件内容清晰可辨、特定信息关联至评分项、编制目录索引性强、文件准确关联至特定信息的</w:t>
            </w:r>
            <w:r>
              <w:rPr>
                <w:rFonts w:hint="eastAsia" w:ascii="宋体" w:hAnsi="宋体" w:cs="宋体"/>
                <w:color w:val="auto"/>
                <w:sz w:val="24"/>
                <w:szCs w:val="24"/>
                <w:lang w:val="en-US" w:eastAsia="zh-CN"/>
              </w:rPr>
              <w:t>得</w:t>
            </w:r>
            <w:r>
              <w:rPr>
                <w:rFonts w:hint="eastAsia" w:ascii="宋体" w:hAnsi="宋体" w:eastAsia="宋体" w:cs="宋体"/>
                <w:color w:val="auto"/>
                <w:sz w:val="24"/>
                <w:szCs w:val="24"/>
                <w:lang w:val="en-US" w:eastAsia="zh-CN"/>
              </w:rPr>
              <w:t>3分</w:t>
            </w:r>
            <w:r>
              <w:rPr>
                <w:rFonts w:hint="eastAsia" w:ascii="宋体" w:hAnsi="宋体" w:cs="宋体"/>
                <w:color w:val="auto"/>
                <w:sz w:val="24"/>
                <w:szCs w:val="24"/>
                <w:lang w:val="en-US" w:eastAsia="zh-CN"/>
              </w:rPr>
              <w:t>，有一项不满足扣0.5分，扣完为止。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39" w:type="dxa"/>
            <w:vMerge w:val="restart"/>
            <w:tcBorders>
              <w:left w:val="single" w:color="auto" w:sz="4" w:space="0"/>
              <w:right w:val="single" w:color="auto" w:sz="4" w:space="0"/>
            </w:tcBorders>
            <w:noWrap w:val="0"/>
            <w:vAlign w:val="center"/>
          </w:tcPr>
          <w:p>
            <w:pPr>
              <w:spacing w:line="400" w:lineRule="exact"/>
              <w:rPr>
                <w:rFonts w:hint="eastAsia" w:ascii="宋体" w:hAnsi="宋体" w:eastAsia="宋体" w:cs="宋体"/>
                <w:color w:val="auto"/>
                <w:sz w:val="24"/>
                <w:szCs w:val="24"/>
                <w:lang w:val="en-US" w:eastAsia="zh-CN"/>
              </w:rPr>
            </w:pPr>
          </w:p>
          <w:p>
            <w:pPr>
              <w:spacing w:line="400" w:lineRule="exact"/>
              <w:rPr>
                <w:rFonts w:hint="eastAsia" w:ascii="宋体" w:hAnsi="宋体" w:eastAsia="宋体" w:cs="宋体"/>
                <w:color w:val="auto"/>
                <w:sz w:val="24"/>
                <w:szCs w:val="24"/>
                <w:lang w:val="en-US" w:eastAsia="zh-CN"/>
              </w:rPr>
            </w:pPr>
          </w:p>
          <w:p>
            <w:pPr>
              <w:spacing w:line="400" w:lineRule="exact"/>
              <w:rPr>
                <w:rFonts w:hint="eastAsia" w:ascii="宋体" w:hAnsi="宋体" w:eastAsia="宋体" w:cs="宋体"/>
                <w:color w:val="auto"/>
                <w:sz w:val="24"/>
                <w:szCs w:val="24"/>
                <w:lang w:val="en-US" w:eastAsia="zh-CN"/>
              </w:rPr>
            </w:pPr>
          </w:p>
          <w:p>
            <w:pPr>
              <w:spacing w:line="400" w:lineRule="exact"/>
              <w:rPr>
                <w:rFonts w:hint="eastAsia" w:ascii="宋体" w:hAnsi="宋体" w:eastAsia="宋体" w:cs="宋体"/>
                <w:color w:val="auto"/>
                <w:sz w:val="24"/>
                <w:szCs w:val="24"/>
                <w:lang w:val="en-US" w:eastAsia="zh-CN"/>
              </w:rPr>
            </w:pPr>
          </w:p>
          <w:p>
            <w:pPr>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技术部分（</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0分）</w:t>
            </w:r>
          </w:p>
          <w:p>
            <w:pPr>
              <w:spacing w:line="400" w:lineRule="exact"/>
              <w:rPr>
                <w:rFonts w:hint="eastAsia" w:ascii="宋体" w:hAnsi="宋体" w:eastAsia="宋体" w:cs="宋体"/>
                <w:color w:val="auto"/>
                <w:sz w:val="24"/>
                <w:szCs w:val="24"/>
                <w:lang w:val="en-US" w:eastAsia="zh-CN"/>
              </w:rPr>
            </w:pPr>
          </w:p>
          <w:p>
            <w:pPr>
              <w:spacing w:line="400" w:lineRule="exact"/>
              <w:rPr>
                <w:rFonts w:hint="eastAsia" w:ascii="宋体" w:hAnsi="宋体" w:eastAsia="宋体" w:cs="宋体"/>
                <w:color w:val="auto"/>
                <w:sz w:val="24"/>
                <w:szCs w:val="24"/>
                <w:lang w:val="en-US" w:eastAsia="zh-CN"/>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pPr>
              <w:pStyle w:val="54"/>
              <w:tabs>
                <w:tab w:val="left" w:pos="0"/>
              </w:tabs>
              <w:spacing w:line="360" w:lineRule="auto"/>
              <w:ind w:firstLine="0" w:firstLineChars="0"/>
              <w:jc w:val="center"/>
              <w:rPr>
                <w:rFonts w:hint="eastAsia" w:ascii="宋体" w:hAnsi="宋体" w:eastAsia="宋体" w:cs="Times New Roman"/>
                <w:b/>
                <w:color w:val="auto"/>
                <w:kern w:val="0"/>
                <w:sz w:val="24"/>
                <w:szCs w:val="24"/>
                <w:lang w:val="zh-CN" w:eastAsia="zh-CN" w:bidi="ar-SA"/>
              </w:rPr>
            </w:pPr>
            <w:r>
              <w:rPr>
                <w:rFonts w:hint="eastAsia" w:ascii="宋体" w:hAnsi="宋体" w:eastAsia="宋体" w:cs="Times New Roman"/>
                <w:b/>
                <w:color w:val="auto"/>
                <w:kern w:val="0"/>
                <w:sz w:val="24"/>
                <w:szCs w:val="24"/>
                <w:lang w:val="en-US" w:eastAsia="zh-CN" w:bidi="ar-SA"/>
              </w:rPr>
              <w:t>项目理解</w:t>
            </w:r>
          </w:p>
        </w:tc>
        <w:tc>
          <w:tcPr>
            <w:tcW w:w="767" w:type="dxa"/>
            <w:tcBorders>
              <w:top w:val="single" w:color="auto" w:sz="4" w:space="0"/>
              <w:left w:val="single" w:color="auto" w:sz="4" w:space="0"/>
              <w:bottom w:val="single" w:color="auto" w:sz="4" w:space="0"/>
              <w:right w:val="single" w:color="auto" w:sz="4" w:space="0"/>
            </w:tcBorders>
            <w:noWrap w:val="0"/>
            <w:vAlign w:val="center"/>
          </w:tcPr>
          <w:p>
            <w:pPr>
              <w:pStyle w:val="54"/>
              <w:tabs>
                <w:tab w:val="left" w:pos="0"/>
              </w:tabs>
              <w:spacing w:line="360" w:lineRule="auto"/>
              <w:ind w:firstLine="0" w:firstLineChars="0"/>
              <w:jc w:val="center"/>
              <w:rPr>
                <w:rFonts w:hint="default" w:ascii="宋体" w:hAnsi="宋体" w:eastAsia="宋体" w:cs="宋体"/>
                <w:color w:val="auto"/>
                <w:kern w:val="2"/>
                <w:sz w:val="24"/>
                <w:szCs w:val="24"/>
                <w:lang w:val="en-US" w:eastAsia="zh-CN" w:bidi="ar-SA"/>
              </w:rPr>
            </w:pPr>
            <w:r>
              <w:rPr>
                <w:rFonts w:hint="eastAsia" w:hAnsi="宋体"/>
                <w:color w:val="auto"/>
                <w:sz w:val="24"/>
                <w:szCs w:val="24"/>
                <w:lang w:val="en-US" w:eastAsia="zh-CN"/>
              </w:rPr>
              <w:t>10</w:t>
            </w:r>
            <w:r>
              <w:rPr>
                <w:rFonts w:hint="eastAsia" w:ascii="宋体" w:hAnsi="宋体" w:eastAsia="宋体" w:cs="宋体"/>
                <w:color w:val="auto"/>
                <w:sz w:val="24"/>
                <w:szCs w:val="24"/>
                <w:lang w:val="en-US" w:eastAsia="zh-CN"/>
              </w:rPr>
              <w:t>分</w:t>
            </w:r>
          </w:p>
        </w:tc>
        <w:tc>
          <w:tcPr>
            <w:tcW w:w="6338" w:type="dxa"/>
            <w:tcBorders>
              <w:top w:val="single" w:color="auto" w:sz="4" w:space="0"/>
              <w:left w:val="single" w:color="auto" w:sz="4" w:space="0"/>
              <w:bottom w:val="single" w:color="auto" w:sz="4" w:space="0"/>
              <w:right w:val="single" w:color="auto" w:sz="4" w:space="0"/>
            </w:tcBorders>
            <w:noWrap w:val="0"/>
            <w:vAlign w:val="center"/>
          </w:tcPr>
          <w:p>
            <w:pPr>
              <w:pStyle w:val="54"/>
              <w:tabs>
                <w:tab w:val="left" w:pos="0"/>
              </w:tabs>
              <w:spacing w:line="360" w:lineRule="auto"/>
              <w:ind w:firstLine="0" w:firstLineChars="0"/>
              <w:rPr>
                <w:rFonts w:hint="default" w:ascii="宋体" w:hAnsi="宋体" w:eastAsia="宋体" w:cs="宋体"/>
                <w:color w:val="auto"/>
                <w:kern w:val="2"/>
                <w:sz w:val="24"/>
                <w:szCs w:val="24"/>
                <w:lang w:val="en-US" w:eastAsia="zh-CN" w:bidi="ar-SA"/>
              </w:rPr>
            </w:pPr>
            <w:r>
              <w:rPr>
                <w:rFonts w:hint="eastAsia" w:ascii="宋体" w:hAnsi="宋体"/>
                <w:color w:val="auto"/>
                <w:sz w:val="24"/>
                <w:szCs w:val="24"/>
              </w:rPr>
              <w:t>对本项目背景的认识、项目现状情况及相关规划的分析理解程度的深度及准确性等方面进行评分：理解深刻，操作性强的得</w:t>
            </w:r>
            <w:r>
              <w:rPr>
                <w:rFonts w:hint="eastAsia" w:hAnsi="宋体"/>
                <w:color w:val="auto"/>
                <w:sz w:val="24"/>
                <w:szCs w:val="24"/>
                <w:lang w:val="en-US" w:eastAsia="zh-CN"/>
              </w:rPr>
              <w:t>10</w:t>
            </w:r>
            <w:r>
              <w:rPr>
                <w:rFonts w:hint="eastAsia" w:ascii="宋体" w:hAnsi="宋体"/>
                <w:color w:val="auto"/>
                <w:sz w:val="24"/>
                <w:szCs w:val="24"/>
              </w:rPr>
              <w:t>分</w:t>
            </w:r>
            <w:r>
              <w:rPr>
                <w:rFonts w:hint="eastAsia" w:hAnsi="宋体"/>
                <w:color w:val="auto"/>
                <w:sz w:val="24"/>
                <w:szCs w:val="24"/>
                <w:lang w:eastAsia="zh-CN"/>
              </w:rPr>
              <w:t>，</w:t>
            </w:r>
            <w:r>
              <w:rPr>
                <w:rFonts w:hint="eastAsia" w:hAnsi="宋体"/>
                <w:color w:val="auto"/>
                <w:sz w:val="24"/>
                <w:szCs w:val="24"/>
                <w:lang w:val="en-US" w:eastAsia="zh-CN"/>
              </w:rPr>
              <w:t>每偏差一项扣1分，扣完为止。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39" w:type="dxa"/>
            <w:vMerge w:val="continue"/>
            <w:tcBorders>
              <w:left w:val="single" w:color="auto" w:sz="4" w:space="0"/>
              <w:right w:val="single" w:color="auto" w:sz="4" w:space="0"/>
            </w:tcBorders>
            <w:noWrap w:val="0"/>
            <w:vAlign w:val="center"/>
          </w:tcPr>
          <w:p>
            <w:pPr>
              <w:spacing w:line="400" w:lineRule="exact"/>
              <w:rPr>
                <w:rFonts w:hint="eastAsia" w:ascii="宋体" w:hAnsi="宋体" w:eastAsia="宋体" w:cs="宋体"/>
                <w:color w:val="auto"/>
                <w:sz w:val="24"/>
                <w:szCs w:val="24"/>
                <w:lang w:val="en-US" w:eastAsia="zh-CN"/>
              </w:rPr>
            </w:pPr>
          </w:p>
        </w:tc>
        <w:tc>
          <w:tcPr>
            <w:tcW w:w="1240" w:type="dxa"/>
            <w:tcBorders>
              <w:top w:val="single" w:color="auto" w:sz="4" w:space="0"/>
              <w:left w:val="single" w:color="auto" w:sz="4" w:space="0"/>
              <w:bottom w:val="single" w:color="auto" w:sz="4" w:space="0"/>
              <w:right w:val="single" w:color="auto" w:sz="6" w:space="0"/>
            </w:tcBorders>
            <w:noWrap w:val="0"/>
            <w:vAlign w:val="center"/>
          </w:tcPr>
          <w:p>
            <w:pPr>
              <w:pStyle w:val="54"/>
              <w:tabs>
                <w:tab w:val="left" w:pos="0"/>
              </w:tabs>
              <w:spacing w:line="360" w:lineRule="auto"/>
              <w:ind w:firstLine="0" w:firstLineChars="0"/>
              <w:jc w:val="center"/>
              <w:rPr>
                <w:rFonts w:hint="eastAsia" w:ascii="宋体" w:hAnsi="宋体" w:eastAsia="宋体" w:cs="宋体"/>
                <w:color w:val="auto"/>
                <w:sz w:val="24"/>
                <w:szCs w:val="24"/>
                <w:lang w:val="zh-CN" w:eastAsia="zh-CN"/>
              </w:rPr>
            </w:pPr>
            <w:r>
              <w:rPr>
                <w:rFonts w:hint="eastAsia" w:ascii="宋体" w:hAnsi="宋体"/>
                <w:b/>
                <w:bCs/>
                <w:color w:val="auto"/>
                <w:sz w:val="24"/>
                <w:szCs w:val="24"/>
              </w:rPr>
              <w:t>规划目标定位</w:t>
            </w:r>
          </w:p>
        </w:tc>
        <w:tc>
          <w:tcPr>
            <w:tcW w:w="767" w:type="dxa"/>
            <w:tcBorders>
              <w:top w:val="single" w:color="auto" w:sz="4" w:space="0"/>
              <w:left w:val="single" w:color="auto" w:sz="6" w:space="0"/>
              <w:bottom w:val="single" w:color="auto" w:sz="4" w:space="0"/>
              <w:right w:val="single" w:color="auto" w:sz="6" w:space="0"/>
            </w:tcBorders>
            <w:noWrap w:val="0"/>
            <w:vAlign w:val="center"/>
          </w:tcPr>
          <w:p>
            <w:pPr>
              <w:pStyle w:val="54"/>
              <w:tabs>
                <w:tab w:val="left" w:pos="0"/>
              </w:tabs>
              <w:spacing w:line="360" w:lineRule="auto"/>
              <w:ind w:firstLine="0" w:firstLineChars="0"/>
              <w:jc w:val="center"/>
              <w:rPr>
                <w:rFonts w:hint="eastAsia" w:ascii="宋体" w:hAnsi="宋体" w:eastAsia="宋体" w:cs="宋体"/>
                <w:color w:val="auto"/>
                <w:sz w:val="24"/>
                <w:szCs w:val="24"/>
                <w:lang w:val="zh-CN" w:eastAsia="zh-CN"/>
              </w:rPr>
            </w:pPr>
            <w:r>
              <w:rPr>
                <w:rFonts w:hint="eastAsia" w:hAnsi="宋体"/>
                <w:color w:val="auto"/>
                <w:sz w:val="24"/>
                <w:szCs w:val="24"/>
                <w:lang w:val="en-US" w:eastAsia="zh-CN"/>
              </w:rPr>
              <w:t>8</w:t>
            </w:r>
            <w:r>
              <w:rPr>
                <w:rFonts w:hint="eastAsia" w:ascii="宋体" w:hAnsi="宋体" w:eastAsia="宋体" w:cs="宋体"/>
                <w:color w:val="auto"/>
                <w:sz w:val="24"/>
                <w:szCs w:val="24"/>
                <w:lang w:val="en-US" w:eastAsia="zh-CN"/>
              </w:rPr>
              <w:t>分</w:t>
            </w:r>
          </w:p>
        </w:tc>
        <w:tc>
          <w:tcPr>
            <w:tcW w:w="6338" w:type="dxa"/>
            <w:tcBorders>
              <w:top w:val="single" w:color="auto" w:sz="4" w:space="0"/>
              <w:left w:val="single" w:color="auto" w:sz="6"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auto"/>
                <w:sz w:val="24"/>
                <w:szCs w:val="24"/>
                <w:lang w:val="zh-CN" w:eastAsia="zh-CN"/>
              </w:rPr>
            </w:pPr>
            <w:r>
              <w:rPr>
                <w:rFonts w:hint="eastAsia" w:ascii="宋体" w:hAnsi="宋体"/>
                <w:color w:val="auto"/>
                <w:sz w:val="24"/>
                <w:szCs w:val="24"/>
              </w:rPr>
              <w:t>对规划目标定位是否科学准确、是否符合未来发展需求等要素评分：规划目标定位科学准确，完全符合未来发展需求的得</w:t>
            </w:r>
            <w:r>
              <w:rPr>
                <w:rFonts w:hint="eastAsia" w:ascii="宋体" w:hAnsi="宋体"/>
                <w:color w:val="auto"/>
                <w:sz w:val="24"/>
                <w:szCs w:val="24"/>
                <w:lang w:val="en-US" w:eastAsia="zh-CN"/>
              </w:rPr>
              <w:t>8</w:t>
            </w:r>
            <w:r>
              <w:rPr>
                <w:rFonts w:hint="eastAsia" w:ascii="宋体" w:hAnsi="宋体"/>
                <w:color w:val="auto"/>
                <w:sz w:val="24"/>
                <w:szCs w:val="24"/>
              </w:rPr>
              <w:t>分；</w:t>
            </w:r>
            <w:r>
              <w:rPr>
                <w:rFonts w:hint="eastAsia" w:hAnsi="宋体"/>
                <w:color w:val="auto"/>
                <w:sz w:val="24"/>
                <w:szCs w:val="24"/>
                <w:lang w:val="en-US" w:eastAsia="zh-CN"/>
              </w:rPr>
              <w:t>每偏差一项扣1分，扣完为止。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9" w:type="dxa"/>
            <w:vMerge w:val="continue"/>
            <w:tcBorders>
              <w:left w:val="single" w:color="auto" w:sz="4" w:space="0"/>
              <w:right w:val="single" w:color="auto" w:sz="4" w:space="0"/>
            </w:tcBorders>
            <w:noWrap w:val="0"/>
            <w:vAlign w:val="center"/>
          </w:tcPr>
          <w:p>
            <w:pPr>
              <w:spacing w:line="400" w:lineRule="exact"/>
              <w:rPr>
                <w:rFonts w:hint="eastAsia" w:ascii="宋体" w:hAnsi="宋体" w:eastAsia="宋体" w:cs="宋体"/>
                <w:color w:val="auto"/>
                <w:sz w:val="24"/>
                <w:szCs w:val="24"/>
                <w:lang w:val="en-US" w:eastAsia="zh-CN"/>
              </w:rPr>
            </w:pPr>
          </w:p>
        </w:tc>
        <w:tc>
          <w:tcPr>
            <w:tcW w:w="1240" w:type="dxa"/>
            <w:tcBorders>
              <w:top w:val="single" w:color="auto" w:sz="4" w:space="0"/>
              <w:left w:val="single" w:color="auto" w:sz="4" w:space="0"/>
              <w:bottom w:val="single" w:color="auto" w:sz="4" w:space="0"/>
              <w:right w:val="single" w:color="auto" w:sz="6" w:space="0"/>
            </w:tcBorders>
            <w:noWrap w:val="0"/>
            <w:vAlign w:val="center"/>
          </w:tcPr>
          <w:p>
            <w:pPr>
              <w:pStyle w:val="54"/>
              <w:tabs>
                <w:tab w:val="left" w:pos="0"/>
              </w:tabs>
              <w:spacing w:line="360" w:lineRule="auto"/>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b/>
                <w:bCs/>
                <w:color w:val="auto"/>
                <w:sz w:val="24"/>
                <w:szCs w:val="24"/>
              </w:rPr>
              <w:t>一体化发展路径策略</w:t>
            </w:r>
          </w:p>
        </w:tc>
        <w:tc>
          <w:tcPr>
            <w:tcW w:w="767" w:type="dxa"/>
            <w:tcBorders>
              <w:top w:val="single" w:color="auto" w:sz="4" w:space="0"/>
              <w:left w:val="single" w:color="auto" w:sz="6" w:space="0"/>
              <w:bottom w:val="single" w:color="auto" w:sz="4" w:space="0"/>
              <w:right w:val="single" w:color="auto" w:sz="6" w:space="0"/>
            </w:tcBorders>
            <w:noWrap w:val="0"/>
            <w:vAlign w:val="center"/>
          </w:tcPr>
          <w:p>
            <w:pPr>
              <w:pStyle w:val="54"/>
              <w:tabs>
                <w:tab w:val="left" w:pos="0"/>
              </w:tabs>
              <w:spacing w:line="360" w:lineRule="auto"/>
              <w:ind w:firstLine="0" w:firstLineChars="0"/>
              <w:jc w:val="center"/>
              <w:rPr>
                <w:rFonts w:hint="eastAsia" w:ascii="宋体" w:hAnsi="宋体" w:eastAsia="宋体" w:cs="宋体"/>
                <w:color w:val="auto"/>
                <w:kern w:val="2"/>
                <w:sz w:val="24"/>
                <w:szCs w:val="24"/>
                <w:lang w:val="en-US" w:eastAsia="zh-CN" w:bidi="ar-SA"/>
              </w:rPr>
            </w:pPr>
            <w:r>
              <w:rPr>
                <w:rFonts w:ascii="宋体" w:hAnsi="宋体"/>
                <w:color w:val="auto"/>
                <w:sz w:val="24"/>
                <w:szCs w:val="24"/>
              </w:rPr>
              <w:t>14</w:t>
            </w:r>
            <w:r>
              <w:rPr>
                <w:rFonts w:hint="eastAsia" w:ascii="宋体" w:hAnsi="宋体" w:eastAsia="宋体" w:cs="宋体"/>
                <w:color w:val="auto"/>
                <w:sz w:val="24"/>
                <w:szCs w:val="24"/>
                <w:lang w:val="en-US" w:eastAsia="zh-CN"/>
              </w:rPr>
              <w:t>分</w:t>
            </w:r>
          </w:p>
        </w:tc>
        <w:tc>
          <w:tcPr>
            <w:tcW w:w="6338" w:type="dxa"/>
            <w:tcBorders>
              <w:top w:val="single" w:color="auto" w:sz="4" w:space="0"/>
              <w:left w:val="single" w:color="auto" w:sz="6" w:space="0"/>
              <w:bottom w:val="single" w:color="auto" w:sz="4" w:space="0"/>
              <w:right w:val="single" w:color="auto" w:sz="4" w:space="0"/>
            </w:tcBorders>
            <w:noWrap w:val="0"/>
            <w:vAlign w:val="center"/>
          </w:tcPr>
          <w:p>
            <w:pPr>
              <w:pStyle w:val="54"/>
              <w:tabs>
                <w:tab w:val="left" w:pos="0"/>
              </w:tabs>
              <w:spacing w:line="360" w:lineRule="auto"/>
              <w:ind w:firstLine="0" w:firstLineChars="0"/>
              <w:rPr>
                <w:rFonts w:hint="eastAsia" w:ascii="宋体" w:hAnsi="宋体" w:eastAsia="宋体" w:cs="宋体"/>
                <w:color w:val="auto"/>
                <w:kern w:val="2"/>
                <w:sz w:val="24"/>
                <w:szCs w:val="24"/>
                <w:lang w:val="en-US" w:eastAsia="zh-CN" w:bidi="ar-SA"/>
              </w:rPr>
            </w:pPr>
            <w:r>
              <w:rPr>
                <w:rFonts w:hint="eastAsia" w:ascii="宋体" w:hAnsi="宋体"/>
                <w:bCs/>
                <w:color w:val="auto"/>
                <w:sz w:val="24"/>
                <w:szCs w:val="24"/>
              </w:rPr>
              <w:t>对一体化发展整体思路、路径策略等方面进行评分：</w:t>
            </w:r>
            <w:r>
              <w:rPr>
                <w:rFonts w:hint="eastAsia" w:hAnsi="宋体"/>
                <w:bCs/>
                <w:color w:val="auto"/>
                <w:sz w:val="24"/>
                <w:szCs w:val="24"/>
                <w:lang w:val="en-US" w:eastAsia="zh-CN"/>
              </w:rPr>
              <w:t>1.</w:t>
            </w:r>
            <w:r>
              <w:rPr>
                <w:rFonts w:hint="eastAsia" w:ascii="宋体" w:hAnsi="宋体"/>
                <w:bCs/>
                <w:color w:val="auto"/>
                <w:sz w:val="24"/>
                <w:szCs w:val="24"/>
              </w:rPr>
              <w:t>总体思路逻辑清晰</w:t>
            </w:r>
            <w:r>
              <w:rPr>
                <w:rFonts w:hint="eastAsia" w:hAnsi="宋体"/>
                <w:bCs/>
                <w:color w:val="auto"/>
                <w:sz w:val="24"/>
                <w:szCs w:val="24"/>
                <w:lang w:val="en-US" w:eastAsia="zh-CN"/>
              </w:rPr>
              <w:t>得7分</w:t>
            </w:r>
            <w:r>
              <w:rPr>
                <w:rFonts w:hint="eastAsia" w:hAnsi="宋体"/>
                <w:bCs/>
                <w:color w:val="auto"/>
                <w:sz w:val="24"/>
                <w:szCs w:val="24"/>
                <w:lang w:eastAsia="zh-CN"/>
              </w:rPr>
              <w:t>；</w:t>
            </w:r>
            <w:r>
              <w:rPr>
                <w:rFonts w:hint="eastAsia" w:hAnsi="宋体"/>
                <w:bCs/>
                <w:color w:val="auto"/>
                <w:sz w:val="24"/>
                <w:szCs w:val="24"/>
                <w:lang w:val="en-US" w:eastAsia="zh-CN"/>
              </w:rPr>
              <w:t>2.</w:t>
            </w:r>
            <w:r>
              <w:rPr>
                <w:rFonts w:hint="eastAsia" w:ascii="宋体" w:hAnsi="宋体"/>
                <w:bCs/>
                <w:color w:val="auto"/>
                <w:sz w:val="24"/>
                <w:szCs w:val="24"/>
              </w:rPr>
              <w:t>路径策略针对性明显、操作性强的得</w:t>
            </w:r>
            <w:r>
              <w:rPr>
                <w:rFonts w:hint="eastAsia" w:hAnsi="宋体"/>
                <w:bCs/>
                <w:color w:val="auto"/>
                <w:sz w:val="24"/>
                <w:szCs w:val="24"/>
                <w:lang w:val="en-US" w:eastAsia="zh-CN"/>
              </w:rPr>
              <w:t>7</w:t>
            </w:r>
            <w:r>
              <w:rPr>
                <w:rFonts w:hint="eastAsia" w:ascii="宋体" w:hAnsi="宋体"/>
                <w:bCs/>
                <w:color w:val="auto"/>
                <w:sz w:val="24"/>
                <w:szCs w:val="24"/>
              </w:rPr>
              <w:t>分</w:t>
            </w:r>
            <w:r>
              <w:rPr>
                <w:rFonts w:hint="eastAsia" w:hAnsi="宋体"/>
                <w:bCs/>
                <w:color w:val="auto"/>
                <w:sz w:val="24"/>
                <w:szCs w:val="24"/>
                <w:lang w:eastAsia="zh-CN"/>
              </w:rPr>
              <w:t>。</w:t>
            </w:r>
            <w:r>
              <w:rPr>
                <w:rFonts w:hint="eastAsia" w:hAnsi="宋体"/>
                <w:color w:val="auto"/>
                <w:sz w:val="24"/>
                <w:szCs w:val="24"/>
                <w:lang w:val="en-US" w:eastAsia="zh-CN"/>
              </w:rPr>
              <w:t>最多得14分，未提供不得分</w:t>
            </w: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9" w:type="dxa"/>
            <w:vMerge w:val="continue"/>
            <w:tcBorders>
              <w:left w:val="single" w:color="auto" w:sz="4" w:space="0"/>
              <w:right w:val="single" w:color="auto" w:sz="4" w:space="0"/>
            </w:tcBorders>
            <w:noWrap w:val="0"/>
            <w:vAlign w:val="center"/>
          </w:tcPr>
          <w:p>
            <w:pPr>
              <w:spacing w:line="400" w:lineRule="exact"/>
              <w:rPr>
                <w:rFonts w:hint="eastAsia" w:ascii="宋体" w:hAnsi="宋体" w:eastAsia="宋体" w:cs="宋体"/>
                <w:color w:val="auto"/>
                <w:sz w:val="24"/>
                <w:szCs w:val="24"/>
                <w:lang w:val="en-US" w:eastAsia="zh-CN"/>
              </w:rPr>
            </w:pPr>
          </w:p>
        </w:tc>
        <w:tc>
          <w:tcPr>
            <w:tcW w:w="1240" w:type="dxa"/>
            <w:tcBorders>
              <w:top w:val="single" w:color="auto" w:sz="4" w:space="0"/>
              <w:left w:val="single" w:color="auto" w:sz="4" w:space="0"/>
              <w:bottom w:val="single" w:color="auto" w:sz="4" w:space="0"/>
              <w:right w:val="single" w:color="auto" w:sz="6" w:space="0"/>
            </w:tcBorders>
            <w:noWrap w:val="0"/>
            <w:vAlign w:val="center"/>
          </w:tcPr>
          <w:p>
            <w:pPr>
              <w:pStyle w:val="54"/>
              <w:tabs>
                <w:tab w:val="left" w:pos="0"/>
              </w:tabs>
              <w:spacing w:line="36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b/>
                <w:color w:val="auto"/>
                <w:sz w:val="24"/>
                <w:szCs w:val="24"/>
              </w:rPr>
              <w:t>风貌塑造指引</w:t>
            </w:r>
          </w:p>
        </w:tc>
        <w:tc>
          <w:tcPr>
            <w:tcW w:w="767" w:type="dxa"/>
            <w:tcBorders>
              <w:top w:val="single" w:color="auto" w:sz="4" w:space="0"/>
              <w:left w:val="single" w:color="auto" w:sz="6" w:space="0"/>
              <w:bottom w:val="single" w:color="auto" w:sz="4" w:space="0"/>
              <w:right w:val="single" w:color="auto" w:sz="6" w:space="0"/>
            </w:tcBorders>
            <w:noWrap w:val="0"/>
            <w:vAlign w:val="center"/>
          </w:tcPr>
          <w:p>
            <w:pPr>
              <w:pStyle w:val="54"/>
              <w:tabs>
                <w:tab w:val="left" w:pos="0"/>
              </w:tabs>
              <w:spacing w:line="360" w:lineRule="auto"/>
              <w:ind w:firstLine="0" w:firstLineChars="0"/>
              <w:jc w:val="center"/>
              <w:rPr>
                <w:rFonts w:hint="eastAsia" w:ascii="宋体" w:hAnsi="宋体" w:eastAsia="宋体" w:cs="宋体"/>
                <w:color w:val="auto"/>
                <w:sz w:val="24"/>
                <w:szCs w:val="24"/>
                <w:lang w:val="en-US" w:eastAsia="zh-CN"/>
              </w:rPr>
            </w:pPr>
            <w:r>
              <w:rPr>
                <w:rFonts w:hint="eastAsia" w:hAnsi="宋体"/>
                <w:color w:val="auto"/>
                <w:sz w:val="24"/>
                <w:szCs w:val="24"/>
                <w:lang w:val="en-US" w:eastAsia="zh-CN"/>
              </w:rPr>
              <w:t>8</w:t>
            </w:r>
            <w:r>
              <w:rPr>
                <w:rFonts w:hint="eastAsia" w:ascii="宋体" w:hAnsi="宋体" w:eastAsia="宋体" w:cs="宋体"/>
                <w:color w:val="auto"/>
                <w:sz w:val="24"/>
                <w:szCs w:val="24"/>
                <w:lang w:val="en-US" w:eastAsia="zh-CN"/>
              </w:rPr>
              <w:t>分</w:t>
            </w:r>
          </w:p>
        </w:tc>
        <w:tc>
          <w:tcPr>
            <w:tcW w:w="6338" w:type="dxa"/>
            <w:tcBorders>
              <w:top w:val="single" w:color="auto" w:sz="4" w:space="0"/>
              <w:left w:val="single" w:color="auto" w:sz="6" w:space="0"/>
              <w:bottom w:val="single" w:color="auto" w:sz="4" w:space="0"/>
              <w:right w:val="single" w:color="auto" w:sz="4" w:space="0"/>
            </w:tcBorders>
            <w:noWrap w:val="0"/>
            <w:vAlign w:val="center"/>
          </w:tcPr>
          <w:p>
            <w:pPr>
              <w:pStyle w:val="54"/>
              <w:tabs>
                <w:tab w:val="left" w:pos="0"/>
              </w:tabs>
              <w:spacing w:line="360" w:lineRule="auto"/>
              <w:ind w:firstLine="0" w:firstLineChars="0"/>
              <w:rPr>
                <w:rFonts w:hint="default" w:ascii="宋体" w:hAnsi="宋体" w:eastAsia="宋体" w:cs="宋体"/>
                <w:color w:val="auto"/>
                <w:sz w:val="24"/>
                <w:szCs w:val="24"/>
                <w:lang w:val="en-US" w:eastAsia="zh-CN"/>
              </w:rPr>
            </w:pPr>
            <w:r>
              <w:rPr>
                <w:rFonts w:hint="eastAsia" w:ascii="宋体" w:hAnsi="宋体"/>
                <w:color w:val="auto"/>
                <w:sz w:val="24"/>
                <w:szCs w:val="24"/>
              </w:rPr>
              <w:t>对区域风貌塑造指引的适地性、可操作性</w:t>
            </w:r>
            <w:r>
              <w:rPr>
                <w:rFonts w:hint="eastAsia" w:hAnsi="宋体"/>
                <w:color w:val="auto"/>
                <w:sz w:val="24"/>
                <w:szCs w:val="24"/>
                <w:lang w:val="en-US" w:eastAsia="zh-CN"/>
              </w:rPr>
              <w:t>强得8分</w:t>
            </w:r>
            <w:r>
              <w:rPr>
                <w:rFonts w:hint="eastAsia" w:ascii="宋体" w:hAnsi="宋体"/>
                <w:color w:val="auto"/>
                <w:sz w:val="24"/>
                <w:szCs w:val="24"/>
              </w:rPr>
              <w:t>；</w:t>
            </w:r>
            <w:r>
              <w:rPr>
                <w:rFonts w:hint="eastAsia" w:hAnsi="宋体"/>
                <w:color w:val="auto"/>
                <w:sz w:val="24"/>
                <w:szCs w:val="24"/>
                <w:lang w:val="en-US" w:eastAsia="zh-CN"/>
              </w:rPr>
              <w:t>每偏差一项扣1分，扣完为止。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9" w:type="dxa"/>
            <w:vMerge w:val="continue"/>
            <w:tcBorders>
              <w:left w:val="single" w:color="auto" w:sz="4" w:space="0"/>
              <w:right w:val="single" w:color="auto" w:sz="4" w:space="0"/>
            </w:tcBorders>
            <w:noWrap w:val="0"/>
            <w:vAlign w:val="center"/>
          </w:tcPr>
          <w:p>
            <w:pPr>
              <w:spacing w:line="400" w:lineRule="exact"/>
              <w:rPr>
                <w:rFonts w:hint="eastAsia" w:ascii="宋体" w:hAnsi="宋体" w:eastAsia="宋体" w:cs="宋体"/>
                <w:color w:val="auto"/>
                <w:sz w:val="24"/>
                <w:szCs w:val="24"/>
                <w:lang w:val="en-US" w:eastAsia="zh-CN"/>
              </w:rPr>
            </w:pPr>
          </w:p>
        </w:tc>
        <w:tc>
          <w:tcPr>
            <w:tcW w:w="1240" w:type="dxa"/>
            <w:tcBorders>
              <w:top w:val="single" w:color="auto" w:sz="4" w:space="0"/>
              <w:left w:val="single" w:color="auto" w:sz="4" w:space="0"/>
              <w:bottom w:val="single" w:color="auto" w:sz="4" w:space="0"/>
              <w:right w:val="single" w:color="auto" w:sz="6" w:space="0"/>
            </w:tcBorders>
            <w:noWrap w:val="0"/>
            <w:vAlign w:val="center"/>
          </w:tcPr>
          <w:p>
            <w:pPr>
              <w:pStyle w:val="54"/>
              <w:tabs>
                <w:tab w:val="left" w:pos="0"/>
              </w:tabs>
              <w:spacing w:line="36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b/>
                <w:color w:val="auto"/>
                <w:sz w:val="24"/>
                <w:szCs w:val="24"/>
              </w:rPr>
              <w:t>城市建设指引</w:t>
            </w:r>
          </w:p>
        </w:tc>
        <w:tc>
          <w:tcPr>
            <w:tcW w:w="767" w:type="dxa"/>
            <w:tcBorders>
              <w:top w:val="single" w:color="auto" w:sz="4" w:space="0"/>
              <w:left w:val="single" w:color="auto" w:sz="6" w:space="0"/>
              <w:bottom w:val="single" w:color="auto" w:sz="4" w:space="0"/>
              <w:right w:val="single" w:color="auto" w:sz="6" w:space="0"/>
            </w:tcBorders>
            <w:noWrap w:val="0"/>
            <w:vAlign w:val="center"/>
          </w:tcPr>
          <w:p>
            <w:pPr>
              <w:pStyle w:val="54"/>
              <w:tabs>
                <w:tab w:val="left" w:pos="0"/>
              </w:tabs>
              <w:spacing w:line="360" w:lineRule="auto"/>
              <w:ind w:firstLine="0" w:firstLineChars="0"/>
              <w:jc w:val="center"/>
              <w:rPr>
                <w:rFonts w:hint="eastAsia" w:ascii="宋体" w:hAnsi="宋体" w:eastAsia="宋体" w:cs="宋体"/>
                <w:color w:val="auto"/>
                <w:sz w:val="24"/>
                <w:szCs w:val="24"/>
                <w:lang w:val="en-US" w:eastAsia="zh-CN"/>
              </w:rPr>
            </w:pPr>
            <w:r>
              <w:rPr>
                <w:rFonts w:hint="eastAsia" w:hAnsi="宋体"/>
                <w:color w:val="auto"/>
                <w:sz w:val="24"/>
                <w:szCs w:val="24"/>
                <w:lang w:val="en-US" w:eastAsia="zh-CN"/>
              </w:rPr>
              <w:t>8</w:t>
            </w:r>
            <w:r>
              <w:rPr>
                <w:rFonts w:hint="eastAsia" w:ascii="宋体" w:hAnsi="宋体" w:eastAsia="宋体" w:cs="宋体"/>
                <w:color w:val="auto"/>
                <w:sz w:val="24"/>
                <w:szCs w:val="24"/>
                <w:lang w:val="en-US" w:eastAsia="zh-CN"/>
              </w:rPr>
              <w:t>分</w:t>
            </w:r>
          </w:p>
        </w:tc>
        <w:tc>
          <w:tcPr>
            <w:tcW w:w="6338" w:type="dxa"/>
            <w:tcBorders>
              <w:top w:val="single" w:color="auto" w:sz="4" w:space="0"/>
              <w:left w:val="single" w:color="auto" w:sz="6" w:space="0"/>
              <w:bottom w:val="single" w:color="auto" w:sz="4" w:space="0"/>
              <w:right w:val="single" w:color="auto" w:sz="4" w:space="0"/>
            </w:tcBorders>
            <w:noWrap w:val="0"/>
            <w:vAlign w:val="center"/>
          </w:tcPr>
          <w:p>
            <w:pPr>
              <w:pStyle w:val="54"/>
              <w:tabs>
                <w:tab w:val="left" w:pos="0"/>
              </w:tabs>
              <w:spacing w:line="360" w:lineRule="auto"/>
              <w:ind w:firstLine="0" w:firstLineChars="0"/>
              <w:rPr>
                <w:rFonts w:hint="default" w:ascii="宋体" w:hAnsi="宋体" w:eastAsia="宋体" w:cs="宋体"/>
                <w:color w:val="auto"/>
                <w:sz w:val="24"/>
                <w:szCs w:val="24"/>
                <w:lang w:val="en-US" w:eastAsia="zh-CN"/>
              </w:rPr>
            </w:pPr>
            <w:r>
              <w:rPr>
                <w:rFonts w:hint="eastAsia" w:ascii="宋体" w:hAnsi="宋体"/>
                <w:color w:val="auto"/>
                <w:sz w:val="24"/>
                <w:szCs w:val="24"/>
              </w:rPr>
              <w:t>对城市建设指引的适地性、可操作性</w:t>
            </w:r>
            <w:r>
              <w:rPr>
                <w:rFonts w:hint="eastAsia" w:hAnsi="宋体"/>
                <w:color w:val="auto"/>
                <w:sz w:val="24"/>
                <w:szCs w:val="24"/>
                <w:lang w:val="en-US" w:eastAsia="zh-CN"/>
              </w:rPr>
              <w:t>强得8分，每偏差一项扣1分，扣完为止。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39" w:type="dxa"/>
            <w:vMerge w:val="continue"/>
            <w:tcBorders>
              <w:left w:val="single" w:color="auto" w:sz="4" w:space="0"/>
              <w:right w:val="single" w:color="auto" w:sz="4" w:space="0"/>
            </w:tcBorders>
            <w:noWrap w:val="0"/>
            <w:vAlign w:val="center"/>
          </w:tcPr>
          <w:p>
            <w:pPr>
              <w:spacing w:line="400" w:lineRule="exact"/>
              <w:rPr>
                <w:rFonts w:hint="eastAsia" w:ascii="宋体" w:hAnsi="宋体" w:eastAsia="宋体" w:cs="宋体"/>
                <w:color w:val="auto"/>
                <w:sz w:val="24"/>
                <w:szCs w:val="24"/>
                <w:lang w:val="en-US" w:eastAsia="zh-CN"/>
              </w:rPr>
            </w:pPr>
          </w:p>
        </w:tc>
        <w:tc>
          <w:tcPr>
            <w:tcW w:w="1240" w:type="dxa"/>
            <w:tcBorders>
              <w:top w:val="single" w:color="auto" w:sz="4" w:space="0"/>
              <w:left w:val="single" w:color="auto" w:sz="4" w:space="0"/>
              <w:bottom w:val="single" w:color="auto" w:sz="4" w:space="0"/>
              <w:right w:val="single" w:color="auto" w:sz="6" w:space="0"/>
            </w:tcBorders>
            <w:noWrap w:val="0"/>
            <w:vAlign w:val="center"/>
          </w:tcPr>
          <w:p>
            <w:pPr>
              <w:pStyle w:val="54"/>
              <w:tabs>
                <w:tab w:val="left" w:pos="0"/>
              </w:tabs>
              <w:spacing w:line="36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b/>
                <w:bCs/>
                <w:color w:val="auto"/>
                <w:sz w:val="24"/>
                <w:szCs w:val="24"/>
              </w:rPr>
              <w:t>专题研究</w:t>
            </w:r>
          </w:p>
        </w:tc>
        <w:tc>
          <w:tcPr>
            <w:tcW w:w="767" w:type="dxa"/>
            <w:tcBorders>
              <w:top w:val="single" w:color="auto" w:sz="4" w:space="0"/>
              <w:left w:val="single" w:color="auto" w:sz="6" w:space="0"/>
              <w:bottom w:val="single" w:color="auto" w:sz="4" w:space="0"/>
              <w:right w:val="single" w:color="auto" w:sz="6" w:space="0"/>
            </w:tcBorders>
            <w:noWrap w:val="0"/>
            <w:vAlign w:val="center"/>
          </w:tcPr>
          <w:p>
            <w:pPr>
              <w:pStyle w:val="54"/>
              <w:tabs>
                <w:tab w:val="left" w:pos="0"/>
              </w:tabs>
              <w:spacing w:line="360" w:lineRule="auto"/>
              <w:ind w:firstLine="0" w:firstLineChars="0"/>
              <w:jc w:val="center"/>
              <w:rPr>
                <w:rFonts w:hint="default" w:ascii="宋体" w:hAnsi="宋体" w:eastAsia="宋体" w:cs="宋体"/>
                <w:color w:val="auto"/>
                <w:sz w:val="24"/>
                <w:szCs w:val="24"/>
                <w:lang w:val="en-US" w:eastAsia="zh-CN"/>
              </w:rPr>
            </w:pPr>
            <w:r>
              <w:rPr>
                <w:rFonts w:ascii="宋体" w:hAnsi="宋体"/>
                <w:color w:val="auto"/>
                <w:sz w:val="24"/>
                <w:szCs w:val="24"/>
              </w:rPr>
              <w:t>1</w:t>
            </w:r>
            <w:r>
              <w:rPr>
                <w:rFonts w:hint="eastAsia" w:hAnsi="宋体"/>
                <w:color w:val="auto"/>
                <w:sz w:val="24"/>
                <w:szCs w:val="24"/>
                <w:lang w:val="en-US" w:eastAsia="zh-CN"/>
              </w:rPr>
              <w:t>2</w:t>
            </w:r>
            <w:r>
              <w:rPr>
                <w:rFonts w:hint="eastAsia" w:ascii="宋体" w:hAnsi="宋体" w:eastAsia="宋体" w:cs="宋体"/>
                <w:color w:val="auto"/>
                <w:sz w:val="24"/>
                <w:szCs w:val="24"/>
                <w:lang w:val="en-US" w:eastAsia="zh-CN"/>
              </w:rPr>
              <w:t>分</w:t>
            </w:r>
          </w:p>
        </w:tc>
        <w:tc>
          <w:tcPr>
            <w:tcW w:w="6338" w:type="dxa"/>
            <w:tcBorders>
              <w:top w:val="single" w:color="auto" w:sz="4" w:space="0"/>
              <w:left w:val="single" w:color="auto" w:sz="6" w:space="0"/>
              <w:bottom w:val="single" w:color="auto" w:sz="4" w:space="0"/>
              <w:right w:val="single" w:color="auto" w:sz="4" w:space="0"/>
            </w:tcBorders>
            <w:noWrap w:val="0"/>
            <w:vAlign w:val="center"/>
          </w:tcPr>
          <w:p>
            <w:pPr>
              <w:pStyle w:val="54"/>
              <w:tabs>
                <w:tab w:val="left" w:pos="0"/>
              </w:tabs>
              <w:spacing w:line="360" w:lineRule="auto"/>
              <w:ind w:firstLine="0" w:firstLineChars="0"/>
              <w:rPr>
                <w:rFonts w:hint="eastAsia" w:ascii="宋体" w:hAnsi="宋体"/>
                <w:color w:val="auto"/>
                <w:sz w:val="24"/>
                <w:szCs w:val="24"/>
              </w:rPr>
            </w:pPr>
            <w:r>
              <w:rPr>
                <w:rFonts w:hint="eastAsia" w:ascii="宋体" w:hAnsi="宋体"/>
                <w:color w:val="auto"/>
                <w:sz w:val="24"/>
                <w:szCs w:val="24"/>
              </w:rPr>
              <w:t>对目标定位、空间评估、产业发展、风貌塑造等重要专题研究的适地性、可操作性等方面进行评分：</w:t>
            </w:r>
          </w:p>
          <w:p>
            <w:pPr>
              <w:pStyle w:val="54"/>
              <w:numPr>
                <w:ilvl w:val="0"/>
                <w:numId w:val="0"/>
              </w:numPr>
              <w:tabs>
                <w:tab w:val="left" w:pos="0"/>
              </w:tabs>
              <w:spacing w:line="360" w:lineRule="auto"/>
              <w:rPr>
                <w:rFonts w:hint="eastAsia" w:hAnsi="宋体"/>
                <w:color w:val="auto"/>
                <w:sz w:val="24"/>
                <w:szCs w:val="24"/>
                <w:lang w:val="en-US" w:eastAsia="zh-CN"/>
              </w:rPr>
            </w:pPr>
            <w:r>
              <w:rPr>
                <w:rFonts w:hint="eastAsia" w:hAnsi="宋体"/>
                <w:color w:val="auto"/>
                <w:sz w:val="24"/>
                <w:szCs w:val="24"/>
                <w:lang w:val="en-US" w:eastAsia="zh-CN"/>
              </w:rPr>
              <w:t>1.目标定位</w:t>
            </w:r>
            <w:r>
              <w:rPr>
                <w:rFonts w:hint="eastAsia" w:ascii="宋体" w:hAnsi="宋体"/>
                <w:color w:val="auto"/>
                <w:sz w:val="24"/>
                <w:szCs w:val="24"/>
              </w:rPr>
              <w:t>的适地性、可操作性</w:t>
            </w:r>
            <w:r>
              <w:rPr>
                <w:rFonts w:hint="eastAsia" w:hAnsi="宋体"/>
                <w:color w:val="auto"/>
                <w:sz w:val="24"/>
                <w:szCs w:val="24"/>
                <w:lang w:val="en-US" w:eastAsia="zh-CN"/>
              </w:rPr>
              <w:t>强得4分；</w:t>
            </w:r>
          </w:p>
          <w:p>
            <w:pPr>
              <w:pStyle w:val="54"/>
              <w:numPr>
                <w:ilvl w:val="0"/>
                <w:numId w:val="0"/>
              </w:numPr>
              <w:tabs>
                <w:tab w:val="left" w:pos="0"/>
              </w:tabs>
              <w:spacing w:line="360" w:lineRule="auto"/>
              <w:rPr>
                <w:rFonts w:hint="eastAsia" w:hAnsi="宋体"/>
                <w:color w:val="auto"/>
                <w:sz w:val="24"/>
                <w:szCs w:val="24"/>
                <w:lang w:val="en-US" w:eastAsia="zh-CN"/>
              </w:rPr>
            </w:pPr>
            <w:r>
              <w:rPr>
                <w:rFonts w:hint="eastAsia" w:hAnsi="宋体"/>
                <w:color w:val="auto"/>
                <w:sz w:val="24"/>
                <w:szCs w:val="24"/>
                <w:lang w:val="en-US" w:eastAsia="zh-CN"/>
              </w:rPr>
              <w:t>2.</w:t>
            </w:r>
            <w:r>
              <w:rPr>
                <w:rFonts w:hint="eastAsia" w:ascii="宋体" w:hAnsi="宋体"/>
                <w:color w:val="auto"/>
                <w:sz w:val="24"/>
                <w:szCs w:val="24"/>
              </w:rPr>
              <w:t>空间评估的适地性、可操作性</w:t>
            </w:r>
            <w:r>
              <w:rPr>
                <w:rFonts w:hint="eastAsia" w:hAnsi="宋体"/>
                <w:color w:val="auto"/>
                <w:sz w:val="24"/>
                <w:szCs w:val="24"/>
                <w:lang w:val="en-US" w:eastAsia="zh-CN"/>
              </w:rPr>
              <w:t>强得4分；</w:t>
            </w:r>
          </w:p>
          <w:p>
            <w:pPr>
              <w:pStyle w:val="54"/>
              <w:numPr>
                <w:ilvl w:val="0"/>
                <w:numId w:val="0"/>
              </w:numPr>
              <w:tabs>
                <w:tab w:val="left" w:pos="0"/>
              </w:tabs>
              <w:spacing w:line="360" w:lineRule="auto"/>
              <w:rPr>
                <w:rFonts w:hint="default" w:hAnsi="宋体"/>
                <w:color w:val="auto"/>
                <w:sz w:val="24"/>
                <w:szCs w:val="24"/>
                <w:lang w:val="en-US" w:eastAsia="zh-CN"/>
              </w:rPr>
            </w:pPr>
            <w:r>
              <w:rPr>
                <w:rFonts w:hint="eastAsia" w:hAnsi="宋体"/>
                <w:color w:val="auto"/>
                <w:sz w:val="24"/>
                <w:szCs w:val="24"/>
                <w:lang w:val="en-US" w:eastAsia="zh-CN"/>
              </w:rPr>
              <w:t>3.</w:t>
            </w:r>
            <w:r>
              <w:rPr>
                <w:rFonts w:hint="eastAsia" w:ascii="宋体" w:hAnsi="宋体"/>
                <w:color w:val="auto"/>
                <w:sz w:val="24"/>
                <w:szCs w:val="24"/>
              </w:rPr>
              <w:t>产业发展的适地性、可操作性</w:t>
            </w:r>
            <w:r>
              <w:rPr>
                <w:rFonts w:hint="eastAsia" w:hAnsi="宋体"/>
                <w:color w:val="auto"/>
                <w:sz w:val="24"/>
                <w:szCs w:val="24"/>
                <w:lang w:val="en-US" w:eastAsia="zh-CN"/>
              </w:rPr>
              <w:t>强得4分；</w:t>
            </w:r>
          </w:p>
          <w:p>
            <w:pPr>
              <w:pStyle w:val="54"/>
              <w:tabs>
                <w:tab w:val="left" w:pos="0"/>
              </w:tabs>
              <w:spacing w:line="360" w:lineRule="auto"/>
              <w:ind w:firstLine="0" w:firstLineChars="0"/>
              <w:rPr>
                <w:rFonts w:hint="eastAsia" w:ascii="宋体" w:hAnsi="宋体"/>
                <w:color w:val="auto"/>
                <w:sz w:val="24"/>
                <w:szCs w:val="24"/>
                <w:lang w:val="en-US" w:eastAsia="zh-CN"/>
              </w:rPr>
            </w:pPr>
            <w:r>
              <w:rPr>
                <w:rFonts w:hint="eastAsia" w:hAnsi="宋体"/>
                <w:color w:val="auto"/>
                <w:sz w:val="24"/>
                <w:szCs w:val="24"/>
                <w:lang w:val="en-US" w:eastAsia="zh-CN"/>
              </w:rPr>
              <w:t>最多得12分，未提供不得分</w:t>
            </w:r>
            <w:r>
              <w:rPr>
                <w:rFonts w:hint="eastAsia" w:ascii="宋体" w:hAnsi="宋体"/>
                <w:color w:val="auto"/>
                <w:sz w:val="24"/>
                <w:szCs w:val="24"/>
              </w:rPr>
              <w:t>。</w:t>
            </w:r>
          </w:p>
        </w:tc>
      </w:tr>
    </w:tbl>
    <w:p>
      <w:pPr>
        <w:pStyle w:val="5"/>
        <w:tabs>
          <w:tab w:val="clear" w:pos="567"/>
        </w:tabs>
        <w:spacing w:before="0" w:line="360" w:lineRule="auto"/>
        <w:rPr>
          <w:rFonts w:hint="eastAsia"/>
          <w:color w:val="auto"/>
          <w:u w:val="none"/>
        </w:rPr>
      </w:pPr>
    </w:p>
    <w:p>
      <w:pPr>
        <w:pStyle w:val="50"/>
        <w:rPr>
          <w:rFonts w:hint="eastAsia"/>
          <w:color w:val="auto"/>
          <w:u w:val="none"/>
        </w:rPr>
      </w:pPr>
    </w:p>
    <w:p>
      <w:pPr>
        <w:pStyle w:val="5"/>
        <w:tabs>
          <w:tab w:val="clear" w:pos="567"/>
        </w:tabs>
        <w:spacing w:before="0" w:line="360" w:lineRule="auto"/>
        <w:rPr>
          <w:rFonts w:hint="eastAsia"/>
          <w:color w:val="auto"/>
          <w:u w:val="none"/>
        </w:rPr>
      </w:pPr>
      <w:r>
        <w:rPr>
          <w:rFonts w:hint="eastAsia"/>
          <w:color w:val="auto"/>
          <w:u w:val="none"/>
          <w:lang w:val="en-US" w:eastAsia="zh-CN"/>
        </w:rPr>
        <w:t>6</w:t>
      </w:r>
      <w:r>
        <w:rPr>
          <w:rFonts w:hint="eastAsia"/>
          <w:color w:val="auto"/>
          <w:u w:val="none"/>
        </w:rPr>
        <w:t>、 废 标</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lang w:val="en-US" w:eastAsia="zh-CN"/>
        </w:rPr>
        <w:t>6</w:t>
      </w:r>
      <w:r>
        <w:rPr>
          <w:rFonts w:hint="eastAsia"/>
          <w:color w:val="auto"/>
          <w:u w:val="none"/>
        </w:rPr>
        <w:t>.1本次采购活动中，出现下列情形之一的，予以废标：</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(1)符合专业条件的供应商或者对招标文件作实质响应的供应商不足三家的；</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(2)出现影响采购公正的违法、违规行为的；</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(3)投标人的报价均超过了采购预算或限价，采购人不能支付的；</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(4)因重大变故，采购任务取消的。</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lang w:val="en-US" w:eastAsia="zh-CN"/>
        </w:rPr>
        <w:t>6</w:t>
      </w:r>
      <w:r>
        <w:rPr>
          <w:rFonts w:hint="eastAsia"/>
          <w:color w:val="auto"/>
          <w:u w:val="none"/>
        </w:rPr>
        <w:t>.2对于评标过程中废标的采购项目，评标委员会应当对招标文件是否存在倾向性和歧视性、是否存在不合理条款进行论证，并出具书面论证意见（格式另行提供）。</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lang w:val="en-US" w:eastAsia="zh-CN"/>
        </w:rPr>
        <w:t>7</w:t>
      </w:r>
      <w:r>
        <w:rPr>
          <w:rFonts w:hint="eastAsia"/>
          <w:color w:val="auto"/>
          <w:u w:val="none"/>
        </w:rPr>
        <w:t>、定标</w:t>
      </w:r>
      <w:bookmarkStart w:id="260" w:name="_Toc217446061"/>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lang w:val="en-US" w:eastAsia="zh-CN"/>
        </w:rPr>
        <w:t>7</w:t>
      </w:r>
      <w:r>
        <w:rPr>
          <w:rFonts w:hint="eastAsia"/>
          <w:color w:val="auto"/>
          <w:u w:val="none"/>
        </w:rPr>
        <w:t>.1 定标原则</w:t>
      </w:r>
      <w:bookmarkEnd w:id="260"/>
      <w:r>
        <w:rPr>
          <w:rFonts w:hint="eastAsia"/>
          <w:color w:val="auto"/>
          <w:u w:val="none"/>
        </w:rPr>
        <w:t>：本项目根据评标委员会推荐的中标候选供应商名单，按顺序确定中标供应商。</w:t>
      </w:r>
    </w:p>
    <w:p>
      <w:pPr>
        <w:pStyle w:val="5"/>
        <w:tabs>
          <w:tab w:val="clear" w:pos="567"/>
        </w:tabs>
        <w:spacing w:before="0" w:line="360" w:lineRule="auto"/>
        <w:ind w:left="-181" w:leftChars="-86" w:firstLine="180" w:firstLineChars="75"/>
        <w:rPr>
          <w:rFonts w:hint="eastAsia"/>
          <w:color w:val="auto"/>
          <w:u w:val="none"/>
        </w:rPr>
      </w:pPr>
      <w:bookmarkStart w:id="261" w:name="_Toc217446062"/>
      <w:r>
        <w:rPr>
          <w:rFonts w:hint="eastAsia"/>
          <w:color w:val="auto"/>
          <w:u w:val="none"/>
          <w:lang w:val="en-US" w:eastAsia="zh-CN"/>
        </w:rPr>
        <w:t>7</w:t>
      </w:r>
      <w:r>
        <w:rPr>
          <w:rFonts w:hint="eastAsia"/>
          <w:color w:val="auto"/>
          <w:u w:val="none"/>
        </w:rPr>
        <w:t>.2 定标程序</w:t>
      </w:r>
      <w:bookmarkEnd w:id="261"/>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lang w:val="en-US" w:eastAsia="zh-CN"/>
        </w:rPr>
        <w:t>7</w:t>
      </w:r>
      <w:r>
        <w:rPr>
          <w:rFonts w:hint="eastAsia"/>
          <w:color w:val="auto"/>
          <w:u w:val="none"/>
        </w:rPr>
        <w:t>.2.1 评标委员会将评标情况写出书面报告，推荐中标候选供应商。</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lang w:val="en-US" w:eastAsia="zh-CN"/>
        </w:rPr>
        <w:t>7</w:t>
      </w:r>
      <w:r>
        <w:rPr>
          <w:rFonts w:hint="eastAsia"/>
          <w:color w:val="auto"/>
          <w:u w:val="none"/>
        </w:rPr>
        <w:t>.2.2 采购代理机构在评标结束后2个工作日内将评标报告送采购人。</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lang w:val="en-US" w:eastAsia="zh-CN"/>
        </w:rPr>
        <w:t>7</w:t>
      </w:r>
      <w:r>
        <w:rPr>
          <w:rFonts w:hint="eastAsia"/>
          <w:color w:val="auto"/>
          <w:u w:val="none"/>
        </w:rPr>
        <w:t>.2.3 采购人在收到评标报告后5个工作日内，按照评标报告中推荐的中标候选供应商顺序确定中标供应商，并书面告知采购代理机构。</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采购人按照推荐的中标候选供应商顺序确定中标供应商，不能认为采购人只能确定第一中标候选供应商为中标供应商，采购人有正当理由的，可以确定后一顺序中标候选供应商为中标供应商，依次类推。</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lang w:val="en-US" w:eastAsia="zh-CN"/>
        </w:rPr>
        <w:t>7</w:t>
      </w:r>
      <w:r>
        <w:rPr>
          <w:rFonts w:hint="eastAsia"/>
          <w:color w:val="auto"/>
          <w:u w:val="none"/>
        </w:rPr>
        <w:t>.2.4 根据采购人确定的中标供应商，采购代理机构在</w:t>
      </w:r>
      <w:r>
        <w:rPr>
          <w:rFonts w:hint="eastAsia"/>
          <w:color w:val="auto"/>
          <w:u w:val="none"/>
          <w:lang w:val="en-US" w:eastAsia="zh-CN"/>
        </w:rPr>
        <w:t>新疆政府采购</w:t>
      </w:r>
      <w:r>
        <w:rPr>
          <w:rFonts w:hint="eastAsia"/>
          <w:color w:val="auto"/>
          <w:u w:val="none"/>
        </w:rPr>
        <w:t>网上发布中标公告，同时采购人向中标人发出中标通知书。</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lang w:val="en-US" w:eastAsia="zh-CN"/>
        </w:rPr>
        <w:t>7</w:t>
      </w:r>
      <w:r>
        <w:rPr>
          <w:rFonts w:hint="eastAsia"/>
          <w:color w:val="auto"/>
          <w:u w:val="none"/>
        </w:rPr>
        <w:t>.2.5 采购人、采购代理机构不退回投标人投标文件和其他投标资料。</w:t>
      </w:r>
    </w:p>
    <w:p>
      <w:pPr>
        <w:pStyle w:val="5"/>
        <w:tabs>
          <w:tab w:val="clear" w:pos="567"/>
        </w:tabs>
        <w:spacing w:before="0" w:line="360" w:lineRule="auto"/>
        <w:ind w:left="-181" w:leftChars="-86" w:firstLine="180" w:firstLineChars="75"/>
        <w:rPr>
          <w:rFonts w:hint="eastAsia"/>
          <w:color w:val="auto"/>
          <w:u w:val="none"/>
        </w:rPr>
      </w:pPr>
      <w:bookmarkStart w:id="262" w:name="_Toc217446105"/>
      <w:bookmarkStart w:id="263" w:name="_Toc183582297"/>
      <w:bookmarkStart w:id="264" w:name="_Toc183682432"/>
      <w:bookmarkStart w:id="265" w:name="_Toc208849022"/>
      <w:r>
        <w:rPr>
          <w:rFonts w:hint="eastAsia"/>
          <w:color w:val="auto"/>
          <w:u w:val="none"/>
        </w:rPr>
        <w:t xml:space="preserve"> </w:t>
      </w:r>
      <w:r>
        <w:rPr>
          <w:rFonts w:hint="eastAsia"/>
          <w:color w:val="auto"/>
          <w:u w:val="none"/>
          <w:lang w:val="en-US" w:eastAsia="zh-CN"/>
        </w:rPr>
        <w:t>8</w:t>
      </w:r>
      <w:bookmarkEnd w:id="262"/>
      <w:bookmarkEnd w:id="263"/>
      <w:bookmarkEnd w:id="264"/>
      <w:bookmarkEnd w:id="265"/>
      <w:r>
        <w:rPr>
          <w:rFonts w:hint="eastAsia"/>
          <w:color w:val="auto"/>
          <w:u w:val="none"/>
          <w:lang w:eastAsia="zh-CN"/>
        </w:rPr>
        <w:t>、</w:t>
      </w:r>
      <w:r>
        <w:rPr>
          <w:rFonts w:hint="eastAsia"/>
          <w:color w:val="auto"/>
          <w:u w:val="none"/>
        </w:rPr>
        <w:t>评标专家在采购活动中承担以下义务：</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 xml:space="preserve">(1)遵守评审工作纪律； </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(2)按照客观、公正、审慎的原则，根据采购文件规定的评审程序、评审方法和评审标准进行独立评审；</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(3)不得泄露评审文件、评审情况和在评审过程中获悉的商业秘密；</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(4)及时向监督部门报告评审过程中采购组织单位向评审专家做倾向性、误导性的解释或者说明，供应商行贿、提供虚假材料或者串通、受到的非法干预情况等违法违规行为；</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(5)发现采购文件内容违反国家有关强制性规定或者存在歧义、重大缺陷导致评审工作无法进行时，停止评审并向采购组织单位书面说明情况；</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(6)配合答复处理供应商的询问、质疑和投诉等事项；</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(7)法律、法规和规章规定的其他义务。</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lang w:val="en-US" w:eastAsia="zh-CN"/>
        </w:rPr>
        <w:t>9、</w:t>
      </w:r>
      <w:r>
        <w:rPr>
          <w:rFonts w:hint="eastAsia"/>
          <w:color w:val="auto"/>
          <w:u w:val="none"/>
        </w:rPr>
        <w:t>评标专家在采购活动中应当遵守以下工作纪律：</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(1)遵行《政府采购法》第十二条和《政府采购法实施条例》第九条及财政部关于回避的规定。</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(2)评标前，应当将通讯工具或者相关电子设备交由采购人、采购代理机构统一保管。</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(3)评标过程中，不得与外界联系，因发生不可预见情况，确实需要与外界联系的，应当在监督人员监督之下办理。</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(4)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(5)在评标过程中和评标结束后，不得记录、复制或带走任何评标资料，除因规定的义务外，不得向外界透露评标内容。</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(6)服从评标现场采购人、采购代理机构的现场秩序管理，接受评标现场监督人员的合法监督。</w:t>
      </w:r>
    </w:p>
    <w:p>
      <w:pPr>
        <w:pStyle w:val="5"/>
        <w:tabs>
          <w:tab w:val="clear" w:pos="567"/>
        </w:tabs>
        <w:spacing w:before="0" w:line="360" w:lineRule="auto"/>
        <w:ind w:left="-181" w:leftChars="-86" w:firstLine="180" w:firstLineChars="75"/>
        <w:rPr>
          <w:rFonts w:hint="eastAsia"/>
          <w:color w:val="auto"/>
          <w:u w:val="none"/>
        </w:rPr>
      </w:pPr>
      <w:r>
        <w:rPr>
          <w:rFonts w:hint="eastAsia"/>
          <w:color w:val="auto"/>
          <w:u w:val="none"/>
        </w:rPr>
        <w:t>(7)遵守有关廉洁自律规定，不得私下接触供应商，不得收受供应商及有关业务单位和个人的财物或好处，不得接受采购组织单位的请托。</w:t>
      </w:r>
    </w:p>
    <w:p>
      <w:pPr>
        <w:spacing w:line="240" w:lineRule="atLeast"/>
        <w:ind w:left="1080" w:leftChars="257" w:hanging="540"/>
        <w:jc w:val="center"/>
        <w:rPr>
          <w:rFonts w:hint="eastAsia" w:ascii="宋体" w:hAnsi="宋体" w:eastAsia="宋体" w:cs="宋体"/>
          <w:i w:val="0"/>
          <w:iCs w:val="0"/>
          <w:color w:val="auto"/>
        </w:rPr>
      </w:pPr>
    </w:p>
    <w:p>
      <w:pPr>
        <w:pStyle w:val="5"/>
        <w:rPr>
          <w:rFonts w:hint="eastAsia"/>
          <w:color w:val="auto"/>
        </w:rPr>
      </w:pPr>
    </w:p>
    <w:p>
      <w:pPr>
        <w:spacing w:line="240" w:lineRule="atLeast"/>
        <w:ind w:left="1080" w:leftChars="257" w:hanging="540"/>
        <w:jc w:val="center"/>
        <w:rPr>
          <w:rFonts w:hint="eastAsia" w:ascii="宋体" w:hAnsi="宋体" w:eastAsia="宋体" w:cs="宋体"/>
          <w:i w:val="0"/>
          <w:iCs w:val="0"/>
          <w:color w:val="auto"/>
        </w:rPr>
        <w:sectPr>
          <w:headerReference r:id="rId12" w:type="default"/>
          <w:footerReference r:id="rId13" w:type="default"/>
          <w:pgSz w:w="11907" w:h="16840"/>
          <w:pgMar w:top="1474" w:right="1814" w:bottom="1474" w:left="1814" w:header="851" w:footer="851" w:gutter="0"/>
          <w:pgNumType w:fmt="decimal"/>
          <w:cols w:space="720" w:num="1"/>
          <w:docGrid w:linePitch="462" w:charSpace="0"/>
        </w:sectPr>
      </w:pPr>
    </w:p>
    <w:p>
      <w:pPr>
        <w:spacing w:line="240" w:lineRule="atLeast"/>
        <w:ind w:left="1080" w:leftChars="257" w:hanging="540"/>
        <w:jc w:val="center"/>
        <w:rPr>
          <w:rFonts w:hint="eastAsia" w:ascii="宋体" w:hAnsi="宋体" w:eastAsia="宋体" w:cs="宋体"/>
          <w:i w:val="0"/>
          <w:iCs w:val="0"/>
          <w:color w:val="auto"/>
        </w:rPr>
      </w:pPr>
    </w:p>
    <w:p>
      <w:pPr>
        <w:spacing w:line="240" w:lineRule="atLeast"/>
        <w:ind w:left="1080" w:leftChars="257" w:hanging="540"/>
        <w:jc w:val="center"/>
        <w:rPr>
          <w:rFonts w:hint="eastAsia" w:ascii="宋体" w:hAnsi="宋体" w:eastAsia="宋体" w:cs="宋体"/>
          <w:i w:val="0"/>
          <w:iCs w:val="0"/>
          <w:color w:val="auto"/>
        </w:rPr>
      </w:pPr>
    </w:p>
    <w:p>
      <w:pPr>
        <w:spacing w:line="240" w:lineRule="atLeast"/>
        <w:jc w:val="center"/>
        <w:rPr>
          <w:rFonts w:hint="eastAsia" w:ascii="宋体" w:hAnsi="宋体" w:eastAsia="宋体" w:cs="宋体"/>
          <w:b/>
          <w:bCs w:val="0"/>
          <w:i w:val="0"/>
          <w:iCs w:val="0"/>
          <w:color w:val="auto"/>
          <w:sz w:val="52"/>
          <w:szCs w:val="52"/>
        </w:rPr>
      </w:pPr>
      <w:r>
        <w:rPr>
          <w:rFonts w:hint="eastAsia" w:ascii="宋体" w:hAnsi="宋体" w:eastAsia="宋体" w:cs="宋体"/>
          <w:b/>
          <w:bCs w:val="0"/>
          <w:i w:val="0"/>
          <w:iCs w:val="0"/>
          <w:color w:val="auto"/>
          <w:sz w:val="52"/>
          <w:szCs w:val="52"/>
        </w:rPr>
        <w:t>服务类政府采购公开招标文件</w:t>
      </w:r>
    </w:p>
    <w:p>
      <w:pPr>
        <w:spacing w:line="240" w:lineRule="atLeast"/>
        <w:ind w:left="1080" w:leftChars="257" w:hanging="540"/>
        <w:jc w:val="center"/>
        <w:rPr>
          <w:rFonts w:hint="eastAsia" w:ascii="宋体" w:hAnsi="宋体" w:eastAsia="宋体" w:cs="宋体"/>
          <w:b/>
          <w:i w:val="0"/>
          <w:iCs w:val="0"/>
          <w:color w:val="auto"/>
          <w:sz w:val="32"/>
          <w:szCs w:val="32"/>
          <w:lang w:eastAsia="zh-CN"/>
        </w:rPr>
      </w:pPr>
    </w:p>
    <w:p>
      <w:pPr>
        <w:spacing w:line="240" w:lineRule="atLeast"/>
        <w:jc w:val="center"/>
        <w:rPr>
          <w:rFonts w:hint="default" w:ascii="宋体" w:hAnsi="宋体" w:eastAsia="宋体" w:cs="宋体"/>
          <w:b/>
          <w:i w:val="0"/>
          <w:iCs w:val="0"/>
          <w:color w:val="auto"/>
          <w:sz w:val="32"/>
          <w:szCs w:val="32"/>
          <w:lang w:val="en-US" w:eastAsia="zh-CN"/>
        </w:rPr>
      </w:pPr>
      <w:r>
        <w:rPr>
          <w:rFonts w:hint="eastAsia" w:ascii="宋体" w:hAnsi="宋体" w:eastAsia="宋体" w:cs="宋体"/>
          <w:b/>
          <w:i w:val="0"/>
          <w:iCs w:val="0"/>
          <w:color w:val="auto"/>
          <w:sz w:val="32"/>
          <w:szCs w:val="32"/>
          <w:lang w:eastAsia="zh-CN"/>
        </w:rPr>
        <w:t>招标编号：</w:t>
      </w:r>
      <w:r>
        <w:rPr>
          <w:rFonts w:hint="eastAsia" w:ascii="宋体" w:hAnsi="宋体" w:cs="宋体"/>
          <w:b/>
          <w:i w:val="0"/>
          <w:iCs w:val="0"/>
          <w:color w:val="auto"/>
          <w:sz w:val="32"/>
          <w:szCs w:val="32"/>
          <w:lang w:val="en-US" w:eastAsia="zh-CN"/>
        </w:rPr>
        <w:t>CQYL-2023-Z(Q)-049</w:t>
      </w:r>
    </w:p>
    <w:p>
      <w:pPr>
        <w:pStyle w:val="23"/>
        <w:rPr>
          <w:rFonts w:hint="eastAsia" w:ascii="宋体" w:hAnsi="宋体" w:eastAsia="宋体" w:cs="宋体"/>
          <w:b/>
          <w:i w:val="0"/>
          <w:iCs w:val="0"/>
          <w:color w:val="auto"/>
          <w:sz w:val="32"/>
          <w:szCs w:val="32"/>
          <w:lang w:val="en-US" w:eastAsia="zh-CN"/>
        </w:rPr>
      </w:pPr>
    </w:p>
    <w:p>
      <w:pPr>
        <w:pStyle w:val="23"/>
        <w:rPr>
          <w:rFonts w:hint="default" w:ascii="宋体" w:hAnsi="宋体" w:eastAsia="宋体" w:cs="宋体"/>
          <w:b/>
          <w:i w:val="0"/>
          <w:iCs w:val="0"/>
          <w:color w:val="auto"/>
          <w:sz w:val="32"/>
          <w:szCs w:val="32"/>
          <w:lang w:val="en-US" w:eastAsia="zh-CN"/>
        </w:rPr>
      </w:pPr>
    </w:p>
    <w:p>
      <w:pPr>
        <w:spacing w:line="240" w:lineRule="atLeast"/>
        <w:ind w:left="1080" w:leftChars="257" w:hanging="540"/>
        <w:jc w:val="center"/>
        <w:rPr>
          <w:rFonts w:hint="eastAsia" w:ascii="宋体" w:hAnsi="宋体" w:eastAsia="宋体" w:cs="宋体"/>
          <w:b/>
          <w:i w:val="0"/>
          <w:iCs w:val="0"/>
          <w:color w:val="auto"/>
          <w:sz w:val="48"/>
          <w:szCs w:val="48"/>
        </w:rPr>
      </w:pPr>
    </w:p>
    <w:p>
      <w:pPr>
        <w:spacing w:line="240" w:lineRule="atLeast"/>
        <w:jc w:val="center"/>
        <w:rPr>
          <w:rFonts w:hint="eastAsia" w:ascii="宋体" w:hAnsi="宋体" w:eastAsia="宋体" w:cs="宋体"/>
          <w:b/>
          <w:i w:val="0"/>
          <w:iCs w:val="0"/>
          <w:color w:val="auto"/>
          <w:sz w:val="48"/>
          <w:szCs w:val="48"/>
        </w:rPr>
      </w:pPr>
      <w:r>
        <w:rPr>
          <w:rFonts w:hint="eastAsia" w:ascii="宋体" w:hAnsi="宋体" w:eastAsia="宋体" w:cs="宋体"/>
          <w:b/>
          <w:i w:val="0"/>
          <w:iCs w:val="0"/>
          <w:color w:val="auto"/>
          <w:sz w:val="48"/>
          <w:szCs w:val="48"/>
        </w:rPr>
        <w:t>第</w:t>
      </w:r>
      <w:r>
        <w:rPr>
          <w:rFonts w:hint="eastAsia" w:ascii="宋体" w:hAnsi="宋体" w:eastAsia="宋体" w:cs="宋体"/>
          <w:b/>
          <w:i w:val="0"/>
          <w:iCs w:val="0"/>
          <w:color w:val="auto"/>
          <w:sz w:val="48"/>
          <w:szCs w:val="48"/>
          <w:lang w:eastAsia="zh-CN"/>
        </w:rPr>
        <w:t>三</w:t>
      </w:r>
      <w:r>
        <w:rPr>
          <w:rFonts w:hint="eastAsia" w:ascii="宋体" w:hAnsi="宋体" w:eastAsia="宋体" w:cs="宋体"/>
          <w:b/>
          <w:i w:val="0"/>
          <w:iCs w:val="0"/>
          <w:color w:val="auto"/>
          <w:sz w:val="48"/>
          <w:szCs w:val="48"/>
        </w:rPr>
        <w:t>册</w:t>
      </w:r>
    </w:p>
    <w:p>
      <w:pPr>
        <w:pStyle w:val="23"/>
        <w:rPr>
          <w:rFonts w:hint="eastAsia"/>
          <w:color w:val="auto"/>
        </w:rPr>
      </w:pPr>
    </w:p>
    <w:p>
      <w:pPr>
        <w:spacing w:line="240" w:lineRule="atLeast"/>
        <w:ind w:left="1080" w:leftChars="257" w:hanging="540"/>
        <w:jc w:val="center"/>
        <w:rPr>
          <w:rFonts w:hint="eastAsia" w:ascii="宋体" w:hAnsi="宋体" w:eastAsia="宋体" w:cs="宋体"/>
          <w:b/>
          <w:i w:val="0"/>
          <w:iCs w:val="0"/>
          <w:color w:val="auto"/>
          <w:sz w:val="52"/>
        </w:rPr>
      </w:pPr>
    </w:p>
    <w:p>
      <w:pPr>
        <w:spacing w:line="240" w:lineRule="atLeast"/>
        <w:ind w:left="1080" w:leftChars="257" w:hanging="540"/>
        <w:jc w:val="center"/>
        <w:rPr>
          <w:rFonts w:hint="eastAsia" w:ascii="宋体" w:hAnsi="宋体" w:eastAsia="宋体" w:cs="宋体"/>
          <w:b/>
          <w:i w:val="0"/>
          <w:iCs w:val="0"/>
          <w:color w:val="auto"/>
          <w:sz w:val="52"/>
        </w:rPr>
      </w:pPr>
    </w:p>
    <w:p>
      <w:pPr>
        <w:spacing w:line="240" w:lineRule="atLeast"/>
        <w:ind w:left="1080" w:leftChars="257" w:hanging="540"/>
        <w:jc w:val="center"/>
        <w:rPr>
          <w:rFonts w:hint="eastAsia" w:ascii="宋体" w:hAnsi="宋体" w:eastAsia="宋体" w:cs="宋体"/>
          <w:b/>
          <w:i w:val="0"/>
          <w:iCs w:val="0"/>
          <w:color w:val="auto"/>
          <w:sz w:val="52"/>
        </w:rPr>
      </w:pPr>
    </w:p>
    <w:p>
      <w:pPr>
        <w:spacing w:line="240" w:lineRule="atLeast"/>
        <w:ind w:left="1080" w:leftChars="257" w:hanging="540"/>
        <w:jc w:val="center"/>
        <w:rPr>
          <w:rFonts w:hint="eastAsia" w:ascii="宋体" w:hAnsi="宋体" w:eastAsia="宋体" w:cs="宋体"/>
          <w:b/>
          <w:i w:val="0"/>
          <w:iCs w:val="0"/>
          <w:color w:val="auto"/>
          <w:sz w:val="52"/>
        </w:rPr>
      </w:pPr>
    </w:p>
    <w:p>
      <w:pPr>
        <w:spacing w:line="240" w:lineRule="atLeast"/>
        <w:ind w:left="1080" w:leftChars="257" w:hanging="540"/>
        <w:jc w:val="center"/>
        <w:rPr>
          <w:rFonts w:hint="eastAsia" w:ascii="宋体" w:hAnsi="宋体" w:eastAsia="宋体" w:cs="宋体"/>
          <w:b/>
          <w:i w:val="0"/>
          <w:iCs w:val="0"/>
          <w:color w:val="auto"/>
          <w:sz w:val="52"/>
        </w:rPr>
      </w:pPr>
    </w:p>
    <w:p>
      <w:pPr>
        <w:spacing w:line="240" w:lineRule="atLeast"/>
        <w:ind w:left="1080" w:leftChars="257" w:hanging="540"/>
        <w:rPr>
          <w:rFonts w:hint="eastAsia" w:ascii="宋体" w:hAnsi="宋体" w:eastAsia="宋体" w:cs="宋体"/>
          <w:b/>
          <w:i w:val="0"/>
          <w:iCs w:val="0"/>
          <w:color w:val="auto"/>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b/>
          <w:bCs/>
          <w:i w:val="0"/>
          <w:iCs w:val="0"/>
          <w:color w:val="auto"/>
          <w:sz w:val="30"/>
          <w:szCs w:val="30"/>
          <w:lang w:val="en-US" w:eastAsia="zh-CN"/>
        </w:rPr>
      </w:pPr>
      <w:r>
        <w:rPr>
          <w:rFonts w:hint="eastAsia" w:ascii="宋体" w:hAnsi="宋体" w:eastAsia="宋体" w:cs="宋体"/>
          <w:b/>
          <w:bCs/>
          <w:i w:val="0"/>
          <w:iCs w:val="0"/>
          <w:color w:val="auto"/>
          <w:sz w:val="30"/>
          <w:szCs w:val="30"/>
          <w:lang w:eastAsia="zh-CN"/>
        </w:rPr>
        <w:t>项目名称</w:t>
      </w:r>
      <w:r>
        <w:rPr>
          <w:rFonts w:hint="eastAsia" w:ascii="宋体" w:hAnsi="宋体" w:eastAsia="宋体" w:cs="宋体"/>
          <w:b/>
          <w:bCs/>
          <w:i w:val="0"/>
          <w:iCs w:val="0"/>
          <w:color w:val="auto"/>
          <w:sz w:val="30"/>
          <w:szCs w:val="30"/>
        </w:rPr>
        <w:t>：</w:t>
      </w:r>
      <w:r>
        <w:rPr>
          <w:rFonts w:hint="eastAsia" w:ascii="宋体" w:hAnsi="宋体" w:cs="宋体"/>
          <w:b/>
          <w:bCs/>
          <w:i w:val="0"/>
          <w:iCs w:val="0"/>
          <w:color w:val="auto"/>
          <w:sz w:val="30"/>
          <w:szCs w:val="30"/>
          <w:lang w:eastAsia="zh-CN"/>
        </w:rPr>
        <w:t>《“两霍两伊”一体化发展战略规划》采购项目</w:t>
      </w:r>
    </w:p>
    <w:p>
      <w:pPr>
        <w:keepNext w:val="0"/>
        <w:keepLines w:val="0"/>
        <w:pageBreakBefore w:val="0"/>
        <w:widowControl w:val="0"/>
        <w:kinsoku/>
        <w:wordWrap/>
        <w:overflowPunct/>
        <w:topLinePunct w:val="0"/>
        <w:autoSpaceDE/>
        <w:autoSpaceDN/>
        <w:bidi w:val="0"/>
        <w:adjustRightInd/>
        <w:snapToGrid/>
        <w:spacing w:line="1100" w:lineRule="exact"/>
        <w:textAlignment w:val="auto"/>
        <w:rPr>
          <w:rFonts w:hint="eastAsia" w:ascii="宋体" w:hAnsi="宋体" w:eastAsia="宋体" w:cs="宋体"/>
          <w:b/>
          <w:bCs/>
          <w:i w:val="0"/>
          <w:iCs w:val="0"/>
          <w:color w:val="auto"/>
          <w:sz w:val="30"/>
          <w:szCs w:val="30"/>
          <w:lang w:val="en-US" w:eastAsia="zh-CN"/>
        </w:rPr>
      </w:pPr>
      <w:r>
        <w:rPr>
          <w:rFonts w:hint="eastAsia" w:ascii="宋体" w:hAnsi="宋体" w:eastAsia="宋体" w:cs="宋体"/>
          <w:b/>
          <w:bCs/>
          <w:i w:val="0"/>
          <w:iCs w:val="0"/>
          <w:color w:val="auto"/>
          <w:sz w:val="30"/>
          <w:szCs w:val="30"/>
          <w:lang w:eastAsia="zh-CN"/>
        </w:rPr>
        <w:t>采</w:t>
      </w:r>
      <w:r>
        <w:rPr>
          <w:rFonts w:hint="eastAsia" w:ascii="宋体" w:hAnsi="宋体" w:eastAsia="宋体" w:cs="宋体"/>
          <w:b/>
          <w:bCs/>
          <w:i w:val="0"/>
          <w:iCs w:val="0"/>
          <w:color w:val="auto"/>
          <w:sz w:val="30"/>
          <w:szCs w:val="30"/>
          <w:lang w:val="en-US" w:eastAsia="zh-CN"/>
        </w:rPr>
        <w:t xml:space="preserve"> </w:t>
      </w:r>
      <w:r>
        <w:rPr>
          <w:rFonts w:hint="eastAsia" w:ascii="宋体" w:hAnsi="宋体" w:eastAsia="宋体" w:cs="宋体"/>
          <w:b/>
          <w:bCs/>
          <w:i w:val="0"/>
          <w:iCs w:val="0"/>
          <w:color w:val="auto"/>
          <w:sz w:val="30"/>
          <w:szCs w:val="30"/>
          <w:lang w:eastAsia="zh-CN"/>
        </w:rPr>
        <w:t>购</w:t>
      </w:r>
      <w:r>
        <w:rPr>
          <w:rFonts w:hint="eastAsia" w:ascii="宋体" w:hAnsi="宋体" w:eastAsia="宋体" w:cs="宋体"/>
          <w:b/>
          <w:bCs/>
          <w:i w:val="0"/>
          <w:iCs w:val="0"/>
          <w:color w:val="auto"/>
          <w:sz w:val="30"/>
          <w:szCs w:val="30"/>
          <w:lang w:val="en-US" w:eastAsia="zh-CN"/>
        </w:rPr>
        <w:t xml:space="preserve"> </w:t>
      </w:r>
      <w:r>
        <w:rPr>
          <w:rFonts w:hint="eastAsia" w:ascii="宋体" w:hAnsi="宋体" w:eastAsia="宋体" w:cs="宋体"/>
          <w:b/>
          <w:bCs/>
          <w:i w:val="0"/>
          <w:iCs w:val="0"/>
          <w:color w:val="auto"/>
          <w:sz w:val="30"/>
          <w:szCs w:val="30"/>
          <w:lang w:eastAsia="zh-CN"/>
        </w:rPr>
        <w:t>人</w:t>
      </w:r>
      <w:r>
        <w:rPr>
          <w:rFonts w:hint="eastAsia" w:ascii="宋体" w:hAnsi="宋体" w:eastAsia="宋体" w:cs="宋体"/>
          <w:b/>
          <w:bCs/>
          <w:i w:val="0"/>
          <w:iCs w:val="0"/>
          <w:color w:val="auto"/>
          <w:sz w:val="30"/>
          <w:szCs w:val="30"/>
        </w:rPr>
        <w:t>：</w:t>
      </w:r>
      <w:r>
        <w:rPr>
          <w:rFonts w:hint="eastAsia" w:ascii="宋体" w:hAnsi="宋体" w:cs="宋体"/>
          <w:b/>
          <w:bCs/>
          <w:i w:val="0"/>
          <w:iCs w:val="0"/>
          <w:color w:val="auto"/>
          <w:sz w:val="30"/>
          <w:szCs w:val="30"/>
          <w:lang w:eastAsia="zh-CN"/>
        </w:rPr>
        <w:t>伊犁哈萨克自治州发展和改革委员会</w:t>
      </w:r>
    </w:p>
    <w:p>
      <w:pPr>
        <w:keepNext w:val="0"/>
        <w:keepLines w:val="0"/>
        <w:pageBreakBefore w:val="0"/>
        <w:widowControl w:val="0"/>
        <w:kinsoku/>
        <w:wordWrap/>
        <w:overflowPunct/>
        <w:topLinePunct w:val="0"/>
        <w:autoSpaceDE/>
        <w:autoSpaceDN/>
        <w:bidi w:val="0"/>
        <w:adjustRightInd/>
        <w:snapToGrid/>
        <w:spacing w:line="1100" w:lineRule="exact"/>
        <w:textAlignment w:val="auto"/>
        <w:rPr>
          <w:rFonts w:hint="eastAsia" w:ascii="宋体" w:hAnsi="宋体" w:cs="宋体"/>
          <w:b/>
          <w:bCs/>
          <w:i w:val="0"/>
          <w:iCs w:val="0"/>
          <w:color w:val="auto"/>
          <w:sz w:val="30"/>
          <w:szCs w:val="30"/>
          <w:lang w:val="zh-CN"/>
        </w:rPr>
      </w:pPr>
      <w:r>
        <w:rPr>
          <w:rFonts w:hint="eastAsia" w:ascii="宋体" w:hAnsi="宋体" w:eastAsia="宋体" w:cs="宋体"/>
          <w:b/>
          <w:bCs/>
          <w:i w:val="0"/>
          <w:iCs w:val="0"/>
          <w:color w:val="auto"/>
          <w:sz w:val="30"/>
          <w:szCs w:val="30"/>
        </w:rPr>
        <w:t>采购代理机构：</w:t>
      </w:r>
      <w:r>
        <w:rPr>
          <w:rFonts w:hint="eastAsia" w:ascii="宋体" w:hAnsi="宋体" w:eastAsia="宋体" w:cs="宋体"/>
          <w:b/>
          <w:bCs/>
          <w:i w:val="0"/>
          <w:iCs w:val="0"/>
          <w:color w:val="auto"/>
          <w:sz w:val="30"/>
          <w:szCs w:val="30"/>
          <w:lang w:val="zh-CN" w:eastAsia="zh-CN"/>
        </w:rPr>
        <w:t>新疆春秋工程项目管</w:t>
      </w:r>
      <w:r>
        <w:rPr>
          <w:rFonts w:hint="eastAsia" w:ascii="宋体" w:hAnsi="宋体" w:cs="宋体"/>
          <w:b/>
          <w:bCs/>
          <w:i w:val="0"/>
          <w:iCs w:val="0"/>
          <w:color w:val="auto"/>
          <w:sz w:val="30"/>
          <w:szCs w:val="30"/>
          <w:lang w:val="zh-CN" w:eastAsia="zh-CN"/>
        </w:rPr>
        <w:t>理集团有限公司</w:t>
      </w:r>
    </w:p>
    <w:p>
      <w:pPr>
        <w:keepNext w:val="0"/>
        <w:keepLines w:val="0"/>
        <w:pageBreakBefore w:val="0"/>
        <w:widowControl w:val="0"/>
        <w:kinsoku/>
        <w:wordWrap/>
        <w:overflowPunct/>
        <w:topLinePunct w:val="0"/>
        <w:autoSpaceDE/>
        <w:autoSpaceDN/>
        <w:bidi w:val="0"/>
        <w:adjustRightInd/>
        <w:snapToGrid/>
        <w:spacing w:line="1100" w:lineRule="exact"/>
        <w:textAlignment w:val="auto"/>
        <w:rPr>
          <w:rFonts w:hint="eastAsia" w:ascii="宋体" w:hAnsi="宋体" w:eastAsia="宋体" w:cs="宋体"/>
          <w:b/>
          <w:bCs/>
          <w:i w:val="0"/>
          <w:iCs w:val="0"/>
          <w:color w:val="auto"/>
          <w:sz w:val="30"/>
          <w:szCs w:val="30"/>
        </w:rPr>
      </w:pPr>
      <w:r>
        <w:rPr>
          <w:rFonts w:hint="eastAsia" w:ascii="宋体" w:hAnsi="宋体" w:eastAsia="宋体" w:cs="宋体"/>
          <w:b/>
          <w:bCs/>
          <w:i w:val="0"/>
          <w:iCs w:val="0"/>
          <w:color w:val="auto"/>
          <w:sz w:val="30"/>
          <w:szCs w:val="30"/>
        </w:rPr>
        <w:t>发  出 日 期：</w:t>
      </w:r>
      <w:r>
        <w:rPr>
          <w:rFonts w:hint="eastAsia" w:ascii="宋体" w:hAnsi="宋体" w:eastAsia="宋体" w:cs="宋体"/>
          <w:b/>
          <w:bCs/>
          <w:i w:val="0"/>
          <w:iCs w:val="0"/>
          <w:color w:val="auto"/>
          <w:sz w:val="30"/>
          <w:szCs w:val="30"/>
          <w:u w:val="none"/>
          <w:lang w:val="en-US" w:eastAsia="zh-CN"/>
        </w:rPr>
        <w:t>2023</w:t>
      </w:r>
      <w:r>
        <w:rPr>
          <w:rFonts w:hint="eastAsia" w:ascii="宋体" w:hAnsi="宋体" w:eastAsia="宋体" w:cs="宋体"/>
          <w:b/>
          <w:bCs/>
          <w:i w:val="0"/>
          <w:iCs w:val="0"/>
          <w:color w:val="auto"/>
          <w:sz w:val="30"/>
          <w:szCs w:val="30"/>
          <w:u w:val="none"/>
        </w:rPr>
        <w:t>年</w:t>
      </w:r>
      <w:r>
        <w:rPr>
          <w:rFonts w:hint="eastAsia" w:ascii="宋体" w:hAnsi="宋体" w:cs="宋体"/>
          <w:b/>
          <w:bCs/>
          <w:i w:val="0"/>
          <w:iCs w:val="0"/>
          <w:color w:val="auto"/>
          <w:sz w:val="30"/>
          <w:szCs w:val="30"/>
          <w:u w:val="none"/>
          <w:lang w:val="en-US" w:eastAsia="zh-CN"/>
        </w:rPr>
        <w:t>10</w:t>
      </w:r>
      <w:r>
        <w:rPr>
          <w:rFonts w:hint="eastAsia" w:ascii="宋体" w:hAnsi="宋体" w:eastAsia="宋体" w:cs="宋体"/>
          <w:b/>
          <w:bCs/>
          <w:i w:val="0"/>
          <w:iCs w:val="0"/>
          <w:color w:val="auto"/>
          <w:sz w:val="30"/>
          <w:szCs w:val="30"/>
          <w:u w:val="none"/>
        </w:rPr>
        <w:t xml:space="preserve">月 </w:t>
      </w:r>
    </w:p>
    <w:p>
      <w:pPr>
        <w:spacing w:line="240" w:lineRule="atLeast"/>
        <w:ind w:left="1080" w:leftChars="257" w:hanging="540"/>
        <w:rPr>
          <w:rFonts w:hint="eastAsia" w:ascii="宋体" w:hAnsi="宋体" w:eastAsia="宋体" w:cs="宋体"/>
          <w:b/>
          <w:i w:val="0"/>
          <w:iCs w:val="0"/>
          <w:color w:val="auto"/>
          <w:szCs w:val="21"/>
        </w:rPr>
      </w:pPr>
    </w:p>
    <w:p>
      <w:pPr>
        <w:rPr>
          <w:rFonts w:hint="eastAsia" w:ascii="宋体" w:hAnsi="宋体" w:eastAsia="宋体" w:cs="宋体"/>
          <w:i w:val="0"/>
          <w:iCs w:val="0"/>
          <w:color w:val="auto"/>
        </w:rPr>
      </w:pPr>
      <w:r>
        <w:rPr>
          <w:rFonts w:hint="eastAsia" w:ascii="宋体" w:hAnsi="宋体" w:eastAsia="宋体" w:cs="宋体"/>
          <w:b/>
          <w:i w:val="0"/>
          <w:iCs w:val="0"/>
          <w:color w:val="auto"/>
          <w:sz w:val="52"/>
        </w:rPr>
        <w:br w:type="page"/>
      </w:r>
    </w:p>
    <w:p>
      <w:pPr>
        <w:pStyle w:val="3"/>
        <w:numPr>
          <w:ilvl w:val="0"/>
          <w:numId w:val="0"/>
        </w:numPr>
        <w:tabs>
          <w:tab w:val="left" w:pos="0"/>
        </w:tabs>
        <w:spacing w:before="0" w:after="0" w:line="240" w:lineRule="atLeast"/>
        <w:ind w:left="-15" w:leftChars="0"/>
        <w:jc w:val="center"/>
        <w:rPr>
          <w:rFonts w:hint="eastAsia" w:ascii="宋体" w:hAnsi="宋体" w:eastAsia="宋体" w:cs="宋体"/>
          <w:i w:val="0"/>
          <w:iCs w:val="0"/>
          <w:color w:val="auto"/>
        </w:rPr>
      </w:pPr>
      <w:bookmarkStart w:id="266" w:name="_Toc23018"/>
      <w:bookmarkStart w:id="267" w:name="_Toc518923128"/>
      <w:r>
        <w:rPr>
          <w:rFonts w:hint="eastAsia" w:hAnsi="宋体" w:eastAsia="宋体" w:cs="宋体"/>
          <w:i w:val="0"/>
          <w:iCs w:val="0"/>
          <w:color w:val="auto"/>
          <w:lang w:eastAsia="zh-CN"/>
        </w:rPr>
        <w:t>第一章、</w:t>
      </w:r>
      <w:r>
        <w:rPr>
          <w:rFonts w:hint="eastAsia" w:ascii="宋体" w:hAnsi="宋体" w:eastAsia="宋体" w:cs="宋体"/>
          <w:i w:val="0"/>
          <w:iCs w:val="0"/>
          <w:color w:val="auto"/>
        </w:rPr>
        <w:t>政府采购合同</w:t>
      </w:r>
      <w:bookmarkEnd w:id="259"/>
      <w:bookmarkEnd w:id="266"/>
      <w:bookmarkEnd w:id="267"/>
      <w:bookmarkStart w:id="268" w:name="_Hlt487972895"/>
      <w:bookmarkEnd w:id="268"/>
      <w:bookmarkStart w:id="269" w:name="_Toc216513788"/>
      <w:bookmarkStart w:id="270" w:name="_Toc487900382"/>
    </w:p>
    <w:bookmarkEnd w:id="269"/>
    <w:bookmarkEnd w:id="270"/>
    <w:p>
      <w:pPr>
        <w:pStyle w:val="8"/>
        <w:spacing w:line="240" w:lineRule="atLeast"/>
        <w:ind w:firstLine="0"/>
        <w:rPr>
          <w:rFonts w:hint="eastAsia" w:ascii="宋体" w:hAnsi="宋体" w:eastAsia="宋体" w:cs="宋体"/>
          <w:i w:val="0"/>
          <w:iCs w:val="0"/>
          <w:color w:val="auto"/>
        </w:rPr>
      </w:pPr>
    </w:p>
    <w:p>
      <w:pPr>
        <w:pStyle w:val="8"/>
        <w:spacing w:line="240" w:lineRule="atLeast"/>
        <w:ind w:left="1080" w:leftChars="257" w:hanging="540"/>
        <w:rPr>
          <w:rFonts w:hint="eastAsia" w:ascii="宋体" w:hAnsi="宋体" w:eastAsia="宋体" w:cs="宋体"/>
          <w:color w:val="auto"/>
          <w:sz w:val="28"/>
        </w:rPr>
      </w:pPr>
    </w:p>
    <w:p>
      <w:pPr>
        <w:pStyle w:val="8"/>
        <w:spacing w:line="240" w:lineRule="atLeast"/>
        <w:ind w:left="1080" w:leftChars="257" w:hanging="540"/>
        <w:rPr>
          <w:rFonts w:hint="eastAsia" w:ascii="宋体" w:hAnsi="宋体" w:eastAsia="宋体" w:cs="宋体"/>
          <w:color w:val="auto"/>
          <w:sz w:val="28"/>
        </w:rPr>
      </w:pPr>
    </w:p>
    <w:p>
      <w:pPr>
        <w:rPr>
          <w:rFonts w:hint="eastAsia" w:ascii="宋体" w:hAnsi="宋体" w:eastAsia="宋体" w:cs="宋体"/>
          <w:color w:val="auto"/>
          <w:sz w:val="24"/>
          <w:u w:val="single"/>
        </w:rPr>
      </w:pPr>
      <w:r>
        <w:rPr>
          <w:rFonts w:hint="eastAsia" w:ascii="宋体" w:hAnsi="宋体" w:eastAsia="宋体" w:cs="宋体"/>
          <w:color w:val="auto"/>
          <w:sz w:val="24"/>
        </w:rPr>
        <w:t>合同编号：</w:t>
      </w:r>
      <w:r>
        <w:rPr>
          <w:rFonts w:hint="eastAsia" w:ascii="宋体" w:hAnsi="宋体" w:eastAsia="宋体" w:cs="宋体"/>
          <w:color w:val="auto"/>
          <w:sz w:val="24"/>
          <w:u w:val="single"/>
        </w:rPr>
        <w:t xml:space="preserve">           </w:t>
      </w:r>
    </w:p>
    <w:p>
      <w:pPr>
        <w:spacing w:line="480" w:lineRule="auto"/>
        <w:jc w:val="center"/>
        <w:rPr>
          <w:rFonts w:hint="eastAsia" w:ascii="宋体" w:hAnsi="宋体" w:eastAsia="宋体" w:cs="宋体"/>
          <w:b/>
          <w:color w:val="auto"/>
          <w:sz w:val="28"/>
          <w:szCs w:val="28"/>
        </w:rPr>
      </w:pPr>
    </w:p>
    <w:p>
      <w:pPr>
        <w:spacing w:line="480" w:lineRule="auto"/>
        <w:jc w:val="center"/>
        <w:rPr>
          <w:rFonts w:hint="eastAsia" w:ascii="宋体" w:hAnsi="宋体" w:eastAsia="宋体" w:cs="宋体"/>
          <w:b/>
          <w:color w:val="auto"/>
          <w:sz w:val="28"/>
          <w:szCs w:val="28"/>
        </w:rPr>
      </w:pPr>
    </w:p>
    <w:p>
      <w:pPr>
        <w:spacing w:line="480" w:lineRule="auto"/>
        <w:jc w:val="center"/>
        <w:rPr>
          <w:rFonts w:hint="eastAsia" w:ascii="宋体" w:hAnsi="宋体" w:eastAsia="宋体" w:cs="宋体"/>
          <w:b/>
          <w:color w:val="auto"/>
          <w:sz w:val="28"/>
          <w:szCs w:val="28"/>
        </w:rPr>
      </w:pPr>
    </w:p>
    <w:p>
      <w:pPr>
        <w:spacing w:line="48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政府采购合同参考范本</w:t>
      </w:r>
    </w:p>
    <w:p>
      <w:pPr>
        <w:spacing w:line="480" w:lineRule="auto"/>
        <w:jc w:val="center"/>
        <w:rPr>
          <w:rFonts w:hint="eastAsia" w:ascii="宋体" w:hAnsi="宋体" w:eastAsia="宋体" w:cs="宋体"/>
          <w:b/>
          <w:color w:val="auto"/>
          <w:sz w:val="24"/>
        </w:rPr>
      </w:pPr>
      <w:r>
        <w:rPr>
          <w:rFonts w:hint="eastAsia" w:ascii="宋体" w:hAnsi="宋体" w:eastAsia="宋体" w:cs="宋体"/>
          <w:b/>
          <w:color w:val="auto"/>
          <w:sz w:val="24"/>
        </w:rPr>
        <w:t>（服务类）</w:t>
      </w:r>
    </w:p>
    <w:p>
      <w:pPr>
        <w:pStyle w:val="54"/>
        <w:ind w:firstLine="0"/>
        <w:rPr>
          <w:rFonts w:hint="eastAsia" w:ascii="宋体" w:hAnsi="宋体" w:eastAsia="宋体" w:cs="宋体"/>
          <w:color w:val="auto"/>
          <w:szCs w:val="24"/>
        </w:rPr>
      </w:pPr>
    </w:p>
    <w:p>
      <w:pPr>
        <w:pStyle w:val="54"/>
        <w:ind w:firstLine="0"/>
        <w:rPr>
          <w:rFonts w:hint="eastAsia" w:ascii="宋体" w:hAnsi="宋体" w:eastAsia="宋体" w:cs="宋体"/>
          <w:color w:val="auto"/>
          <w:szCs w:val="24"/>
        </w:rPr>
      </w:pPr>
    </w:p>
    <w:p>
      <w:pPr>
        <w:pStyle w:val="54"/>
        <w:ind w:firstLine="0"/>
        <w:rPr>
          <w:rFonts w:hint="eastAsia" w:ascii="宋体" w:hAnsi="宋体" w:eastAsia="宋体" w:cs="宋体"/>
          <w:color w:val="auto"/>
          <w:szCs w:val="24"/>
        </w:rPr>
      </w:pPr>
    </w:p>
    <w:p>
      <w:pPr>
        <w:pStyle w:val="54"/>
        <w:ind w:firstLine="0"/>
        <w:jc w:val="center"/>
        <w:rPr>
          <w:rFonts w:hint="eastAsia" w:ascii="宋体" w:hAnsi="宋体" w:eastAsia="宋体" w:cs="宋体"/>
          <w:b/>
          <w:color w:val="auto"/>
          <w:szCs w:val="24"/>
        </w:rPr>
      </w:pPr>
      <w:r>
        <w:rPr>
          <w:rFonts w:hint="eastAsia" w:ascii="宋体" w:hAnsi="宋体" w:eastAsia="宋体" w:cs="宋体"/>
          <w:b/>
          <w:color w:val="auto"/>
          <w:szCs w:val="24"/>
        </w:rPr>
        <w:t>第一部分 合同书</w:t>
      </w:r>
    </w:p>
    <w:p>
      <w:pPr>
        <w:pStyle w:val="54"/>
        <w:ind w:firstLine="0"/>
        <w:rPr>
          <w:rFonts w:hint="eastAsia" w:ascii="宋体" w:hAnsi="宋体" w:eastAsia="宋体" w:cs="宋体"/>
          <w:color w:val="auto"/>
          <w:szCs w:val="24"/>
        </w:rPr>
      </w:pPr>
    </w:p>
    <w:p>
      <w:pPr>
        <w:pStyle w:val="54"/>
        <w:ind w:firstLine="0"/>
        <w:rPr>
          <w:rFonts w:hint="eastAsia" w:ascii="宋体" w:hAnsi="宋体" w:eastAsia="宋体" w:cs="宋体"/>
          <w:color w:val="auto"/>
          <w:szCs w:val="24"/>
        </w:rPr>
      </w:pPr>
    </w:p>
    <w:p>
      <w:pPr>
        <w:spacing w:before="120" w:line="22" w:lineRule="atLeast"/>
        <w:rPr>
          <w:rFonts w:hint="eastAsia" w:ascii="宋体" w:hAnsi="宋体" w:eastAsia="宋体" w:cs="宋体"/>
          <w:color w:val="auto"/>
          <w:sz w:val="24"/>
        </w:rPr>
      </w:pPr>
    </w:p>
    <w:p>
      <w:pPr>
        <w:spacing w:before="120" w:line="22" w:lineRule="atLeast"/>
        <w:ind w:left="960"/>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p>
    <w:p>
      <w:pPr>
        <w:pStyle w:val="61"/>
        <w:spacing w:before="120" w:line="22" w:lineRule="atLeast"/>
        <w:rPr>
          <w:rFonts w:hint="eastAsia" w:ascii="宋体" w:hAnsi="宋体" w:eastAsia="宋体" w:cs="宋体"/>
          <w:color w:val="auto"/>
          <w:szCs w:val="24"/>
        </w:rPr>
      </w:pPr>
    </w:p>
    <w:p>
      <w:pPr>
        <w:pStyle w:val="61"/>
        <w:spacing w:before="120" w:line="22" w:lineRule="atLeast"/>
        <w:rPr>
          <w:rFonts w:hint="eastAsia" w:ascii="宋体" w:hAnsi="宋体" w:eastAsia="宋体" w:cs="宋体"/>
          <w:color w:val="auto"/>
          <w:szCs w:val="24"/>
        </w:rPr>
      </w:pPr>
    </w:p>
    <w:p>
      <w:pPr>
        <w:rPr>
          <w:rFonts w:hint="eastAsia" w:ascii="宋体" w:hAnsi="宋体" w:eastAsia="宋体" w:cs="宋体"/>
          <w:color w:val="auto"/>
        </w:rPr>
      </w:pPr>
    </w:p>
    <w:p>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甲方：</w:t>
      </w:r>
      <w:r>
        <w:rPr>
          <w:rFonts w:hint="eastAsia" w:ascii="宋体" w:hAnsi="宋体" w:eastAsia="宋体" w:cs="宋体"/>
          <w:color w:val="auto"/>
          <w:sz w:val="24"/>
          <w:u w:val="single"/>
        </w:rPr>
        <w:t xml:space="preserve">                                       </w:t>
      </w:r>
    </w:p>
    <w:p>
      <w:pPr>
        <w:spacing w:before="120" w:line="22" w:lineRule="atLeast"/>
        <w:rPr>
          <w:rFonts w:hint="eastAsia" w:ascii="宋体" w:hAnsi="宋体" w:eastAsia="宋体" w:cs="宋体"/>
          <w:color w:val="auto"/>
          <w:sz w:val="24"/>
        </w:rPr>
      </w:pPr>
    </w:p>
    <w:p>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乙方：</w:t>
      </w:r>
      <w:r>
        <w:rPr>
          <w:rFonts w:hint="eastAsia" w:ascii="宋体" w:hAnsi="宋体" w:eastAsia="宋体" w:cs="宋体"/>
          <w:color w:val="auto"/>
          <w:sz w:val="24"/>
          <w:u w:val="single"/>
        </w:rPr>
        <w:t xml:space="preserve">                                       </w:t>
      </w:r>
    </w:p>
    <w:p>
      <w:pPr>
        <w:spacing w:before="120" w:line="22" w:lineRule="atLeast"/>
        <w:rPr>
          <w:rFonts w:hint="eastAsia" w:ascii="宋体" w:hAnsi="宋体" w:eastAsia="宋体" w:cs="宋体"/>
          <w:color w:val="auto"/>
          <w:sz w:val="24"/>
        </w:rPr>
      </w:pPr>
    </w:p>
    <w:p>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签订地：</w:t>
      </w:r>
      <w:r>
        <w:rPr>
          <w:rFonts w:hint="eastAsia" w:ascii="宋体" w:hAnsi="宋体" w:eastAsia="宋体" w:cs="宋体"/>
          <w:color w:val="auto"/>
          <w:sz w:val="24"/>
          <w:u w:val="single"/>
        </w:rPr>
        <w:t xml:space="preserve">                                     </w:t>
      </w:r>
    </w:p>
    <w:p>
      <w:pPr>
        <w:spacing w:before="120" w:line="22" w:lineRule="atLeast"/>
        <w:rPr>
          <w:rFonts w:hint="eastAsia" w:ascii="宋体" w:hAnsi="宋体" w:eastAsia="宋体" w:cs="宋体"/>
          <w:color w:val="auto"/>
          <w:sz w:val="24"/>
        </w:rPr>
      </w:pPr>
    </w:p>
    <w:p>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autoSpaceDE w:val="0"/>
        <w:autoSpaceDN w:val="0"/>
        <w:adjustRightInd w:val="0"/>
        <w:spacing w:line="600" w:lineRule="exact"/>
        <w:ind w:firstLine="640"/>
        <w:jc w:val="center"/>
        <w:rPr>
          <w:rFonts w:hint="eastAsia" w:ascii="宋体" w:hAnsi="宋体" w:eastAsia="宋体" w:cs="宋体"/>
          <w:color w:val="auto"/>
          <w:sz w:val="24"/>
        </w:rPr>
        <w:sectPr>
          <w:headerReference r:id="rId14" w:type="default"/>
          <w:footerReference r:id="rId15" w:type="default"/>
          <w:pgSz w:w="11907" w:h="16840"/>
          <w:pgMar w:top="1474" w:right="1814" w:bottom="1474" w:left="1814" w:header="851" w:footer="851" w:gutter="0"/>
          <w:cols w:space="720" w:num="1"/>
          <w:docGrid w:linePitch="462" w:charSpace="0"/>
        </w:sectPr>
      </w:pP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（采购人名称）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（政府采购方式）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（同前页项目名称）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（中标供应商名称） </w:t>
      </w:r>
      <w:r>
        <w:rPr>
          <w:rFonts w:hint="eastAsia" w:ascii="宋体" w:hAnsi="宋体" w:eastAsia="宋体" w:cs="宋体"/>
          <w:color w:val="auto"/>
          <w:sz w:val="24"/>
        </w:rPr>
        <w:t>为该项目中标供应商。现于中标通知书发出之日起三十日内，按照采购文件确定的事项签订本合同。</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根据《中华人民共和国合同法》、《中华人民共和国政府采购法》等相关法律法规之规定，按照平等、自愿、公平和诚实信用的原则，经</w:t>
      </w:r>
      <w:r>
        <w:rPr>
          <w:rFonts w:hint="eastAsia" w:ascii="宋体" w:hAnsi="宋体" w:eastAsia="宋体" w:cs="宋体"/>
          <w:color w:val="auto"/>
          <w:sz w:val="24"/>
          <w:u w:val="single"/>
        </w:rPr>
        <w:t xml:space="preserve">   （采购人名称）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（中标供应商名称）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p>
      <w:pPr>
        <w:spacing w:line="560" w:lineRule="exact"/>
        <w:ind w:firstLine="482" w:firstLineChars="200"/>
        <w:outlineLvl w:val="0"/>
        <w:rPr>
          <w:rFonts w:hint="eastAsia" w:ascii="宋体" w:hAnsi="宋体" w:eastAsia="宋体" w:cs="宋体"/>
          <w:color w:val="auto"/>
          <w:sz w:val="24"/>
        </w:rPr>
      </w:pPr>
      <w:bookmarkStart w:id="271" w:name="_Toc19273"/>
      <w:bookmarkStart w:id="272" w:name="_Toc15367"/>
      <w:bookmarkStart w:id="273" w:name="_Toc22967"/>
      <w:bookmarkStart w:id="274" w:name="_Toc20421"/>
      <w:bookmarkStart w:id="275" w:name="_Toc28855"/>
      <w:r>
        <w:rPr>
          <w:rFonts w:hint="eastAsia" w:ascii="宋体" w:hAnsi="宋体" w:eastAsia="宋体" w:cs="宋体"/>
          <w:b/>
          <w:color w:val="auto"/>
          <w:sz w:val="24"/>
        </w:rPr>
        <w:t>1.1 合同组成部分</w:t>
      </w:r>
      <w:bookmarkEnd w:id="271"/>
      <w:bookmarkEnd w:id="272"/>
      <w:bookmarkEnd w:id="273"/>
      <w:bookmarkEnd w:id="274"/>
      <w:bookmarkEnd w:id="275"/>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1.1.1 本合同及其补充合同、变更协议；</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1.1.2 中标通知书；</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1.1.3 投标文件（含澄清或者说明文件）；</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1.1.4 招标文件（含澄清或者修改文件）；</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1.1.5 其他相关采购文件。</w:t>
      </w:r>
    </w:p>
    <w:p>
      <w:pPr>
        <w:spacing w:line="560" w:lineRule="exact"/>
        <w:ind w:firstLine="482" w:firstLineChars="200"/>
        <w:outlineLvl w:val="0"/>
        <w:rPr>
          <w:rFonts w:hint="eastAsia" w:ascii="宋体" w:hAnsi="宋体" w:eastAsia="宋体" w:cs="宋体"/>
          <w:b/>
          <w:color w:val="auto"/>
          <w:sz w:val="24"/>
        </w:rPr>
      </w:pPr>
      <w:bookmarkStart w:id="276" w:name="_Toc22185"/>
      <w:bookmarkStart w:id="277" w:name="_Toc18585"/>
      <w:bookmarkStart w:id="278" w:name="_Toc6311"/>
      <w:bookmarkStart w:id="279" w:name="_Toc6773"/>
      <w:bookmarkStart w:id="280" w:name="_Toc2918"/>
      <w:r>
        <w:rPr>
          <w:rFonts w:hint="eastAsia" w:ascii="宋体" w:hAnsi="宋体" w:eastAsia="宋体" w:cs="宋体"/>
          <w:b/>
          <w:color w:val="auto"/>
          <w:sz w:val="24"/>
        </w:rPr>
        <w:t>1.2 标的</w:t>
      </w:r>
      <w:bookmarkEnd w:id="276"/>
      <w:bookmarkEnd w:id="277"/>
      <w:bookmarkEnd w:id="278"/>
      <w:bookmarkEnd w:id="279"/>
      <w:bookmarkEnd w:id="280"/>
    </w:p>
    <w:p>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1.2.1 标的名称：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1.2.2 标的数量：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1.2.3 标的质量：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560" w:lineRule="exact"/>
        <w:ind w:firstLine="482" w:firstLineChars="200"/>
        <w:outlineLvl w:val="0"/>
        <w:rPr>
          <w:rFonts w:hint="eastAsia" w:ascii="宋体" w:hAnsi="宋体" w:eastAsia="宋体" w:cs="宋体"/>
          <w:b/>
          <w:color w:val="auto"/>
          <w:sz w:val="24"/>
        </w:rPr>
      </w:pPr>
      <w:bookmarkStart w:id="281" w:name="_Toc1386"/>
      <w:bookmarkStart w:id="282" w:name="_Toc4929"/>
      <w:bookmarkStart w:id="283" w:name="_Toc5635"/>
      <w:bookmarkStart w:id="284" w:name="_Toc21124"/>
      <w:bookmarkStart w:id="285" w:name="_Toc13918"/>
      <w:r>
        <w:rPr>
          <w:rFonts w:hint="eastAsia" w:ascii="宋体" w:hAnsi="宋体" w:eastAsia="宋体" w:cs="宋体"/>
          <w:b/>
          <w:color w:val="auto"/>
          <w:sz w:val="24"/>
        </w:rPr>
        <w:t>1.3 价款</w:t>
      </w:r>
      <w:bookmarkEnd w:id="281"/>
      <w:bookmarkEnd w:id="282"/>
      <w:bookmarkEnd w:id="283"/>
      <w:bookmarkEnd w:id="284"/>
      <w:bookmarkEnd w:id="285"/>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本合同总价为：￥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元人民币）。</w:t>
      </w:r>
    </w:p>
    <w:p>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分项价格：</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56"/>
              <w:spacing w:line="5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3402" w:type="dxa"/>
            <w:noWrap w:val="0"/>
            <w:vAlign w:val="center"/>
          </w:tcPr>
          <w:p>
            <w:pPr>
              <w:pStyle w:val="56"/>
              <w:spacing w:line="560" w:lineRule="exact"/>
              <w:ind w:firstLine="20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分项名称</w:t>
            </w:r>
          </w:p>
        </w:tc>
        <w:tc>
          <w:tcPr>
            <w:tcW w:w="2552" w:type="dxa"/>
            <w:noWrap w:val="0"/>
            <w:vAlign w:val="center"/>
          </w:tcPr>
          <w:p>
            <w:pPr>
              <w:pStyle w:val="56"/>
              <w:spacing w:line="5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56"/>
              <w:spacing w:line="560" w:lineRule="exact"/>
              <w:ind w:firstLine="200"/>
              <w:jc w:val="center"/>
              <w:rPr>
                <w:rFonts w:hint="eastAsia" w:ascii="宋体" w:hAnsi="宋体" w:eastAsia="宋体" w:cs="宋体"/>
                <w:color w:val="auto"/>
                <w:sz w:val="24"/>
                <w:szCs w:val="24"/>
                <w:lang w:val="en-US" w:eastAsia="zh-CN"/>
              </w:rPr>
            </w:pPr>
          </w:p>
        </w:tc>
        <w:tc>
          <w:tcPr>
            <w:tcW w:w="3402" w:type="dxa"/>
            <w:noWrap w:val="0"/>
            <w:vAlign w:val="center"/>
          </w:tcPr>
          <w:p>
            <w:pPr>
              <w:pStyle w:val="56"/>
              <w:spacing w:line="560" w:lineRule="exact"/>
              <w:ind w:firstLine="200"/>
              <w:jc w:val="center"/>
              <w:rPr>
                <w:rFonts w:hint="eastAsia" w:ascii="宋体" w:hAnsi="宋体" w:eastAsia="宋体" w:cs="宋体"/>
                <w:color w:val="auto"/>
                <w:sz w:val="24"/>
                <w:szCs w:val="24"/>
                <w:lang w:val="en-US" w:eastAsia="zh-CN"/>
              </w:rPr>
            </w:pPr>
          </w:p>
        </w:tc>
        <w:tc>
          <w:tcPr>
            <w:tcW w:w="2552" w:type="dxa"/>
            <w:noWrap w:val="0"/>
            <w:vAlign w:val="center"/>
          </w:tcPr>
          <w:p>
            <w:pPr>
              <w:pStyle w:val="56"/>
              <w:spacing w:line="560" w:lineRule="exact"/>
              <w:ind w:firstLine="200"/>
              <w:jc w:val="center"/>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56"/>
              <w:spacing w:line="560" w:lineRule="exact"/>
              <w:ind w:firstLine="200"/>
              <w:jc w:val="center"/>
              <w:rPr>
                <w:rFonts w:hint="eastAsia" w:ascii="宋体" w:hAnsi="宋体" w:eastAsia="宋体" w:cs="宋体"/>
                <w:color w:val="auto"/>
                <w:sz w:val="24"/>
                <w:szCs w:val="24"/>
                <w:lang w:val="en-US" w:eastAsia="zh-CN"/>
              </w:rPr>
            </w:pPr>
          </w:p>
        </w:tc>
        <w:tc>
          <w:tcPr>
            <w:tcW w:w="3402" w:type="dxa"/>
            <w:noWrap w:val="0"/>
            <w:vAlign w:val="center"/>
          </w:tcPr>
          <w:p>
            <w:pPr>
              <w:pStyle w:val="56"/>
              <w:spacing w:line="560" w:lineRule="exact"/>
              <w:ind w:firstLine="200"/>
              <w:jc w:val="center"/>
              <w:rPr>
                <w:rFonts w:hint="eastAsia" w:ascii="宋体" w:hAnsi="宋体" w:eastAsia="宋体" w:cs="宋体"/>
                <w:color w:val="auto"/>
                <w:sz w:val="24"/>
                <w:szCs w:val="24"/>
                <w:lang w:val="en-US" w:eastAsia="zh-CN"/>
              </w:rPr>
            </w:pPr>
          </w:p>
        </w:tc>
        <w:tc>
          <w:tcPr>
            <w:tcW w:w="2552" w:type="dxa"/>
            <w:noWrap w:val="0"/>
            <w:vAlign w:val="center"/>
          </w:tcPr>
          <w:p>
            <w:pPr>
              <w:pStyle w:val="56"/>
              <w:spacing w:line="560" w:lineRule="exact"/>
              <w:ind w:firstLine="200"/>
              <w:jc w:val="center"/>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56"/>
              <w:spacing w:line="560" w:lineRule="exact"/>
              <w:ind w:firstLine="200"/>
              <w:jc w:val="center"/>
              <w:rPr>
                <w:rFonts w:hint="eastAsia" w:ascii="宋体" w:hAnsi="宋体" w:eastAsia="宋体" w:cs="宋体"/>
                <w:color w:val="auto"/>
                <w:sz w:val="24"/>
                <w:szCs w:val="24"/>
                <w:lang w:val="en-US" w:eastAsia="zh-CN"/>
              </w:rPr>
            </w:pPr>
          </w:p>
        </w:tc>
        <w:tc>
          <w:tcPr>
            <w:tcW w:w="3402" w:type="dxa"/>
            <w:noWrap w:val="0"/>
            <w:vAlign w:val="center"/>
          </w:tcPr>
          <w:p>
            <w:pPr>
              <w:pStyle w:val="56"/>
              <w:spacing w:line="560" w:lineRule="exact"/>
              <w:ind w:firstLine="200"/>
              <w:jc w:val="center"/>
              <w:rPr>
                <w:rFonts w:hint="eastAsia" w:ascii="宋体" w:hAnsi="宋体" w:eastAsia="宋体" w:cs="宋体"/>
                <w:color w:val="auto"/>
                <w:sz w:val="24"/>
                <w:szCs w:val="24"/>
                <w:lang w:val="en-US" w:eastAsia="zh-CN"/>
              </w:rPr>
            </w:pPr>
          </w:p>
        </w:tc>
        <w:tc>
          <w:tcPr>
            <w:tcW w:w="2552" w:type="dxa"/>
            <w:noWrap w:val="0"/>
            <w:vAlign w:val="center"/>
          </w:tcPr>
          <w:p>
            <w:pPr>
              <w:pStyle w:val="56"/>
              <w:spacing w:line="560" w:lineRule="exact"/>
              <w:ind w:firstLine="200"/>
              <w:jc w:val="center"/>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56"/>
              <w:spacing w:line="560" w:lineRule="exact"/>
              <w:ind w:firstLine="200"/>
              <w:jc w:val="center"/>
              <w:rPr>
                <w:rFonts w:hint="eastAsia" w:ascii="宋体" w:hAnsi="宋体" w:eastAsia="宋体" w:cs="宋体"/>
                <w:color w:val="auto"/>
                <w:sz w:val="24"/>
                <w:szCs w:val="24"/>
                <w:lang w:val="en-US" w:eastAsia="zh-CN"/>
              </w:rPr>
            </w:pPr>
          </w:p>
        </w:tc>
        <w:tc>
          <w:tcPr>
            <w:tcW w:w="3402" w:type="dxa"/>
            <w:noWrap w:val="0"/>
            <w:vAlign w:val="center"/>
          </w:tcPr>
          <w:p>
            <w:pPr>
              <w:pStyle w:val="56"/>
              <w:spacing w:line="560" w:lineRule="exact"/>
              <w:ind w:firstLine="200"/>
              <w:jc w:val="center"/>
              <w:rPr>
                <w:rFonts w:hint="eastAsia" w:ascii="宋体" w:hAnsi="宋体" w:eastAsia="宋体" w:cs="宋体"/>
                <w:color w:val="auto"/>
                <w:sz w:val="24"/>
                <w:szCs w:val="24"/>
                <w:lang w:val="en-US" w:eastAsia="zh-CN"/>
              </w:rPr>
            </w:pPr>
          </w:p>
        </w:tc>
        <w:tc>
          <w:tcPr>
            <w:tcW w:w="2552" w:type="dxa"/>
            <w:noWrap w:val="0"/>
            <w:vAlign w:val="center"/>
          </w:tcPr>
          <w:p>
            <w:pPr>
              <w:pStyle w:val="56"/>
              <w:spacing w:line="560" w:lineRule="exact"/>
              <w:ind w:firstLine="200"/>
              <w:jc w:val="center"/>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56"/>
              <w:spacing w:line="560" w:lineRule="exact"/>
              <w:ind w:firstLine="20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总价</w:t>
            </w:r>
          </w:p>
        </w:tc>
        <w:tc>
          <w:tcPr>
            <w:tcW w:w="2552" w:type="dxa"/>
            <w:noWrap w:val="0"/>
            <w:vAlign w:val="center"/>
          </w:tcPr>
          <w:p>
            <w:pPr>
              <w:pStyle w:val="56"/>
              <w:spacing w:line="560" w:lineRule="exact"/>
              <w:ind w:firstLine="200"/>
              <w:jc w:val="center"/>
              <w:rPr>
                <w:rFonts w:hint="eastAsia" w:ascii="宋体" w:hAnsi="宋体" w:eastAsia="宋体" w:cs="宋体"/>
                <w:color w:val="auto"/>
                <w:sz w:val="24"/>
                <w:szCs w:val="24"/>
                <w:lang w:val="en-US" w:eastAsia="zh-CN"/>
              </w:rPr>
            </w:pPr>
          </w:p>
        </w:tc>
      </w:tr>
    </w:tbl>
    <w:p>
      <w:pPr>
        <w:spacing w:line="560" w:lineRule="exact"/>
        <w:ind w:firstLine="482" w:firstLineChars="200"/>
        <w:outlineLvl w:val="0"/>
        <w:rPr>
          <w:rFonts w:hint="eastAsia" w:ascii="宋体" w:hAnsi="宋体" w:eastAsia="宋体" w:cs="宋体"/>
          <w:b/>
          <w:color w:val="auto"/>
          <w:sz w:val="24"/>
        </w:rPr>
      </w:pPr>
      <w:bookmarkStart w:id="286" w:name="_Toc26916"/>
      <w:bookmarkStart w:id="287" w:name="_Toc14993"/>
      <w:bookmarkStart w:id="288" w:name="_Toc3654"/>
      <w:bookmarkStart w:id="289" w:name="_Toc30506"/>
      <w:bookmarkStart w:id="290" w:name="_Toc30158"/>
      <w:r>
        <w:rPr>
          <w:rFonts w:hint="eastAsia" w:ascii="宋体" w:hAnsi="宋体" w:eastAsia="宋体" w:cs="宋体"/>
          <w:b/>
          <w:color w:val="auto"/>
          <w:sz w:val="24"/>
        </w:rPr>
        <w:t>1.4 付款方式和发票开具方式</w:t>
      </w:r>
      <w:bookmarkEnd w:id="286"/>
      <w:bookmarkEnd w:id="287"/>
      <w:bookmarkEnd w:id="288"/>
      <w:bookmarkEnd w:id="289"/>
      <w:bookmarkEnd w:id="290"/>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1.4.1付款方式：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1.4.2 发票开具方式：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560" w:lineRule="exact"/>
        <w:ind w:firstLine="482" w:firstLineChars="200"/>
        <w:outlineLvl w:val="0"/>
        <w:rPr>
          <w:rFonts w:hint="eastAsia" w:ascii="宋体" w:hAnsi="宋体" w:eastAsia="宋体" w:cs="宋体"/>
          <w:b/>
          <w:color w:val="auto"/>
          <w:sz w:val="24"/>
        </w:rPr>
      </w:pPr>
      <w:bookmarkStart w:id="291" w:name="_Toc3625"/>
      <w:bookmarkStart w:id="292" w:name="_Toc11108"/>
      <w:bookmarkStart w:id="293" w:name="_Toc4760"/>
      <w:bookmarkStart w:id="294" w:name="_Toc31421"/>
      <w:bookmarkStart w:id="295" w:name="_Toc8772"/>
      <w:r>
        <w:rPr>
          <w:rFonts w:hint="eastAsia" w:ascii="宋体" w:hAnsi="宋体" w:eastAsia="宋体" w:cs="宋体"/>
          <w:b/>
          <w:color w:val="auto"/>
          <w:sz w:val="24"/>
        </w:rPr>
        <w:t>1.5 履行期限、地点和方式</w:t>
      </w:r>
      <w:bookmarkEnd w:id="291"/>
      <w:bookmarkEnd w:id="292"/>
      <w:bookmarkEnd w:id="293"/>
      <w:bookmarkEnd w:id="294"/>
      <w:bookmarkEnd w:id="295"/>
    </w:p>
    <w:p>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1.5.1 履行期限：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1.5.2 履行地点：</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1.5.3 履行方式：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560" w:lineRule="exact"/>
        <w:ind w:firstLine="482" w:firstLineChars="200"/>
        <w:outlineLvl w:val="0"/>
        <w:rPr>
          <w:rFonts w:hint="eastAsia" w:ascii="宋体" w:hAnsi="宋体" w:eastAsia="宋体" w:cs="宋体"/>
          <w:color w:val="auto"/>
          <w:sz w:val="24"/>
          <w:u w:val="single"/>
        </w:rPr>
      </w:pPr>
      <w:bookmarkStart w:id="296" w:name="_Toc5698"/>
      <w:bookmarkStart w:id="297" w:name="_Toc24662"/>
      <w:bookmarkStart w:id="298" w:name="_Toc3079"/>
      <w:bookmarkStart w:id="299" w:name="_Toc2375"/>
      <w:bookmarkStart w:id="300" w:name="_Toc8586"/>
      <w:r>
        <w:rPr>
          <w:rFonts w:hint="eastAsia" w:ascii="宋体" w:hAnsi="宋体" w:eastAsia="宋体" w:cs="宋体"/>
          <w:b/>
          <w:color w:val="auto"/>
          <w:sz w:val="24"/>
        </w:rPr>
        <w:t>1.6 违约责任</w:t>
      </w:r>
      <w:bookmarkEnd w:id="296"/>
      <w:bookmarkEnd w:id="297"/>
      <w:bookmarkEnd w:id="298"/>
      <w:bookmarkEnd w:id="299"/>
      <w:bookmarkEnd w:id="300"/>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w:t>
      </w:r>
      <w:r>
        <w:rPr>
          <w:rFonts w:hint="eastAsia" w:ascii="宋体" w:hAnsi="宋体" w:eastAsia="宋体" w:cs="宋体"/>
          <w:color w:val="auto"/>
          <w:sz w:val="24"/>
        </w:rPr>
        <w:t>%；迟延履行的违约金计算数额达到前述最高限额之日起，甲方有权在要求乙方支付违约金的同时，书面通知乙方解除本合同；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u w:val="single"/>
        </w:rPr>
        <w:t xml:space="preserve">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w:t>
      </w:r>
      <w:r>
        <w:rPr>
          <w:rFonts w:hint="eastAsia" w:ascii="宋体" w:hAnsi="宋体" w:eastAsia="宋体" w:cs="宋体"/>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outlineLvl w:val="0"/>
        <w:rPr>
          <w:rFonts w:hint="eastAsia" w:ascii="宋体" w:hAnsi="宋体" w:eastAsia="宋体" w:cs="宋体"/>
          <w:b/>
          <w:color w:val="auto"/>
          <w:sz w:val="24"/>
        </w:rPr>
      </w:pPr>
      <w:bookmarkStart w:id="301" w:name="_Toc30329"/>
      <w:bookmarkStart w:id="302" w:name="_Toc32454"/>
      <w:bookmarkStart w:id="303" w:name="_Toc9497"/>
      <w:bookmarkStart w:id="304" w:name="_Toc18683"/>
      <w:bookmarkStart w:id="305" w:name="_Toc26807"/>
      <w:r>
        <w:rPr>
          <w:rFonts w:hint="eastAsia" w:ascii="宋体" w:hAnsi="宋体" w:eastAsia="宋体" w:cs="宋体"/>
          <w:b/>
          <w:color w:val="auto"/>
          <w:sz w:val="24"/>
        </w:rPr>
        <w:t>1.7 合同争议的解决</w:t>
      </w:r>
      <w:bookmarkEnd w:id="301"/>
      <w:bookmarkEnd w:id="302"/>
      <w:bookmarkEnd w:id="303"/>
      <w:bookmarkEnd w:id="304"/>
      <w:bookmarkEnd w:id="305"/>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u w:val="single"/>
        </w:rPr>
        <w:t xml:space="preserve">    </w:t>
      </w:r>
      <w:r>
        <w:rPr>
          <w:rFonts w:hint="eastAsia" w:ascii="宋体" w:hAnsi="宋体" w:eastAsia="宋体" w:cs="宋体"/>
          <w:color w:val="auto"/>
          <w:sz w:val="24"/>
        </w:rPr>
        <w:t>种方式解决：</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1.7.1 将争议提交</w:t>
      </w:r>
      <w:r>
        <w:rPr>
          <w:rFonts w:hint="eastAsia" w:ascii="宋体" w:hAnsi="宋体" w:eastAsia="宋体" w:cs="宋体"/>
          <w:color w:val="auto"/>
          <w:sz w:val="24"/>
          <w:u w:val="single"/>
        </w:rPr>
        <w:t xml:space="preserve">              </w:t>
      </w:r>
      <w:r>
        <w:rPr>
          <w:rFonts w:hint="eastAsia" w:ascii="宋体" w:hAnsi="宋体" w:eastAsia="宋体" w:cs="宋体"/>
          <w:color w:val="auto"/>
          <w:sz w:val="24"/>
        </w:rPr>
        <w:t>仲裁委员会依申请仲裁时其现行有效的仲裁规则裁决；</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1.7.2 向</w:t>
      </w:r>
      <w:r>
        <w:rPr>
          <w:rFonts w:hint="eastAsia" w:ascii="宋体" w:hAnsi="宋体" w:eastAsia="宋体" w:cs="宋体"/>
          <w:color w:val="auto"/>
          <w:sz w:val="24"/>
          <w:u w:val="single"/>
        </w:rPr>
        <w:t xml:space="preserve">   （被告住所地、合同履行地、合同签订地、原告住所地、标的物所在地等与争议有实际联系的地点中选出的人民法院名称）    </w:t>
      </w:r>
      <w:r>
        <w:rPr>
          <w:rFonts w:hint="eastAsia" w:ascii="宋体" w:hAnsi="宋体" w:eastAsia="宋体" w:cs="宋体"/>
          <w:color w:val="auto"/>
          <w:sz w:val="24"/>
        </w:rPr>
        <w:t>人民法院起诉。</w:t>
      </w:r>
    </w:p>
    <w:p>
      <w:pPr>
        <w:spacing w:line="560" w:lineRule="exact"/>
        <w:ind w:firstLine="482" w:firstLineChars="200"/>
        <w:outlineLvl w:val="0"/>
        <w:rPr>
          <w:rFonts w:hint="eastAsia" w:ascii="宋体" w:hAnsi="宋体" w:eastAsia="宋体" w:cs="宋体"/>
          <w:b/>
          <w:color w:val="auto"/>
          <w:sz w:val="24"/>
        </w:rPr>
      </w:pPr>
      <w:bookmarkStart w:id="306" w:name="_Toc23784"/>
      <w:bookmarkStart w:id="307" w:name="_Toc26227"/>
      <w:bookmarkStart w:id="308" w:name="_Toc15827"/>
      <w:bookmarkStart w:id="309" w:name="_Toc16417"/>
      <w:bookmarkStart w:id="310" w:name="_Toc12273"/>
      <w:r>
        <w:rPr>
          <w:rFonts w:hint="eastAsia" w:ascii="宋体" w:hAnsi="宋体" w:eastAsia="宋体" w:cs="宋体"/>
          <w:b/>
          <w:color w:val="auto"/>
          <w:sz w:val="24"/>
        </w:rPr>
        <w:t>1.8 合同生效</w:t>
      </w:r>
      <w:bookmarkEnd w:id="306"/>
      <w:bookmarkEnd w:id="307"/>
      <w:bookmarkEnd w:id="308"/>
      <w:bookmarkEnd w:id="309"/>
      <w:bookmarkEnd w:id="310"/>
    </w:p>
    <w:p>
      <w:pPr>
        <w:spacing w:line="56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本合同自双方当事人盖章或者签字时生效。</w:t>
      </w:r>
    </w:p>
    <w:p>
      <w:pPr>
        <w:autoSpaceDE w:val="0"/>
        <w:autoSpaceDN w:val="0"/>
        <w:adjustRightInd w:val="0"/>
        <w:spacing w:line="560" w:lineRule="exact"/>
        <w:rPr>
          <w:rFonts w:hint="eastAsia" w:ascii="宋体" w:hAnsi="宋体" w:eastAsia="宋体" w:cs="宋体"/>
          <w:color w:val="auto"/>
          <w:sz w:val="24"/>
          <w:lang w:val="zh-CN"/>
        </w:rPr>
      </w:pPr>
    </w:p>
    <w:p>
      <w:pPr>
        <w:autoSpaceDE w:val="0"/>
        <w:autoSpaceDN w:val="0"/>
        <w:adjustRightInd w:val="0"/>
        <w:spacing w:line="560" w:lineRule="exact"/>
        <w:rPr>
          <w:rFonts w:hint="eastAsia" w:ascii="宋体" w:hAnsi="宋体" w:eastAsia="宋体" w:cs="宋体"/>
          <w:color w:val="auto"/>
          <w:sz w:val="24"/>
          <w:lang w:val="zh-CN"/>
        </w:rPr>
      </w:pPr>
      <w:r>
        <w:rPr>
          <w:rFonts w:hint="eastAsia" w:ascii="宋体" w:hAnsi="宋体" w:eastAsia="宋体" w:cs="宋体"/>
          <w:b/>
          <w:color w:val="auto"/>
          <w:sz w:val="24"/>
          <w:lang w:val="zh-CN"/>
        </w:rPr>
        <w:t>甲方</w:t>
      </w:r>
      <w:r>
        <w:rPr>
          <w:rFonts w:hint="eastAsia" w:ascii="宋体" w:hAnsi="宋体" w:eastAsia="宋体" w:cs="宋体"/>
          <w:color w:val="auto"/>
          <w:sz w:val="24"/>
          <w:lang w:val="zh-CN"/>
        </w:rPr>
        <w:t xml:space="preserve">：                             </w:t>
      </w:r>
      <w:r>
        <w:rPr>
          <w:rFonts w:hint="eastAsia" w:ascii="宋体" w:hAnsi="宋体" w:eastAsia="宋体" w:cs="宋体"/>
          <w:b/>
          <w:color w:val="auto"/>
          <w:sz w:val="24"/>
          <w:lang w:val="zh-CN"/>
        </w:rPr>
        <w:t xml:space="preserve">      乙方</w:t>
      </w:r>
      <w:r>
        <w:rPr>
          <w:rFonts w:hint="eastAsia" w:ascii="宋体" w:hAnsi="宋体" w:eastAsia="宋体" w:cs="宋体"/>
          <w:color w:val="auto"/>
          <w:sz w:val="24"/>
          <w:lang w:val="zh-CN"/>
        </w:rPr>
        <w:t>：</w:t>
      </w:r>
    </w:p>
    <w:p>
      <w:pPr>
        <w:autoSpaceDE w:val="0"/>
        <w:autoSpaceDN w:val="0"/>
        <w:adjustRightInd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统一社会信用代码：                        统一社会信用代码或身份证号码：</w:t>
      </w:r>
    </w:p>
    <w:p>
      <w:pPr>
        <w:autoSpaceDE w:val="0"/>
        <w:autoSpaceDN w:val="0"/>
        <w:adjustRightInd w:val="0"/>
        <w:spacing w:line="560" w:lineRule="exact"/>
        <w:rPr>
          <w:rFonts w:hint="eastAsia" w:ascii="宋体" w:hAnsi="宋体" w:eastAsia="宋体" w:cs="宋体"/>
          <w:color w:val="auto"/>
          <w:sz w:val="24"/>
          <w:lang w:val="zh-CN"/>
        </w:rPr>
      </w:pPr>
    </w:p>
    <w:p>
      <w:pPr>
        <w:autoSpaceDE w:val="0"/>
        <w:autoSpaceDN w:val="0"/>
        <w:adjustRightInd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住所：                                   住所：</w:t>
      </w:r>
    </w:p>
    <w:p>
      <w:pPr>
        <w:autoSpaceDE w:val="0"/>
        <w:autoSpaceDN w:val="0"/>
        <w:adjustRightInd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法定代表人或                             法定代表人</w:t>
      </w:r>
    </w:p>
    <w:p>
      <w:pPr>
        <w:autoSpaceDE w:val="0"/>
        <w:autoSpaceDN w:val="0"/>
        <w:adjustRightInd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授权代表（签字）：                        或授权代表（签字）: </w:t>
      </w:r>
    </w:p>
    <w:p>
      <w:pPr>
        <w:autoSpaceDE w:val="0"/>
        <w:autoSpaceDN w:val="0"/>
        <w:adjustRightInd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联系人：                                 联系人：</w:t>
      </w:r>
    </w:p>
    <w:p>
      <w:pPr>
        <w:autoSpaceDE w:val="0"/>
        <w:autoSpaceDN w:val="0"/>
        <w:adjustRightInd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约定送达地址：                           约定送达地址：</w:t>
      </w:r>
    </w:p>
    <w:p>
      <w:pPr>
        <w:autoSpaceDE w:val="0"/>
        <w:autoSpaceDN w:val="0"/>
        <w:adjustRightInd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邮政编码：                               邮政编码：</w:t>
      </w:r>
    </w:p>
    <w:p>
      <w:pPr>
        <w:autoSpaceDE w:val="0"/>
        <w:autoSpaceDN w:val="0"/>
        <w:adjustRightInd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电话:                                    电话: </w:t>
      </w:r>
    </w:p>
    <w:p>
      <w:pPr>
        <w:autoSpaceDE w:val="0"/>
        <w:autoSpaceDN w:val="0"/>
        <w:adjustRightInd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传真:                                    传真:</w:t>
      </w:r>
    </w:p>
    <w:p>
      <w:pPr>
        <w:autoSpaceDE w:val="0"/>
        <w:autoSpaceDN w:val="0"/>
        <w:adjustRightInd w:val="0"/>
        <w:spacing w:line="560" w:lineRule="exact"/>
        <w:rPr>
          <w:rFonts w:hint="eastAsia" w:ascii="宋体" w:hAnsi="宋体" w:eastAsia="宋体" w:cs="宋体"/>
          <w:color w:val="auto"/>
          <w:sz w:val="24"/>
        </w:rPr>
      </w:pPr>
      <w:r>
        <w:rPr>
          <w:rFonts w:hint="eastAsia" w:ascii="宋体" w:hAnsi="宋体" w:eastAsia="宋体" w:cs="宋体"/>
          <w:color w:val="auto"/>
          <w:sz w:val="24"/>
          <w:lang w:val="zh-CN"/>
        </w:rPr>
        <w:t>电子邮箱：                               电子邮箱：</w:t>
      </w:r>
    </w:p>
    <w:p>
      <w:pPr>
        <w:autoSpaceDE w:val="0"/>
        <w:autoSpaceDN w:val="0"/>
        <w:adjustRightInd w:val="0"/>
        <w:spacing w:line="560" w:lineRule="exact"/>
        <w:rPr>
          <w:rFonts w:hint="eastAsia" w:ascii="宋体" w:hAnsi="宋体" w:eastAsia="宋体" w:cs="宋体"/>
          <w:color w:val="auto"/>
          <w:sz w:val="24"/>
        </w:rPr>
      </w:pPr>
      <w:r>
        <w:rPr>
          <w:rFonts w:hint="eastAsia" w:ascii="宋体" w:hAnsi="宋体" w:eastAsia="宋体" w:cs="宋体"/>
          <w:color w:val="auto"/>
          <w:sz w:val="24"/>
        </w:rPr>
        <w:t xml:space="preserve">开户银行：                               开户银行： </w:t>
      </w:r>
    </w:p>
    <w:p>
      <w:pPr>
        <w:autoSpaceDE w:val="0"/>
        <w:autoSpaceDN w:val="0"/>
        <w:adjustRightInd w:val="0"/>
        <w:spacing w:line="560" w:lineRule="exact"/>
        <w:rPr>
          <w:rFonts w:hint="eastAsia" w:ascii="宋体" w:hAnsi="宋体" w:eastAsia="宋体" w:cs="宋体"/>
          <w:color w:val="auto"/>
          <w:sz w:val="24"/>
        </w:rPr>
      </w:pPr>
      <w:r>
        <w:rPr>
          <w:rFonts w:hint="eastAsia" w:ascii="宋体" w:hAnsi="宋体" w:eastAsia="宋体" w:cs="宋体"/>
          <w:color w:val="auto"/>
          <w:sz w:val="24"/>
        </w:rPr>
        <w:t xml:space="preserve">开户名称：                               开户名称： </w:t>
      </w:r>
    </w:p>
    <w:p>
      <w:pPr>
        <w:autoSpaceDE w:val="0"/>
        <w:autoSpaceDN w:val="0"/>
        <w:adjustRightInd w:val="0"/>
        <w:spacing w:line="560" w:lineRule="exact"/>
        <w:rPr>
          <w:rFonts w:hint="eastAsia" w:ascii="宋体" w:hAnsi="宋体" w:eastAsia="宋体" w:cs="宋体"/>
          <w:color w:val="auto"/>
          <w:sz w:val="24"/>
        </w:rPr>
      </w:pPr>
      <w:r>
        <w:rPr>
          <w:rFonts w:hint="eastAsia" w:ascii="宋体" w:hAnsi="宋体" w:eastAsia="宋体" w:cs="宋体"/>
          <w:color w:val="auto"/>
          <w:sz w:val="24"/>
        </w:rPr>
        <w:t>开户账号：</w:t>
      </w:r>
      <w:r>
        <w:rPr>
          <w:rFonts w:hint="eastAsia" w:ascii="宋体" w:hAnsi="宋体" w:eastAsia="宋体" w:cs="宋体"/>
          <w:color w:val="auto"/>
          <w:sz w:val="24"/>
          <w:lang w:val="zh-CN"/>
        </w:rPr>
        <w:t xml:space="preserve">                               </w:t>
      </w:r>
      <w:r>
        <w:rPr>
          <w:rFonts w:hint="eastAsia" w:ascii="宋体" w:hAnsi="宋体" w:eastAsia="宋体" w:cs="宋体"/>
          <w:color w:val="auto"/>
          <w:sz w:val="24"/>
        </w:rPr>
        <w:t>开户账号：</w:t>
      </w:r>
    </w:p>
    <w:p>
      <w:pPr>
        <w:widowControl/>
        <w:spacing w:line="560" w:lineRule="exact"/>
        <w:jc w:val="left"/>
        <w:rPr>
          <w:rFonts w:hint="eastAsia" w:ascii="宋体" w:hAnsi="宋体" w:eastAsia="宋体" w:cs="宋体"/>
          <w:b/>
          <w:color w:val="auto"/>
        </w:rPr>
      </w:pPr>
      <w:bookmarkStart w:id="311" w:name="_Toc331685783"/>
    </w:p>
    <w:p>
      <w:pPr>
        <w:widowControl/>
        <w:spacing w:line="560" w:lineRule="exact"/>
        <w:jc w:val="left"/>
        <w:rPr>
          <w:rFonts w:hint="eastAsia" w:ascii="宋体" w:hAnsi="宋体" w:eastAsia="宋体" w:cs="宋体"/>
          <w:b/>
          <w:color w:val="auto"/>
          <w:kern w:val="0"/>
          <w:sz w:val="24"/>
        </w:rPr>
      </w:pPr>
    </w:p>
    <w:p>
      <w:pPr>
        <w:pStyle w:val="54"/>
        <w:spacing w:line="560" w:lineRule="exact"/>
        <w:ind w:firstLine="200"/>
        <w:jc w:val="center"/>
        <w:rPr>
          <w:rFonts w:hint="eastAsia" w:ascii="宋体" w:hAnsi="宋体" w:eastAsia="宋体" w:cs="宋体"/>
          <w:b/>
          <w:color w:val="auto"/>
          <w:szCs w:val="24"/>
        </w:rPr>
      </w:pPr>
      <w:r>
        <w:rPr>
          <w:rFonts w:hint="eastAsia" w:ascii="宋体" w:hAnsi="宋体" w:eastAsia="宋体" w:cs="宋体"/>
          <w:b/>
          <w:color w:val="auto"/>
          <w:szCs w:val="24"/>
        </w:rPr>
        <w:t>第二部分 合同一般条款</w:t>
      </w:r>
      <w:bookmarkEnd w:id="311"/>
    </w:p>
    <w:p>
      <w:pPr>
        <w:spacing w:line="560" w:lineRule="exact"/>
        <w:ind w:firstLine="482" w:firstLineChars="200"/>
        <w:outlineLvl w:val="0"/>
        <w:rPr>
          <w:rFonts w:hint="eastAsia" w:ascii="宋体" w:hAnsi="宋体" w:eastAsia="宋体" w:cs="宋体"/>
          <w:b/>
          <w:color w:val="auto"/>
          <w:sz w:val="24"/>
        </w:rPr>
      </w:pPr>
      <w:bookmarkStart w:id="312" w:name="_Ref467379225"/>
      <w:bookmarkStart w:id="313" w:name="_Toc279701240"/>
      <w:bookmarkStart w:id="314" w:name="_Toc19680"/>
      <w:bookmarkStart w:id="315" w:name="_Toc25079"/>
      <w:bookmarkStart w:id="316" w:name="_Ref467379109"/>
      <w:bookmarkStart w:id="317" w:name="_Toc5228"/>
      <w:bookmarkStart w:id="318" w:name="_Toc259093669"/>
      <w:bookmarkStart w:id="319" w:name="_Ref467379094"/>
      <w:bookmarkStart w:id="320" w:name="_Ref467379101"/>
      <w:bookmarkStart w:id="321" w:name="_Ref467379214"/>
      <w:bookmarkStart w:id="322" w:name="_Toc31297"/>
      <w:bookmarkStart w:id="323" w:name="_Toc487900349"/>
      <w:bookmarkStart w:id="324" w:name="_Ref467378463"/>
      <w:bookmarkStart w:id="325" w:name="_Ref467379195"/>
      <w:bookmarkStart w:id="326" w:name="_Ref467378404"/>
      <w:bookmarkStart w:id="327" w:name="_Toc14021"/>
      <w:bookmarkStart w:id="328" w:name="_Ref467378499"/>
      <w:bookmarkStart w:id="329" w:name="_Ref467379205"/>
      <w:r>
        <w:rPr>
          <w:rFonts w:hint="eastAsia" w:ascii="宋体" w:hAnsi="宋体" w:eastAsia="宋体" w:cs="宋体"/>
          <w:b/>
          <w:color w:val="auto"/>
          <w:sz w:val="24"/>
        </w:rPr>
        <w:t>2.1 定义</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本合同中的下列词语应按以下内容进行解释：</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 “合同价”系指根据合同约定，中标供应商在完全履行合同义务后，采购人应支付给中标供应商的价格。</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宋体" w:hAnsi="宋体" w:eastAsia="宋体" w:cs="宋体"/>
          <w:color w:val="auto"/>
          <w:sz w:val="24"/>
        </w:rPr>
      </w:pPr>
      <w:bookmarkStart w:id="330" w:name="_Ref467378840"/>
      <w:r>
        <w:rPr>
          <w:rFonts w:hint="eastAsia" w:ascii="宋体" w:hAnsi="宋体" w:eastAsia="宋体" w:cs="宋体"/>
          <w:color w:val="auto"/>
          <w:sz w:val="24"/>
        </w:rPr>
        <w:t>2.1.4 “甲方”系指与中标供应商签署合同的采购人</w:t>
      </w:r>
      <w:bookmarkEnd w:id="330"/>
      <w:r>
        <w:rPr>
          <w:rFonts w:hint="eastAsia" w:ascii="宋体" w:hAnsi="宋体" w:eastAsia="宋体" w:cs="宋体"/>
          <w:color w:val="auto"/>
          <w:sz w:val="24"/>
        </w:rPr>
        <w:t>；采购人委托采购代理机构代表其与乙方签订合同的，采购人的授权委托书作为合同附件。</w:t>
      </w:r>
    </w:p>
    <w:p>
      <w:pPr>
        <w:spacing w:line="560" w:lineRule="exact"/>
        <w:ind w:firstLine="480" w:firstLineChars="200"/>
        <w:rPr>
          <w:rFonts w:hint="eastAsia" w:ascii="宋体" w:hAnsi="宋体" w:eastAsia="宋体" w:cs="宋体"/>
          <w:color w:val="auto"/>
          <w:sz w:val="24"/>
        </w:rPr>
      </w:pPr>
      <w:bookmarkStart w:id="331" w:name="_Ref467379400"/>
      <w:r>
        <w:rPr>
          <w:rFonts w:hint="eastAsia" w:ascii="宋体" w:hAnsi="宋体" w:eastAsia="宋体" w:cs="宋体"/>
          <w:color w:val="auto"/>
          <w:sz w:val="24"/>
        </w:rPr>
        <w:t>2.1.5 “乙方”系指根据合同约定提供服务的中标供应商</w:t>
      </w:r>
      <w:bookmarkEnd w:id="331"/>
      <w:r>
        <w:rPr>
          <w:rFonts w:hint="eastAsia" w:ascii="宋体" w:hAnsi="宋体" w:eastAsia="宋体" w:cs="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color w:val="auto"/>
          <w:sz w:val="24"/>
        </w:rPr>
      </w:pPr>
      <w:bookmarkStart w:id="332" w:name="_Ref467379436"/>
      <w:r>
        <w:rPr>
          <w:rFonts w:hint="eastAsia" w:ascii="宋体" w:hAnsi="宋体" w:eastAsia="宋体" w:cs="宋体"/>
          <w:color w:val="auto"/>
          <w:sz w:val="24"/>
        </w:rPr>
        <w:t>2.1.6 “现场”系指合同约定提供服务的地点。</w:t>
      </w:r>
      <w:bookmarkEnd w:id="332"/>
    </w:p>
    <w:p>
      <w:pPr>
        <w:spacing w:line="560" w:lineRule="exact"/>
        <w:ind w:firstLine="482" w:firstLineChars="200"/>
        <w:outlineLvl w:val="0"/>
        <w:rPr>
          <w:rFonts w:hint="eastAsia" w:ascii="宋体" w:hAnsi="宋体" w:eastAsia="宋体" w:cs="宋体"/>
          <w:b/>
          <w:color w:val="auto"/>
          <w:sz w:val="24"/>
        </w:rPr>
      </w:pPr>
      <w:bookmarkStart w:id="333" w:name="_Toc19539"/>
      <w:bookmarkStart w:id="334" w:name="_Toc487900350"/>
      <w:bookmarkStart w:id="335" w:name="_Toc3769"/>
      <w:bookmarkStart w:id="336" w:name="_Toc23289"/>
      <w:bookmarkStart w:id="337" w:name="_Toc259093670"/>
      <w:bookmarkStart w:id="338" w:name="_Toc16752"/>
      <w:bookmarkStart w:id="339" w:name="_Toc279701241"/>
      <w:bookmarkStart w:id="340" w:name="_Toc31402"/>
      <w:r>
        <w:rPr>
          <w:rFonts w:hint="eastAsia" w:ascii="宋体" w:hAnsi="宋体" w:eastAsia="宋体" w:cs="宋体"/>
          <w:b/>
          <w:color w:val="auto"/>
          <w:sz w:val="24"/>
        </w:rPr>
        <w:t>2.2 技术规范</w:t>
      </w:r>
      <w:bookmarkEnd w:id="333"/>
      <w:bookmarkEnd w:id="334"/>
      <w:bookmarkEnd w:id="335"/>
      <w:bookmarkEnd w:id="336"/>
      <w:bookmarkEnd w:id="337"/>
      <w:bookmarkEnd w:id="338"/>
      <w:bookmarkEnd w:id="339"/>
      <w:bookmarkEnd w:id="340"/>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color w:val="auto"/>
          <w:sz w:val="24"/>
        </w:rPr>
      </w:pPr>
      <w:bookmarkStart w:id="341" w:name="_Toc279701242"/>
      <w:bookmarkStart w:id="342" w:name="_Toc13673"/>
      <w:bookmarkStart w:id="343" w:name="_Toc27945"/>
      <w:bookmarkStart w:id="344" w:name="_Toc259093671"/>
      <w:bookmarkStart w:id="345" w:name="_Toc9161"/>
      <w:bookmarkStart w:id="346" w:name="_Toc487900351"/>
      <w:bookmarkStart w:id="347" w:name="_Toc12412"/>
      <w:bookmarkStart w:id="348" w:name="_Toc4133"/>
      <w:r>
        <w:rPr>
          <w:rFonts w:hint="eastAsia" w:ascii="宋体" w:hAnsi="宋体" w:eastAsia="宋体" w:cs="宋体"/>
          <w:b/>
          <w:color w:val="auto"/>
          <w:sz w:val="24"/>
        </w:rPr>
        <w:t>2.3 知识产权</w:t>
      </w:r>
      <w:bookmarkEnd w:id="341"/>
      <w:bookmarkEnd w:id="342"/>
      <w:bookmarkEnd w:id="343"/>
      <w:bookmarkEnd w:id="344"/>
      <w:bookmarkEnd w:id="345"/>
      <w:bookmarkEnd w:id="346"/>
      <w:bookmarkEnd w:id="347"/>
      <w:bookmarkEnd w:id="348"/>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2.3.2 合同涉及技术成果的归属和收益的分成办法的，详见</w:t>
      </w:r>
      <w:r>
        <w:rPr>
          <w:rFonts w:hint="eastAsia" w:ascii="宋体" w:hAnsi="宋体" w:eastAsia="宋体" w:cs="宋体"/>
          <w:b/>
          <w:i w:val="0"/>
          <w:iCs/>
          <w:color w:val="auto"/>
          <w:sz w:val="24"/>
          <w:u w:val="single"/>
        </w:rPr>
        <w:t>合同专用条款</w:t>
      </w:r>
      <w:r>
        <w:rPr>
          <w:rFonts w:hint="eastAsia" w:ascii="宋体" w:hAnsi="宋体" w:eastAsia="宋体" w:cs="宋体"/>
          <w:i w:val="0"/>
          <w:iCs/>
          <w:color w:val="auto"/>
          <w:sz w:val="24"/>
        </w:rPr>
        <w:t>。</w:t>
      </w:r>
    </w:p>
    <w:p>
      <w:pPr>
        <w:spacing w:line="56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2.4 履约检查和问题反馈</w:t>
      </w:r>
    </w:p>
    <w:p>
      <w:pPr>
        <w:spacing w:line="560" w:lineRule="exact"/>
        <w:ind w:firstLine="480" w:firstLineChars="200"/>
        <w:rPr>
          <w:rFonts w:hint="eastAsia" w:ascii="宋体" w:hAnsi="宋体" w:eastAsia="宋体" w:cs="宋体"/>
          <w:color w:val="auto"/>
          <w:sz w:val="24"/>
        </w:rPr>
      </w:pPr>
      <w:bookmarkStart w:id="349" w:name="_Ref467379657"/>
      <w:r>
        <w:rPr>
          <w:rFonts w:hint="eastAsia" w:ascii="宋体" w:hAnsi="宋体" w:eastAsia="宋体" w:cs="宋体"/>
          <w:color w:val="auto"/>
          <w:sz w:val="24"/>
        </w:rPr>
        <w:t>2.4.1</w:t>
      </w:r>
      <w:bookmarkEnd w:id="349"/>
      <w:bookmarkStart w:id="350" w:name="_Toc186431854"/>
      <w:bookmarkStart w:id="351" w:name="_Ref467379807"/>
      <w:bookmarkStart w:id="352" w:name="_Ref467379793"/>
      <w:bookmarkStart w:id="353" w:name="_Toc259093676"/>
      <w:bookmarkStart w:id="354" w:name="_Toc279701247"/>
      <w:bookmarkStart w:id="355" w:name="_Toc487900357"/>
      <w:r>
        <w:rPr>
          <w:rFonts w:hint="eastAsia" w:ascii="宋体" w:hAnsi="宋体" w:eastAsia="宋体" w:cs="宋体"/>
          <w:color w:val="auto"/>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2.4.2 合同履行期间，甲方有权将履行过程中出现的问题反馈给乙方，双方当事人应以书面形式约定需要完善和改进的内容</w:t>
      </w:r>
      <w:bookmarkEnd w:id="350"/>
      <w:bookmarkStart w:id="356" w:name="_Toc186431855"/>
      <w:r>
        <w:rPr>
          <w:rFonts w:hint="eastAsia" w:ascii="宋体" w:hAnsi="宋体" w:eastAsia="宋体" w:cs="宋体"/>
          <w:color w:val="auto"/>
          <w:sz w:val="24"/>
        </w:rPr>
        <w:t>。</w:t>
      </w:r>
    </w:p>
    <w:bookmarkEnd w:id="356"/>
    <w:p>
      <w:pPr>
        <w:spacing w:line="560" w:lineRule="exact"/>
        <w:ind w:firstLine="482" w:firstLineChars="200"/>
        <w:outlineLvl w:val="0"/>
        <w:rPr>
          <w:rFonts w:hint="eastAsia" w:ascii="宋体" w:hAnsi="宋体" w:eastAsia="宋体" w:cs="宋体"/>
          <w:b/>
          <w:color w:val="auto"/>
          <w:sz w:val="24"/>
        </w:rPr>
      </w:pPr>
      <w:bookmarkStart w:id="357" w:name="_Toc15447"/>
      <w:bookmarkStart w:id="358" w:name="_Toc31233"/>
      <w:bookmarkStart w:id="359" w:name="_Toc22011"/>
      <w:bookmarkStart w:id="360" w:name="_Toc26555"/>
      <w:bookmarkStart w:id="361" w:name="_Toc32670"/>
      <w:r>
        <w:rPr>
          <w:rFonts w:hint="eastAsia" w:ascii="宋体" w:hAnsi="宋体" w:eastAsia="宋体" w:cs="宋体"/>
          <w:b/>
          <w:color w:val="auto"/>
          <w:sz w:val="24"/>
        </w:rPr>
        <w:t>2.5 结算方式和付款条件</w:t>
      </w:r>
      <w:bookmarkEnd w:id="351"/>
      <w:bookmarkEnd w:id="352"/>
      <w:bookmarkEnd w:id="353"/>
      <w:bookmarkEnd w:id="354"/>
      <w:bookmarkEnd w:id="355"/>
      <w:bookmarkEnd w:id="357"/>
      <w:bookmarkEnd w:id="358"/>
      <w:bookmarkEnd w:id="359"/>
      <w:bookmarkEnd w:id="360"/>
      <w:bookmarkEnd w:id="361"/>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详见</w:t>
      </w:r>
      <w:r>
        <w:rPr>
          <w:rFonts w:hint="eastAsia" w:ascii="宋体" w:hAnsi="宋体" w:eastAsia="宋体" w:cs="宋体"/>
          <w:b/>
          <w:i w:val="0"/>
          <w:iCs/>
          <w:color w:val="auto"/>
          <w:sz w:val="24"/>
          <w:u w:val="single"/>
        </w:rPr>
        <w:t>合同专用条款</w:t>
      </w:r>
      <w:r>
        <w:rPr>
          <w:rFonts w:hint="eastAsia" w:ascii="宋体" w:hAnsi="宋体" w:eastAsia="宋体" w:cs="宋体"/>
          <w:i w:val="0"/>
          <w:iCs/>
          <w:color w:val="auto"/>
          <w:sz w:val="24"/>
        </w:rPr>
        <w:t>。</w:t>
      </w:r>
    </w:p>
    <w:p>
      <w:pPr>
        <w:spacing w:line="560" w:lineRule="exact"/>
        <w:ind w:firstLine="482" w:firstLineChars="200"/>
        <w:outlineLvl w:val="0"/>
        <w:rPr>
          <w:rFonts w:hint="eastAsia" w:ascii="宋体" w:hAnsi="宋体" w:eastAsia="宋体" w:cs="宋体"/>
          <w:b/>
          <w:color w:val="auto"/>
          <w:sz w:val="24"/>
        </w:rPr>
      </w:pPr>
      <w:bookmarkStart w:id="362" w:name="_Ref467379863"/>
      <w:bookmarkStart w:id="363" w:name="_Toc279701248"/>
      <w:bookmarkStart w:id="364" w:name="_Toc259093677"/>
      <w:bookmarkStart w:id="365" w:name="_Toc487900358"/>
      <w:bookmarkStart w:id="366" w:name="_Ref467379852"/>
      <w:bookmarkStart w:id="367" w:name="_Ref467379923"/>
      <w:bookmarkStart w:id="368" w:name="_Toc13467"/>
      <w:bookmarkStart w:id="369" w:name="_Toc18990"/>
      <w:bookmarkStart w:id="370" w:name="_Toc30507"/>
      <w:bookmarkStart w:id="371" w:name="_Toc13154"/>
      <w:bookmarkStart w:id="372" w:name="_Toc16163"/>
      <w:r>
        <w:rPr>
          <w:rFonts w:hint="eastAsia" w:ascii="宋体" w:hAnsi="宋体" w:eastAsia="宋体" w:cs="宋体"/>
          <w:b/>
          <w:color w:val="auto"/>
          <w:sz w:val="24"/>
        </w:rPr>
        <w:t>2.6 技术资料</w:t>
      </w:r>
      <w:bookmarkEnd w:id="362"/>
      <w:bookmarkEnd w:id="363"/>
      <w:bookmarkEnd w:id="364"/>
      <w:bookmarkEnd w:id="365"/>
      <w:bookmarkEnd w:id="366"/>
      <w:bookmarkEnd w:id="367"/>
      <w:r>
        <w:rPr>
          <w:rFonts w:hint="eastAsia" w:ascii="宋体" w:hAnsi="宋体" w:eastAsia="宋体" w:cs="宋体"/>
          <w:b/>
          <w:color w:val="auto"/>
          <w:sz w:val="24"/>
        </w:rPr>
        <w:t>和保密义务</w:t>
      </w:r>
      <w:bookmarkEnd w:id="368"/>
      <w:bookmarkEnd w:id="369"/>
      <w:bookmarkEnd w:id="370"/>
      <w:bookmarkEnd w:id="371"/>
      <w:bookmarkEnd w:id="372"/>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2.6.2 乙方有义务妥善保管和保护由甲方提供的前款信息和资料等；</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color w:val="auto"/>
          <w:sz w:val="24"/>
        </w:rPr>
      </w:pPr>
      <w:bookmarkStart w:id="373" w:name="_Toc19069"/>
      <w:bookmarkStart w:id="374" w:name="_Toc259093681"/>
      <w:bookmarkStart w:id="375" w:name="_Toc487900362"/>
      <w:bookmarkStart w:id="376" w:name="_Toc279701252"/>
      <w:r>
        <w:rPr>
          <w:rFonts w:hint="eastAsia" w:ascii="宋体" w:hAnsi="宋体" w:eastAsia="宋体" w:cs="宋体"/>
          <w:b/>
          <w:color w:val="auto"/>
          <w:sz w:val="24"/>
        </w:rPr>
        <w:t>2.7 质量保证</w:t>
      </w:r>
      <w:bookmarkEnd w:id="373"/>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color w:val="auto"/>
          <w:sz w:val="24"/>
        </w:rPr>
      </w:pPr>
      <w:bookmarkStart w:id="377" w:name="_Toc22267"/>
      <w:r>
        <w:rPr>
          <w:rFonts w:hint="eastAsia" w:ascii="宋体" w:hAnsi="宋体" w:eastAsia="宋体" w:cs="宋体"/>
          <w:b/>
          <w:color w:val="auto"/>
          <w:sz w:val="24"/>
        </w:rPr>
        <w:t>2.8 延迟</w:t>
      </w:r>
      <w:bookmarkEnd w:id="374"/>
      <w:bookmarkEnd w:id="375"/>
      <w:bookmarkEnd w:id="376"/>
      <w:r>
        <w:rPr>
          <w:rFonts w:hint="eastAsia" w:ascii="宋体" w:hAnsi="宋体" w:eastAsia="宋体" w:cs="宋体"/>
          <w:b/>
          <w:color w:val="auto"/>
          <w:sz w:val="24"/>
        </w:rPr>
        <w:t>履行</w:t>
      </w:r>
      <w:bookmarkEnd w:id="377"/>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宋体" w:hAnsi="宋体" w:eastAsia="宋体" w:cs="宋体"/>
          <w:b/>
          <w:color w:val="auto"/>
          <w:sz w:val="24"/>
        </w:rPr>
      </w:pPr>
      <w:bookmarkStart w:id="378" w:name="_Toc10611"/>
      <w:bookmarkStart w:id="379" w:name="_Ref467378121"/>
      <w:bookmarkStart w:id="380" w:name="_Toc279701254"/>
      <w:bookmarkStart w:id="381" w:name="_Toc487900364"/>
      <w:bookmarkStart w:id="382" w:name="_Toc259093683"/>
      <w:r>
        <w:rPr>
          <w:rFonts w:hint="eastAsia" w:ascii="宋体" w:hAnsi="宋体" w:eastAsia="宋体" w:cs="宋体"/>
          <w:b/>
          <w:color w:val="auto"/>
          <w:sz w:val="24"/>
        </w:rPr>
        <w:t>2.9 合同变更</w:t>
      </w:r>
      <w:bookmarkEnd w:id="378"/>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2.9.1 双方当事人协商一致，可以签订书面补充合同的形式变更合同，但不得违背采购文件确定的事项，且如果系追加与合同标的相同的服务的，那么所有补充合同的采购金额不得超过原合同价的10%；</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2.9.2 合同继续履行将损害国家利益和社会公共利益的，双方当事人应当以书面形式变更合同。有过错的一方应当承担赔偿责任，双方当事人都有过错的，各自承担相应的责任。</w:t>
      </w:r>
      <w:bookmarkStart w:id="383" w:name="_Toc487900369"/>
      <w:bookmarkStart w:id="384" w:name="_Toc279701259"/>
      <w:bookmarkStart w:id="385" w:name="_Toc259093688"/>
    </w:p>
    <w:p>
      <w:pPr>
        <w:spacing w:line="560" w:lineRule="exact"/>
        <w:ind w:firstLine="482" w:firstLineChars="200"/>
        <w:outlineLvl w:val="0"/>
        <w:rPr>
          <w:rFonts w:hint="eastAsia" w:ascii="宋体" w:hAnsi="宋体" w:eastAsia="宋体" w:cs="宋体"/>
          <w:b/>
          <w:color w:val="auto"/>
          <w:sz w:val="24"/>
        </w:rPr>
      </w:pPr>
      <w:bookmarkStart w:id="386" w:name="_Toc10663"/>
      <w:bookmarkStart w:id="387" w:name="_Toc23368"/>
      <w:bookmarkStart w:id="388" w:name="_Toc42"/>
      <w:bookmarkStart w:id="389" w:name="_Toc26689"/>
      <w:bookmarkStart w:id="390" w:name="_Toc21830"/>
      <w:r>
        <w:rPr>
          <w:rFonts w:hint="eastAsia" w:ascii="宋体" w:hAnsi="宋体" w:eastAsia="宋体" w:cs="宋体"/>
          <w:b/>
          <w:color w:val="auto"/>
          <w:sz w:val="24"/>
        </w:rPr>
        <w:t>2.10 合同转让</w:t>
      </w:r>
      <w:bookmarkEnd w:id="383"/>
      <w:bookmarkEnd w:id="384"/>
      <w:bookmarkEnd w:id="385"/>
      <w:r>
        <w:rPr>
          <w:rFonts w:hint="eastAsia" w:ascii="宋体" w:hAnsi="宋体" w:eastAsia="宋体" w:cs="宋体"/>
          <w:b/>
          <w:color w:val="auto"/>
          <w:sz w:val="24"/>
        </w:rPr>
        <w:t>和分包</w:t>
      </w:r>
      <w:bookmarkEnd w:id="386"/>
      <w:bookmarkEnd w:id="387"/>
      <w:bookmarkEnd w:id="388"/>
      <w:bookmarkEnd w:id="389"/>
      <w:bookmarkEnd w:id="390"/>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宋体" w:hAnsi="宋体" w:eastAsia="宋体" w:cs="宋体"/>
          <w:b/>
          <w:color w:val="auto"/>
          <w:sz w:val="24"/>
        </w:rPr>
      </w:pPr>
      <w:bookmarkStart w:id="391" w:name="_Toc14371"/>
      <w:bookmarkStart w:id="392" w:name="_Toc26633"/>
      <w:bookmarkStart w:id="393" w:name="_Toc4720"/>
      <w:bookmarkStart w:id="394" w:name="_Toc32494"/>
      <w:bookmarkStart w:id="395" w:name="_Toc25571"/>
      <w:r>
        <w:rPr>
          <w:rFonts w:hint="eastAsia" w:ascii="宋体" w:hAnsi="宋体" w:eastAsia="宋体" w:cs="宋体"/>
          <w:b/>
          <w:color w:val="auto"/>
          <w:sz w:val="24"/>
        </w:rPr>
        <w:t>2.11 不可抗力</w:t>
      </w:r>
      <w:bookmarkEnd w:id="391"/>
      <w:bookmarkEnd w:id="392"/>
      <w:bookmarkEnd w:id="393"/>
      <w:bookmarkEnd w:id="394"/>
      <w:bookmarkEnd w:id="395"/>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2.11.2 因不可抗力致使不能实现合同目的的，当事人可以解除合同；</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2.11.3 因不可抗力致使合同有变更必要的，双方当事人应在</w:t>
      </w:r>
      <w:r>
        <w:rPr>
          <w:rFonts w:hint="eastAsia" w:ascii="宋体" w:hAnsi="宋体" w:eastAsia="宋体" w:cs="宋体"/>
          <w:b/>
          <w:i w:val="0"/>
          <w:iCs/>
          <w:color w:val="auto"/>
          <w:sz w:val="24"/>
          <w:u w:val="single"/>
        </w:rPr>
        <w:t>合同专用条款</w:t>
      </w:r>
      <w:r>
        <w:rPr>
          <w:rFonts w:hint="eastAsia" w:ascii="宋体" w:hAnsi="宋体" w:eastAsia="宋体" w:cs="宋体"/>
          <w:color w:val="auto"/>
          <w:sz w:val="24"/>
        </w:rPr>
        <w:t>约定时间内以书面形式变更合同；</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2.11.4受不可抗力影响的一方在不可抗力发生后，应在</w:t>
      </w:r>
      <w:r>
        <w:rPr>
          <w:rFonts w:hint="eastAsia" w:ascii="宋体" w:hAnsi="宋体" w:eastAsia="宋体" w:cs="宋体"/>
          <w:b/>
          <w:i w:val="0"/>
          <w:iCs/>
          <w:color w:val="auto"/>
          <w:sz w:val="24"/>
          <w:u w:val="single"/>
        </w:rPr>
        <w:t>合同专用条款</w:t>
      </w:r>
      <w:r>
        <w:rPr>
          <w:rFonts w:hint="eastAsia" w:ascii="宋体" w:hAnsi="宋体" w:eastAsia="宋体" w:cs="宋体"/>
          <w:i w:val="0"/>
          <w:iCs/>
          <w:color w:val="auto"/>
          <w:sz w:val="24"/>
        </w:rPr>
        <w:t>约</w:t>
      </w:r>
      <w:r>
        <w:rPr>
          <w:rFonts w:hint="eastAsia" w:ascii="宋体" w:hAnsi="宋体" w:eastAsia="宋体" w:cs="宋体"/>
          <w:color w:val="auto"/>
          <w:sz w:val="24"/>
        </w:rPr>
        <w:t>定时间内以书面形式通知对方当事人，并在</w:t>
      </w:r>
      <w:r>
        <w:rPr>
          <w:rFonts w:hint="eastAsia" w:ascii="宋体" w:hAnsi="宋体" w:eastAsia="宋体" w:cs="宋体"/>
          <w:b/>
          <w:i w:val="0"/>
          <w:iCs/>
          <w:color w:val="auto"/>
          <w:sz w:val="24"/>
          <w:u w:val="single"/>
        </w:rPr>
        <w:t>合同专用条款</w:t>
      </w:r>
      <w:r>
        <w:rPr>
          <w:rFonts w:hint="eastAsia" w:ascii="宋体" w:hAnsi="宋体" w:eastAsia="宋体" w:cs="宋体"/>
          <w:color w:val="auto"/>
          <w:sz w:val="24"/>
        </w:rPr>
        <w:t>约定时间内，将有关部门出具的证明文件送达对方当事人。</w:t>
      </w:r>
    </w:p>
    <w:p>
      <w:pPr>
        <w:spacing w:line="560" w:lineRule="exact"/>
        <w:ind w:firstLine="482" w:firstLineChars="200"/>
        <w:outlineLvl w:val="0"/>
        <w:rPr>
          <w:rFonts w:hint="eastAsia" w:ascii="宋体" w:hAnsi="宋体" w:eastAsia="宋体" w:cs="宋体"/>
          <w:b/>
          <w:color w:val="auto"/>
          <w:sz w:val="24"/>
        </w:rPr>
      </w:pPr>
      <w:bookmarkStart w:id="396" w:name="_Toc279701255"/>
      <w:bookmarkStart w:id="397" w:name="_Toc24465"/>
      <w:bookmarkStart w:id="398" w:name="_Toc25783"/>
      <w:bookmarkStart w:id="399" w:name="_Toc487900365"/>
      <w:bookmarkStart w:id="400" w:name="_Toc14115"/>
      <w:bookmarkStart w:id="401" w:name="_Toc23854"/>
      <w:bookmarkStart w:id="402" w:name="_Toc3638"/>
      <w:bookmarkStart w:id="403" w:name="_Toc259093684"/>
      <w:r>
        <w:rPr>
          <w:rFonts w:hint="eastAsia" w:ascii="宋体" w:hAnsi="宋体" w:eastAsia="宋体" w:cs="宋体"/>
          <w:b/>
          <w:color w:val="auto"/>
          <w:sz w:val="24"/>
        </w:rPr>
        <w:t>2.12 税费</w:t>
      </w:r>
      <w:bookmarkEnd w:id="396"/>
      <w:bookmarkEnd w:id="397"/>
      <w:bookmarkEnd w:id="398"/>
      <w:bookmarkEnd w:id="399"/>
      <w:bookmarkEnd w:id="400"/>
      <w:bookmarkEnd w:id="401"/>
      <w:bookmarkEnd w:id="402"/>
      <w:bookmarkEnd w:id="403"/>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与合同有关的一切税费，均按照中华人民共和国法律的相关规定缴纳。</w:t>
      </w:r>
    </w:p>
    <w:p>
      <w:pPr>
        <w:spacing w:line="560" w:lineRule="exact"/>
        <w:ind w:firstLine="482" w:firstLineChars="200"/>
        <w:outlineLvl w:val="0"/>
        <w:rPr>
          <w:rFonts w:hint="eastAsia" w:ascii="宋体" w:hAnsi="宋体" w:eastAsia="宋体" w:cs="宋体"/>
          <w:b/>
          <w:color w:val="auto"/>
          <w:sz w:val="24"/>
        </w:rPr>
      </w:pPr>
      <w:bookmarkStart w:id="404" w:name="_Toc14814"/>
      <w:bookmarkStart w:id="405" w:name="_Toc26883"/>
      <w:bookmarkStart w:id="406" w:name="_Toc487900368"/>
      <w:bookmarkStart w:id="407" w:name="_Toc7315"/>
      <w:bookmarkStart w:id="408" w:name="_Toc25525"/>
      <w:bookmarkStart w:id="409" w:name="_Toc30105"/>
      <w:bookmarkStart w:id="410" w:name="_Toc279701258"/>
      <w:bookmarkStart w:id="411" w:name="_Toc259093687"/>
      <w:r>
        <w:rPr>
          <w:rFonts w:hint="eastAsia" w:ascii="宋体" w:hAnsi="宋体" w:eastAsia="宋体" w:cs="宋体"/>
          <w:b/>
          <w:color w:val="auto"/>
          <w:sz w:val="24"/>
        </w:rPr>
        <w:t>2.13 乙方破产</w:t>
      </w:r>
      <w:bookmarkEnd w:id="404"/>
      <w:bookmarkEnd w:id="405"/>
      <w:bookmarkEnd w:id="406"/>
      <w:bookmarkEnd w:id="407"/>
      <w:bookmarkEnd w:id="408"/>
      <w:bookmarkEnd w:id="409"/>
      <w:bookmarkEnd w:id="410"/>
      <w:bookmarkEnd w:id="411"/>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color w:val="auto"/>
          <w:sz w:val="24"/>
        </w:rPr>
      </w:pPr>
      <w:bookmarkStart w:id="412" w:name="_Toc2016"/>
      <w:bookmarkStart w:id="413" w:name="_Toc1123"/>
      <w:bookmarkStart w:id="414" w:name="_Toc23323"/>
      <w:r>
        <w:rPr>
          <w:rFonts w:hint="eastAsia" w:ascii="宋体" w:hAnsi="宋体" w:eastAsia="宋体" w:cs="宋体"/>
          <w:b/>
          <w:color w:val="auto"/>
          <w:sz w:val="24"/>
        </w:rPr>
        <w:t>2.14 合同中止、终止</w:t>
      </w:r>
      <w:bookmarkEnd w:id="412"/>
      <w:bookmarkEnd w:id="413"/>
      <w:bookmarkEnd w:id="414"/>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2.14.1 双方当事人不得擅自中止或者终止合同；</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rPr>
      </w:pPr>
      <w:bookmarkStart w:id="415" w:name="_Toc1969"/>
      <w:bookmarkStart w:id="416" w:name="_Toc14525"/>
      <w:bookmarkStart w:id="417" w:name="_Toc17363"/>
      <w:r>
        <w:rPr>
          <w:rFonts w:hint="eastAsia" w:ascii="宋体" w:hAnsi="宋体" w:eastAsia="宋体" w:cs="宋体"/>
          <w:b/>
          <w:color w:val="auto"/>
          <w:sz w:val="24"/>
        </w:rPr>
        <w:t>2.15 检验和验收</w:t>
      </w:r>
      <w:bookmarkEnd w:id="415"/>
      <w:bookmarkEnd w:id="416"/>
      <w:bookmarkEnd w:id="417"/>
    </w:p>
    <w:p>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2.15.1 乙方按照</w:t>
      </w:r>
      <w:r>
        <w:rPr>
          <w:rFonts w:hint="eastAsia" w:ascii="宋体" w:hAnsi="宋体" w:eastAsia="宋体" w:cs="宋体"/>
          <w:b/>
          <w:i w:val="0"/>
          <w:iCs/>
          <w:color w:val="auto"/>
          <w:sz w:val="24"/>
          <w:u w:val="single"/>
        </w:rPr>
        <w:t>合同专用条款</w:t>
      </w:r>
      <w:r>
        <w:rPr>
          <w:rFonts w:hint="eastAsia" w:ascii="宋体" w:hAnsi="宋体" w:eastAsia="宋体" w:cs="宋体"/>
          <w:color w:val="auto"/>
          <w:sz w:val="24"/>
        </w:rPr>
        <w:t>的约定，定期提交服务报告，甲方按照</w:t>
      </w:r>
      <w:r>
        <w:rPr>
          <w:rFonts w:hint="eastAsia" w:ascii="宋体" w:hAnsi="宋体" w:eastAsia="宋体" w:cs="宋体"/>
          <w:b/>
          <w:i w:val="0"/>
          <w:iCs/>
          <w:color w:val="auto"/>
          <w:sz w:val="24"/>
          <w:u w:val="single"/>
        </w:rPr>
        <w:t>合同专用条款</w:t>
      </w:r>
      <w:r>
        <w:rPr>
          <w:rFonts w:hint="eastAsia" w:ascii="宋体" w:hAnsi="宋体" w:eastAsia="宋体" w:cs="宋体"/>
          <w:i w:val="0"/>
          <w:iCs/>
          <w:color w:val="auto"/>
          <w:sz w:val="24"/>
        </w:rPr>
        <w:t>的</w:t>
      </w:r>
      <w:r>
        <w:rPr>
          <w:rFonts w:hint="eastAsia" w:ascii="宋体" w:hAnsi="宋体" w:eastAsia="宋体" w:cs="宋体"/>
          <w:color w:val="auto"/>
          <w:sz w:val="24"/>
        </w:rPr>
        <w:t>约定进行定期验收；</w:t>
      </w:r>
    </w:p>
    <w:p>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宋体" w:hAnsi="宋体" w:eastAsia="宋体" w:cs="宋体"/>
          <w:i w:val="0"/>
          <w:iCs/>
          <w:color w:val="auto"/>
          <w:sz w:val="24"/>
        </w:rPr>
      </w:pPr>
      <w:r>
        <w:rPr>
          <w:rFonts w:hint="eastAsia" w:ascii="宋体" w:hAnsi="宋体" w:eastAsia="宋体" w:cs="宋体"/>
          <w:color w:val="auto"/>
          <w:sz w:val="24"/>
        </w:rPr>
        <w:t>2.15.3 检验和验收标准、程序等具体内容以及前述验收书的效力详见</w:t>
      </w:r>
      <w:r>
        <w:rPr>
          <w:rFonts w:hint="eastAsia" w:ascii="宋体" w:hAnsi="宋体" w:eastAsia="宋体" w:cs="宋体"/>
          <w:b/>
          <w:i w:val="0"/>
          <w:iCs/>
          <w:color w:val="auto"/>
          <w:sz w:val="24"/>
          <w:u w:val="single"/>
        </w:rPr>
        <w:t>合同专用条款</w:t>
      </w:r>
      <w:r>
        <w:rPr>
          <w:rFonts w:hint="eastAsia" w:ascii="宋体" w:hAnsi="宋体" w:eastAsia="宋体" w:cs="宋体"/>
          <w:i w:val="0"/>
          <w:iCs/>
          <w:color w:val="auto"/>
          <w:sz w:val="24"/>
        </w:rPr>
        <w:t>。</w:t>
      </w:r>
    </w:p>
    <w:bookmarkEnd w:id="379"/>
    <w:bookmarkEnd w:id="380"/>
    <w:bookmarkEnd w:id="381"/>
    <w:bookmarkEnd w:id="382"/>
    <w:p>
      <w:pPr>
        <w:spacing w:line="560" w:lineRule="exact"/>
        <w:ind w:firstLine="482" w:firstLineChars="200"/>
        <w:outlineLvl w:val="0"/>
        <w:rPr>
          <w:rFonts w:hint="eastAsia" w:ascii="宋体" w:hAnsi="宋体" w:eastAsia="宋体" w:cs="宋体"/>
          <w:b/>
          <w:color w:val="auto"/>
          <w:sz w:val="24"/>
        </w:rPr>
      </w:pPr>
      <w:bookmarkStart w:id="418" w:name="_Toc487900371"/>
      <w:bookmarkStart w:id="419" w:name="_Toc259093690"/>
      <w:bookmarkStart w:id="420" w:name="_Toc279701261"/>
      <w:bookmarkStart w:id="421" w:name="_Toc31892"/>
      <w:bookmarkStart w:id="422" w:name="_Toc9808"/>
      <w:bookmarkStart w:id="423" w:name="_Toc2308"/>
      <w:bookmarkStart w:id="424" w:name="_Toc12666"/>
      <w:bookmarkStart w:id="425" w:name="_Toc25198"/>
      <w:r>
        <w:rPr>
          <w:rFonts w:hint="eastAsia" w:ascii="宋体" w:hAnsi="宋体" w:eastAsia="宋体" w:cs="宋体"/>
          <w:b/>
          <w:color w:val="auto"/>
          <w:sz w:val="24"/>
        </w:rPr>
        <w:t>2.16 通知</w:t>
      </w:r>
      <w:bookmarkEnd w:id="418"/>
      <w:bookmarkEnd w:id="419"/>
      <w:bookmarkEnd w:id="420"/>
      <w:r>
        <w:rPr>
          <w:rFonts w:hint="eastAsia" w:ascii="宋体" w:hAnsi="宋体" w:eastAsia="宋体" w:cs="宋体"/>
          <w:b/>
          <w:color w:val="auto"/>
          <w:sz w:val="24"/>
        </w:rPr>
        <w:t>和送达</w:t>
      </w:r>
      <w:bookmarkEnd w:id="421"/>
      <w:bookmarkEnd w:id="422"/>
      <w:bookmarkEnd w:id="423"/>
      <w:bookmarkEnd w:id="424"/>
      <w:bookmarkEnd w:id="425"/>
    </w:p>
    <w:p>
      <w:pPr>
        <w:spacing w:line="560" w:lineRule="exact"/>
        <w:ind w:firstLine="480" w:firstLineChars="200"/>
        <w:rPr>
          <w:rFonts w:hint="eastAsia" w:ascii="宋体" w:hAnsi="宋体" w:eastAsia="宋体" w:cs="宋体"/>
          <w:color w:val="auto"/>
          <w:sz w:val="24"/>
        </w:rPr>
      </w:pPr>
      <w:bookmarkStart w:id="426" w:name="_Toc29220"/>
      <w:bookmarkStart w:id="427" w:name="_Toc7073"/>
      <w:bookmarkStart w:id="428" w:name="_Toc259093691"/>
      <w:bookmarkStart w:id="429" w:name="_Toc279701262"/>
      <w:bookmarkStart w:id="430" w:name="_Toc487900372"/>
      <w:r>
        <w:rPr>
          <w:rFonts w:hint="eastAsia" w:ascii="宋体" w:hAnsi="宋体" w:eastAsia="宋体" w:cs="宋体"/>
          <w:color w:val="auto"/>
          <w:sz w:val="24"/>
        </w:rPr>
        <w:t>2.16.1 任何一方因履行合同而以合同第一部分尾部所列明的</w:t>
      </w:r>
      <w:r>
        <w:rPr>
          <w:rFonts w:hint="eastAsia" w:ascii="宋体" w:hAnsi="宋体" w:eastAsia="宋体" w:cs="宋体"/>
          <w:color w:val="auto"/>
          <w:sz w:val="24"/>
          <w:u w:val="single"/>
        </w:rPr>
        <w:t xml:space="preserve">          </w:t>
      </w:r>
      <w:r>
        <w:rPr>
          <w:rFonts w:hint="eastAsia" w:ascii="宋体" w:hAnsi="宋体" w:eastAsia="宋体" w:cs="宋体"/>
          <w:color w:val="auto"/>
          <w:sz w:val="24"/>
        </w:rPr>
        <w:t>发出的所有通知、文件、材料，均视为已向对方当事人送达；任何一方变更上述送达方式或者地址的，应于</w:t>
      </w:r>
      <w:r>
        <w:rPr>
          <w:rFonts w:hint="eastAsia" w:ascii="宋体" w:hAnsi="宋体" w:eastAsia="宋体" w:cs="宋体"/>
          <w:color w:val="auto"/>
          <w:sz w:val="24"/>
          <w:u w:val="single"/>
        </w:rPr>
        <w:t xml:space="preserve">   </w:t>
      </w:r>
      <w:r>
        <w:rPr>
          <w:rFonts w:hint="eastAsia" w:ascii="宋体" w:hAnsi="宋体" w:eastAsia="宋体" w:cs="宋体"/>
          <w:color w:val="auto"/>
          <w:sz w:val="24"/>
        </w:rPr>
        <w:t>个工作日内书面通知对方当事人，在对方当事人收到有关变更通知之前，变更前的约定送达方式或者地址仍视为有效。</w:t>
      </w:r>
      <w:bookmarkEnd w:id="426"/>
      <w:bookmarkEnd w:id="427"/>
    </w:p>
    <w:p>
      <w:pPr>
        <w:spacing w:line="560" w:lineRule="exact"/>
        <w:ind w:firstLine="480" w:firstLineChars="200"/>
        <w:rPr>
          <w:rFonts w:hint="eastAsia" w:ascii="宋体" w:hAnsi="宋体" w:eastAsia="宋体" w:cs="宋体"/>
          <w:color w:val="auto"/>
          <w:sz w:val="24"/>
        </w:rPr>
      </w:pPr>
      <w:bookmarkStart w:id="431" w:name="_Toc18401"/>
      <w:bookmarkStart w:id="432" w:name="_Toc27674"/>
      <w:r>
        <w:rPr>
          <w:rFonts w:hint="eastAsia" w:ascii="宋体" w:hAnsi="宋体" w:eastAsia="宋体" w:cs="宋体"/>
          <w:color w:val="auto"/>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31"/>
      <w:bookmarkEnd w:id="432"/>
    </w:p>
    <w:bookmarkEnd w:id="428"/>
    <w:bookmarkEnd w:id="429"/>
    <w:bookmarkEnd w:id="430"/>
    <w:p>
      <w:pPr>
        <w:spacing w:line="560" w:lineRule="exact"/>
        <w:ind w:firstLine="482" w:firstLineChars="200"/>
        <w:outlineLvl w:val="0"/>
        <w:rPr>
          <w:rFonts w:hint="eastAsia" w:ascii="宋体" w:hAnsi="宋体" w:eastAsia="宋体" w:cs="宋体"/>
          <w:b/>
          <w:color w:val="auto"/>
          <w:sz w:val="24"/>
        </w:rPr>
      </w:pPr>
      <w:bookmarkStart w:id="433" w:name="_Toc20808"/>
      <w:bookmarkStart w:id="434" w:name="_Toc27644"/>
      <w:bookmarkStart w:id="435" w:name="_Toc487900373"/>
      <w:bookmarkStart w:id="436" w:name="_Toc279701263"/>
      <w:bookmarkStart w:id="437" w:name="_Toc5063"/>
      <w:bookmarkStart w:id="438" w:name="_Toc12254"/>
      <w:bookmarkStart w:id="439" w:name="_Toc259093692"/>
      <w:bookmarkStart w:id="440" w:name="_Toc28906"/>
      <w:r>
        <w:rPr>
          <w:rFonts w:hint="eastAsia" w:ascii="宋体" w:hAnsi="宋体" w:eastAsia="宋体" w:cs="宋体"/>
          <w:b/>
          <w:color w:val="auto"/>
          <w:sz w:val="24"/>
        </w:rPr>
        <w:t>2.17 合同使用的文字和适用的法律</w:t>
      </w:r>
      <w:bookmarkEnd w:id="433"/>
      <w:bookmarkEnd w:id="434"/>
      <w:bookmarkEnd w:id="435"/>
      <w:bookmarkEnd w:id="436"/>
      <w:bookmarkEnd w:id="437"/>
      <w:bookmarkEnd w:id="438"/>
      <w:bookmarkEnd w:id="439"/>
      <w:bookmarkEnd w:id="440"/>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2.17.1 合同使用汉语书就、变更和解释；</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2.17.2 合同适用中华人民共和国法律。</w:t>
      </w:r>
    </w:p>
    <w:p>
      <w:pPr>
        <w:spacing w:line="560" w:lineRule="exact"/>
        <w:ind w:firstLine="482" w:firstLineChars="200"/>
        <w:outlineLvl w:val="0"/>
        <w:rPr>
          <w:rFonts w:hint="eastAsia" w:ascii="宋体" w:hAnsi="宋体" w:eastAsia="宋体" w:cs="宋体"/>
          <w:b/>
          <w:color w:val="auto"/>
          <w:sz w:val="24"/>
        </w:rPr>
      </w:pPr>
      <w:bookmarkStart w:id="441" w:name="_Toc1492"/>
      <w:bookmarkStart w:id="442" w:name="_Toc27127"/>
      <w:bookmarkStart w:id="443" w:name="_Toc30096"/>
      <w:bookmarkStart w:id="444" w:name="_Toc22266"/>
      <w:bookmarkStart w:id="445" w:name="_Toc259093693"/>
      <w:bookmarkStart w:id="446" w:name="_Toc27403"/>
      <w:bookmarkStart w:id="447" w:name="_Toc279701264"/>
      <w:bookmarkStart w:id="448" w:name="_Toc487900374"/>
      <w:r>
        <w:rPr>
          <w:rFonts w:hint="eastAsia" w:ascii="宋体" w:hAnsi="宋体" w:eastAsia="宋体" w:cs="宋体"/>
          <w:b/>
          <w:color w:val="auto"/>
          <w:sz w:val="24"/>
        </w:rPr>
        <w:t>2.18 履约保证金</w:t>
      </w:r>
      <w:bookmarkEnd w:id="441"/>
      <w:bookmarkEnd w:id="442"/>
      <w:bookmarkEnd w:id="443"/>
      <w:bookmarkEnd w:id="444"/>
      <w:bookmarkEnd w:id="445"/>
      <w:bookmarkEnd w:id="446"/>
      <w:bookmarkEnd w:id="447"/>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2.18.1 采购文件要求乙方提交履约保证金的，乙方应按</w:t>
      </w:r>
      <w:r>
        <w:rPr>
          <w:rFonts w:hint="eastAsia" w:ascii="宋体" w:hAnsi="宋体" w:eastAsia="宋体" w:cs="宋体"/>
          <w:b/>
          <w:i w:val="0"/>
          <w:iCs/>
          <w:color w:val="auto"/>
          <w:sz w:val="24"/>
          <w:u w:val="single"/>
        </w:rPr>
        <w:t>合同专用条款</w:t>
      </w:r>
      <w:r>
        <w:rPr>
          <w:rFonts w:hint="eastAsia" w:ascii="宋体" w:hAnsi="宋体" w:eastAsia="宋体" w:cs="宋体"/>
          <w:i w:val="0"/>
          <w:iCs/>
          <w:color w:val="auto"/>
          <w:sz w:val="24"/>
        </w:rPr>
        <w:t>约</w:t>
      </w:r>
      <w:r>
        <w:rPr>
          <w:rFonts w:hint="eastAsia" w:ascii="宋体" w:hAnsi="宋体" w:eastAsia="宋体" w:cs="宋体"/>
          <w:color w:val="auto"/>
          <w:sz w:val="24"/>
        </w:rPr>
        <w:t>定的方式，以支票、汇票、本票或者金融机构、担保机构出具的保函等非现金形式，提交不超过合同价10%的履约保证金；</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2.18.2 履约保证金在</w:t>
      </w:r>
      <w:r>
        <w:rPr>
          <w:rFonts w:hint="eastAsia" w:ascii="宋体" w:hAnsi="宋体" w:eastAsia="宋体" w:cs="宋体"/>
          <w:b/>
          <w:i w:val="0"/>
          <w:iCs/>
          <w:color w:val="auto"/>
          <w:sz w:val="24"/>
          <w:u w:val="single"/>
        </w:rPr>
        <w:t>合同专用条款</w:t>
      </w:r>
      <w:r>
        <w:rPr>
          <w:rFonts w:hint="eastAsia" w:ascii="宋体" w:hAnsi="宋体" w:eastAsia="宋体" w:cs="宋体"/>
          <w:color w:val="auto"/>
          <w:sz w:val="24"/>
        </w:rPr>
        <w:t>约定期间内不予退还或者应完全有效，前述约定期间届满之日起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个工作日内，甲方应将履约保证金退还乙方；</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448"/>
    <w:p>
      <w:pPr>
        <w:spacing w:line="56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2.19 合同份数</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合同份数按</w:t>
      </w:r>
      <w:r>
        <w:rPr>
          <w:rFonts w:hint="eastAsia" w:ascii="宋体" w:hAnsi="宋体" w:eastAsia="宋体" w:cs="宋体"/>
          <w:b/>
          <w:i w:val="0"/>
          <w:iCs/>
          <w:color w:val="auto"/>
          <w:sz w:val="24"/>
          <w:u w:val="single"/>
        </w:rPr>
        <w:t>合同专用条款</w:t>
      </w:r>
      <w:r>
        <w:rPr>
          <w:rFonts w:hint="eastAsia" w:ascii="宋体" w:hAnsi="宋体" w:eastAsia="宋体" w:cs="宋体"/>
          <w:color w:val="auto"/>
          <w:sz w:val="24"/>
        </w:rPr>
        <w:t>规定，每份均具有同等法律效力。</w:t>
      </w:r>
    </w:p>
    <w:p>
      <w:pPr>
        <w:pStyle w:val="54"/>
        <w:spacing w:line="560" w:lineRule="exact"/>
        <w:ind w:firstLine="0"/>
        <w:jc w:val="center"/>
        <w:rPr>
          <w:rFonts w:hint="eastAsia" w:ascii="宋体" w:hAnsi="宋体" w:eastAsia="宋体" w:cs="宋体"/>
          <w:b/>
          <w:color w:val="auto"/>
          <w:szCs w:val="24"/>
        </w:rPr>
      </w:pPr>
      <w:r>
        <w:rPr>
          <w:rFonts w:hint="eastAsia" w:ascii="宋体" w:hAnsi="宋体" w:eastAsia="宋体" w:cs="宋体"/>
          <w:color w:val="auto"/>
          <w:szCs w:val="24"/>
        </w:rPr>
        <w:br w:type="page"/>
      </w:r>
      <w:bookmarkStart w:id="449" w:name="_Toc331685784"/>
      <w:r>
        <w:rPr>
          <w:rFonts w:hint="eastAsia" w:ascii="宋体" w:hAnsi="宋体" w:eastAsia="宋体" w:cs="宋体"/>
          <w:b/>
          <w:color w:val="auto"/>
          <w:szCs w:val="24"/>
        </w:rPr>
        <w:t>第三部分  合同专用条款</w:t>
      </w:r>
      <w:bookmarkEnd w:id="449"/>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pPr>
              <w:spacing w:line="560" w:lineRule="exact"/>
              <w:jc w:val="center"/>
              <w:rPr>
                <w:rFonts w:hint="eastAsia" w:ascii="宋体" w:hAnsi="宋体" w:eastAsia="宋体" w:cs="宋体"/>
                <w:b/>
                <w:color w:val="auto"/>
                <w:sz w:val="24"/>
              </w:rPr>
            </w:pPr>
            <w:r>
              <w:rPr>
                <w:rFonts w:hint="eastAsia" w:ascii="宋体" w:hAnsi="宋体" w:eastAsia="宋体" w:cs="宋体"/>
                <w:b/>
                <w:color w:val="auto"/>
                <w:sz w:val="24"/>
              </w:rPr>
              <w:t>条款号</w:t>
            </w:r>
          </w:p>
        </w:tc>
        <w:tc>
          <w:tcPr>
            <w:tcW w:w="7633" w:type="dxa"/>
            <w:noWrap w:val="0"/>
            <w:vAlign w:val="center"/>
          </w:tcPr>
          <w:p>
            <w:pPr>
              <w:spacing w:line="560" w:lineRule="exact"/>
              <w:jc w:val="center"/>
              <w:rPr>
                <w:rFonts w:hint="eastAsia" w:ascii="宋体" w:hAnsi="宋体" w:eastAsia="宋体" w:cs="宋体"/>
                <w:b/>
                <w:color w:val="auto"/>
                <w:sz w:val="24"/>
              </w:rPr>
            </w:pPr>
            <w:r>
              <w:rPr>
                <w:rFonts w:hint="eastAsia" w:ascii="宋体" w:hAnsi="宋体" w:eastAsia="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pPr>
              <w:spacing w:line="560" w:lineRule="exact"/>
              <w:rPr>
                <w:rFonts w:hint="eastAsia" w:ascii="宋体" w:hAnsi="宋体" w:eastAsia="宋体" w:cs="宋体"/>
                <w:color w:val="auto"/>
                <w:sz w:val="24"/>
              </w:rPr>
            </w:pPr>
          </w:p>
        </w:tc>
        <w:tc>
          <w:tcPr>
            <w:tcW w:w="7633" w:type="dxa"/>
            <w:noWrap w:val="0"/>
            <w:vAlign w:val="center"/>
          </w:tcPr>
          <w:p>
            <w:pPr>
              <w:spacing w:line="560" w:lineRule="exact"/>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hint="eastAsia" w:ascii="宋体" w:hAnsi="宋体" w:eastAsia="宋体" w:cs="宋体"/>
                <w:color w:val="auto"/>
                <w:sz w:val="24"/>
              </w:rPr>
            </w:pPr>
          </w:p>
        </w:tc>
        <w:tc>
          <w:tcPr>
            <w:tcW w:w="7633" w:type="dxa"/>
            <w:noWrap w:val="0"/>
            <w:vAlign w:val="center"/>
          </w:tcPr>
          <w:p>
            <w:pPr>
              <w:spacing w:line="560" w:lineRule="exact"/>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hint="eastAsia" w:ascii="宋体" w:hAnsi="宋体" w:eastAsia="宋体" w:cs="宋体"/>
                <w:color w:val="auto"/>
                <w:sz w:val="24"/>
              </w:rPr>
            </w:pPr>
          </w:p>
        </w:tc>
        <w:tc>
          <w:tcPr>
            <w:tcW w:w="7633" w:type="dxa"/>
            <w:noWrap w:val="0"/>
            <w:vAlign w:val="center"/>
          </w:tcPr>
          <w:p>
            <w:pPr>
              <w:spacing w:line="560" w:lineRule="exact"/>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hint="eastAsia" w:ascii="宋体" w:hAnsi="宋体" w:eastAsia="宋体" w:cs="宋体"/>
                <w:color w:val="auto"/>
                <w:sz w:val="24"/>
              </w:rPr>
            </w:pPr>
          </w:p>
        </w:tc>
        <w:tc>
          <w:tcPr>
            <w:tcW w:w="7633" w:type="dxa"/>
            <w:noWrap w:val="0"/>
            <w:vAlign w:val="center"/>
          </w:tcPr>
          <w:p>
            <w:pPr>
              <w:spacing w:line="560" w:lineRule="exact"/>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hint="eastAsia" w:ascii="宋体" w:hAnsi="宋体" w:eastAsia="宋体" w:cs="宋体"/>
                <w:color w:val="auto"/>
                <w:sz w:val="24"/>
              </w:rPr>
            </w:pPr>
          </w:p>
        </w:tc>
        <w:tc>
          <w:tcPr>
            <w:tcW w:w="7633" w:type="dxa"/>
            <w:noWrap w:val="0"/>
            <w:vAlign w:val="center"/>
          </w:tcPr>
          <w:p>
            <w:pPr>
              <w:spacing w:line="560" w:lineRule="exact"/>
              <w:rPr>
                <w:rFonts w:hint="eastAsia" w:ascii="宋体" w:hAnsi="宋体" w:eastAsia="宋体" w:cs="宋体"/>
                <w:color w:val="auto"/>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hint="eastAsia" w:ascii="宋体" w:hAnsi="宋体" w:eastAsia="宋体" w:cs="宋体"/>
                <w:color w:val="auto"/>
                <w:sz w:val="24"/>
              </w:rPr>
            </w:pPr>
          </w:p>
        </w:tc>
        <w:tc>
          <w:tcPr>
            <w:tcW w:w="7633" w:type="dxa"/>
            <w:noWrap w:val="0"/>
            <w:vAlign w:val="center"/>
          </w:tcPr>
          <w:p>
            <w:pPr>
              <w:spacing w:line="560" w:lineRule="exact"/>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hint="eastAsia" w:ascii="宋体" w:hAnsi="宋体" w:eastAsia="宋体" w:cs="宋体"/>
                <w:color w:val="auto"/>
                <w:sz w:val="24"/>
              </w:rPr>
            </w:pPr>
          </w:p>
        </w:tc>
        <w:tc>
          <w:tcPr>
            <w:tcW w:w="7633" w:type="dxa"/>
            <w:noWrap w:val="0"/>
            <w:vAlign w:val="center"/>
          </w:tcPr>
          <w:p>
            <w:pPr>
              <w:spacing w:line="560" w:lineRule="exact"/>
              <w:rPr>
                <w:rFonts w:hint="eastAsia" w:ascii="宋体" w:hAnsi="宋体" w:eastAsia="宋体" w:cs="宋体"/>
                <w:color w:val="auto"/>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hint="eastAsia" w:ascii="宋体" w:hAnsi="宋体" w:eastAsia="宋体" w:cs="宋体"/>
                <w:color w:val="auto"/>
                <w:sz w:val="24"/>
              </w:rPr>
            </w:pPr>
          </w:p>
        </w:tc>
        <w:tc>
          <w:tcPr>
            <w:tcW w:w="7633" w:type="dxa"/>
            <w:noWrap w:val="0"/>
            <w:vAlign w:val="center"/>
          </w:tcPr>
          <w:p>
            <w:pPr>
              <w:spacing w:line="560" w:lineRule="exact"/>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hint="eastAsia" w:ascii="宋体" w:hAnsi="宋体" w:eastAsia="宋体" w:cs="宋体"/>
                <w:color w:val="auto"/>
                <w:sz w:val="24"/>
              </w:rPr>
            </w:pPr>
          </w:p>
        </w:tc>
        <w:tc>
          <w:tcPr>
            <w:tcW w:w="7633" w:type="dxa"/>
            <w:noWrap w:val="0"/>
            <w:vAlign w:val="center"/>
          </w:tcPr>
          <w:p>
            <w:pPr>
              <w:spacing w:line="560" w:lineRule="exact"/>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hint="eastAsia" w:ascii="宋体" w:hAnsi="宋体" w:eastAsia="宋体" w:cs="宋体"/>
                <w:color w:val="auto"/>
                <w:sz w:val="24"/>
              </w:rPr>
            </w:pPr>
          </w:p>
        </w:tc>
        <w:tc>
          <w:tcPr>
            <w:tcW w:w="7633" w:type="dxa"/>
            <w:noWrap w:val="0"/>
            <w:vAlign w:val="center"/>
          </w:tcPr>
          <w:p>
            <w:pPr>
              <w:spacing w:line="560" w:lineRule="exact"/>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pPr>
              <w:spacing w:line="560" w:lineRule="exact"/>
              <w:rPr>
                <w:rFonts w:hint="eastAsia" w:ascii="宋体" w:hAnsi="宋体" w:eastAsia="宋体" w:cs="宋体"/>
                <w:color w:val="auto"/>
                <w:sz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pPr>
              <w:spacing w:line="560" w:lineRule="exact"/>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pPr>
              <w:spacing w:line="560" w:lineRule="exact"/>
              <w:rPr>
                <w:rFonts w:hint="eastAsia" w:ascii="宋体" w:hAnsi="宋体" w:eastAsia="宋体" w:cs="宋体"/>
                <w:color w:val="auto"/>
                <w:sz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pPr>
              <w:spacing w:line="560" w:lineRule="exact"/>
              <w:rPr>
                <w:rFonts w:hint="eastAsia" w:ascii="宋体" w:hAnsi="宋体" w:eastAsia="宋体" w:cs="宋体"/>
                <w:color w:val="auto"/>
                <w:sz w:val="24"/>
              </w:rPr>
            </w:pPr>
          </w:p>
        </w:tc>
      </w:tr>
    </w:tbl>
    <w:p>
      <w:pPr>
        <w:pStyle w:val="8"/>
        <w:spacing w:line="360" w:lineRule="auto"/>
        <w:ind w:left="1080" w:leftChars="257" w:hanging="540"/>
        <w:rPr>
          <w:rFonts w:hint="eastAsia" w:ascii="宋体" w:hAnsi="宋体" w:eastAsia="宋体" w:cs="宋体"/>
          <w:color w:val="auto"/>
          <w:sz w:val="28"/>
          <w:lang w:val="en-US" w:eastAsia="zh-CN"/>
        </w:rPr>
      </w:pPr>
    </w:p>
    <w:p>
      <w:pPr>
        <w:pStyle w:val="4"/>
        <w:spacing w:before="0" w:line="240" w:lineRule="atLeast"/>
        <w:ind w:left="1080" w:leftChars="257" w:hanging="540"/>
        <w:rPr>
          <w:rFonts w:hint="eastAsia" w:ascii="宋体" w:hAnsi="宋体" w:eastAsia="宋体" w:cs="宋体"/>
          <w:i w:val="0"/>
          <w:iCs w:val="0"/>
          <w:color w:val="auto"/>
          <w:sz w:val="24"/>
        </w:rPr>
      </w:pPr>
    </w:p>
    <w:sectPr>
      <w:pgSz w:w="11907" w:h="16840"/>
      <w:pgMar w:top="1474" w:right="1814" w:bottom="1474" w:left="1814"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right"/>
      <w:rPr>
        <w:rFonts w:hint="eastAsia"/>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9"/>
                  <w:rPr>
                    <w:rStyle w:val="36"/>
                  </w:rPr>
                </w:pPr>
                <w:r>
                  <w:fldChar w:fldCharType="begin"/>
                </w:r>
                <w:r>
                  <w:rPr>
                    <w:rStyle w:val="36"/>
                  </w:rPr>
                  <w:instrText xml:space="preserve">PAGE  </w:instrText>
                </w:r>
                <w:r>
                  <w:fldChar w:fldCharType="separate"/>
                </w:r>
                <w:r>
                  <w:rPr>
                    <w:rStyle w:val="36"/>
                  </w:rP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right"/>
      <w:rPr>
        <w:rFonts w:hint="eastAsia"/>
      </w:rPr>
    </w:pPr>
    <w:r>
      <w:pict>
        <v:shape id="_x0000_s4098" o:spid="_x0000_s4098"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9"/>
                  <w:rPr>
                    <w:rStyle w:val="36"/>
                  </w:rPr>
                </w:pPr>
                <w:r>
                  <w:fldChar w:fldCharType="begin"/>
                </w:r>
                <w:r>
                  <w:rPr>
                    <w:rStyle w:val="36"/>
                  </w:rPr>
                  <w:instrText xml:space="preserve">PAGE  </w:instrText>
                </w:r>
                <w:r>
                  <w:fldChar w:fldCharType="separate"/>
                </w:r>
                <w:r>
                  <w:rPr>
                    <w:rStyle w:val="36"/>
                  </w:rP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right"/>
      <w:rPr>
        <w:rFonts w:hint="eastAsia"/>
      </w:rPr>
    </w:pPr>
    <w: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9"/>
                  <w:rPr>
                    <w:rStyle w:val="36"/>
                  </w:rPr>
                </w:pPr>
                <w:r>
                  <w:fldChar w:fldCharType="begin"/>
                </w:r>
                <w:r>
                  <w:rPr>
                    <w:rStyle w:val="36"/>
                  </w:rPr>
                  <w:instrText xml:space="preserve">PAGE  </w:instrText>
                </w:r>
                <w:r>
                  <w:fldChar w:fldCharType="separate"/>
                </w:r>
                <w:r>
                  <w:rPr>
                    <w:rStyle w:val="36"/>
                  </w:rPr>
                  <w:t>28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6"/>
      </w:rPr>
    </w:pPr>
    <w:r>
      <w:fldChar w:fldCharType="begin"/>
    </w:r>
    <w:r>
      <w:rPr>
        <w:rStyle w:val="36"/>
      </w:rPr>
      <w:instrText xml:space="preserve">PAGE  </w:instrText>
    </w:r>
    <w:r>
      <w:fldChar w:fldCharType="end"/>
    </w:r>
  </w:p>
  <w:p>
    <w:pPr>
      <w:pStyle w:val="19"/>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36"/>
      </w:rPr>
    </w:pPr>
  </w:p>
  <w:p>
    <w:pPr>
      <w:pStyle w:val="19"/>
      <w:ind w:right="360"/>
      <w:jc w:val="right"/>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9"/>
                  <w:rPr>
                    <w:rStyle w:val="36"/>
                  </w:rPr>
                </w:pPr>
                <w:r>
                  <w:fldChar w:fldCharType="begin"/>
                </w:r>
                <w:r>
                  <w:rPr>
                    <w:rStyle w:val="36"/>
                  </w:rPr>
                  <w:instrText xml:space="preserve">PAGE  </w:instrText>
                </w:r>
                <w:r>
                  <w:fldChar w:fldCharType="separate"/>
                </w:r>
                <w:r>
                  <w:rPr>
                    <w:rStyle w:val="36"/>
                  </w:rPr>
                  <w:t>40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6"/>
      </w:rPr>
    </w:pPr>
    <w:r>
      <w:fldChar w:fldCharType="begin"/>
    </w:r>
    <w:r>
      <w:rPr>
        <w:rStyle w:val="36"/>
      </w:rPr>
      <w:instrText xml:space="preserve">PAGE  </w:instrText>
    </w:r>
    <w:r>
      <w:fldChar w:fldCharType="end"/>
    </w:r>
  </w:p>
  <w:p>
    <w:pPr>
      <w:pStyle w:val="1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pict>
        <v:shape id="_x0000_s4101" o:spid="_x0000_s410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9"/>
                  <w:jc w:val="center"/>
                </w:pPr>
                <w:r>
                  <w:fldChar w:fldCharType="begin"/>
                </w:r>
                <w:r>
                  <w:instrText xml:space="preserve">PAGE   \* MERGEFORMAT</w:instrText>
                </w:r>
                <w:r>
                  <w:fldChar w:fldCharType="separate"/>
                </w:r>
                <w:r>
                  <w:rPr>
                    <w:lang w:val="zh-CN"/>
                  </w:rPr>
                  <w:t>46</w:t>
                </w:r>
                <w:r>
                  <w:fldChar w:fldCharType="end"/>
                </w:r>
              </w:p>
            </w:txbxContent>
          </v:textbox>
        </v:shape>
      </w:pict>
    </w:r>
  </w:p>
  <w:p>
    <w:pPr>
      <w:pStyle w:val="19"/>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v:textbox inset="0mm,0mm,0mm,0mm" style="mso-fit-shape-to-text:t;">
            <w:txbxContent>
              <w:p>
                <w:pPr>
                  <w:pStyle w:val="19"/>
                  <w:jc w:val="center"/>
                </w:pPr>
                <w:r>
                  <w:fldChar w:fldCharType="begin"/>
                </w:r>
                <w:r>
                  <w:instrText xml:space="preserve">PAGE   \* MERGEFORMAT</w:instrText>
                </w:r>
                <w:r>
                  <w:fldChar w:fldCharType="separate"/>
                </w:r>
                <w:r>
                  <w:rPr>
                    <w:lang w:val="zh-CN"/>
                  </w:rPr>
                  <w:t>46</w:t>
                </w:r>
                <w:r>
                  <w:rPr>
                    <w:lang w:val="zh-CN"/>
                  </w:rPr>
                  <w:fldChar w:fldCharType="end"/>
                </w:r>
              </w:p>
            </w:txbxContent>
          </v:textbox>
        </v:shape>
      </w:pict>
    </w:r>
  </w:p>
  <w:p>
    <w:pPr>
      <w:pStyle w:val="1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F7DE2"/>
    <w:multiLevelType w:val="singleLevel"/>
    <w:tmpl w:val="B15F7DE2"/>
    <w:lvl w:ilvl="0" w:tentative="0">
      <w:start w:val="3"/>
      <w:numFmt w:val="decimal"/>
      <w:suff w:val="nothing"/>
      <w:lvlText w:val="%1、"/>
      <w:lvlJc w:val="left"/>
    </w:lvl>
  </w:abstractNum>
  <w:abstractNum w:abstractNumId="1">
    <w:nsid w:val="CEF12E1D"/>
    <w:multiLevelType w:val="singleLevel"/>
    <w:tmpl w:val="CEF12E1D"/>
    <w:lvl w:ilvl="0" w:tentative="0">
      <w:start w:val="8"/>
      <w:numFmt w:val="decimal"/>
      <w:suff w:val="nothing"/>
      <w:lvlText w:val="%1、"/>
      <w:lvlJc w:val="left"/>
    </w:lvl>
  </w:abstractNum>
  <w:abstractNum w:abstractNumId="2">
    <w:nsid w:val="0FF9642E"/>
    <w:multiLevelType w:val="multilevel"/>
    <w:tmpl w:val="0FF9642E"/>
    <w:lvl w:ilvl="0" w:tentative="0">
      <w:start w:val="1"/>
      <w:numFmt w:val="decimal"/>
      <w:lvlText w:val="第%1章"/>
      <w:lvlJc w:val="left"/>
      <w:pPr>
        <w:tabs>
          <w:tab w:val="left" w:pos="3134"/>
        </w:tabs>
        <w:ind w:left="3134"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3">
    <w:nsid w:val="105D8078"/>
    <w:multiLevelType w:val="singleLevel"/>
    <w:tmpl w:val="105D8078"/>
    <w:lvl w:ilvl="0" w:tentative="0">
      <w:start w:val="1"/>
      <w:numFmt w:val="decimal"/>
      <w:suff w:val="nothing"/>
      <w:lvlText w:val="%1、"/>
      <w:lvlJc w:val="left"/>
    </w:lvl>
  </w:abstractNum>
  <w:abstractNum w:abstractNumId="4">
    <w:nsid w:val="1161A13A"/>
    <w:multiLevelType w:val="singleLevel"/>
    <w:tmpl w:val="1161A13A"/>
    <w:lvl w:ilvl="0" w:tentative="0">
      <w:start w:val="3"/>
      <w:numFmt w:val="decimal"/>
      <w:suff w:val="space"/>
      <w:lvlText w:val="第%1章"/>
      <w:lvlJc w:val="left"/>
    </w:lvl>
  </w:abstractNum>
  <w:abstractNum w:abstractNumId="5">
    <w:nsid w:val="6E51C353"/>
    <w:multiLevelType w:val="singleLevel"/>
    <w:tmpl w:val="6E51C353"/>
    <w:lvl w:ilvl="0" w:tentative="0">
      <w:start w:val="1"/>
      <w:numFmt w:val="decimal"/>
      <w:suff w:val="nothing"/>
      <w:lvlText w:val="（%1）"/>
      <w:lvlJc w:val="left"/>
    </w:lvl>
  </w:abstractNum>
  <w:abstractNum w:abstractNumId="6">
    <w:nsid w:val="746D5480"/>
    <w:multiLevelType w:val="singleLevel"/>
    <w:tmpl w:val="746D5480"/>
    <w:lvl w:ilvl="0" w:tentative="0">
      <w:start w:val="1"/>
      <w:numFmt w:val="chineseCounting"/>
      <w:suff w:val="nothing"/>
      <w:lvlText w:val="%1、"/>
      <w:lvlJc w:val="left"/>
      <w:rPr>
        <w:rFonts w:hint="eastAsia"/>
      </w:rPr>
    </w:lvl>
  </w:abstractNum>
  <w:num w:numId="1">
    <w:abstractNumId w:val="2"/>
  </w:num>
  <w:num w:numId="2">
    <w:abstractNumId w:val="5"/>
  </w:num>
  <w:num w:numId="3">
    <w:abstractNumId w:val="1"/>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03年范本稿123.doc"/>
    <w:docVar w:name="commondata" w:val="eyJoZGlkIjoiZTY4MTYzYWNiMDNiMWZhYmVlOGY1YWFjYTcyZWVjNjYifQ=="/>
    <w:docVar w:name="KSO_WPS_MARK_KEY" w:val="8b7f07a2-b1b8-4529-9985-7fb56657e8b6"/>
    <w:docVar w:name="VTCASE" w:val="4"/>
    <w:docVar w:name="VTCommandPending" w:val="NONE"/>
  </w:docVars>
  <w:rsids>
    <w:rsidRoot w:val="00887D93"/>
    <w:rsid w:val="000004CD"/>
    <w:rsid w:val="000005B8"/>
    <w:rsid w:val="00001783"/>
    <w:rsid w:val="00001797"/>
    <w:rsid w:val="0000273B"/>
    <w:rsid w:val="000041A8"/>
    <w:rsid w:val="000055D7"/>
    <w:rsid w:val="00006340"/>
    <w:rsid w:val="0001529F"/>
    <w:rsid w:val="000157E2"/>
    <w:rsid w:val="0001697A"/>
    <w:rsid w:val="000169E1"/>
    <w:rsid w:val="00020D78"/>
    <w:rsid w:val="00021486"/>
    <w:rsid w:val="00021AE8"/>
    <w:rsid w:val="00022E94"/>
    <w:rsid w:val="000232D5"/>
    <w:rsid w:val="00023E81"/>
    <w:rsid w:val="000240E4"/>
    <w:rsid w:val="000313B5"/>
    <w:rsid w:val="000320BA"/>
    <w:rsid w:val="00032B95"/>
    <w:rsid w:val="000333A8"/>
    <w:rsid w:val="000434F9"/>
    <w:rsid w:val="00043533"/>
    <w:rsid w:val="00045D67"/>
    <w:rsid w:val="000535DA"/>
    <w:rsid w:val="000538CC"/>
    <w:rsid w:val="000541C7"/>
    <w:rsid w:val="00054A8E"/>
    <w:rsid w:val="000559E5"/>
    <w:rsid w:val="00056583"/>
    <w:rsid w:val="00056932"/>
    <w:rsid w:val="00057BB2"/>
    <w:rsid w:val="0006019D"/>
    <w:rsid w:val="000612B3"/>
    <w:rsid w:val="00061B68"/>
    <w:rsid w:val="00063750"/>
    <w:rsid w:val="00065379"/>
    <w:rsid w:val="0006726A"/>
    <w:rsid w:val="000673C5"/>
    <w:rsid w:val="0007042A"/>
    <w:rsid w:val="00070907"/>
    <w:rsid w:val="000719AB"/>
    <w:rsid w:val="00072878"/>
    <w:rsid w:val="00073852"/>
    <w:rsid w:val="0007473A"/>
    <w:rsid w:val="00076670"/>
    <w:rsid w:val="00077B52"/>
    <w:rsid w:val="00080B56"/>
    <w:rsid w:val="00080FC7"/>
    <w:rsid w:val="00081D11"/>
    <w:rsid w:val="00083115"/>
    <w:rsid w:val="00093645"/>
    <w:rsid w:val="00096150"/>
    <w:rsid w:val="00096F54"/>
    <w:rsid w:val="000A0225"/>
    <w:rsid w:val="000A31C4"/>
    <w:rsid w:val="000A3727"/>
    <w:rsid w:val="000A49C1"/>
    <w:rsid w:val="000A799B"/>
    <w:rsid w:val="000B3242"/>
    <w:rsid w:val="000B3392"/>
    <w:rsid w:val="000B362F"/>
    <w:rsid w:val="000B366A"/>
    <w:rsid w:val="000B6C50"/>
    <w:rsid w:val="000C024A"/>
    <w:rsid w:val="000C0FDF"/>
    <w:rsid w:val="000C3524"/>
    <w:rsid w:val="000C5071"/>
    <w:rsid w:val="000C55ED"/>
    <w:rsid w:val="000C6F86"/>
    <w:rsid w:val="000D1613"/>
    <w:rsid w:val="000D19C1"/>
    <w:rsid w:val="000D31E3"/>
    <w:rsid w:val="000D4E69"/>
    <w:rsid w:val="000D5125"/>
    <w:rsid w:val="000D7812"/>
    <w:rsid w:val="000E1288"/>
    <w:rsid w:val="000E3784"/>
    <w:rsid w:val="000E37E0"/>
    <w:rsid w:val="000E47A0"/>
    <w:rsid w:val="000E597F"/>
    <w:rsid w:val="000E5BFC"/>
    <w:rsid w:val="000E6393"/>
    <w:rsid w:val="000E694F"/>
    <w:rsid w:val="000E7158"/>
    <w:rsid w:val="000F137C"/>
    <w:rsid w:val="000F2D05"/>
    <w:rsid w:val="000F2EEE"/>
    <w:rsid w:val="000F4234"/>
    <w:rsid w:val="000F6215"/>
    <w:rsid w:val="000F63C8"/>
    <w:rsid w:val="000F6581"/>
    <w:rsid w:val="00102417"/>
    <w:rsid w:val="001032CC"/>
    <w:rsid w:val="00105B0B"/>
    <w:rsid w:val="00107350"/>
    <w:rsid w:val="00112163"/>
    <w:rsid w:val="00114579"/>
    <w:rsid w:val="00115BF1"/>
    <w:rsid w:val="0012032C"/>
    <w:rsid w:val="0012244B"/>
    <w:rsid w:val="001224B5"/>
    <w:rsid w:val="00122643"/>
    <w:rsid w:val="0012425B"/>
    <w:rsid w:val="001244F8"/>
    <w:rsid w:val="001247F0"/>
    <w:rsid w:val="001252D8"/>
    <w:rsid w:val="00125710"/>
    <w:rsid w:val="001257D4"/>
    <w:rsid w:val="001259BC"/>
    <w:rsid w:val="001275DA"/>
    <w:rsid w:val="00131E0D"/>
    <w:rsid w:val="0013359E"/>
    <w:rsid w:val="001365D8"/>
    <w:rsid w:val="00137694"/>
    <w:rsid w:val="00141B26"/>
    <w:rsid w:val="00141EAC"/>
    <w:rsid w:val="001433AC"/>
    <w:rsid w:val="00143652"/>
    <w:rsid w:val="0014627C"/>
    <w:rsid w:val="00157C74"/>
    <w:rsid w:val="001602F6"/>
    <w:rsid w:val="00161678"/>
    <w:rsid w:val="00162805"/>
    <w:rsid w:val="00165014"/>
    <w:rsid w:val="0017180F"/>
    <w:rsid w:val="001733C3"/>
    <w:rsid w:val="00173BFF"/>
    <w:rsid w:val="00174749"/>
    <w:rsid w:val="00174FCA"/>
    <w:rsid w:val="00175AFB"/>
    <w:rsid w:val="00176F12"/>
    <w:rsid w:val="001770BE"/>
    <w:rsid w:val="00177A3E"/>
    <w:rsid w:val="00180E88"/>
    <w:rsid w:val="00183E4B"/>
    <w:rsid w:val="00187B13"/>
    <w:rsid w:val="00187EB4"/>
    <w:rsid w:val="00192332"/>
    <w:rsid w:val="00193BB3"/>
    <w:rsid w:val="00196FA0"/>
    <w:rsid w:val="001A3B44"/>
    <w:rsid w:val="001A5EEB"/>
    <w:rsid w:val="001A62A5"/>
    <w:rsid w:val="001A7DAE"/>
    <w:rsid w:val="001B28F7"/>
    <w:rsid w:val="001B4216"/>
    <w:rsid w:val="001B49A4"/>
    <w:rsid w:val="001B4E60"/>
    <w:rsid w:val="001B521B"/>
    <w:rsid w:val="001B5CC8"/>
    <w:rsid w:val="001B6587"/>
    <w:rsid w:val="001B7CB1"/>
    <w:rsid w:val="001C0582"/>
    <w:rsid w:val="001C058D"/>
    <w:rsid w:val="001C26FB"/>
    <w:rsid w:val="001C54C3"/>
    <w:rsid w:val="001C577E"/>
    <w:rsid w:val="001C6EF0"/>
    <w:rsid w:val="001D027D"/>
    <w:rsid w:val="001D4A1E"/>
    <w:rsid w:val="001D65C4"/>
    <w:rsid w:val="001D70E9"/>
    <w:rsid w:val="001E181E"/>
    <w:rsid w:val="001E3F03"/>
    <w:rsid w:val="001E44EF"/>
    <w:rsid w:val="001E6C1A"/>
    <w:rsid w:val="001E7629"/>
    <w:rsid w:val="001E7E8B"/>
    <w:rsid w:val="001F2F0B"/>
    <w:rsid w:val="001F3130"/>
    <w:rsid w:val="001F5442"/>
    <w:rsid w:val="001F5903"/>
    <w:rsid w:val="001F5D14"/>
    <w:rsid w:val="001F7292"/>
    <w:rsid w:val="002001DC"/>
    <w:rsid w:val="00201CA5"/>
    <w:rsid w:val="00203778"/>
    <w:rsid w:val="0020407A"/>
    <w:rsid w:val="00205A72"/>
    <w:rsid w:val="00207F4A"/>
    <w:rsid w:val="00210AE7"/>
    <w:rsid w:val="002123C7"/>
    <w:rsid w:val="00213411"/>
    <w:rsid w:val="00216D4F"/>
    <w:rsid w:val="00216E43"/>
    <w:rsid w:val="00220866"/>
    <w:rsid w:val="002231A4"/>
    <w:rsid w:val="00223245"/>
    <w:rsid w:val="00224447"/>
    <w:rsid w:val="00224A77"/>
    <w:rsid w:val="00225665"/>
    <w:rsid w:val="0022671D"/>
    <w:rsid w:val="0023090E"/>
    <w:rsid w:val="00231C64"/>
    <w:rsid w:val="0023318A"/>
    <w:rsid w:val="00236A9B"/>
    <w:rsid w:val="0023715B"/>
    <w:rsid w:val="00237592"/>
    <w:rsid w:val="0024245D"/>
    <w:rsid w:val="00244A0E"/>
    <w:rsid w:val="00244F73"/>
    <w:rsid w:val="002466E9"/>
    <w:rsid w:val="0025092A"/>
    <w:rsid w:val="002509CA"/>
    <w:rsid w:val="00251A29"/>
    <w:rsid w:val="00251B89"/>
    <w:rsid w:val="00252D27"/>
    <w:rsid w:val="00253615"/>
    <w:rsid w:val="00253950"/>
    <w:rsid w:val="00254F7E"/>
    <w:rsid w:val="0025569E"/>
    <w:rsid w:val="002564FE"/>
    <w:rsid w:val="002603EB"/>
    <w:rsid w:val="00261FEB"/>
    <w:rsid w:val="00264327"/>
    <w:rsid w:val="002650F1"/>
    <w:rsid w:val="00266403"/>
    <w:rsid w:val="00266406"/>
    <w:rsid w:val="0026674D"/>
    <w:rsid w:val="002679CA"/>
    <w:rsid w:val="00272722"/>
    <w:rsid w:val="002745E7"/>
    <w:rsid w:val="002760AC"/>
    <w:rsid w:val="00277935"/>
    <w:rsid w:val="00277E8E"/>
    <w:rsid w:val="00280DD6"/>
    <w:rsid w:val="00281AF5"/>
    <w:rsid w:val="00282496"/>
    <w:rsid w:val="002825A0"/>
    <w:rsid w:val="00282E7B"/>
    <w:rsid w:val="00283033"/>
    <w:rsid w:val="00283122"/>
    <w:rsid w:val="002854DC"/>
    <w:rsid w:val="0028616B"/>
    <w:rsid w:val="00290CDE"/>
    <w:rsid w:val="00290DE2"/>
    <w:rsid w:val="0029397A"/>
    <w:rsid w:val="002A1899"/>
    <w:rsid w:val="002A2315"/>
    <w:rsid w:val="002A3153"/>
    <w:rsid w:val="002A566C"/>
    <w:rsid w:val="002A6C9C"/>
    <w:rsid w:val="002B328F"/>
    <w:rsid w:val="002C10AC"/>
    <w:rsid w:val="002C12B1"/>
    <w:rsid w:val="002C2AE8"/>
    <w:rsid w:val="002C2FF3"/>
    <w:rsid w:val="002C3A5A"/>
    <w:rsid w:val="002C4ABE"/>
    <w:rsid w:val="002C71EC"/>
    <w:rsid w:val="002C7548"/>
    <w:rsid w:val="002C780B"/>
    <w:rsid w:val="002C7E47"/>
    <w:rsid w:val="002D2C13"/>
    <w:rsid w:val="002D2E66"/>
    <w:rsid w:val="002D2FFB"/>
    <w:rsid w:val="002D4E16"/>
    <w:rsid w:val="002D505C"/>
    <w:rsid w:val="002D5DF8"/>
    <w:rsid w:val="002D7F8D"/>
    <w:rsid w:val="002E334D"/>
    <w:rsid w:val="002E486A"/>
    <w:rsid w:val="002E53C0"/>
    <w:rsid w:val="002E672F"/>
    <w:rsid w:val="002E766C"/>
    <w:rsid w:val="002F02C8"/>
    <w:rsid w:val="002F04FD"/>
    <w:rsid w:val="002F2D5F"/>
    <w:rsid w:val="002F46DC"/>
    <w:rsid w:val="002F5145"/>
    <w:rsid w:val="002F5CB9"/>
    <w:rsid w:val="002F683C"/>
    <w:rsid w:val="00302182"/>
    <w:rsid w:val="00306072"/>
    <w:rsid w:val="0030675F"/>
    <w:rsid w:val="0031140B"/>
    <w:rsid w:val="003117C6"/>
    <w:rsid w:val="00314E3D"/>
    <w:rsid w:val="00317120"/>
    <w:rsid w:val="0032100C"/>
    <w:rsid w:val="003212C2"/>
    <w:rsid w:val="00321921"/>
    <w:rsid w:val="00321926"/>
    <w:rsid w:val="0033060D"/>
    <w:rsid w:val="003318F3"/>
    <w:rsid w:val="00331ECA"/>
    <w:rsid w:val="00333919"/>
    <w:rsid w:val="00334F3E"/>
    <w:rsid w:val="003379AF"/>
    <w:rsid w:val="00337C5C"/>
    <w:rsid w:val="003408FF"/>
    <w:rsid w:val="0034126F"/>
    <w:rsid w:val="00343E4C"/>
    <w:rsid w:val="00352BC8"/>
    <w:rsid w:val="00354141"/>
    <w:rsid w:val="00355D82"/>
    <w:rsid w:val="00356CAF"/>
    <w:rsid w:val="003671F3"/>
    <w:rsid w:val="00367712"/>
    <w:rsid w:val="00367C88"/>
    <w:rsid w:val="00367DB2"/>
    <w:rsid w:val="0037053F"/>
    <w:rsid w:val="00370601"/>
    <w:rsid w:val="00370B19"/>
    <w:rsid w:val="00371C8C"/>
    <w:rsid w:val="00373408"/>
    <w:rsid w:val="003748EB"/>
    <w:rsid w:val="00374DDB"/>
    <w:rsid w:val="00375DCD"/>
    <w:rsid w:val="00376F36"/>
    <w:rsid w:val="003800A6"/>
    <w:rsid w:val="00380914"/>
    <w:rsid w:val="0038151E"/>
    <w:rsid w:val="00382451"/>
    <w:rsid w:val="00382FFA"/>
    <w:rsid w:val="00383B0A"/>
    <w:rsid w:val="0038469A"/>
    <w:rsid w:val="0038491D"/>
    <w:rsid w:val="00386B36"/>
    <w:rsid w:val="00387606"/>
    <w:rsid w:val="00391DD2"/>
    <w:rsid w:val="003925E1"/>
    <w:rsid w:val="00393D74"/>
    <w:rsid w:val="003943A7"/>
    <w:rsid w:val="00396041"/>
    <w:rsid w:val="003960FB"/>
    <w:rsid w:val="00396A66"/>
    <w:rsid w:val="003A1A69"/>
    <w:rsid w:val="003A37B8"/>
    <w:rsid w:val="003A582F"/>
    <w:rsid w:val="003A6B72"/>
    <w:rsid w:val="003B020F"/>
    <w:rsid w:val="003B3917"/>
    <w:rsid w:val="003B41D9"/>
    <w:rsid w:val="003B7293"/>
    <w:rsid w:val="003C53B2"/>
    <w:rsid w:val="003C6323"/>
    <w:rsid w:val="003C6422"/>
    <w:rsid w:val="003C6C9A"/>
    <w:rsid w:val="003D4037"/>
    <w:rsid w:val="003D54B8"/>
    <w:rsid w:val="003D6961"/>
    <w:rsid w:val="003E1168"/>
    <w:rsid w:val="003E2C77"/>
    <w:rsid w:val="003E2C89"/>
    <w:rsid w:val="003E3C14"/>
    <w:rsid w:val="003E5935"/>
    <w:rsid w:val="003E6516"/>
    <w:rsid w:val="003E747A"/>
    <w:rsid w:val="003F0149"/>
    <w:rsid w:val="003F11BD"/>
    <w:rsid w:val="003F123A"/>
    <w:rsid w:val="003F2550"/>
    <w:rsid w:val="003F3746"/>
    <w:rsid w:val="003F3B41"/>
    <w:rsid w:val="003F4748"/>
    <w:rsid w:val="003F61AC"/>
    <w:rsid w:val="00401267"/>
    <w:rsid w:val="00401B70"/>
    <w:rsid w:val="00402836"/>
    <w:rsid w:val="0040367C"/>
    <w:rsid w:val="00404B23"/>
    <w:rsid w:val="00405154"/>
    <w:rsid w:val="0040528B"/>
    <w:rsid w:val="00405BBF"/>
    <w:rsid w:val="00406E06"/>
    <w:rsid w:val="0041195F"/>
    <w:rsid w:val="0041238C"/>
    <w:rsid w:val="00412829"/>
    <w:rsid w:val="0041314E"/>
    <w:rsid w:val="00414EDB"/>
    <w:rsid w:val="004164DF"/>
    <w:rsid w:val="00416CBC"/>
    <w:rsid w:val="00420310"/>
    <w:rsid w:val="00422FBE"/>
    <w:rsid w:val="00425FB2"/>
    <w:rsid w:val="004261AF"/>
    <w:rsid w:val="00426BB0"/>
    <w:rsid w:val="00427258"/>
    <w:rsid w:val="004310A2"/>
    <w:rsid w:val="00431E68"/>
    <w:rsid w:val="00433EEA"/>
    <w:rsid w:val="0044012D"/>
    <w:rsid w:val="004408B0"/>
    <w:rsid w:val="004408EE"/>
    <w:rsid w:val="00441C7F"/>
    <w:rsid w:val="00441E5E"/>
    <w:rsid w:val="00442EFC"/>
    <w:rsid w:val="0044524F"/>
    <w:rsid w:val="0044654E"/>
    <w:rsid w:val="004504F2"/>
    <w:rsid w:val="00450C1F"/>
    <w:rsid w:val="00455240"/>
    <w:rsid w:val="0045705D"/>
    <w:rsid w:val="0045738E"/>
    <w:rsid w:val="00457AEF"/>
    <w:rsid w:val="0046046C"/>
    <w:rsid w:val="00461673"/>
    <w:rsid w:val="0046619A"/>
    <w:rsid w:val="004663F3"/>
    <w:rsid w:val="00467553"/>
    <w:rsid w:val="00471F78"/>
    <w:rsid w:val="00473B94"/>
    <w:rsid w:val="00473DC2"/>
    <w:rsid w:val="0047556E"/>
    <w:rsid w:val="00475991"/>
    <w:rsid w:val="00475B13"/>
    <w:rsid w:val="00480D8D"/>
    <w:rsid w:val="004814E5"/>
    <w:rsid w:val="00483DB5"/>
    <w:rsid w:val="00484641"/>
    <w:rsid w:val="004846F8"/>
    <w:rsid w:val="00490A94"/>
    <w:rsid w:val="004911E4"/>
    <w:rsid w:val="004912F4"/>
    <w:rsid w:val="004922BC"/>
    <w:rsid w:val="00492CE8"/>
    <w:rsid w:val="00493558"/>
    <w:rsid w:val="00493EC9"/>
    <w:rsid w:val="00495251"/>
    <w:rsid w:val="00495B0C"/>
    <w:rsid w:val="004A1759"/>
    <w:rsid w:val="004A2275"/>
    <w:rsid w:val="004A3872"/>
    <w:rsid w:val="004A3AC0"/>
    <w:rsid w:val="004A4ED0"/>
    <w:rsid w:val="004B0706"/>
    <w:rsid w:val="004B22B1"/>
    <w:rsid w:val="004B46E5"/>
    <w:rsid w:val="004B6542"/>
    <w:rsid w:val="004B72A3"/>
    <w:rsid w:val="004C1E33"/>
    <w:rsid w:val="004C6870"/>
    <w:rsid w:val="004C6E24"/>
    <w:rsid w:val="004C6E53"/>
    <w:rsid w:val="004D29A3"/>
    <w:rsid w:val="004D4958"/>
    <w:rsid w:val="004D4D48"/>
    <w:rsid w:val="004D5250"/>
    <w:rsid w:val="004D6AD9"/>
    <w:rsid w:val="004E0517"/>
    <w:rsid w:val="004E0C12"/>
    <w:rsid w:val="004E13F0"/>
    <w:rsid w:val="004E1E1E"/>
    <w:rsid w:val="004E4854"/>
    <w:rsid w:val="004E56CE"/>
    <w:rsid w:val="004E66DE"/>
    <w:rsid w:val="004E77F7"/>
    <w:rsid w:val="004F036B"/>
    <w:rsid w:val="004F0E54"/>
    <w:rsid w:val="004F74EF"/>
    <w:rsid w:val="004F7B7E"/>
    <w:rsid w:val="00501785"/>
    <w:rsid w:val="00503724"/>
    <w:rsid w:val="00504E3C"/>
    <w:rsid w:val="00506F69"/>
    <w:rsid w:val="00513F7C"/>
    <w:rsid w:val="005149B8"/>
    <w:rsid w:val="005168FA"/>
    <w:rsid w:val="00516F1C"/>
    <w:rsid w:val="005175C0"/>
    <w:rsid w:val="00520001"/>
    <w:rsid w:val="00523291"/>
    <w:rsid w:val="0052391C"/>
    <w:rsid w:val="0052393A"/>
    <w:rsid w:val="00530C3F"/>
    <w:rsid w:val="00532B1D"/>
    <w:rsid w:val="00534347"/>
    <w:rsid w:val="00540C55"/>
    <w:rsid w:val="00542227"/>
    <w:rsid w:val="005422EB"/>
    <w:rsid w:val="0054426F"/>
    <w:rsid w:val="0054508F"/>
    <w:rsid w:val="00545C00"/>
    <w:rsid w:val="00546F3A"/>
    <w:rsid w:val="005475C6"/>
    <w:rsid w:val="00550C61"/>
    <w:rsid w:val="00552FBA"/>
    <w:rsid w:val="00554D9D"/>
    <w:rsid w:val="00555A82"/>
    <w:rsid w:val="00556C52"/>
    <w:rsid w:val="0056008C"/>
    <w:rsid w:val="0056245F"/>
    <w:rsid w:val="00562C2E"/>
    <w:rsid w:val="00563F14"/>
    <w:rsid w:val="00570A8A"/>
    <w:rsid w:val="00571BE1"/>
    <w:rsid w:val="0057268E"/>
    <w:rsid w:val="005806C7"/>
    <w:rsid w:val="00582CA5"/>
    <w:rsid w:val="0058473A"/>
    <w:rsid w:val="005852AF"/>
    <w:rsid w:val="005921D2"/>
    <w:rsid w:val="005A1737"/>
    <w:rsid w:val="005A1914"/>
    <w:rsid w:val="005A1D6F"/>
    <w:rsid w:val="005A378B"/>
    <w:rsid w:val="005A3804"/>
    <w:rsid w:val="005A40B3"/>
    <w:rsid w:val="005B1361"/>
    <w:rsid w:val="005B177D"/>
    <w:rsid w:val="005B3B4A"/>
    <w:rsid w:val="005B4C4C"/>
    <w:rsid w:val="005B7966"/>
    <w:rsid w:val="005C0341"/>
    <w:rsid w:val="005C3CDD"/>
    <w:rsid w:val="005C52CA"/>
    <w:rsid w:val="005D2B33"/>
    <w:rsid w:val="005D4B36"/>
    <w:rsid w:val="005D54FD"/>
    <w:rsid w:val="005D5B37"/>
    <w:rsid w:val="005D6D35"/>
    <w:rsid w:val="005E1062"/>
    <w:rsid w:val="005E12BD"/>
    <w:rsid w:val="005E305E"/>
    <w:rsid w:val="005E4A88"/>
    <w:rsid w:val="005E51BD"/>
    <w:rsid w:val="005E53A4"/>
    <w:rsid w:val="005E60BC"/>
    <w:rsid w:val="005F1F63"/>
    <w:rsid w:val="005F324D"/>
    <w:rsid w:val="005F4C0F"/>
    <w:rsid w:val="005F7930"/>
    <w:rsid w:val="005F7CE5"/>
    <w:rsid w:val="006011F9"/>
    <w:rsid w:val="006014EE"/>
    <w:rsid w:val="006016B0"/>
    <w:rsid w:val="00602247"/>
    <w:rsid w:val="006029C9"/>
    <w:rsid w:val="006054AE"/>
    <w:rsid w:val="00606661"/>
    <w:rsid w:val="00612A91"/>
    <w:rsid w:val="00615BD4"/>
    <w:rsid w:val="006176D9"/>
    <w:rsid w:val="0062063C"/>
    <w:rsid w:val="00621EEA"/>
    <w:rsid w:val="00622049"/>
    <w:rsid w:val="00625EAC"/>
    <w:rsid w:val="00625F7B"/>
    <w:rsid w:val="006267AC"/>
    <w:rsid w:val="00630C8F"/>
    <w:rsid w:val="0063126C"/>
    <w:rsid w:val="006321D9"/>
    <w:rsid w:val="00635ACD"/>
    <w:rsid w:val="006369DB"/>
    <w:rsid w:val="00645F9B"/>
    <w:rsid w:val="006462F4"/>
    <w:rsid w:val="00647924"/>
    <w:rsid w:val="00647EFF"/>
    <w:rsid w:val="00653828"/>
    <w:rsid w:val="00653EEF"/>
    <w:rsid w:val="00656DB1"/>
    <w:rsid w:val="0065706C"/>
    <w:rsid w:val="006570F3"/>
    <w:rsid w:val="006574CA"/>
    <w:rsid w:val="00662F85"/>
    <w:rsid w:val="00663087"/>
    <w:rsid w:val="00665814"/>
    <w:rsid w:val="006658F7"/>
    <w:rsid w:val="00667926"/>
    <w:rsid w:val="006723DE"/>
    <w:rsid w:val="00672A07"/>
    <w:rsid w:val="00672A3D"/>
    <w:rsid w:val="00673C56"/>
    <w:rsid w:val="00684218"/>
    <w:rsid w:val="00684A17"/>
    <w:rsid w:val="0068548A"/>
    <w:rsid w:val="006863E6"/>
    <w:rsid w:val="00686ACA"/>
    <w:rsid w:val="006904AF"/>
    <w:rsid w:val="00693194"/>
    <w:rsid w:val="00695821"/>
    <w:rsid w:val="0069607D"/>
    <w:rsid w:val="006960C5"/>
    <w:rsid w:val="006A05F8"/>
    <w:rsid w:val="006A0897"/>
    <w:rsid w:val="006A4246"/>
    <w:rsid w:val="006A56B9"/>
    <w:rsid w:val="006A64EB"/>
    <w:rsid w:val="006A7FD4"/>
    <w:rsid w:val="006B0E91"/>
    <w:rsid w:val="006B1891"/>
    <w:rsid w:val="006B37AE"/>
    <w:rsid w:val="006B38B5"/>
    <w:rsid w:val="006B3C07"/>
    <w:rsid w:val="006B7254"/>
    <w:rsid w:val="006B73B9"/>
    <w:rsid w:val="006C415F"/>
    <w:rsid w:val="006C4B81"/>
    <w:rsid w:val="006C517C"/>
    <w:rsid w:val="006C5CAA"/>
    <w:rsid w:val="006C7F43"/>
    <w:rsid w:val="006D16F3"/>
    <w:rsid w:val="006D49E3"/>
    <w:rsid w:val="006D4C2C"/>
    <w:rsid w:val="006E019F"/>
    <w:rsid w:val="006E33F6"/>
    <w:rsid w:val="006E3E50"/>
    <w:rsid w:val="006E402A"/>
    <w:rsid w:val="006E525F"/>
    <w:rsid w:val="006E57A7"/>
    <w:rsid w:val="006E74F5"/>
    <w:rsid w:val="006E7DCA"/>
    <w:rsid w:val="006F1B26"/>
    <w:rsid w:val="006F2035"/>
    <w:rsid w:val="006F24C5"/>
    <w:rsid w:val="006F28EE"/>
    <w:rsid w:val="006F42C2"/>
    <w:rsid w:val="006F602A"/>
    <w:rsid w:val="006F671D"/>
    <w:rsid w:val="006F7412"/>
    <w:rsid w:val="007034E2"/>
    <w:rsid w:val="00704E65"/>
    <w:rsid w:val="0071025E"/>
    <w:rsid w:val="007105A5"/>
    <w:rsid w:val="00710B8D"/>
    <w:rsid w:val="00713024"/>
    <w:rsid w:val="00714A4F"/>
    <w:rsid w:val="00715D6B"/>
    <w:rsid w:val="00715EF6"/>
    <w:rsid w:val="00717CC2"/>
    <w:rsid w:val="007212F0"/>
    <w:rsid w:val="00722EC6"/>
    <w:rsid w:val="00723FF6"/>
    <w:rsid w:val="0072460B"/>
    <w:rsid w:val="007269B1"/>
    <w:rsid w:val="0072706A"/>
    <w:rsid w:val="0072710E"/>
    <w:rsid w:val="00727776"/>
    <w:rsid w:val="00730DF7"/>
    <w:rsid w:val="007331F6"/>
    <w:rsid w:val="0073362F"/>
    <w:rsid w:val="00733A3E"/>
    <w:rsid w:val="00740605"/>
    <w:rsid w:val="007407AF"/>
    <w:rsid w:val="00747B97"/>
    <w:rsid w:val="00747DD4"/>
    <w:rsid w:val="00751820"/>
    <w:rsid w:val="00751B7E"/>
    <w:rsid w:val="00752AB2"/>
    <w:rsid w:val="00754193"/>
    <w:rsid w:val="007556C8"/>
    <w:rsid w:val="00756FA1"/>
    <w:rsid w:val="00763FD6"/>
    <w:rsid w:val="0076431D"/>
    <w:rsid w:val="00766DE9"/>
    <w:rsid w:val="007678A5"/>
    <w:rsid w:val="007679B3"/>
    <w:rsid w:val="00770841"/>
    <w:rsid w:val="00771308"/>
    <w:rsid w:val="00771F67"/>
    <w:rsid w:val="0077418F"/>
    <w:rsid w:val="00774C01"/>
    <w:rsid w:val="00780078"/>
    <w:rsid w:val="00781B6F"/>
    <w:rsid w:val="007823C9"/>
    <w:rsid w:val="007825A8"/>
    <w:rsid w:val="007835B7"/>
    <w:rsid w:val="00784CDB"/>
    <w:rsid w:val="007863E1"/>
    <w:rsid w:val="007910D3"/>
    <w:rsid w:val="0079336E"/>
    <w:rsid w:val="00796263"/>
    <w:rsid w:val="007A5BD0"/>
    <w:rsid w:val="007B41D1"/>
    <w:rsid w:val="007B4B46"/>
    <w:rsid w:val="007B5E5F"/>
    <w:rsid w:val="007B6CA0"/>
    <w:rsid w:val="007B6F71"/>
    <w:rsid w:val="007C01DE"/>
    <w:rsid w:val="007C06F8"/>
    <w:rsid w:val="007C27E5"/>
    <w:rsid w:val="007C2E24"/>
    <w:rsid w:val="007C3F78"/>
    <w:rsid w:val="007C4B09"/>
    <w:rsid w:val="007C6167"/>
    <w:rsid w:val="007C6EB8"/>
    <w:rsid w:val="007C7809"/>
    <w:rsid w:val="007C7BAC"/>
    <w:rsid w:val="007D13B9"/>
    <w:rsid w:val="007D45F8"/>
    <w:rsid w:val="007D71F7"/>
    <w:rsid w:val="007E024C"/>
    <w:rsid w:val="007E160E"/>
    <w:rsid w:val="007E1BDD"/>
    <w:rsid w:val="007E437B"/>
    <w:rsid w:val="007E700C"/>
    <w:rsid w:val="007E7388"/>
    <w:rsid w:val="007F0429"/>
    <w:rsid w:val="007F1BAF"/>
    <w:rsid w:val="007F1F1C"/>
    <w:rsid w:val="007F2277"/>
    <w:rsid w:val="007F2CE5"/>
    <w:rsid w:val="007F433C"/>
    <w:rsid w:val="007F554A"/>
    <w:rsid w:val="007F5C8A"/>
    <w:rsid w:val="008004B0"/>
    <w:rsid w:val="008045D9"/>
    <w:rsid w:val="0080702C"/>
    <w:rsid w:val="00812094"/>
    <w:rsid w:val="0081333B"/>
    <w:rsid w:val="008140D7"/>
    <w:rsid w:val="00815D49"/>
    <w:rsid w:val="00821DF6"/>
    <w:rsid w:val="00823CCC"/>
    <w:rsid w:val="00827179"/>
    <w:rsid w:val="0083029A"/>
    <w:rsid w:val="00830426"/>
    <w:rsid w:val="00830E02"/>
    <w:rsid w:val="00831C83"/>
    <w:rsid w:val="00831E0A"/>
    <w:rsid w:val="008343C4"/>
    <w:rsid w:val="00835847"/>
    <w:rsid w:val="00835C6F"/>
    <w:rsid w:val="00837429"/>
    <w:rsid w:val="0083745B"/>
    <w:rsid w:val="00840252"/>
    <w:rsid w:val="00840420"/>
    <w:rsid w:val="0084102C"/>
    <w:rsid w:val="00842DE3"/>
    <w:rsid w:val="008433FA"/>
    <w:rsid w:val="00844F5E"/>
    <w:rsid w:val="00846701"/>
    <w:rsid w:val="0084727D"/>
    <w:rsid w:val="0085232F"/>
    <w:rsid w:val="00854E2A"/>
    <w:rsid w:val="008550CD"/>
    <w:rsid w:val="00857E3A"/>
    <w:rsid w:val="00861135"/>
    <w:rsid w:val="008633BD"/>
    <w:rsid w:val="00864495"/>
    <w:rsid w:val="00867059"/>
    <w:rsid w:val="00867A5A"/>
    <w:rsid w:val="008711B1"/>
    <w:rsid w:val="00871FBA"/>
    <w:rsid w:val="00872119"/>
    <w:rsid w:val="008722FB"/>
    <w:rsid w:val="00876B51"/>
    <w:rsid w:val="00877EA2"/>
    <w:rsid w:val="008808CA"/>
    <w:rsid w:val="00887D93"/>
    <w:rsid w:val="00890601"/>
    <w:rsid w:val="00890D7D"/>
    <w:rsid w:val="008931DE"/>
    <w:rsid w:val="008933C7"/>
    <w:rsid w:val="00894216"/>
    <w:rsid w:val="008959F9"/>
    <w:rsid w:val="00896786"/>
    <w:rsid w:val="00897413"/>
    <w:rsid w:val="008A118C"/>
    <w:rsid w:val="008A46DC"/>
    <w:rsid w:val="008A4BF4"/>
    <w:rsid w:val="008A510D"/>
    <w:rsid w:val="008A5EDE"/>
    <w:rsid w:val="008A7A4E"/>
    <w:rsid w:val="008B0AFF"/>
    <w:rsid w:val="008B181A"/>
    <w:rsid w:val="008B2FA8"/>
    <w:rsid w:val="008B3253"/>
    <w:rsid w:val="008C020E"/>
    <w:rsid w:val="008C2E02"/>
    <w:rsid w:val="008C2F9E"/>
    <w:rsid w:val="008C5FE0"/>
    <w:rsid w:val="008D03EA"/>
    <w:rsid w:val="008D16BD"/>
    <w:rsid w:val="008D2E91"/>
    <w:rsid w:val="008D58E2"/>
    <w:rsid w:val="008D6283"/>
    <w:rsid w:val="008D7FB0"/>
    <w:rsid w:val="008E050B"/>
    <w:rsid w:val="008E0C7A"/>
    <w:rsid w:val="008E1010"/>
    <w:rsid w:val="008E2C2E"/>
    <w:rsid w:val="008E388A"/>
    <w:rsid w:val="008E6FF1"/>
    <w:rsid w:val="008E72A8"/>
    <w:rsid w:val="008F0627"/>
    <w:rsid w:val="008F0D78"/>
    <w:rsid w:val="008F2498"/>
    <w:rsid w:val="008F41FB"/>
    <w:rsid w:val="008F4B49"/>
    <w:rsid w:val="008F54F6"/>
    <w:rsid w:val="008F5C9B"/>
    <w:rsid w:val="009039C8"/>
    <w:rsid w:val="00905B77"/>
    <w:rsid w:val="00906FD6"/>
    <w:rsid w:val="009079D0"/>
    <w:rsid w:val="009104AA"/>
    <w:rsid w:val="009127EC"/>
    <w:rsid w:val="00914466"/>
    <w:rsid w:val="00914D04"/>
    <w:rsid w:val="00915D8A"/>
    <w:rsid w:val="00917746"/>
    <w:rsid w:val="009209A5"/>
    <w:rsid w:val="00920F98"/>
    <w:rsid w:val="00922448"/>
    <w:rsid w:val="009228BB"/>
    <w:rsid w:val="00922FDA"/>
    <w:rsid w:val="009244DF"/>
    <w:rsid w:val="00927EF6"/>
    <w:rsid w:val="00930D45"/>
    <w:rsid w:val="00933885"/>
    <w:rsid w:val="00936E93"/>
    <w:rsid w:val="00937FDA"/>
    <w:rsid w:val="00941F09"/>
    <w:rsid w:val="00943719"/>
    <w:rsid w:val="00944948"/>
    <w:rsid w:val="00947632"/>
    <w:rsid w:val="0094786C"/>
    <w:rsid w:val="00947B9F"/>
    <w:rsid w:val="00947FB4"/>
    <w:rsid w:val="00952D2F"/>
    <w:rsid w:val="00952D60"/>
    <w:rsid w:val="00952E44"/>
    <w:rsid w:val="00953E07"/>
    <w:rsid w:val="00955447"/>
    <w:rsid w:val="00955A17"/>
    <w:rsid w:val="00956A67"/>
    <w:rsid w:val="00957C50"/>
    <w:rsid w:val="00960E12"/>
    <w:rsid w:val="0096331F"/>
    <w:rsid w:val="00963914"/>
    <w:rsid w:val="00963A90"/>
    <w:rsid w:val="00965440"/>
    <w:rsid w:val="009729D8"/>
    <w:rsid w:val="00973461"/>
    <w:rsid w:val="009740B0"/>
    <w:rsid w:val="0097453F"/>
    <w:rsid w:val="00974577"/>
    <w:rsid w:val="00975045"/>
    <w:rsid w:val="00976670"/>
    <w:rsid w:val="00976BC3"/>
    <w:rsid w:val="00976E64"/>
    <w:rsid w:val="009771EF"/>
    <w:rsid w:val="00977929"/>
    <w:rsid w:val="00980E76"/>
    <w:rsid w:val="0098426D"/>
    <w:rsid w:val="00993B1F"/>
    <w:rsid w:val="0099428D"/>
    <w:rsid w:val="009952C0"/>
    <w:rsid w:val="00995932"/>
    <w:rsid w:val="00996D49"/>
    <w:rsid w:val="009A0FAF"/>
    <w:rsid w:val="009A1C77"/>
    <w:rsid w:val="009A51E6"/>
    <w:rsid w:val="009A5BC5"/>
    <w:rsid w:val="009A61AA"/>
    <w:rsid w:val="009A747C"/>
    <w:rsid w:val="009A7DAC"/>
    <w:rsid w:val="009B1804"/>
    <w:rsid w:val="009B2B6E"/>
    <w:rsid w:val="009B7D7E"/>
    <w:rsid w:val="009C10F7"/>
    <w:rsid w:val="009C11B1"/>
    <w:rsid w:val="009C1722"/>
    <w:rsid w:val="009C1BE0"/>
    <w:rsid w:val="009C2A36"/>
    <w:rsid w:val="009C6235"/>
    <w:rsid w:val="009C6E76"/>
    <w:rsid w:val="009D3E29"/>
    <w:rsid w:val="009D3E42"/>
    <w:rsid w:val="009D5602"/>
    <w:rsid w:val="009D682E"/>
    <w:rsid w:val="009E5844"/>
    <w:rsid w:val="009E7C9A"/>
    <w:rsid w:val="009F2B85"/>
    <w:rsid w:val="009F4C6D"/>
    <w:rsid w:val="00A01D25"/>
    <w:rsid w:val="00A0528A"/>
    <w:rsid w:val="00A0624A"/>
    <w:rsid w:val="00A06830"/>
    <w:rsid w:val="00A10533"/>
    <w:rsid w:val="00A12892"/>
    <w:rsid w:val="00A149DF"/>
    <w:rsid w:val="00A1634D"/>
    <w:rsid w:val="00A1707B"/>
    <w:rsid w:val="00A200BD"/>
    <w:rsid w:val="00A23E0E"/>
    <w:rsid w:val="00A3095D"/>
    <w:rsid w:val="00A30BA2"/>
    <w:rsid w:val="00A32694"/>
    <w:rsid w:val="00A33A18"/>
    <w:rsid w:val="00A350BE"/>
    <w:rsid w:val="00A35C8A"/>
    <w:rsid w:val="00A4149B"/>
    <w:rsid w:val="00A51ECF"/>
    <w:rsid w:val="00A5335D"/>
    <w:rsid w:val="00A5435C"/>
    <w:rsid w:val="00A56524"/>
    <w:rsid w:val="00A5794D"/>
    <w:rsid w:val="00A610B8"/>
    <w:rsid w:val="00A61208"/>
    <w:rsid w:val="00A62660"/>
    <w:rsid w:val="00A64D6A"/>
    <w:rsid w:val="00A66A0F"/>
    <w:rsid w:val="00A67FB0"/>
    <w:rsid w:val="00A700BE"/>
    <w:rsid w:val="00A7038D"/>
    <w:rsid w:val="00A73440"/>
    <w:rsid w:val="00A755F2"/>
    <w:rsid w:val="00A75908"/>
    <w:rsid w:val="00A75D01"/>
    <w:rsid w:val="00A76B01"/>
    <w:rsid w:val="00A813D7"/>
    <w:rsid w:val="00A83BB1"/>
    <w:rsid w:val="00A87807"/>
    <w:rsid w:val="00A90332"/>
    <w:rsid w:val="00A9272D"/>
    <w:rsid w:val="00A94426"/>
    <w:rsid w:val="00A9734B"/>
    <w:rsid w:val="00A97D26"/>
    <w:rsid w:val="00AA06C5"/>
    <w:rsid w:val="00AA1669"/>
    <w:rsid w:val="00AA3A8E"/>
    <w:rsid w:val="00AA5BB8"/>
    <w:rsid w:val="00AA5D50"/>
    <w:rsid w:val="00AA6487"/>
    <w:rsid w:val="00AB001E"/>
    <w:rsid w:val="00AB2D04"/>
    <w:rsid w:val="00AB318B"/>
    <w:rsid w:val="00AB7D6A"/>
    <w:rsid w:val="00AC3A3F"/>
    <w:rsid w:val="00AC4817"/>
    <w:rsid w:val="00AC5FE9"/>
    <w:rsid w:val="00AD1335"/>
    <w:rsid w:val="00AD190D"/>
    <w:rsid w:val="00AD2DAB"/>
    <w:rsid w:val="00AD2E60"/>
    <w:rsid w:val="00AE0CFD"/>
    <w:rsid w:val="00AE0EBA"/>
    <w:rsid w:val="00AE1BBB"/>
    <w:rsid w:val="00AE2F4C"/>
    <w:rsid w:val="00AE3B4A"/>
    <w:rsid w:val="00AE4A87"/>
    <w:rsid w:val="00AE5C17"/>
    <w:rsid w:val="00AE6D39"/>
    <w:rsid w:val="00AE749B"/>
    <w:rsid w:val="00AF0629"/>
    <w:rsid w:val="00AF1BF1"/>
    <w:rsid w:val="00AF32B8"/>
    <w:rsid w:val="00AF3CB3"/>
    <w:rsid w:val="00AF5337"/>
    <w:rsid w:val="00AF53C2"/>
    <w:rsid w:val="00AF71F6"/>
    <w:rsid w:val="00AF7C60"/>
    <w:rsid w:val="00B005C5"/>
    <w:rsid w:val="00B02305"/>
    <w:rsid w:val="00B02E23"/>
    <w:rsid w:val="00B1175D"/>
    <w:rsid w:val="00B1220D"/>
    <w:rsid w:val="00B12731"/>
    <w:rsid w:val="00B12AA5"/>
    <w:rsid w:val="00B13C18"/>
    <w:rsid w:val="00B14DF1"/>
    <w:rsid w:val="00B153B3"/>
    <w:rsid w:val="00B17CBB"/>
    <w:rsid w:val="00B20BBF"/>
    <w:rsid w:val="00B217CC"/>
    <w:rsid w:val="00B25447"/>
    <w:rsid w:val="00B25460"/>
    <w:rsid w:val="00B271C9"/>
    <w:rsid w:val="00B2792C"/>
    <w:rsid w:val="00B328AB"/>
    <w:rsid w:val="00B32F09"/>
    <w:rsid w:val="00B33D96"/>
    <w:rsid w:val="00B33E36"/>
    <w:rsid w:val="00B34862"/>
    <w:rsid w:val="00B34F0E"/>
    <w:rsid w:val="00B35F5F"/>
    <w:rsid w:val="00B36F78"/>
    <w:rsid w:val="00B3755E"/>
    <w:rsid w:val="00B404A6"/>
    <w:rsid w:val="00B40A63"/>
    <w:rsid w:val="00B45C45"/>
    <w:rsid w:val="00B53460"/>
    <w:rsid w:val="00B56FB7"/>
    <w:rsid w:val="00B577A6"/>
    <w:rsid w:val="00B61E09"/>
    <w:rsid w:val="00B6274D"/>
    <w:rsid w:val="00B62B63"/>
    <w:rsid w:val="00B64D41"/>
    <w:rsid w:val="00B66CB3"/>
    <w:rsid w:val="00B66D6E"/>
    <w:rsid w:val="00B706C6"/>
    <w:rsid w:val="00B72434"/>
    <w:rsid w:val="00B739CF"/>
    <w:rsid w:val="00B7475F"/>
    <w:rsid w:val="00B76F8C"/>
    <w:rsid w:val="00B774B5"/>
    <w:rsid w:val="00B80B07"/>
    <w:rsid w:val="00B8178C"/>
    <w:rsid w:val="00B81BF0"/>
    <w:rsid w:val="00B82E33"/>
    <w:rsid w:val="00B82ECB"/>
    <w:rsid w:val="00B8310B"/>
    <w:rsid w:val="00B83C8B"/>
    <w:rsid w:val="00B85BAF"/>
    <w:rsid w:val="00B8624F"/>
    <w:rsid w:val="00B8771E"/>
    <w:rsid w:val="00B90874"/>
    <w:rsid w:val="00B90BFA"/>
    <w:rsid w:val="00B93044"/>
    <w:rsid w:val="00B931B0"/>
    <w:rsid w:val="00B939B7"/>
    <w:rsid w:val="00B95599"/>
    <w:rsid w:val="00B95E2C"/>
    <w:rsid w:val="00BA129B"/>
    <w:rsid w:val="00BA2C17"/>
    <w:rsid w:val="00BA40F3"/>
    <w:rsid w:val="00BA4D22"/>
    <w:rsid w:val="00BA5882"/>
    <w:rsid w:val="00BA5957"/>
    <w:rsid w:val="00BA5F6B"/>
    <w:rsid w:val="00BA6BD0"/>
    <w:rsid w:val="00BB048C"/>
    <w:rsid w:val="00BB0589"/>
    <w:rsid w:val="00BB1977"/>
    <w:rsid w:val="00BB1AF8"/>
    <w:rsid w:val="00BB2E2A"/>
    <w:rsid w:val="00BB2FD8"/>
    <w:rsid w:val="00BC21CA"/>
    <w:rsid w:val="00BC223D"/>
    <w:rsid w:val="00BC3515"/>
    <w:rsid w:val="00BC3923"/>
    <w:rsid w:val="00BC59C2"/>
    <w:rsid w:val="00BD02CC"/>
    <w:rsid w:val="00BD22C7"/>
    <w:rsid w:val="00BD277B"/>
    <w:rsid w:val="00BD530D"/>
    <w:rsid w:val="00BE205B"/>
    <w:rsid w:val="00BE264E"/>
    <w:rsid w:val="00BE279F"/>
    <w:rsid w:val="00BE4E80"/>
    <w:rsid w:val="00BE68B4"/>
    <w:rsid w:val="00BE7C07"/>
    <w:rsid w:val="00BF11F5"/>
    <w:rsid w:val="00BF693C"/>
    <w:rsid w:val="00C029B6"/>
    <w:rsid w:val="00C03B0F"/>
    <w:rsid w:val="00C03E68"/>
    <w:rsid w:val="00C109AE"/>
    <w:rsid w:val="00C124B7"/>
    <w:rsid w:val="00C13FBE"/>
    <w:rsid w:val="00C16AB3"/>
    <w:rsid w:val="00C17224"/>
    <w:rsid w:val="00C174DC"/>
    <w:rsid w:val="00C17685"/>
    <w:rsid w:val="00C202DA"/>
    <w:rsid w:val="00C20CBD"/>
    <w:rsid w:val="00C223A5"/>
    <w:rsid w:val="00C22456"/>
    <w:rsid w:val="00C23A93"/>
    <w:rsid w:val="00C23BCF"/>
    <w:rsid w:val="00C2648A"/>
    <w:rsid w:val="00C2711D"/>
    <w:rsid w:val="00C275B4"/>
    <w:rsid w:val="00C310A0"/>
    <w:rsid w:val="00C351DB"/>
    <w:rsid w:val="00C36A88"/>
    <w:rsid w:val="00C4070B"/>
    <w:rsid w:val="00C417E0"/>
    <w:rsid w:val="00C44141"/>
    <w:rsid w:val="00C53EEF"/>
    <w:rsid w:val="00C55A01"/>
    <w:rsid w:val="00C56A39"/>
    <w:rsid w:val="00C56FA8"/>
    <w:rsid w:val="00C57DD6"/>
    <w:rsid w:val="00C61F76"/>
    <w:rsid w:val="00C62A8F"/>
    <w:rsid w:val="00C630BE"/>
    <w:rsid w:val="00C634E0"/>
    <w:rsid w:val="00C64870"/>
    <w:rsid w:val="00C671BC"/>
    <w:rsid w:val="00C6762B"/>
    <w:rsid w:val="00C70919"/>
    <w:rsid w:val="00C72E3E"/>
    <w:rsid w:val="00C759E4"/>
    <w:rsid w:val="00C75BEC"/>
    <w:rsid w:val="00C7681C"/>
    <w:rsid w:val="00C80D96"/>
    <w:rsid w:val="00C83560"/>
    <w:rsid w:val="00C836E3"/>
    <w:rsid w:val="00C83A19"/>
    <w:rsid w:val="00C8527E"/>
    <w:rsid w:val="00C855D2"/>
    <w:rsid w:val="00C85E96"/>
    <w:rsid w:val="00C86FBD"/>
    <w:rsid w:val="00C9128F"/>
    <w:rsid w:val="00C91666"/>
    <w:rsid w:val="00C9219D"/>
    <w:rsid w:val="00C923D5"/>
    <w:rsid w:val="00C931C7"/>
    <w:rsid w:val="00C94E84"/>
    <w:rsid w:val="00CA18FB"/>
    <w:rsid w:val="00CA1BD1"/>
    <w:rsid w:val="00CA1CEF"/>
    <w:rsid w:val="00CA6919"/>
    <w:rsid w:val="00CA7190"/>
    <w:rsid w:val="00CB030A"/>
    <w:rsid w:val="00CB125C"/>
    <w:rsid w:val="00CB455B"/>
    <w:rsid w:val="00CB4D87"/>
    <w:rsid w:val="00CC1BA2"/>
    <w:rsid w:val="00CC24F0"/>
    <w:rsid w:val="00CC4E6E"/>
    <w:rsid w:val="00CC6E0A"/>
    <w:rsid w:val="00CC7617"/>
    <w:rsid w:val="00CC7935"/>
    <w:rsid w:val="00CD009D"/>
    <w:rsid w:val="00CD0EED"/>
    <w:rsid w:val="00CD17D1"/>
    <w:rsid w:val="00CD66B7"/>
    <w:rsid w:val="00CD66FB"/>
    <w:rsid w:val="00CD67D5"/>
    <w:rsid w:val="00CE0A68"/>
    <w:rsid w:val="00CE52FE"/>
    <w:rsid w:val="00CE63CA"/>
    <w:rsid w:val="00CE6D2A"/>
    <w:rsid w:val="00CE70E4"/>
    <w:rsid w:val="00CF0889"/>
    <w:rsid w:val="00CF2156"/>
    <w:rsid w:val="00CF2AC8"/>
    <w:rsid w:val="00CF3102"/>
    <w:rsid w:val="00CF41C5"/>
    <w:rsid w:val="00CF4D7B"/>
    <w:rsid w:val="00CF5F8F"/>
    <w:rsid w:val="00CF6914"/>
    <w:rsid w:val="00CF7F24"/>
    <w:rsid w:val="00CF7F30"/>
    <w:rsid w:val="00D003AF"/>
    <w:rsid w:val="00D049C3"/>
    <w:rsid w:val="00D056C1"/>
    <w:rsid w:val="00D07715"/>
    <w:rsid w:val="00D106FE"/>
    <w:rsid w:val="00D125E8"/>
    <w:rsid w:val="00D12D3B"/>
    <w:rsid w:val="00D1447F"/>
    <w:rsid w:val="00D148D9"/>
    <w:rsid w:val="00D151D4"/>
    <w:rsid w:val="00D15FDA"/>
    <w:rsid w:val="00D161B7"/>
    <w:rsid w:val="00D165E0"/>
    <w:rsid w:val="00D165ED"/>
    <w:rsid w:val="00D20334"/>
    <w:rsid w:val="00D21ED8"/>
    <w:rsid w:val="00D22A32"/>
    <w:rsid w:val="00D23012"/>
    <w:rsid w:val="00D233FB"/>
    <w:rsid w:val="00D26AC6"/>
    <w:rsid w:val="00D26EC1"/>
    <w:rsid w:val="00D2709A"/>
    <w:rsid w:val="00D30569"/>
    <w:rsid w:val="00D3114F"/>
    <w:rsid w:val="00D31F30"/>
    <w:rsid w:val="00D31F45"/>
    <w:rsid w:val="00D33287"/>
    <w:rsid w:val="00D335BB"/>
    <w:rsid w:val="00D34B05"/>
    <w:rsid w:val="00D37504"/>
    <w:rsid w:val="00D37996"/>
    <w:rsid w:val="00D42BF2"/>
    <w:rsid w:val="00D4725F"/>
    <w:rsid w:val="00D476C1"/>
    <w:rsid w:val="00D51660"/>
    <w:rsid w:val="00D54091"/>
    <w:rsid w:val="00D54B9A"/>
    <w:rsid w:val="00D54F2F"/>
    <w:rsid w:val="00D557F5"/>
    <w:rsid w:val="00D61100"/>
    <w:rsid w:val="00D61C45"/>
    <w:rsid w:val="00D62AEF"/>
    <w:rsid w:val="00D62CE1"/>
    <w:rsid w:val="00D6327D"/>
    <w:rsid w:val="00D64DD6"/>
    <w:rsid w:val="00D6587C"/>
    <w:rsid w:val="00D72C4E"/>
    <w:rsid w:val="00D74B15"/>
    <w:rsid w:val="00D756CA"/>
    <w:rsid w:val="00D77713"/>
    <w:rsid w:val="00D7798A"/>
    <w:rsid w:val="00D8307B"/>
    <w:rsid w:val="00D836F7"/>
    <w:rsid w:val="00D84509"/>
    <w:rsid w:val="00D84645"/>
    <w:rsid w:val="00D84EFB"/>
    <w:rsid w:val="00D85D38"/>
    <w:rsid w:val="00D864F8"/>
    <w:rsid w:val="00D879A3"/>
    <w:rsid w:val="00D9074B"/>
    <w:rsid w:val="00D93123"/>
    <w:rsid w:val="00D93A8E"/>
    <w:rsid w:val="00D945BD"/>
    <w:rsid w:val="00DA533C"/>
    <w:rsid w:val="00DA5B6B"/>
    <w:rsid w:val="00DA700C"/>
    <w:rsid w:val="00DB2147"/>
    <w:rsid w:val="00DB2EF0"/>
    <w:rsid w:val="00DB4640"/>
    <w:rsid w:val="00DB72D0"/>
    <w:rsid w:val="00DC44F4"/>
    <w:rsid w:val="00DD027E"/>
    <w:rsid w:val="00DD0447"/>
    <w:rsid w:val="00DD27D9"/>
    <w:rsid w:val="00DE2783"/>
    <w:rsid w:val="00DE27B8"/>
    <w:rsid w:val="00DE3D55"/>
    <w:rsid w:val="00DE454A"/>
    <w:rsid w:val="00DE70C6"/>
    <w:rsid w:val="00DF0C56"/>
    <w:rsid w:val="00DF0DB1"/>
    <w:rsid w:val="00DF1FFC"/>
    <w:rsid w:val="00DF21A8"/>
    <w:rsid w:val="00DF3A84"/>
    <w:rsid w:val="00E0061F"/>
    <w:rsid w:val="00E01663"/>
    <w:rsid w:val="00E07277"/>
    <w:rsid w:val="00E07A39"/>
    <w:rsid w:val="00E104EF"/>
    <w:rsid w:val="00E125CB"/>
    <w:rsid w:val="00E13EDF"/>
    <w:rsid w:val="00E146EE"/>
    <w:rsid w:val="00E14A44"/>
    <w:rsid w:val="00E165C9"/>
    <w:rsid w:val="00E17165"/>
    <w:rsid w:val="00E202E6"/>
    <w:rsid w:val="00E21B3E"/>
    <w:rsid w:val="00E21F7E"/>
    <w:rsid w:val="00E224C3"/>
    <w:rsid w:val="00E25D87"/>
    <w:rsid w:val="00E300EC"/>
    <w:rsid w:val="00E31E46"/>
    <w:rsid w:val="00E34AE2"/>
    <w:rsid w:val="00E35D13"/>
    <w:rsid w:val="00E37601"/>
    <w:rsid w:val="00E42235"/>
    <w:rsid w:val="00E43B3E"/>
    <w:rsid w:val="00E443BA"/>
    <w:rsid w:val="00E45FB7"/>
    <w:rsid w:val="00E470CE"/>
    <w:rsid w:val="00E47E41"/>
    <w:rsid w:val="00E50F94"/>
    <w:rsid w:val="00E528C9"/>
    <w:rsid w:val="00E52BC5"/>
    <w:rsid w:val="00E5462E"/>
    <w:rsid w:val="00E579CE"/>
    <w:rsid w:val="00E65605"/>
    <w:rsid w:val="00E65AFF"/>
    <w:rsid w:val="00E67411"/>
    <w:rsid w:val="00E6767D"/>
    <w:rsid w:val="00E7411A"/>
    <w:rsid w:val="00E775C6"/>
    <w:rsid w:val="00E77A83"/>
    <w:rsid w:val="00E83219"/>
    <w:rsid w:val="00E83604"/>
    <w:rsid w:val="00E85972"/>
    <w:rsid w:val="00E85B6F"/>
    <w:rsid w:val="00E868F9"/>
    <w:rsid w:val="00E90E9C"/>
    <w:rsid w:val="00E93A6E"/>
    <w:rsid w:val="00E93D9F"/>
    <w:rsid w:val="00E93E89"/>
    <w:rsid w:val="00E9512C"/>
    <w:rsid w:val="00EA0077"/>
    <w:rsid w:val="00EA0E38"/>
    <w:rsid w:val="00EA1872"/>
    <w:rsid w:val="00EA604E"/>
    <w:rsid w:val="00EA6140"/>
    <w:rsid w:val="00EA6536"/>
    <w:rsid w:val="00EA6803"/>
    <w:rsid w:val="00EA7167"/>
    <w:rsid w:val="00EB34AD"/>
    <w:rsid w:val="00EB39F8"/>
    <w:rsid w:val="00EB3AE8"/>
    <w:rsid w:val="00EB5C52"/>
    <w:rsid w:val="00EB6196"/>
    <w:rsid w:val="00EB67F0"/>
    <w:rsid w:val="00EB6B0C"/>
    <w:rsid w:val="00EB6F46"/>
    <w:rsid w:val="00EC058C"/>
    <w:rsid w:val="00EC1BDE"/>
    <w:rsid w:val="00EC1F4B"/>
    <w:rsid w:val="00ED1413"/>
    <w:rsid w:val="00ED1663"/>
    <w:rsid w:val="00ED49E6"/>
    <w:rsid w:val="00ED50F5"/>
    <w:rsid w:val="00ED6BE1"/>
    <w:rsid w:val="00ED7757"/>
    <w:rsid w:val="00EE027B"/>
    <w:rsid w:val="00EE31DF"/>
    <w:rsid w:val="00EE5C10"/>
    <w:rsid w:val="00EE7916"/>
    <w:rsid w:val="00EF1C6E"/>
    <w:rsid w:val="00EF3FD3"/>
    <w:rsid w:val="00EF4D3B"/>
    <w:rsid w:val="00EF6A34"/>
    <w:rsid w:val="00EF7579"/>
    <w:rsid w:val="00F00BE0"/>
    <w:rsid w:val="00F016BD"/>
    <w:rsid w:val="00F04C2B"/>
    <w:rsid w:val="00F0680A"/>
    <w:rsid w:val="00F06ED0"/>
    <w:rsid w:val="00F10A95"/>
    <w:rsid w:val="00F12013"/>
    <w:rsid w:val="00F12999"/>
    <w:rsid w:val="00F12EE5"/>
    <w:rsid w:val="00F13822"/>
    <w:rsid w:val="00F14565"/>
    <w:rsid w:val="00F14A70"/>
    <w:rsid w:val="00F1737F"/>
    <w:rsid w:val="00F175A5"/>
    <w:rsid w:val="00F212FC"/>
    <w:rsid w:val="00F230F1"/>
    <w:rsid w:val="00F26AB4"/>
    <w:rsid w:val="00F27B8D"/>
    <w:rsid w:val="00F304FB"/>
    <w:rsid w:val="00F313F8"/>
    <w:rsid w:val="00F315AB"/>
    <w:rsid w:val="00F35871"/>
    <w:rsid w:val="00F35D52"/>
    <w:rsid w:val="00F373E1"/>
    <w:rsid w:val="00F400F4"/>
    <w:rsid w:val="00F42574"/>
    <w:rsid w:val="00F45257"/>
    <w:rsid w:val="00F45CA2"/>
    <w:rsid w:val="00F45D78"/>
    <w:rsid w:val="00F46154"/>
    <w:rsid w:val="00F46AD5"/>
    <w:rsid w:val="00F47616"/>
    <w:rsid w:val="00F47DCD"/>
    <w:rsid w:val="00F50CA4"/>
    <w:rsid w:val="00F50CE7"/>
    <w:rsid w:val="00F5301A"/>
    <w:rsid w:val="00F549E7"/>
    <w:rsid w:val="00F5550D"/>
    <w:rsid w:val="00F618BB"/>
    <w:rsid w:val="00F6302F"/>
    <w:rsid w:val="00F63F99"/>
    <w:rsid w:val="00F67625"/>
    <w:rsid w:val="00F76B14"/>
    <w:rsid w:val="00F85F21"/>
    <w:rsid w:val="00F90CF5"/>
    <w:rsid w:val="00F91AD8"/>
    <w:rsid w:val="00F922B1"/>
    <w:rsid w:val="00F964D7"/>
    <w:rsid w:val="00FA1CBD"/>
    <w:rsid w:val="00FA56EF"/>
    <w:rsid w:val="00FA5D99"/>
    <w:rsid w:val="00FA72F6"/>
    <w:rsid w:val="00FB0E27"/>
    <w:rsid w:val="00FB10A3"/>
    <w:rsid w:val="00FB2842"/>
    <w:rsid w:val="00FB36D4"/>
    <w:rsid w:val="00FB3B0F"/>
    <w:rsid w:val="00FB42A1"/>
    <w:rsid w:val="00FB510B"/>
    <w:rsid w:val="00FB5D1B"/>
    <w:rsid w:val="00FC1C97"/>
    <w:rsid w:val="00FC26BF"/>
    <w:rsid w:val="00FC3491"/>
    <w:rsid w:val="00FC423E"/>
    <w:rsid w:val="00FC523E"/>
    <w:rsid w:val="00FC6CE0"/>
    <w:rsid w:val="00FC7232"/>
    <w:rsid w:val="00FC7525"/>
    <w:rsid w:val="00FD2F3C"/>
    <w:rsid w:val="00FD418F"/>
    <w:rsid w:val="00FD4365"/>
    <w:rsid w:val="00FD46B0"/>
    <w:rsid w:val="00FD4D39"/>
    <w:rsid w:val="00FD4F52"/>
    <w:rsid w:val="00FE1EF3"/>
    <w:rsid w:val="00FE315D"/>
    <w:rsid w:val="00FE3182"/>
    <w:rsid w:val="00FE41E1"/>
    <w:rsid w:val="00FE55F1"/>
    <w:rsid w:val="00FF0175"/>
    <w:rsid w:val="00FF213C"/>
    <w:rsid w:val="00FF4D81"/>
    <w:rsid w:val="00FF75F5"/>
    <w:rsid w:val="01361FEC"/>
    <w:rsid w:val="017046B5"/>
    <w:rsid w:val="01AA244A"/>
    <w:rsid w:val="01B110FD"/>
    <w:rsid w:val="01C93EA2"/>
    <w:rsid w:val="0234160E"/>
    <w:rsid w:val="02A36A8B"/>
    <w:rsid w:val="02AB0B8E"/>
    <w:rsid w:val="03822C68"/>
    <w:rsid w:val="038A570F"/>
    <w:rsid w:val="03CB50B5"/>
    <w:rsid w:val="04537794"/>
    <w:rsid w:val="04E377CC"/>
    <w:rsid w:val="04EC1EC7"/>
    <w:rsid w:val="05CA098C"/>
    <w:rsid w:val="05EA06E6"/>
    <w:rsid w:val="063778C3"/>
    <w:rsid w:val="063A78C0"/>
    <w:rsid w:val="0659586C"/>
    <w:rsid w:val="0661309E"/>
    <w:rsid w:val="06C40E3D"/>
    <w:rsid w:val="06D84E59"/>
    <w:rsid w:val="076A180B"/>
    <w:rsid w:val="07AA7993"/>
    <w:rsid w:val="0854278F"/>
    <w:rsid w:val="08997B94"/>
    <w:rsid w:val="08D55BA8"/>
    <w:rsid w:val="08E82CE2"/>
    <w:rsid w:val="0924188A"/>
    <w:rsid w:val="093821B4"/>
    <w:rsid w:val="09A37CB3"/>
    <w:rsid w:val="09BD6E8E"/>
    <w:rsid w:val="09D0220B"/>
    <w:rsid w:val="09E0077E"/>
    <w:rsid w:val="0A182AAB"/>
    <w:rsid w:val="0A6D7B49"/>
    <w:rsid w:val="0AB70738"/>
    <w:rsid w:val="0B1873A5"/>
    <w:rsid w:val="0B39220B"/>
    <w:rsid w:val="0B450737"/>
    <w:rsid w:val="0B895F5B"/>
    <w:rsid w:val="0BBF43C3"/>
    <w:rsid w:val="0C054382"/>
    <w:rsid w:val="0C2739C5"/>
    <w:rsid w:val="0C6276BE"/>
    <w:rsid w:val="0CEB0E07"/>
    <w:rsid w:val="0DD51B4F"/>
    <w:rsid w:val="0DDA308D"/>
    <w:rsid w:val="0E2350DD"/>
    <w:rsid w:val="0E2530C6"/>
    <w:rsid w:val="0E497FC8"/>
    <w:rsid w:val="0ECD57F4"/>
    <w:rsid w:val="0F385BB8"/>
    <w:rsid w:val="0F476421"/>
    <w:rsid w:val="0F7A70CC"/>
    <w:rsid w:val="0FB13746"/>
    <w:rsid w:val="0FC50D8F"/>
    <w:rsid w:val="10330290"/>
    <w:rsid w:val="103B3C0B"/>
    <w:rsid w:val="10507A4D"/>
    <w:rsid w:val="11815B42"/>
    <w:rsid w:val="118848CF"/>
    <w:rsid w:val="11A007F3"/>
    <w:rsid w:val="11D43DF0"/>
    <w:rsid w:val="12D42009"/>
    <w:rsid w:val="13172843"/>
    <w:rsid w:val="13372294"/>
    <w:rsid w:val="13623FB2"/>
    <w:rsid w:val="13EE3E35"/>
    <w:rsid w:val="14385814"/>
    <w:rsid w:val="14675B7E"/>
    <w:rsid w:val="14A558C2"/>
    <w:rsid w:val="14AA20B4"/>
    <w:rsid w:val="14AB3737"/>
    <w:rsid w:val="14D26F15"/>
    <w:rsid w:val="151513A6"/>
    <w:rsid w:val="158A3603"/>
    <w:rsid w:val="15BB6444"/>
    <w:rsid w:val="15FB47EE"/>
    <w:rsid w:val="16AD4F3F"/>
    <w:rsid w:val="16EB2471"/>
    <w:rsid w:val="17237864"/>
    <w:rsid w:val="173D11B9"/>
    <w:rsid w:val="17A03A19"/>
    <w:rsid w:val="18003993"/>
    <w:rsid w:val="18434A76"/>
    <w:rsid w:val="184719C8"/>
    <w:rsid w:val="187838BD"/>
    <w:rsid w:val="18814E0D"/>
    <w:rsid w:val="18E224B7"/>
    <w:rsid w:val="191B5BE2"/>
    <w:rsid w:val="19700D85"/>
    <w:rsid w:val="199350D0"/>
    <w:rsid w:val="1A1C2F63"/>
    <w:rsid w:val="1A400DC5"/>
    <w:rsid w:val="1A627D34"/>
    <w:rsid w:val="1AD36AA3"/>
    <w:rsid w:val="1AD62D11"/>
    <w:rsid w:val="1AF6583C"/>
    <w:rsid w:val="1B2454C9"/>
    <w:rsid w:val="1B9C7EB5"/>
    <w:rsid w:val="1C35495A"/>
    <w:rsid w:val="1CD94D82"/>
    <w:rsid w:val="1CF73448"/>
    <w:rsid w:val="1D0E70C8"/>
    <w:rsid w:val="1D566561"/>
    <w:rsid w:val="1D8E619F"/>
    <w:rsid w:val="1DDA6E3B"/>
    <w:rsid w:val="1DF075C2"/>
    <w:rsid w:val="1E054C48"/>
    <w:rsid w:val="1F351709"/>
    <w:rsid w:val="1F467FC8"/>
    <w:rsid w:val="1F4D10E9"/>
    <w:rsid w:val="1F707818"/>
    <w:rsid w:val="1FCF77B6"/>
    <w:rsid w:val="1FE81C41"/>
    <w:rsid w:val="20017676"/>
    <w:rsid w:val="206770AC"/>
    <w:rsid w:val="20847C5E"/>
    <w:rsid w:val="2133411B"/>
    <w:rsid w:val="21AF1848"/>
    <w:rsid w:val="21B00207"/>
    <w:rsid w:val="21C754C7"/>
    <w:rsid w:val="21E043D9"/>
    <w:rsid w:val="22063C79"/>
    <w:rsid w:val="225950F5"/>
    <w:rsid w:val="227862F3"/>
    <w:rsid w:val="22B427D3"/>
    <w:rsid w:val="22C0315D"/>
    <w:rsid w:val="22C801EF"/>
    <w:rsid w:val="22CF2236"/>
    <w:rsid w:val="22E44D21"/>
    <w:rsid w:val="236B09BB"/>
    <w:rsid w:val="23F5768F"/>
    <w:rsid w:val="245D4798"/>
    <w:rsid w:val="24676D44"/>
    <w:rsid w:val="24E24EB4"/>
    <w:rsid w:val="25741E15"/>
    <w:rsid w:val="25997426"/>
    <w:rsid w:val="25BF1F7B"/>
    <w:rsid w:val="260E3B54"/>
    <w:rsid w:val="261A0491"/>
    <w:rsid w:val="26B04DC5"/>
    <w:rsid w:val="2757683E"/>
    <w:rsid w:val="27C70058"/>
    <w:rsid w:val="27D229E9"/>
    <w:rsid w:val="28177609"/>
    <w:rsid w:val="28855A7D"/>
    <w:rsid w:val="288D6F24"/>
    <w:rsid w:val="29696BE8"/>
    <w:rsid w:val="297D0CC5"/>
    <w:rsid w:val="297E6202"/>
    <w:rsid w:val="2A472991"/>
    <w:rsid w:val="2A4A006F"/>
    <w:rsid w:val="2A7667DE"/>
    <w:rsid w:val="2AB32EED"/>
    <w:rsid w:val="2AD76B5E"/>
    <w:rsid w:val="2AFB4D94"/>
    <w:rsid w:val="2B184CF9"/>
    <w:rsid w:val="2B316E1E"/>
    <w:rsid w:val="2BA67271"/>
    <w:rsid w:val="2BCA04EF"/>
    <w:rsid w:val="2BE95450"/>
    <w:rsid w:val="2C4B5AD3"/>
    <w:rsid w:val="2C90150D"/>
    <w:rsid w:val="2CCF6AB8"/>
    <w:rsid w:val="2CEA52EC"/>
    <w:rsid w:val="2D485B6F"/>
    <w:rsid w:val="2D903739"/>
    <w:rsid w:val="2DAB5EA1"/>
    <w:rsid w:val="2E073C7C"/>
    <w:rsid w:val="2E1E4B22"/>
    <w:rsid w:val="2E3B485D"/>
    <w:rsid w:val="2E440A2C"/>
    <w:rsid w:val="2E98301A"/>
    <w:rsid w:val="2F866E22"/>
    <w:rsid w:val="30070B3B"/>
    <w:rsid w:val="30561E3F"/>
    <w:rsid w:val="30CC197B"/>
    <w:rsid w:val="31B91D72"/>
    <w:rsid w:val="31E22C88"/>
    <w:rsid w:val="31E40B42"/>
    <w:rsid w:val="31E574BA"/>
    <w:rsid w:val="322E105A"/>
    <w:rsid w:val="325B600B"/>
    <w:rsid w:val="3287779B"/>
    <w:rsid w:val="32F20258"/>
    <w:rsid w:val="33175331"/>
    <w:rsid w:val="33337C66"/>
    <w:rsid w:val="33600329"/>
    <w:rsid w:val="33EB1895"/>
    <w:rsid w:val="341A22DA"/>
    <w:rsid w:val="34B72A2C"/>
    <w:rsid w:val="35132F06"/>
    <w:rsid w:val="353A46B7"/>
    <w:rsid w:val="356F73C9"/>
    <w:rsid w:val="35A849D5"/>
    <w:rsid w:val="35B6520A"/>
    <w:rsid w:val="35CD1E9C"/>
    <w:rsid w:val="35D1600E"/>
    <w:rsid w:val="35FB0011"/>
    <w:rsid w:val="3680580C"/>
    <w:rsid w:val="369B0D16"/>
    <w:rsid w:val="370409D4"/>
    <w:rsid w:val="370F06E0"/>
    <w:rsid w:val="372F75D4"/>
    <w:rsid w:val="374F13A5"/>
    <w:rsid w:val="37814642"/>
    <w:rsid w:val="37C07E80"/>
    <w:rsid w:val="37DD1BE6"/>
    <w:rsid w:val="37E17D84"/>
    <w:rsid w:val="38467288"/>
    <w:rsid w:val="38471845"/>
    <w:rsid w:val="38CC6234"/>
    <w:rsid w:val="3929383F"/>
    <w:rsid w:val="393457AD"/>
    <w:rsid w:val="394D28ED"/>
    <w:rsid w:val="39C020DD"/>
    <w:rsid w:val="39C714DE"/>
    <w:rsid w:val="39CA5E11"/>
    <w:rsid w:val="3B110F89"/>
    <w:rsid w:val="3B1303DA"/>
    <w:rsid w:val="3B54233E"/>
    <w:rsid w:val="3B5E27CF"/>
    <w:rsid w:val="3BB05953"/>
    <w:rsid w:val="3BF362D1"/>
    <w:rsid w:val="3BFC23E8"/>
    <w:rsid w:val="3C2C64B8"/>
    <w:rsid w:val="3D110598"/>
    <w:rsid w:val="3D560A22"/>
    <w:rsid w:val="3EDE2538"/>
    <w:rsid w:val="3F3643C1"/>
    <w:rsid w:val="3F446ADE"/>
    <w:rsid w:val="3F47037C"/>
    <w:rsid w:val="3F653BA2"/>
    <w:rsid w:val="3FC833AB"/>
    <w:rsid w:val="3FDC32D9"/>
    <w:rsid w:val="3FED7D8E"/>
    <w:rsid w:val="3FFC0940"/>
    <w:rsid w:val="4049358C"/>
    <w:rsid w:val="40B82BB4"/>
    <w:rsid w:val="40D85040"/>
    <w:rsid w:val="41492850"/>
    <w:rsid w:val="41981E1E"/>
    <w:rsid w:val="41BD3319"/>
    <w:rsid w:val="424E37D0"/>
    <w:rsid w:val="43435BE8"/>
    <w:rsid w:val="43A40AA3"/>
    <w:rsid w:val="43E567AD"/>
    <w:rsid w:val="43EE7BC6"/>
    <w:rsid w:val="43FE74B3"/>
    <w:rsid w:val="44086C32"/>
    <w:rsid w:val="448D4A83"/>
    <w:rsid w:val="44A37D10"/>
    <w:rsid w:val="44EF1B82"/>
    <w:rsid w:val="45435099"/>
    <w:rsid w:val="4545107A"/>
    <w:rsid w:val="455543A9"/>
    <w:rsid w:val="45B41ADB"/>
    <w:rsid w:val="45E77C31"/>
    <w:rsid w:val="45FD1FD2"/>
    <w:rsid w:val="461B2714"/>
    <w:rsid w:val="469B2720"/>
    <w:rsid w:val="473D2DF8"/>
    <w:rsid w:val="473E67E7"/>
    <w:rsid w:val="4748266E"/>
    <w:rsid w:val="47532C82"/>
    <w:rsid w:val="47C84E9C"/>
    <w:rsid w:val="47D766D1"/>
    <w:rsid w:val="47E81D76"/>
    <w:rsid w:val="47F843ED"/>
    <w:rsid w:val="48F940DA"/>
    <w:rsid w:val="491064C2"/>
    <w:rsid w:val="493B1763"/>
    <w:rsid w:val="493D5382"/>
    <w:rsid w:val="49424518"/>
    <w:rsid w:val="495978B3"/>
    <w:rsid w:val="496E169E"/>
    <w:rsid w:val="499205B4"/>
    <w:rsid w:val="49993F3F"/>
    <w:rsid w:val="49BE123B"/>
    <w:rsid w:val="49ED38CE"/>
    <w:rsid w:val="4A062496"/>
    <w:rsid w:val="4A226C77"/>
    <w:rsid w:val="4A794194"/>
    <w:rsid w:val="4AF01045"/>
    <w:rsid w:val="4BFA22D2"/>
    <w:rsid w:val="4D282CB4"/>
    <w:rsid w:val="4D7B429E"/>
    <w:rsid w:val="4DC1760D"/>
    <w:rsid w:val="4E9066F0"/>
    <w:rsid w:val="4EB30E88"/>
    <w:rsid w:val="4EEE449A"/>
    <w:rsid w:val="4F7E6A86"/>
    <w:rsid w:val="4FA96F84"/>
    <w:rsid w:val="4FAD2BEF"/>
    <w:rsid w:val="4FC74F78"/>
    <w:rsid w:val="50263ABE"/>
    <w:rsid w:val="502D02BC"/>
    <w:rsid w:val="504B20E3"/>
    <w:rsid w:val="50543E9E"/>
    <w:rsid w:val="506D02DE"/>
    <w:rsid w:val="508200B7"/>
    <w:rsid w:val="51423F3F"/>
    <w:rsid w:val="51752B27"/>
    <w:rsid w:val="517944E3"/>
    <w:rsid w:val="51832FB4"/>
    <w:rsid w:val="51936EAF"/>
    <w:rsid w:val="5246001F"/>
    <w:rsid w:val="52D32AFD"/>
    <w:rsid w:val="52E16C74"/>
    <w:rsid w:val="53225A0F"/>
    <w:rsid w:val="53583A58"/>
    <w:rsid w:val="54CA13DC"/>
    <w:rsid w:val="54D4064F"/>
    <w:rsid w:val="54EC2B12"/>
    <w:rsid w:val="5504235D"/>
    <w:rsid w:val="55314071"/>
    <w:rsid w:val="559355FE"/>
    <w:rsid w:val="56880076"/>
    <w:rsid w:val="56CE2405"/>
    <w:rsid w:val="56D66B98"/>
    <w:rsid w:val="57B340A4"/>
    <w:rsid w:val="57FF75EE"/>
    <w:rsid w:val="58005114"/>
    <w:rsid w:val="58790F23"/>
    <w:rsid w:val="59076C77"/>
    <w:rsid w:val="592C2BB3"/>
    <w:rsid w:val="59AF0355"/>
    <w:rsid w:val="5A262945"/>
    <w:rsid w:val="5A5F6122"/>
    <w:rsid w:val="5AE42ACB"/>
    <w:rsid w:val="5B58100C"/>
    <w:rsid w:val="5B6A7113"/>
    <w:rsid w:val="5B9E0C30"/>
    <w:rsid w:val="5BE014E5"/>
    <w:rsid w:val="5BE40090"/>
    <w:rsid w:val="5C1949F7"/>
    <w:rsid w:val="5C1E632E"/>
    <w:rsid w:val="5C9F0BE4"/>
    <w:rsid w:val="5D477A6E"/>
    <w:rsid w:val="5D7365B1"/>
    <w:rsid w:val="5DC155E2"/>
    <w:rsid w:val="5DCF5614"/>
    <w:rsid w:val="5E330BCF"/>
    <w:rsid w:val="5E6D0BC1"/>
    <w:rsid w:val="5EC42D73"/>
    <w:rsid w:val="5F2D160C"/>
    <w:rsid w:val="5F3D2878"/>
    <w:rsid w:val="5F40624F"/>
    <w:rsid w:val="5F51327F"/>
    <w:rsid w:val="5F546B63"/>
    <w:rsid w:val="5F55219B"/>
    <w:rsid w:val="5F944D2C"/>
    <w:rsid w:val="5FBA702B"/>
    <w:rsid w:val="5FF4730D"/>
    <w:rsid w:val="5FF95CF0"/>
    <w:rsid w:val="60384F4A"/>
    <w:rsid w:val="60545B1D"/>
    <w:rsid w:val="60571F7B"/>
    <w:rsid w:val="60A01097"/>
    <w:rsid w:val="60A33BC3"/>
    <w:rsid w:val="60A557E5"/>
    <w:rsid w:val="60BC113A"/>
    <w:rsid w:val="60E25419"/>
    <w:rsid w:val="614F0C4D"/>
    <w:rsid w:val="61BF236F"/>
    <w:rsid w:val="61D52FAF"/>
    <w:rsid w:val="61D86AC2"/>
    <w:rsid w:val="62026837"/>
    <w:rsid w:val="62B153C5"/>
    <w:rsid w:val="631A6C2E"/>
    <w:rsid w:val="632B74E9"/>
    <w:rsid w:val="638906B4"/>
    <w:rsid w:val="63C70334"/>
    <w:rsid w:val="63E43C1F"/>
    <w:rsid w:val="63F50876"/>
    <w:rsid w:val="64542F6B"/>
    <w:rsid w:val="645E7643"/>
    <w:rsid w:val="645F3016"/>
    <w:rsid w:val="64C03717"/>
    <w:rsid w:val="650D6026"/>
    <w:rsid w:val="65117867"/>
    <w:rsid w:val="654639B4"/>
    <w:rsid w:val="656C203B"/>
    <w:rsid w:val="66291CDA"/>
    <w:rsid w:val="6646288C"/>
    <w:rsid w:val="667B2D03"/>
    <w:rsid w:val="66A0723E"/>
    <w:rsid w:val="66A40EC3"/>
    <w:rsid w:val="66E64920"/>
    <w:rsid w:val="66FE4F15"/>
    <w:rsid w:val="67107B91"/>
    <w:rsid w:val="67110F41"/>
    <w:rsid w:val="671A4ED2"/>
    <w:rsid w:val="672A7AB8"/>
    <w:rsid w:val="678E1A75"/>
    <w:rsid w:val="67BD092C"/>
    <w:rsid w:val="681F15E7"/>
    <w:rsid w:val="686F42F7"/>
    <w:rsid w:val="68C31F72"/>
    <w:rsid w:val="68D73C6F"/>
    <w:rsid w:val="68E00D76"/>
    <w:rsid w:val="68E87BBF"/>
    <w:rsid w:val="69541B71"/>
    <w:rsid w:val="695E4C66"/>
    <w:rsid w:val="69B15B94"/>
    <w:rsid w:val="69CE3C24"/>
    <w:rsid w:val="69F14093"/>
    <w:rsid w:val="6A0963B0"/>
    <w:rsid w:val="6A0B311C"/>
    <w:rsid w:val="6A310F89"/>
    <w:rsid w:val="6A472730"/>
    <w:rsid w:val="6A5762C6"/>
    <w:rsid w:val="6A7322AD"/>
    <w:rsid w:val="6AA06A0F"/>
    <w:rsid w:val="6AA932B0"/>
    <w:rsid w:val="6AC92C6E"/>
    <w:rsid w:val="6AE85F7F"/>
    <w:rsid w:val="6B00271C"/>
    <w:rsid w:val="6B0B1301"/>
    <w:rsid w:val="6B5B6521"/>
    <w:rsid w:val="6B60619E"/>
    <w:rsid w:val="6B94314E"/>
    <w:rsid w:val="6B974B12"/>
    <w:rsid w:val="6BA24B03"/>
    <w:rsid w:val="6BDD4FB2"/>
    <w:rsid w:val="6BE4573E"/>
    <w:rsid w:val="6BEC17E0"/>
    <w:rsid w:val="6C1C365B"/>
    <w:rsid w:val="6C283CF7"/>
    <w:rsid w:val="6C4202B7"/>
    <w:rsid w:val="6C463B44"/>
    <w:rsid w:val="6C737A5E"/>
    <w:rsid w:val="6C933E6B"/>
    <w:rsid w:val="6CB13BCE"/>
    <w:rsid w:val="6CC0101E"/>
    <w:rsid w:val="6D0D37B8"/>
    <w:rsid w:val="6D4104E9"/>
    <w:rsid w:val="6D800432"/>
    <w:rsid w:val="6D9C3098"/>
    <w:rsid w:val="6DC91690"/>
    <w:rsid w:val="6E067E09"/>
    <w:rsid w:val="6E347317"/>
    <w:rsid w:val="6E3D4575"/>
    <w:rsid w:val="6E6318B7"/>
    <w:rsid w:val="6E7C0235"/>
    <w:rsid w:val="6EA127D5"/>
    <w:rsid w:val="6EA16987"/>
    <w:rsid w:val="6EA5315E"/>
    <w:rsid w:val="6F8D5C1A"/>
    <w:rsid w:val="6F8E157A"/>
    <w:rsid w:val="6FD27139"/>
    <w:rsid w:val="6FE433F6"/>
    <w:rsid w:val="703B6854"/>
    <w:rsid w:val="704A44DC"/>
    <w:rsid w:val="70C939B5"/>
    <w:rsid w:val="70E97A53"/>
    <w:rsid w:val="71072BB7"/>
    <w:rsid w:val="716147BD"/>
    <w:rsid w:val="71E13469"/>
    <w:rsid w:val="71F4319C"/>
    <w:rsid w:val="723157E7"/>
    <w:rsid w:val="72611DE4"/>
    <w:rsid w:val="72693CF0"/>
    <w:rsid w:val="726E545D"/>
    <w:rsid w:val="7294021C"/>
    <w:rsid w:val="72F53047"/>
    <w:rsid w:val="72FB3C28"/>
    <w:rsid w:val="73C117A4"/>
    <w:rsid w:val="740D15CC"/>
    <w:rsid w:val="743B50B2"/>
    <w:rsid w:val="74631CDB"/>
    <w:rsid w:val="74A165CC"/>
    <w:rsid w:val="75517984"/>
    <w:rsid w:val="75877362"/>
    <w:rsid w:val="75F51FA9"/>
    <w:rsid w:val="760A2428"/>
    <w:rsid w:val="761728C2"/>
    <w:rsid w:val="76176A07"/>
    <w:rsid w:val="7678339A"/>
    <w:rsid w:val="76A07D97"/>
    <w:rsid w:val="76BE1FCB"/>
    <w:rsid w:val="7707549A"/>
    <w:rsid w:val="77B56FDC"/>
    <w:rsid w:val="77D04A81"/>
    <w:rsid w:val="77DE2925"/>
    <w:rsid w:val="78414C61"/>
    <w:rsid w:val="79464323"/>
    <w:rsid w:val="7987697C"/>
    <w:rsid w:val="79C1059A"/>
    <w:rsid w:val="7A3B606F"/>
    <w:rsid w:val="7A683EFC"/>
    <w:rsid w:val="7A9A08F7"/>
    <w:rsid w:val="7A9E453B"/>
    <w:rsid w:val="7AA8546C"/>
    <w:rsid w:val="7AAF053F"/>
    <w:rsid w:val="7AE34816"/>
    <w:rsid w:val="7B1F6E8A"/>
    <w:rsid w:val="7B993BFB"/>
    <w:rsid w:val="7CB41AF1"/>
    <w:rsid w:val="7D622872"/>
    <w:rsid w:val="7DC411FE"/>
    <w:rsid w:val="7DF95DE4"/>
    <w:rsid w:val="7E4404CD"/>
    <w:rsid w:val="7E560475"/>
    <w:rsid w:val="7E632073"/>
    <w:rsid w:val="7E6478FC"/>
    <w:rsid w:val="7E79377F"/>
    <w:rsid w:val="7E90249F"/>
    <w:rsid w:val="7F256203"/>
    <w:rsid w:val="7F5E2A8B"/>
    <w:rsid w:val="7F6846CE"/>
    <w:rsid w:val="7F962A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4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link w:val="42"/>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35">
    <w:name w:val="Default Paragraph Font"/>
    <w:semiHidden/>
    <w:qFormat/>
    <w:uiPriority w:val="0"/>
  </w:style>
  <w:style w:type="table" w:default="1" w:styleId="33">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39"/>
    <w:pPr>
      <w:tabs>
        <w:tab w:val="left" w:pos="1260"/>
        <w:tab w:val="right" w:leader="dot" w:pos="8630"/>
      </w:tabs>
      <w:ind w:left="840" w:leftChars="400"/>
    </w:pPr>
  </w:style>
  <w:style w:type="paragraph" w:styleId="5">
    <w:name w:val="Body Text"/>
    <w:basedOn w:val="1"/>
    <w:next w:val="1"/>
    <w:link w:val="39"/>
    <w:qFormat/>
    <w:uiPriority w:val="0"/>
    <w:pPr>
      <w:tabs>
        <w:tab w:val="left" w:pos="567"/>
      </w:tabs>
      <w:spacing w:before="120" w:line="22" w:lineRule="atLeast"/>
    </w:pPr>
    <w:rPr>
      <w:rFonts w:ascii="宋体" w:hAnsi="宋体"/>
      <w:sz w:val="24"/>
    </w:rPr>
  </w:style>
  <w:style w:type="paragraph" w:styleId="7">
    <w:name w:val="toc 7"/>
    <w:basedOn w:val="1"/>
    <w:next w:val="1"/>
    <w:qFormat/>
    <w:uiPriority w:val="39"/>
    <w:pPr>
      <w:ind w:left="2520" w:leftChars="1200"/>
    </w:pPr>
  </w:style>
  <w:style w:type="paragraph" w:styleId="8">
    <w:name w:val="Normal Indent"/>
    <w:basedOn w:val="1"/>
    <w:qFormat/>
    <w:uiPriority w:val="0"/>
    <w:pPr>
      <w:autoSpaceDE w:val="0"/>
      <w:autoSpaceDN w:val="0"/>
      <w:adjustRightInd w:val="0"/>
      <w:ind w:firstLine="420"/>
      <w:jc w:val="left"/>
    </w:pPr>
    <w:rPr>
      <w:rFonts w:ascii="宋体"/>
      <w:kern w:val="0"/>
      <w:sz w:val="24"/>
      <w:szCs w:val="20"/>
    </w:rPr>
  </w:style>
  <w:style w:type="paragraph" w:styleId="9">
    <w:name w:val="annotation text"/>
    <w:basedOn w:val="1"/>
    <w:link w:val="43"/>
    <w:qFormat/>
    <w:uiPriority w:val="99"/>
    <w:pPr>
      <w:jc w:val="left"/>
    </w:pPr>
  </w:style>
  <w:style w:type="paragraph" w:styleId="10">
    <w:name w:val="Body Text Indent"/>
    <w:basedOn w:val="1"/>
    <w:next w:val="11"/>
    <w:qFormat/>
    <w:uiPriority w:val="0"/>
    <w:pPr>
      <w:spacing w:line="360" w:lineRule="auto"/>
      <w:ind w:firstLine="570"/>
    </w:pPr>
    <w:rPr>
      <w:sz w:val="24"/>
    </w:rPr>
  </w:style>
  <w:style w:type="paragraph" w:styleId="11">
    <w:name w:val="Normal (Web)"/>
    <w:basedOn w:val="1"/>
    <w:next w:val="1"/>
    <w:qFormat/>
    <w:uiPriority w:val="0"/>
    <w:pPr>
      <w:widowControl/>
      <w:spacing w:before="100" w:beforeLines="0" w:beforeAutospacing="1" w:after="100" w:afterLines="0" w:afterAutospacing="1"/>
      <w:jc w:val="left"/>
    </w:pPr>
    <w:rPr>
      <w:rFonts w:ascii="宋体" w:hAnsi="宋体"/>
      <w:kern w:val="0"/>
      <w:sz w:val="24"/>
      <w:szCs w:val="24"/>
    </w:rPr>
  </w:style>
  <w:style w:type="paragraph" w:styleId="12">
    <w:name w:val="Block Text"/>
    <w:basedOn w:val="1"/>
    <w:qFormat/>
    <w:uiPriority w:val="99"/>
    <w:pPr>
      <w:widowControl w:val="0"/>
      <w:spacing w:after="120"/>
      <w:ind w:left="1440" w:leftChars="700" w:right="1440" w:rightChars="700"/>
      <w:jc w:val="both"/>
    </w:pPr>
    <w:rPr>
      <w:rFonts w:ascii="Calibri" w:hAnsi="Calibri" w:eastAsia="宋体" w:cs="Times New Roman"/>
      <w:kern w:val="2"/>
      <w:sz w:val="21"/>
      <w:szCs w:val="24"/>
      <w:lang w:val="en-US" w:eastAsia="zh-CN" w:bidi="ar-SA"/>
    </w:rPr>
  </w:style>
  <w:style w:type="paragraph" w:styleId="13">
    <w:name w:val="toc 5"/>
    <w:basedOn w:val="1"/>
    <w:next w:val="1"/>
    <w:qFormat/>
    <w:uiPriority w:val="39"/>
    <w:pPr>
      <w:ind w:left="1680" w:leftChars="800"/>
    </w:pPr>
  </w:style>
  <w:style w:type="paragraph" w:styleId="14">
    <w:name w:val="Plain Text"/>
    <w:basedOn w:val="1"/>
    <w:link w:val="44"/>
    <w:qFormat/>
    <w:uiPriority w:val="0"/>
    <w:rPr>
      <w:rFonts w:ascii="宋体" w:hAnsi="Courier New"/>
      <w:szCs w:val="20"/>
    </w:rPr>
  </w:style>
  <w:style w:type="paragraph" w:styleId="15">
    <w:name w:val="toc 8"/>
    <w:basedOn w:val="1"/>
    <w:next w:val="1"/>
    <w:qFormat/>
    <w:uiPriority w:val="39"/>
    <w:pPr>
      <w:ind w:left="2940" w:leftChars="1400"/>
    </w:pPr>
  </w:style>
  <w:style w:type="paragraph" w:styleId="16">
    <w:name w:val="Date"/>
    <w:basedOn w:val="1"/>
    <w:next w:val="1"/>
    <w:link w:val="45"/>
    <w:qFormat/>
    <w:uiPriority w:val="0"/>
    <w:pPr>
      <w:ind w:left="100" w:leftChars="2500"/>
    </w:pPr>
    <w:rPr>
      <w:rFonts w:ascii="仿宋_GB2312" w:hAnsi="宋体" w:eastAsia="仿宋_GB2312"/>
      <w:color w:val="000000"/>
      <w:sz w:val="24"/>
    </w:rPr>
  </w:style>
  <w:style w:type="paragraph" w:styleId="17">
    <w:name w:val="Body Text Indent 2"/>
    <w:basedOn w:val="1"/>
    <w:qFormat/>
    <w:uiPriority w:val="0"/>
    <w:pPr>
      <w:ind w:firstLine="480" w:firstLineChars="200"/>
    </w:pPr>
    <w:rPr>
      <w:rFonts w:ascii="仿宋_GB2312" w:eastAsia="仿宋_GB2312"/>
      <w:sz w:val="24"/>
    </w:rPr>
  </w:style>
  <w:style w:type="paragraph" w:styleId="18">
    <w:name w:val="Balloon Text"/>
    <w:basedOn w:val="1"/>
    <w:link w:val="46"/>
    <w:qFormat/>
    <w:uiPriority w:val="0"/>
    <w:rPr>
      <w:sz w:val="18"/>
      <w:szCs w:val="18"/>
    </w:rPr>
  </w:style>
  <w:style w:type="paragraph" w:styleId="19">
    <w:name w:val="footer"/>
    <w:basedOn w:val="1"/>
    <w:link w:val="47"/>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0">
    <w:name w:val="header"/>
    <w:basedOn w:val="1"/>
    <w:link w:val="48"/>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toc 4"/>
    <w:basedOn w:val="1"/>
    <w:next w:val="1"/>
    <w:qFormat/>
    <w:uiPriority w:val="39"/>
    <w:pPr>
      <w:ind w:left="1260" w:leftChars="600"/>
    </w:pPr>
  </w:style>
  <w:style w:type="paragraph" w:styleId="23">
    <w:name w:val="List"/>
    <w:basedOn w:val="1"/>
    <w:qFormat/>
    <w:uiPriority w:val="0"/>
    <w:pPr>
      <w:widowControl w:val="0"/>
      <w:adjustRightInd w:val="0"/>
      <w:spacing w:line="360" w:lineRule="atLeast"/>
      <w:ind w:left="420" w:hanging="420"/>
      <w:jc w:val="left"/>
    </w:pPr>
    <w:rPr>
      <w:rFonts w:ascii="宋体"/>
      <w:color w:val="auto"/>
      <w:sz w:val="24"/>
    </w:rPr>
  </w:style>
  <w:style w:type="paragraph" w:styleId="24">
    <w:name w:val="footnote text"/>
    <w:basedOn w:val="1"/>
    <w:qFormat/>
    <w:uiPriority w:val="0"/>
    <w:pPr>
      <w:adjustRightInd w:val="0"/>
      <w:spacing w:line="312" w:lineRule="atLeast"/>
      <w:jc w:val="left"/>
      <w:textAlignment w:val="baseline"/>
    </w:pPr>
    <w:rPr>
      <w:kern w:val="0"/>
      <w:sz w:val="18"/>
      <w:szCs w:val="20"/>
    </w:rPr>
  </w:style>
  <w:style w:type="paragraph" w:styleId="25">
    <w:name w:val="toc 6"/>
    <w:basedOn w:val="1"/>
    <w:next w:val="1"/>
    <w:qFormat/>
    <w:uiPriority w:val="39"/>
    <w:pPr>
      <w:ind w:left="2100" w:leftChars="1000"/>
    </w:pPr>
  </w:style>
  <w:style w:type="paragraph" w:styleId="26">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7">
    <w:name w:val="toc 2"/>
    <w:basedOn w:val="1"/>
    <w:next w:val="1"/>
    <w:qFormat/>
    <w:uiPriority w:val="39"/>
    <w:pPr>
      <w:ind w:left="420" w:leftChars="200"/>
    </w:pPr>
  </w:style>
  <w:style w:type="paragraph" w:styleId="28">
    <w:name w:val="toc 9"/>
    <w:basedOn w:val="1"/>
    <w:next w:val="1"/>
    <w:qFormat/>
    <w:uiPriority w:val="39"/>
    <w:pPr>
      <w:ind w:left="3360" w:leftChars="1600"/>
    </w:pPr>
  </w:style>
  <w:style w:type="paragraph" w:styleId="29">
    <w:name w:val="index 1"/>
    <w:basedOn w:val="1"/>
    <w:next w:val="1"/>
    <w:semiHidden/>
    <w:qFormat/>
    <w:uiPriority w:val="0"/>
    <w:rPr>
      <w:szCs w:val="20"/>
    </w:rPr>
  </w:style>
  <w:style w:type="paragraph" w:styleId="30">
    <w:name w:val="annotation subject"/>
    <w:basedOn w:val="9"/>
    <w:next w:val="9"/>
    <w:link w:val="49"/>
    <w:qFormat/>
    <w:uiPriority w:val="0"/>
    <w:rPr>
      <w:b/>
      <w:bCs/>
    </w:rPr>
  </w:style>
  <w:style w:type="paragraph" w:styleId="31">
    <w:name w:val="Body Text First Indent"/>
    <w:basedOn w:val="5"/>
    <w:next w:val="1"/>
    <w:qFormat/>
    <w:uiPriority w:val="0"/>
    <w:pPr>
      <w:ind w:firstLine="420" w:firstLineChars="100"/>
    </w:pPr>
    <w:rPr>
      <w:szCs w:val="20"/>
    </w:rPr>
  </w:style>
  <w:style w:type="paragraph" w:styleId="32">
    <w:name w:val="Body Text First Indent 2"/>
    <w:basedOn w:val="10"/>
    <w:next w:val="8"/>
    <w:unhideWhenUsed/>
    <w:qFormat/>
    <w:uiPriority w:val="99"/>
    <w:pPr>
      <w:ind w:firstLine="420" w:firstLineChars="200"/>
    </w:p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basedOn w:val="35"/>
    <w:qFormat/>
    <w:uiPriority w:val="0"/>
  </w:style>
  <w:style w:type="character" w:styleId="37">
    <w:name w:val="Hyperlink"/>
    <w:qFormat/>
    <w:uiPriority w:val="99"/>
    <w:rPr>
      <w:color w:val="0000FF"/>
      <w:u w:val="single"/>
    </w:rPr>
  </w:style>
  <w:style w:type="character" w:styleId="38">
    <w:name w:val="annotation reference"/>
    <w:qFormat/>
    <w:uiPriority w:val="99"/>
    <w:rPr>
      <w:sz w:val="21"/>
      <w:szCs w:val="21"/>
    </w:rPr>
  </w:style>
  <w:style w:type="character" w:customStyle="1" w:styleId="39">
    <w:name w:val="正文文本 Char"/>
    <w:link w:val="5"/>
    <w:qFormat/>
    <w:uiPriority w:val="0"/>
    <w:rPr>
      <w:rFonts w:ascii="宋体" w:hAnsi="宋体"/>
      <w:kern w:val="2"/>
      <w:sz w:val="24"/>
      <w:szCs w:val="24"/>
    </w:rPr>
  </w:style>
  <w:style w:type="character" w:customStyle="1" w:styleId="40">
    <w:name w:val="标题 1 Char"/>
    <w:link w:val="3"/>
    <w:qFormat/>
    <w:uiPriority w:val="0"/>
    <w:rPr>
      <w:rFonts w:ascii="宋体"/>
      <w:b/>
      <w:kern w:val="44"/>
      <w:sz w:val="32"/>
    </w:rPr>
  </w:style>
  <w:style w:type="character" w:customStyle="1" w:styleId="41">
    <w:name w:val="标题 2 Char"/>
    <w:link w:val="4"/>
    <w:qFormat/>
    <w:uiPriority w:val="0"/>
    <w:rPr>
      <w:rFonts w:ascii="Arial" w:hAnsi="Arial" w:eastAsia="黑体"/>
      <w:b/>
      <w:sz w:val="30"/>
    </w:rPr>
  </w:style>
  <w:style w:type="character" w:customStyle="1" w:styleId="42">
    <w:name w:val="标题 3 Char"/>
    <w:link w:val="6"/>
    <w:qFormat/>
    <w:uiPriority w:val="0"/>
    <w:rPr>
      <w:rFonts w:ascii="宋体"/>
      <w:b/>
      <w:sz w:val="24"/>
      <w:u w:val="single"/>
    </w:rPr>
  </w:style>
  <w:style w:type="character" w:customStyle="1" w:styleId="43">
    <w:name w:val="批注文字 Char"/>
    <w:link w:val="9"/>
    <w:qFormat/>
    <w:uiPriority w:val="99"/>
    <w:rPr>
      <w:kern w:val="2"/>
      <w:sz w:val="21"/>
      <w:szCs w:val="24"/>
    </w:rPr>
  </w:style>
  <w:style w:type="character" w:customStyle="1" w:styleId="44">
    <w:name w:val="纯文本 Char"/>
    <w:link w:val="14"/>
    <w:qFormat/>
    <w:uiPriority w:val="0"/>
    <w:rPr>
      <w:rFonts w:ascii="宋体" w:hAnsi="Courier New"/>
      <w:kern w:val="2"/>
      <w:sz w:val="21"/>
    </w:rPr>
  </w:style>
  <w:style w:type="character" w:customStyle="1" w:styleId="45">
    <w:name w:val="日期 Char"/>
    <w:link w:val="16"/>
    <w:qFormat/>
    <w:uiPriority w:val="0"/>
    <w:rPr>
      <w:rFonts w:ascii="仿宋_GB2312" w:hAnsi="宋体" w:eastAsia="仿宋_GB2312"/>
      <w:color w:val="000000"/>
      <w:kern w:val="2"/>
      <w:sz w:val="24"/>
      <w:szCs w:val="24"/>
    </w:rPr>
  </w:style>
  <w:style w:type="character" w:customStyle="1" w:styleId="46">
    <w:name w:val="批注框文本 Char"/>
    <w:link w:val="18"/>
    <w:qFormat/>
    <w:uiPriority w:val="0"/>
    <w:rPr>
      <w:kern w:val="2"/>
      <w:sz w:val="18"/>
      <w:szCs w:val="18"/>
    </w:rPr>
  </w:style>
  <w:style w:type="character" w:customStyle="1" w:styleId="47">
    <w:name w:val="页脚 Char"/>
    <w:link w:val="19"/>
    <w:qFormat/>
    <w:uiPriority w:val="99"/>
    <w:rPr>
      <w:rFonts w:ascii="宋体"/>
      <w:sz w:val="18"/>
    </w:rPr>
  </w:style>
  <w:style w:type="character" w:customStyle="1" w:styleId="48">
    <w:name w:val="页眉 Char"/>
    <w:link w:val="20"/>
    <w:qFormat/>
    <w:uiPriority w:val="0"/>
    <w:rPr>
      <w:kern w:val="2"/>
      <w:sz w:val="18"/>
      <w:szCs w:val="18"/>
    </w:rPr>
  </w:style>
  <w:style w:type="character" w:customStyle="1" w:styleId="49">
    <w:name w:val="批注主题 Char"/>
    <w:link w:val="30"/>
    <w:qFormat/>
    <w:uiPriority w:val="0"/>
    <w:rPr>
      <w:b/>
      <w:bCs/>
      <w:kern w:val="2"/>
      <w:sz w:val="21"/>
      <w:szCs w:val="24"/>
    </w:rPr>
  </w:style>
  <w:style w:type="paragraph" w:customStyle="1" w:styleId="50">
    <w:name w:val="Default"/>
    <w:qFormat/>
    <w:uiPriority w:val="0"/>
    <w:pPr>
      <w:widowControl w:val="0"/>
      <w:tabs>
        <w:tab w:val="left" w:pos="924"/>
      </w:tabs>
      <w:autoSpaceDE w:val="0"/>
      <w:autoSpaceDN w:val="0"/>
      <w:adjustRightInd w:val="0"/>
    </w:pPr>
    <w:rPr>
      <w:rFonts w:ascii="Arial" w:hAnsi="Arial" w:eastAsia="宋体" w:cs="Arial"/>
      <w:color w:val="000000"/>
      <w:sz w:val="24"/>
      <w:szCs w:val="24"/>
      <w:lang w:val="en-US" w:eastAsia="zh-CN" w:bidi="ar-SA"/>
    </w:rPr>
  </w:style>
  <w:style w:type="paragraph" w:customStyle="1" w:styleId="51">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52">
    <w:name w:val="批注主题 Char1"/>
    <w:semiHidden/>
    <w:qFormat/>
    <w:uiPriority w:val="99"/>
    <w:rPr>
      <w:b/>
      <w:bCs/>
      <w:kern w:val="2"/>
      <w:sz w:val="21"/>
      <w:szCs w:val="24"/>
    </w:rPr>
  </w:style>
  <w:style w:type="character" w:customStyle="1" w:styleId="53">
    <w:name w:val="正文缩进 Char1"/>
    <w:link w:val="54"/>
    <w:qFormat/>
    <w:uiPriority w:val="0"/>
    <w:rPr>
      <w:rFonts w:ascii="宋体"/>
      <w:sz w:val="24"/>
    </w:rPr>
  </w:style>
  <w:style w:type="paragraph" w:customStyle="1" w:styleId="54">
    <w:name w:val="正文缩进1"/>
    <w:basedOn w:val="1"/>
    <w:link w:val="53"/>
    <w:qFormat/>
    <w:uiPriority w:val="0"/>
    <w:pPr>
      <w:autoSpaceDE w:val="0"/>
      <w:autoSpaceDN w:val="0"/>
      <w:adjustRightInd w:val="0"/>
      <w:ind w:firstLine="420"/>
      <w:jc w:val="left"/>
    </w:pPr>
    <w:rPr>
      <w:rFonts w:ascii="宋体"/>
      <w:kern w:val="0"/>
      <w:sz w:val="24"/>
      <w:szCs w:val="20"/>
    </w:rPr>
  </w:style>
  <w:style w:type="character" w:customStyle="1" w:styleId="55">
    <w:name w:val="纯文本 Char1"/>
    <w:link w:val="56"/>
    <w:qFormat/>
    <w:uiPriority w:val="0"/>
    <w:rPr>
      <w:rFonts w:ascii="宋体" w:hAnsi="Courier New"/>
    </w:rPr>
  </w:style>
  <w:style w:type="paragraph" w:customStyle="1" w:styleId="56">
    <w:name w:val="纯文本1"/>
    <w:basedOn w:val="1"/>
    <w:link w:val="55"/>
    <w:qFormat/>
    <w:uiPriority w:val="0"/>
    <w:rPr>
      <w:rFonts w:ascii="宋体" w:hAnsi="Courier New"/>
      <w:kern w:val="0"/>
      <w:sz w:val="20"/>
      <w:szCs w:val="20"/>
    </w:rPr>
  </w:style>
  <w:style w:type="character" w:customStyle="1" w:styleId="57">
    <w:name w:val="批注文字 Char1"/>
    <w:semiHidden/>
    <w:qFormat/>
    <w:uiPriority w:val="99"/>
    <w:rPr>
      <w:kern w:val="2"/>
      <w:sz w:val="21"/>
      <w:szCs w:val="24"/>
    </w:rPr>
  </w:style>
  <w:style w:type="character" w:customStyle="1" w:styleId="58">
    <w:name w:val="批注框文本 Char1"/>
    <w:semiHidden/>
    <w:qFormat/>
    <w:uiPriority w:val="99"/>
    <w:rPr>
      <w:kern w:val="2"/>
      <w:sz w:val="18"/>
      <w:szCs w:val="18"/>
    </w:rPr>
  </w:style>
  <w:style w:type="character" w:customStyle="1" w:styleId="59">
    <w:name w:val="页眉 Char1"/>
    <w:semiHidden/>
    <w:qFormat/>
    <w:uiPriority w:val="99"/>
    <w:rPr>
      <w:kern w:val="2"/>
      <w:sz w:val="18"/>
      <w:szCs w:val="18"/>
    </w:rPr>
  </w:style>
  <w:style w:type="paragraph" w:customStyle="1" w:styleId="60">
    <w:name w:val="Char"/>
    <w:basedOn w:val="1"/>
    <w:qFormat/>
    <w:uiPriority w:val="0"/>
    <w:pPr>
      <w:tabs>
        <w:tab w:val="left" w:pos="360"/>
      </w:tabs>
    </w:pPr>
    <w:rPr>
      <w:sz w:val="24"/>
    </w:rPr>
  </w:style>
  <w:style w:type="paragraph" w:customStyle="1" w:styleId="61">
    <w:name w:val="索引 11"/>
    <w:basedOn w:val="1"/>
    <w:next w:val="1"/>
    <w:qFormat/>
    <w:uiPriority w:val="0"/>
    <w:pPr>
      <w:spacing w:line="360" w:lineRule="auto"/>
    </w:pPr>
    <w:rPr>
      <w:rFonts w:ascii="仿宋_GB2312" w:eastAsia="仿宋_GB2312"/>
      <w:sz w:val="24"/>
      <w:szCs w:val="20"/>
    </w:rPr>
  </w:style>
  <w:style w:type="paragraph" w:styleId="62">
    <w:name w:val="List Paragraph"/>
    <w:basedOn w:val="1"/>
    <w:qFormat/>
    <w:uiPriority w:val="34"/>
    <w:pPr>
      <w:widowControl/>
      <w:ind w:firstLine="420" w:firstLineChars="200"/>
      <w:jc w:val="left"/>
    </w:pPr>
    <w:rPr>
      <w:kern w:val="0"/>
      <w:sz w:val="24"/>
    </w:rPr>
  </w:style>
  <w:style w:type="paragraph" w:customStyle="1" w:styleId="63">
    <w:name w:val="表格五号"/>
    <w:qFormat/>
    <w:uiPriority w:val="0"/>
    <w:pPr>
      <w:widowControl w:val="0"/>
      <w:autoSpaceDE/>
      <w:autoSpaceDN/>
      <w:jc w:val="center"/>
    </w:pPr>
    <w:rPr>
      <w:rFonts w:ascii="Times New Roman" w:hAnsi="Times New Roman" w:eastAsia="宋体" w:cs="Times New Roman"/>
      <w:kern w:val="2"/>
      <w:sz w:val="21"/>
      <w:szCs w:val="22"/>
      <w:lang w:val="en-US" w:eastAsia="zh-CN" w:bidi="ar-SA"/>
    </w:rPr>
  </w:style>
  <w:style w:type="paragraph" w:customStyle="1" w:styleId="64">
    <w:name w:val="Table Paragraph"/>
    <w:basedOn w:val="65"/>
    <w:next w:val="65"/>
    <w:qFormat/>
    <w:uiPriority w:val="1"/>
  </w:style>
  <w:style w:type="paragraph" w:customStyle="1" w:styleId="65">
    <w:name w:val="正文_1"/>
    <w:next w:val="6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脚注文本_1"/>
    <w:basedOn w:val="65"/>
    <w:unhideWhenUsed/>
    <w:qFormat/>
    <w:uiPriority w:val="0"/>
    <w:pPr>
      <w:adjustRightInd w:val="0"/>
      <w:snapToGrid w:val="0"/>
      <w:spacing w:line="420" w:lineRule="atLeast"/>
      <w:ind w:firstLine="454"/>
      <w:jc w:val="left"/>
    </w:pPr>
    <w:rPr>
      <w:rFonts w:ascii="Times New Roman" w:hAnsi="Times New Roman"/>
      <w:kern w:val="0"/>
      <w:sz w:val="18"/>
      <w:szCs w:val="20"/>
    </w:rPr>
  </w:style>
  <w:style w:type="paragraph" w:customStyle="1" w:styleId="67">
    <w:name w:val="正文首行缩进 21"/>
    <w:qFormat/>
    <w:uiPriority w:val="2457"/>
    <w:pPr>
      <w:ind w:left="420" w:right="0" w:firstLine="420"/>
    </w:pPr>
    <w:rPr>
      <w:rFonts w:ascii="Times New Roman" w:hAnsi="Times New Roman" w:eastAsia="Times New Roman" w:cs="Times New Roman"/>
    </w:rPr>
  </w:style>
  <w:style w:type="table" w:customStyle="1" w:styleId="68">
    <w:name w:val="Table Normal"/>
    <w:unhideWhenUsed/>
    <w:qFormat/>
    <w:uiPriority w:val="0"/>
    <w:tblPr>
      <w:tblCellMar>
        <w:top w:w="0" w:type="dxa"/>
        <w:left w:w="0" w:type="dxa"/>
        <w:bottom w:w="0" w:type="dxa"/>
        <w:right w:w="0" w:type="dxa"/>
      </w:tblCellMar>
    </w:tblPr>
  </w:style>
  <w:style w:type="paragraph" w:customStyle="1" w:styleId="69">
    <w:name w:val="正文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71">
    <w:name w:val="列表段落1"/>
    <w:basedOn w:val="1"/>
    <w:qFormat/>
    <w:uiPriority w:val="34"/>
    <w:pPr>
      <w:ind w:firstLine="420" w:firstLineChars="200"/>
    </w:pPr>
  </w:style>
  <w:style w:type="paragraph" w:customStyle="1" w:styleId="72">
    <w:name w:val="Body text|1"/>
    <w:basedOn w:val="1"/>
    <w:qFormat/>
    <w:uiPriority w:val="0"/>
    <w:pPr>
      <w:spacing w:line="346" w:lineRule="auto"/>
    </w:pPr>
    <w:rPr>
      <w:rFonts w:ascii="MingLiU" w:hAnsi="MingLiU" w:eastAsia="MingLiU" w:cs="MingLiU"/>
      <w:sz w:val="15"/>
      <w:szCs w:val="15"/>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Info spid="_x0000_s4100" textRotate="1"/>
    <customShpInfo spid="_x0000_s4101" textRotate="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34746</Words>
  <Characters>37061</Characters>
  <Lines>203</Lines>
  <Paragraphs>57</Paragraphs>
  <TotalTime>50</TotalTime>
  <ScaleCrop>false</ScaleCrop>
  <LinksUpToDate>false</LinksUpToDate>
  <CharactersWithSpaces>40144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2018-07-07T07:48:00Z</dcterms:created>
  <dc:creator>USER-</dc:creator>
  <cp:lastModifiedBy>_watermelon～　</cp:lastModifiedBy>
  <cp:lastPrinted>2023-09-27T09:32:00Z</cp:lastPrinted>
  <dcterms:modified xsi:type="dcterms:W3CDTF">2023-11-02T04:47:49Z</dcterms:modified>
  <dc:title>02年杜范本稿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5C1758518B344B43A5F3EB4A7AB499B4_13</vt:lpwstr>
  </property>
</Properties>
</file>