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1B89A">
      <w:pPr>
        <w:pStyle w:val="34"/>
        <w:ind w:left="0" w:leftChars="0" w:firstLine="0" w:firstLineChars="0"/>
        <w:rPr>
          <w:rFonts w:hint="eastAsia" w:ascii="仿宋" w:hAnsi="仿宋" w:eastAsia="仿宋" w:cs="仿宋"/>
          <w:color w:val="auto"/>
          <w:highlight w:val="none"/>
        </w:rPr>
      </w:pPr>
    </w:p>
    <w:p w14:paraId="4B0AA4C4">
      <w:pPr>
        <w:pStyle w:val="34"/>
        <w:rPr>
          <w:rFonts w:hint="eastAsia" w:ascii="仿宋" w:hAnsi="仿宋" w:eastAsia="仿宋" w:cs="仿宋"/>
          <w:color w:val="auto"/>
          <w:highlight w:val="none"/>
        </w:rPr>
      </w:pPr>
    </w:p>
    <w:p w14:paraId="41926375">
      <w:pPr>
        <w:keepNext w:val="0"/>
        <w:keepLines w:val="0"/>
        <w:pageBreakBefore w:val="0"/>
        <w:widowControl w:val="0"/>
        <w:kinsoku/>
        <w:wordWrap/>
        <w:overflowPunct/>
        <w:topLinePunct w:val="0"/>
        <w:autoSpaceDE/>
        <w:autoSpaceDN/>
        <w:bidi w:val="0"/>
        <w:adjustRightInd/>
        <w:snapToGrid w:val="0"/>
        <w:spacing w:before="666" w:beforeLines="200" w:line="480" w:lineRule="exact"/>
        <w:jc w:val="center"/>
        <w:textAlignment w:val="auto"/>
        <w:outlineLvl w:val="0"/>
        <w:rPr>
          <w:rFonts w:hint="eastAsia" w:ascii="仿宋" w:hAnsi="仿宋" w:eastAsia="仿宋" w:cs="仿宋"/>
          <w:color w:val="auto"/>
          <w:sz w:val="48"/>
          <w:szCs w:val="48"/>
          <w:highlight w:val="none"/>
          <w:lang w:eastAsia="zh-CN"/>
        </w:rPr>
      </w:pPr>
      <w:r>
        <w:rPr>
          <w:rFonts w:hint="eastAsia" w:ascii="仿宋" w:hAnsi="仿宋" w:eastAsia="仿宋" w:cs="仿宋"/>
          <w:b/>
          <w:bCs w:val="0"/>
          <w:color w:val="auto"/>
          <w:sz w:val="48"/>
          <w:szCs w:val="48"/>
          <w:highlight w:val="none"/>
          <w:lang w:val="en-US" w:eastAsia="zh-CN"/>
        </w:rPr>
        <w:t>察布查尔锡伯自治县公安局2025年大宗食材采购项目</w:t>
      </w:r>
    </w:p>
    <w:p w14:paraId="51F57AC1">
      <w:pPr>
        <w:pStyle w:val="16"/>
        <w:adjustRightInd w:val="0"/>
        <w:snapToGrid w:val="0"/>
        <w:spacing w:line="360" w:lineRule="auto"/>
        <w:jc w:val="center"/>
        <w:rPr>
          <w:rFonts w:hint="eastAsia" w:ascii="仿宋" w:hAnsi="仿宋" w:eastAsia="仿宋" w:cs="仿宋"/>
          <w:b/>
          <w:color w:val="auto"/>
          <w:sz w:val="28"/>
          <w:szCs w:val="28"/>
          <w:highlight w:val="none"/>
        </w:rPr>
      </w:pPr>
    </w:p>
    <w:p w14:paraId="069AEDFF">
      <w:pPr>
        <w:pStyle w:val="16"/>
        <w:adjustRightInd w:val="0"/>
        <w:snapToGrid w:val="0"/>
        <w:spacing w:line="360" w:lineRule="auto"/>
        <w:jc w:val="center"/>
        <w:rPr>
          <w:rFonts w:hint="eastAsia" w:ascii="仿宋" w:hAnsi="仿宋" w:eastAsia="仿宋" w:cs="仿宋"/>
          <w:b/>
          <w:color w:val="auto"/>
          <w:sz w:val="28"/>
          <w:szCs w:val="28"/>
          <w:highlight w:val="none"/>
        </w:rPr>
      </w:pPr>
      <w:bookmarkStart w:id="1025" w:name="_GoBack"/>
      <w:bookmarkEnd w:id="1025"/>
    </w:p>
    <w:p w14:paraId="3382A311">
      <w:pPr>
        <w:pStyle w:val="16"/>
        <w:adjustRightInd w:val="0"/>
        <w:snapToGrid w:val="0"/>
        <w:spacing w:line="360" w:lineRule="auto"/>
        <w:jc w:val="center"/>
        <w:rPr>
          <w:rFonts w:hint="eastAsia" w:ascii="仿宋" w:hAnsi="仿宋" w:eastAsia="仿宋" w:cs="仿宋"/>
          <w:b/>
          <w:color w:val="auto"/>
          <w:sz w:val="28"/>
          <w:szCs w:val="28"/>
          <w:highlight w:val="none"/>
        </w:rPr>
      </w:pPr>
    </w:p>
    <w:p w14:paraId="1E6F5AFD">
      <w:pPr>
        <w:pStyle w:val="16"/>
        <w:adjustRightInd w:val="0"/>
        <w:snapToGrid w:val="0"/>
        <w:spacing w:line="360" w:lineRule="auto"/>
        <w:rPr>
          <w:rFonts w:hint="eastAsia" w:ascii="仿宋" w:hAnsi="仿宋" w:eastAsia="仿宋" w:cs="仿宋"/>
          <w:b/>
          <w:color w:val="auto"/>
          <w:sz w:val="28"/>
          <w:szCs w:val="28"/>
          <w:highlight w:val="none"/>
        </w:rPr>
      </w:pPr>
    </w:p>
    <w:p w14:paraId="1CAF132C">
      <w:pPr>
        <w:pStyle w:val="16"/>
        <w:adjustRightInd w:val="0"/>
        <w:snapToGrid w:val="0"/>
        <w:spacing w:line="360" w:lineRule="auto"/>
        <w:jc w:val="center"/>
        <w:outlineLvl w:val="0"/>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lang w:val="en-US" w:eastAsia="zh-CN"/>
        </w:rPr>
        <w:t xml:space="preserve"> </w:t>
      </w:r>
      <w:bookmarkStart w:id="0" w:name="_Toc3482"/>
      <w:bookmarkStart w:id="1" w:name="_Toc4773"/>
      <w:r>
        <w:rPr>
          <w:rFonts w:hint="eastAsia" w:ascii="仿宋" w:hAnsi="仿宋" w:eastAsia="仿宋" w:cs="仿宋"/>
          <w:b/>
          <w:color w:val="auto"/>
          <w:sz w:val="30"/>
          <w:szCs w:val="30"/>
          <w:highlight w:val="none"/>
        </w:rPr>
        <w:t>采购项目编号：</w:t>
      </w:r>
      <w:bookmarkEnd w:id="0"/>
      <w:bookmarkEnd w:id="1"/>
      <w:r>
        <w:rPr>
          <w:rFonts w:hint="eastAsia" w:ascii="仿宋" w:hAnsi="仿宋" w:eastAsia="仿宋" w:cs="仿宋"/>
          <w:b/>
          <w:color w:val="auto"/>
          <w:sz w:val="30"/>
          <w:szCs w:val="30"/>
          <w:highlight w:val="none"/>
          <w:lang w:eastAsia="zh-CN"/>
        </w:rPr>
        <w:t>XJCRZCG-202503</w:t>
      </w:r>
      <w:r>
        <w:rPr>
          <w:rFonts w:hint="eastAsia" w:ascii="仿宋" w:hAnsi="仿宋" w:eastAsia="仿宋" w:cs="仿宋"/>
          <w:b/>
          <w:color w:val="auto"/>
          <w:sz w:val="30"/>
          <w:szCs w:val="30"/>
          <w:highlight w:val="none"/>
          <w:lang w:val="en-US" w:eastAsia="zh-CN"/>
        </w:rPr>
        <w:t>3</w:t>
      </w:r>
    </w:p>
    <w:p w14:paraId="059D78E8">
      <w:pPr>
        <w:pStyle w:val="16"/>
        <w:adjustRightInd w:val="0"/>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84"/>
          <w:szCs w:val="84"/>
          <w:highlight w:val="none"/>
        </w:rPr>
        <w:t>招标文件</w:t>
      </w:r>
    </w:p>
    <w:p w14:paraId="39BCA8EC">
      <w:pPr>
        <w:pStyle w:val="16"/>
        <w:adjustRightInd w:val="0"/>
        <w:snapToGrid w:val="0"/>
        <w:spacing w:before="166" w:beforeLines="50" w:line="360" w:lineRule="auto"/>
        <w:rPr>
          <w:rFonts w:hint="eastAsia" w:ascii="仿宋" w:hAnsi="仿宋" w:eastAsia="仿宋" w:cs="仿宋"/>
          <w:b/>
          <w:color w:val="auto"/>
          <w:sz w:val="32"/>
          <w:szCs w:val="32"/>
          <w:highlight w:val="none"/>
        </w:rPr>
      </w:pPr>
    </w:p>
    <w:p w14:paraId="5E175A5C">
      <w:pPr>
        <w:pStyle w:val="16"/>
        <w:adjustRightInd w:val="0"/>
        <w:snapToGrid w:val="0"/>
        <w:spacing w:before="166" w:beforeLines="50" w:line="360" w:lineRule="auto"/>
        <w:rPr>
          <w:rFonts w:hint="eastAsia" w:ascii="仿宋" w:hAnsi="仿宋" w:eastAsia="仿宋" w:cs="仿宋"/>
          <w:b/>
          <w:color w:val="auto"/>
          <w:sz w:val="32"/>
          <w:szCs w:val="32"/>
          <w:highlight w:val="none"/>
        </w:rPr>
      </w:pPr>
    </w:p>
    <w:p w14:paraId="00D37596">
      <w:pPr>
        <w:pStyle w:val="16"/>
        <w:adjustRightInd w:val="0"/>
        <w:snapToGrid w:val="0"/>
        <w:spacing w:before="166" w:beforeLines="50" w:line="360" w:lineRule="auto"/>
        <w:rPr>
          <w:rFonts w:hint="eastAsia" w:ascii="仿宋" w:hAnsi="仿宋" w:eastAsia="仿宋" w:cs="仿宋"/>
          <w:b/>
          <w:color w:val="auto"/>
          <w:sz w:val="32"/>
          <w:szCs w:val="32"/>
          <w:highlight w:val="none"/>
        </w:rPr>
      </w:pPr>
    </w:p>
    <w:p w14:paraId="3109A960">
      <w:pPr>
        <w:keepNext w:val="0"/>
        <w:keepLines w:val="0"/>
        <w:pageBreakBefore w:val="0"/>
        <w:widowControl w:val="0"/>
        <w:kinsoku/>
        <w:wordWrap/>
        <w:overflowPunct/>
        <w:topLinePunct w:val="0"/>
        <w:autoSpaceDE w:val="0"/>
        <w:autoSpaceDN w:val="0"/>
        <w:bidi w:val="0"/>
        <w:adjustRightInd/>
        <w:snapToGrid/>
        <w:spacing w:line="480" w:lineRule="exact"/>
        <w:ind w:firstLine="682" w:firstLineChars="200"/>
        <w:jc w:val="left"/>
        <w:textAlignment w:val="auto"/>
        <w:outlineLvl w:val="0"/>
        <w:rPr>
          <w:rFonts w:hint="eastAsia" w:ascii="仿宋" w:hAnsi="仿宋" w:eastAsia="仿宋" w:cs="仿宋"/>
          <w:b/>
          <w:bCs/>
          <w:color w:val="auto"/>
          <w:spacing w:val="20"/>
          <w:sz w:val="30"/>
          <w:szCs w:val="30"/>
          <w:highlight w:val="none"/>
          <w:lang w:val="zh-CN"/>
        </w:rPr>
      </w:pPr>
      <w:bookmarkStart w:id="2" w:name="_Toc20065"/>
      <w:bookmarkStart w:id="3" w:name="_Toc31752"/>
      <w:r>
        <w:rPr>
          <w:rFonts w:hint="eastAsia" w:ascii="仿宋" w:hAnsi="仿宋" w:eastAsia="仿宋" w:cs="仿宋"/>
          <w:b/>
          <w:bCs/>
          <w:color w:val="auto"/>
          <w:spacing w:val="20"/>
          <w:sz w:val="30"/>
          <w:szCs w:val="30"/>
          <w:highlight w:val="none"/>
        </w:rPr>
        <w:t>采购人</w:t>
      </w:r>
      <w:r>
        <w:rPr>
          <w:rFonts w:hint="eastAsia" w:ascii="仿宋" w:hAnsi="仿宋" w:eastAsia="仿宋" w:cs="仿宋"/>
          <w:b/>
          <w:bCs/>
          <w:color w:val="auto"/>
          <w:spacing w:val="20"/>
          <w:sz w:val="30"/>
          <w:szCs w:val="30"/>
          <w:highlight w:val="none"/>
          <w:lang w:val="zh-CN"/>
        </w:rPr>
        <w:t>：</w:t>
      </w:r>
      <w:r>
        <w:rPr>
          <w:rFonts w:hint="eastAsia" w:ascii="仿宋" w:hAnsi="仿宋" w:eastAsia="仿宋" w:cs="仿宋"/>
          <w:b/>
          <w:bCs/>
          <w:color w:val="auto"/>
          <w:spacing w:val="20"/>
          <w:sz w:val="30"/>
          <w:szCs w:val="30"/>
          <w:highlight w:val="none"/>
          <w:u w:val="single"/>
          <w:lang w:val="zh-CN"/>
        </w:rPr>
        <w:t>察布查尔锡伯自治县公安局</w:t>
      </w:r>
      <w:bookmarkEnd w:id="2"/>
      <w:bookmarkEnd w:id="3"/>
    </w:p>
    <w:p w14:paraId="7818587D">
      <w:pPr>
        <w:keepNext w:val="0"/>
        <w:keepLines w:val="0"/>
        <w:pageBreakBefore w:val="0"/>
        <w:widowControl w:val="0"/>
        <w:kinsoku/>
        <w:wordWrap/>
        <w:overflowPunct/>
        <w:topLinePunct w:val="0"/>
        <w:autoSpaceDE w:val="0"/>
        <w:autoSpaceDN w:val="0"/>
        <w:bidi w:val="0"/>
        <w:adjustRightInd/>
        <w:snapToGrid/>
        <w:spacing w:line="480" w:lineRule="exact"/>
        <w:ind w:firstLine="682" w:firstLineChars="200"/>
        <w:jc w:val="left"/>
        <w:textAlignment w:val="auto"/>
        <w:rPr>
          <w:rFonts w:hint="eastAsia" w:ascii="仿宋" w:hAnsi="仿宋" w:eastAsia="仿宋" w:cs="仿宋"/>
          <w:color w:val="auto"/>
          <w:spacing w:val="20"/>
          <w:sz w:val="30"/>
          <w:szCs w:val="30"/>
          <w:highlight w:val="none"/>
        </w:rPr>
      </w:pPr>
      <w:r>
        <w:rPr>
          <w:rFonts w:hint="eastAsia" w:ascii="仿宋" w:hAnsi="仿宋" w:eastAsia="仿宋" w:cs="仿宋"/>
          <w:b/>
          <w:bCs/>
          <w:color w:val="auto"/>
          <w:spacing w:val="20"/>
          <w:sz w:val="30"/>
          <w:szCs w:val="30"/>
          <w:highlight w:val="none"/>
        </w:rPr>
        <w:t>采购</w:t>
      </w:r>
      <w:r>
        <w:rPr>
          <w:rFonts w:hint="eastAsia" w:ascii="仿宋" w:hAnsi="仿宋" w:eastAsia="仿宋" w:cs="仿宋"/>
          <w:b/>
          <w:bCs/>
          <w:color w:val="auto"/>
          <w:spacing w:val="20"/>
          <w:sz w:val="30"/>
          <w:szCs w:val="30"/>
          <w:highlight w:val="none"/>
          <w:lang w:val="zh-CN"/>
        </w:rPr>
        <w:t>代理机构：</w:t>
      </w:r>
      <w:r>
        <w:rPr>
          <w:rFonts w:hint="eastAsia" w:ascii="仿宋" w:hAnsi="仿宋" w:eastAsia="仿宋" w:cs="仿宋"/>
          <w:b/>
          <w:bCs/>
          <w:color w:val="auto"/>
          <w:spacing w:val="20"/>
          <w:sz w:val="30"/>
          <w:szCs w:val="30"/>
          <w:highlight w:val="none"/>
          <w:u w:val="single"/>
          <w:lang w:val="zh-CN"/>
        </w:rPr>
        <w:t>新疆长润泽建设工程管理有限公司</w:t>
      </w:r>
    </w:p>
    <w:p w14:paraId="02E08DDD">
      <w:pPr>
        <w:keepNext w:val="0"/>
        <w:keepLines w:val="0"/>
        <w:pageBreakBefore w:val="0"/>
        <w:widowControl w:val="0"/>
        <w:kinsoku/>
        <w:wordWrap/>
        <w:overflowPunct/>
        <w:topLinePunct w:val="0"/>
        <w:autoSpaceDE w:val="0"/>
        <w:autoSpaceDN w:val="0"/>
        <w:bidi w:val="0"/>
        <w:adjustRightInd/>
        <w:snapToGrid/>
        <w:spacing w:line="480" w:lineRule="exact"/>
        <w:ind w:firstLine="682" w:firstLineChars="200"/>
        <w:jc w:val="left"/>
        <w:textAlignment w:val="auto"/>
        <w:rPr>
          <w:rFonts w:hint="eastAsia" w:ascii="仿宋" w:hAnsi="仿宋" w:eastAsia="仿宋" w:cs="仿宋"/>
          <w:b/>
          <w:bCs/>
          <w:color w:val="auto"/>
          <w:spacing w:val="-8"/>
          <w:sz w:val="30"/>
          <w:szCs w:val="30"/>
          <w:highlight w:val="none"/>
          <w:lang w:val="zh-CN"/>
        </w:rPr>
        <w:sectPr>
          <w:headerReference r:id="rId5" w:type="first"/>
          <w:headerReference r:id="rId3" w:type="default"/>
          <w:footerReference r:id="rId6" w:type="default"/>
          <w:headerReference r:id="rId4" w:type="even"/>
          <w:footerReference r:id="rId7" w:type="even"/>
          <w:pgSz w:w="11906" w:h="16838"/>
          <w:pgMar w:top="1440" w:right="1080" w:bottom="1440" w:left="1080" w:header="851" w:footer="992" w:gutter="0"/>
          <w:pgNumType w:start="1"/>
          <w:cols w:space="720" w:num="1"/>
          <w:docGrid w:type="lines" w:linePitch="333" w:charSpace="0"/>
        </w:sectPr>
      </w:pPr>
      <w:r>
        <w:rPr>
          <w:rFonts w:hint="eastAsia" w:ascii="仿宋" w:hAnsi="仿宋" w:eastAsia="仿宋" w:cs="仿宋"/>
          <w:b/>
          <w:bCs/>
          <w:color w:val="auto"/>
          <w:spacing w:val="20"/>
          <w:sz w:val="30"/>
          <w:szCs w:val="30"/>
          <w:highlight w:val="none"/>
          <w:lang w:val="en-US" w:eastAsia="zh-CN"/>
        </w:rPr>
        <w:t>編制日期：</w:t>
      </w:r>
      <w:r>
        <w:rPr>
          <w:rFonts w:hint="eastAsia" w:ascii="仿宋" w:hAnsi="仿宋" w:eastAsia="仿宋" w:cs="仿宋"/>
          <w:b/>
          <w:bCs/>
          <w:color w:val="auto"/>
          <w:spacing w:val="20"/>
          <w:sz w:val="30"/>
          <w:szCs w:val="30"/>
          <w:highlight w:val="none"/>
          <w:u w:val="single"/>
          <w:lang w:val="zh-CN"/>
        </w:rPr>
        <w:t>20</w:t>
      </w:r>
      <w:r>
        <w:rPr>
          <w:rFonts w:hint="eastAsia" w:ascii="仿宋" w:hAnsi="仿宋" w:eastAsia="仿宋" w:cs="仿宋"/>
          <w:b/>
          <w:bCs/>
          <w:color w:val="auto"/>
          <w:spacing w:val="20"/>
          <w:sz w:val="30"/>
          <w:szCs w:val="30"/>
          <w:highlight w:val="none"/>
          <w:u w:val="single"/>
          <w:lang w:val="en-US" w:eastAsia="zh-CN"/>
        </w:rPr>
        <w:t>25</w:t>
      </w:r>
      <w:r>
        <w:rPr>
          <w:rFonts w:hint="eastAsia" w:ascii="仿宋" w:hAnsi="仿宋" w:eastAsia="仿宋" w:cs="仿宋"/>
          <w:b/>
          <w:bCs/>
          <w:color w:val="auto"/>
          <w:spacing w:val="20"/>
          <w:sz w:val="30"/>
          <w:szCs w:val="30"/>
          <w:highlight w:val="none"/>
          <w:u w:val="single"/>
          <w:lang w:val="zh-CN"/>
        </w:rPr>
        <w:t>年</w:t>
      </w:r>
      <w:r>
        <w:rPr>
          <w:rFonts w:hint="eastAsia" w:ascii="仿宋" w:hAnsi="仿宋" w:eastAsia="仿宋" w:cs="仿宋"/>
          <w:b/>
          <w:bCs/>
          <w:color w:val="auto"/>
          <w:spacing w:val="20"/>
          <w:sz w:val="30"/>
          <w:szCs w:val="30"/>
          <w:highlight w:val="none"/>
          <w:u w:val="single"/>
          <w:lang w:val="en-US" w:eastAsia="zh-CN"/>
        </w:rPr>
        <w:t>06</w:t>
      </w:r>
      <w:r>
        <w:rPr>
          <w:rFonts w:hint="eastAsia" w:ascii="仿宋" w:hAnsi="仿宋" w:eastAsia="仿宋" w:cs="仿宋"/>
          <w:b/>
          <w:bCs/>
          <w:color w:val="auto"/>
          <w:spacing w:val="20"/>
          <w:sz w:val="30"/>
          <w:szCs w:val="30"/>
          <w:highlight w:val="none"/>
          <w:u w:val="single"/>
          <w:lang w:val="zh-CN"/>
        </w:rPr>
        <w:t>月</w:t>
      </w:r>
      <w:r>
        <w:rPr>
          <w:rFonts w:hint="eastAsia" w:ascii="仿宋" w:hAnsi="仿宋" w:eastAsia="仿宋" w:cs="仿宋"/>
          <w:b/>
          <w:bCs/>
          <w:color w:val="auto"/>
          <w:spacing w:val="20"/>
          <w:sz w:val="30"/>
          <w:szCs w:val="30"/>
          <w:highlight w:val="none"/>
          <w:u w:val="single"/>
          <w:lang w:val="en-US" w:eastAsia="zh-CN"/>
        </w:rPr>
        <w:t>30日</w:t>
      </w:r>
    </w:p>
    <w:p w14:paraId="6835F894">
      <w:pPr>
        <w:spacing w:line="360" w:lineRule="auto"/>
        <w:ind w:firstLine="203" w:firstLineChars="46"/>
        <w:jc w:val="center"/>
        <w:rPr>
          <w:rFonts w:hint="eastAsia" w:ascii="仿宋" w:hAnsi="仿宋" w:eastAsia="仿宋" w:cs="仿宋"/>
          <w:b/>
          <w:bCs/>
          <w:color w:val="auto"/>
          <w:sz w:val="44"/>
          <w:szCs w:val="44"/>
          <w:highlight w:val="none"/>
          <w:lang w:val="zh-CN"/>
        </w:rPr>
      </w:pPr>
      <w:r>
        <w:rPr>
          <w:rFonts w:hint="eastAsia" w:ascii="仿宋" w:hAnsi="仿宋" w:eastAsia="仿宋" w:cs="仿宋"/>
          <w:b/>
          <w:bCs/>
          <w:color w:val="auto"/>
          <w:sz w:val="44"/>
          <w:szCs w:val="44"/>
          <w:highlight w:val="none"/>
          <w:lang w:val="zh-CN"/>
        </w:rPr>
        <w:t>温馨提示</w:t>
      </w:r>
    </w:p>
    <w:p w14:paraId="4DC199F0">
      <w:pPr>
        <w:spacing w:line="360" w:lineRule="auto"/>
        <w:ind w:firstLine="623" w:firstLineChars="194"/>
        <w:rPr>
          <w:rFonts w:hint="eastAsia" w:ascii="仿宋" w:hAnsi="仿宋" w:eastAsia="仿宋" w:cs="仿宋"/>
          <w:b/>
          <w:bCs/>
          <w:color w:val="auto"/>
          <w:sz w:val="32"/>
          <w:szCs w:val="32"/>
          <w:highlight w:val="none"/>
          <w:lang w:val="zh-CN"/>
        </w:rPr>
      </w:pPr>
    </w:p>
    <w:p w14:paraId="51632BFB">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zh-CN"/>
        </w:rPr>
      </w:pPr>
      <w:r>
        <w:rPr>
          <w:rFonts w:hint="eastAsia" w:ascii="仿宋" w:hAnsi="仿宋" w:eastAsia="仿宋" w:cs="仿宋"/>
          <w:bCs/>
          <w:color w:val="auto"/>
          <w:sz w:val="30"/>
          <w:szCs w:val="30"/>
          <w:highlight w:val="none"/>
          <w:lang w:val="en-US" w:eastAsia="zh-CN"/>
        </w:rPr>
        <w:t>获取</w:t>
      </w:r>
      <w:r>
        <w:rPr>
          <w:rFonts w:hint="eastAsia" w:ascii="仿宋" w:hAnsi="仿宋" w:eastAsia="仿宋" w:cs="仿宋"/>
          <w:bCs/>
          <w:color w:val="auto"/>
          <w:sz w:val="30"/>
          <w:szCs w:val="30"/>
          <w:highlight w:val="none"/>
          <w:lang w:val="zh-CN"/>
        </w:rPr>
        <w:t>招标文件后，请仔细阅读，特别注意粗体部分，如有疑问，请来电咨询。电话：</w:t>
      </w:r>
      <w:r>
        <w:rPr>
          <w:rFonts w:hint="eastAsia" w:ascii="仿宋" w:hAnsi="仿宋" w:eastAsia="仿宋" w:cs="仿宋"/>
          <w:bCs/>
          <w:color w:val="auto"/>
          <w:sz w:val="30"/>
          <w:szCs w:val="30"/>
          <w:highlight w:val="none"/>
          <w:lang w:val="en-US" w:eastAsia="zh-CN"/>
        </w:rPr>
        <w:t>13095182426</w:t>
      </w:r>
      <w:r>
        <w:rPr>
          <w:rFonts w:hint="eastAsia" w:ascii="仿宋" w:hAnsi="仿宋" w:eastAsia="仿宋" w:cs="仿宋"/>
          <w:bCs/>
          <w:color w:val="auto"/>
          <w:sz w:val="30"/>
          <w:szCs w:val="30"/>
          <w:highlight w:val="none"/>
          <w:lang w:val="zh-CN" w:eastAsia="zh-CN"/>
        </w:rPr>
        <w:tab/>
      </w:r>
    </w:p>
    <w:p w14:paraId="73379B97">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zh-CN" w:eastAsia="zh-CN"/>
        </w:rPr>
      </w:pPr>
      <w:r>
        <w:rPr>
          <w:rFonts w:hint="eastAsia" w:ascii="仿宋" w:hAnsi="仿宋" w:eastAsia="仿宋" w:cs="仿宋"/>
          <w:bCs/>
          <w:color w:val="auto"/>
          <w:sz w:val="30"/>
          <w:szCs w:val="30"/>
          <w:highlight w:val="none"/>
          <w:lang w:val="zh-CN" w:eastAsia="zh-CN"/>
        </w:rPr>
        <w:t>请将</w:t>
      </w:r>
      <w:r>
        <w:rPr>
          <w:rFonts w:hint="eastAsia" w:ascii="仿宋" w:hAnsi="仿宋" w:eastAsia="仿宋" w:cs="仿宋"/>
          <w:bCs/>
          <w:color w:val="auto"/>
          <w:sz w:val="30"/>
          <w:szCs w:val="30"/>
          <w:highlight w:val="none"/>
          <w:lang w:val="en-US" w:eastAsia="zh-CN"/>
        </w:rPr>
        <w:t>投标</w:t>
      </w:r>
      <w:r>
        <w:rPr>
          <w:rFonts w:hint="eastAsia" w:ascii="仿宋" w:hAnsi="仿宋" w:eastAsia="仿宋" w:cs="仿宋"/>
          <w:bCs/>
          <w:color w:val="auto"/>
          <w:sz w:val="30"/>
          <w:szCs w:val="30"/>
          <w:highlight w:val="none"/>
          <w:lang w:val="zh-CN" w:eastAsia="zh-CN"/>
        </w:rPr>
        <w:t>保证金汇至下列指定账户：</w:t>
      </w:r>
    </w:p>
    <w:p w14:paraId="0AC18697">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开户名称：新疆长润泽建设工程管理有限公司</w:t>
      </w:r>
    </w:p>
    <w:p w14:paraId="7D7A185D">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开户行:中信银行股份有限公司伊犁分行</w:t>
      </w:r>
    </w:p>
    <w:p w14:paraId="0BC3116F">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账号：8113 7010 1270 0221 619</w:t>
      </w:r>
    </w:p>
    <w:p w14:paraId="3DB36852">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 xml:space="preserve">行号：302898000133 </w:t>
      </w:r>
    </w:p>
    <w:p w14:paraId="3BF09377">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注：投标保证金以到账时间为准，投标人提交投标保证金应充分考虑资金在途时间。汇款单上需注明项目名称、标段号、金额等。</w:t>
      </w:r>
    </w:p>
    <w:p w14:paraId="1228D4AB">
      <w:pPr>
        <w:pStyle w:val="2"/>
        <w:spacing w:before="120" w:beforeLines="50"/>
        <w:ind w:firstLine="0"/>
        <w:rPr>
          <w:rFonts w:hint="eastAsia" w:ascii="仿宋" w:hAnsi="仿宋" w:eastAsia="仿宋" w:cs="仿宋"/>
          <w:b/>
          <w:color w:val="auto"/>
          <w:kern w:val="44"/>
          <w:sz w:val="44"/>
          <w:szCs w:val="44"/>
          <w:highlight w:val="none"/>
        </w:rPr>
      </w:pPr>
    </w:p>
    <w:p w14:paraId="5E00B9B6">
      <w:pPr>
        <w:pStyle w:val="2"/>
        <w:spacing w:before="120" w:beforeLines="50"/>
        <w:ind w:firstLine="0"/>
        <w:rPr>
          <w:rFonts w:hint="eastAsia" w:ascii="仿宋" w:hAnsi="仿宋" w:eastAsia="仿宋" w:cs="仿宋"/>
          <w:b/>
          <w:color w:val="auto"/>
          <w:kern w:val="44"/>
          <w:sz w:val="44"/>
          <w:szCs w:val="44"/>
          <w:highlight w:val="none"/>
        </w:rPr>
      </w:pPr>
    </w:p>
    <w:p w14:paraId="21F6C9D4">
      <w:pPr>
        <w:pStyle w:val="2"/>
        <w:spacing w:before="120" w:beforeLines="50"/>
        <w:ind w:firstLine="0"/>
        <w:rPr>
          <w:rFonts w:hint="eastAsia" w:ascii="仿宋" w:hAnsi="仿宋" w:eastAsia="仿宋" w:cs="仿宋"/>
          <w:b/>
          <w:color w:val="auto"/>
          <w:kern w:val="44"/>
          <w:sz w:val="44"/>
          <w:szCs w:val="44"/>
          <w:highlight w:val="none"/>
        </w:rPr>
      </w:pPr>
    </w:p>
    <w:p w14:paraId="221B83FA">
      <w:pPr>
        <w:pStyle w:val="2"/>
        <w:spacing w:before="120" w:beforeLines="50"/>
        <w:ind w:firstLine="0"/>
        <w:rPr>
          <w:rFonts w:hint="eastAsia" w:ascii="仿宋" w:hAnsi="仿宋" w:eastAsia="仿宋" w:cs="仿宋"/>
          <w:b/>
          <w:color w:val="auto"/>
          <w:kern w:val="44"/>
          <w:sz w:val="44"/>
          <w:szCs w:val="44"/>
          <w:highlight w:val="none"/>
        </w:rPr>
      </w:pPr>
    </w:p>
    <w:p w14:paraId="74C230C0">
      <w:pPr>
        <w:pStyle w:val="2"/>
        <w:spacing w:before="120" w:beforeLines="50"/>
        <w:ind w:firstLine="0"/>
        <w:rPr>
          <w:rFonts w:hint="eastAsia" w:ascii="仿宋" w:hAnsi="仿宋" w:eastAsia="仿宋" w:cs="仿宋"/>
          <w:b/>
          <w:color w:val="auto"/>
          <w:kern w:val="44"/>
          <w:sz w:val="44"/>
          <w:szCs w:val="44"/>
          <w:highlight w:val="none"/>
        </w:rPr>
      </w:pPr>
    </w:p>
    <w:p w14:paraId="7388494E">
      <w:pPr>
        <w:pStyle w:val="2"/>
        <w:spacing w:before="120" w:beforeLines="50"/>
        <w:ind w:firstLine="0"/>
        <w:rPr>
          <w:rFonts w:hint="eastAsia" w:ascii="仿宋" w:hAnsi="仿宋" w:eastAsia="仿宋" w:cs="仿宋"/>
          <w:b/>
          <w:color w:val="auto"/>
          <w:kern w:val="44"/>
          <w:sz w:val="44"/>
          <w:szCs w:val="44"/>
          <w:highlight w:val="none"/>
        </w:rPr>
      </w:pPr>
    </w:p>
    <w:p w14:paraId="420B401F">
      <w:pPr>
        <w:pStyle w:val="2"/>
        <w:spacing w:before="120" w:beforeLines="50"/>
        <w:ind w:firstLine="0"/>
        <w:rPr>
          <w:rFonts w:hint="eastAsia" w:ascii="仿宋" w:hAnsi="仿宋" w:eastAsia="仿宋" w:cs="仿宋"/>
          <w:b/>
          <w:color w:val="auto"/>
          <w:kern w:val="44"/>
          <w:sz w:val="44"/>
          <w:szCs w:val="44"/>
          <w:highlight w:val="none"/>
        </w:rPr>
      </w:pPr>
    </w:p>
    <w:p w14:paraId="476B2FC8">
      <w:pPr>
        <w:pStyle w:val="2"/>
        <w:spacing w:before="120" w:beforeLines="50"/>
        <w:ind w:firstLine="0"/>
        <w:rPr>
          <w:rFonts w:hint="eastAsia" w:ascii="仿宋" w:hAnsi="仿宋" w:eastAsia="仿宋" w:cs="仿宋"/>
          <w:b/>
          <w:color w:val="auto"/>
          <w:kern w:val="44"/>
          <w:sz w:val="44"/>
          <w:szCs w:val="44"/>
          <w:highlight w:val="none"/>
        </w:rPr>
        <w:sectPr>
          <w:footerReference r:id="rId8" w:type="default"/>
          <w:pgSz w:w="11906" w:h="16838"/>
          <w:pgMar w:top="1440" w:right="1080" w:bottom="1440" w:left="1080" w:header="851" w:footer="992" w:gutter="0"/>
          <w:pgNumType w:fmt="decimal" w:start="1"/>
          <w:cols w:space="720" w:num="1"/>
          <w:docGrid w:type="lines" w:linePitch="312" w:charSpace="0"/>
        </w:sectPr>
      </w:pPr>
    </w:p>
    <w:sdt>
      <w:sdtPr>
        <w:rPr>
          <w:rFonts w:ascii="宋体" w:hAnsi="宋体" w:eastAsia="宋体" w:cs="Times New Roman"/>
          <w:color w:val="auto"/>
          <w:kern w:val="2"/>
          <w:sz w:val="21"/>
          <w:szCs w:val="24"/>
          <w:highlight w:val="none"/>
          <w:lang w:val="en-US" w:eastAsia="zh-CN" w:bidi="ar-SA"/>
        </w:rPr>
        <w:id w:val="147477765"/>
        <w15:color w:val="DBDBDB"/>
        <w:docPartObj>
          <w:docPartGallery w:val="Table of Contents"/>
          <w:docPartUnique/>
        </w:docPartObj>
      </w:sdtPr>
      <w:sdtEndPr>
        <w:rPr>
          <w:rFonts w:hint="eastAsia" w:ascii="仿宋" w:hAnsi="仿宋" w:eastAsia="仿宋" w:cs="仿宋"/>
          <w:color w:val="auto"/>
          <w:kern w:val="44"/>
          <w:sz w:val="21"/>
          <w:szCs w:val="44"/>
          <w:highlight w:val="none"/>
          <w:lang w:val="en-US" w:eastAsia="zh-CN" w:bidi="ar-SA"/>
        </w:rPr>
      </w:sdtEndPr>
      <w:sdtContent>
        <w:p w14:paraId="3C45D0D0">
          <w:pPr>
            <w:spacing w:before="0" w:beforeLines="0" w:after="0" w:afterLines="0" w:line="240" w:lineRule="auto"/>
            <w:ind w:left="0" w:leftChars="0" w:right="0" w:rightChars="0" w:firstLine="0" w:firstLineChars="0"/>
            <w:jc w:val="center"/>
            <w:rPr>
              <w:rFonts w:hint="eastAsia" w:ascii="仿宋" w:hAnsi="仿宋" w:eastAsia="仿宋" w:cs="仿宋"/>
              <w:color w:val="auto"/>
              <w:sz w:val="28"/>
              <w:szCs w:val="28"/>
              <w:highlight w:val="none"/>
            </w:rPr>
          </w:pPr>
          <w:r>
            <w:rPr>
              <w:rFonts w:hint="eastAsia" w:ascii="仿宋" w:hAnsi="仿宋" w:eastAsia="仿宋" w:cs="仿宋"/>
              <w:b/>
              <w:bCs/>
              <w:color w:val="auto"/>
              <w:sz w:val="32"/>
              <w:szCs w:val="32"/>
              <w:highlight w:val="none"/>
            </w:rPr>
            <w:t>目录</w:t>
          </w:r>
          <w:r>
            <w:rPr>
              <w:rFonts w:hint="eastAsia" w:ascii="仿宋" w:hAnsi="仿宋" w:eastAsia="仿宋" w:cs="仿宋"/>
              <w:b/>
              <w:color w:val="auto"/>
              <w:kern w:val="44"/>
              <w:sz w:val="28"/>
              <w:szCs w:val="28"/>
              <w:highlight w:val="none"/>
            </w:rPr>
            <w:fldChar w:fldCharType="begin"/>
          </w:r>
          <w:r>
            <w:rPr>
              <w:rFonts w:hint="eastAsia" w:ascii="仿宋" w:hAnsi="仿宋" w:eastAsia="仿宋" w:cs="仿宋"/>
              <w:b/>
              <w:color w:val="auto"/>
              <w:kern w:val="44"/>
              <w:sz w:val="28"/>
              <w:szCs w:val="28"/>
              <w:highlight w:val="none"/>
            </w:rPr>
            <w:instrText xml:space="preserve">TOC \o "1-1" \h \u </w:instrText>
          </w:r>
          <w:r>
            <w:rPr>
              <w:rFonts w:hint="eastAsia" w:ascii="仿宋" w:hAnsi="仿宋" w:eastAsia="仿宋" w:cs="仿宋"/>
              <w:b/>
              <w:color w:val="auto"/>
              <w:kern w:val="44"/>
              <w:sz w:val="28"/>
              <w:szCs w:val="28"/>
              <w:highlight w:val="none"/>
            </w:rPr>
            <w:fldChar w:fldCharType="separate"/>
          </w:r>
        </w:p>
        <w:p w14:paraId="7B022D56">
          <w:pPr>
            <w:pStyle w:val="77"/>
            <w:tabs>
              <w:tab w:val="right" w:leader="dot" w:pos="8306"/>
            </w:tabs>
            <w:jc w:val="center"/>
            <w:rPr>
              <w:rFonts w:hint="eastAsia" w:ascii="仿宋" w:hAnsi="仿宋" w:eastAsia="仿宋" w:cs="仿宋"/>
              <w:color w:val="auto"/>
              <w:sz w:val="30"/>
              <w:szCs w:val="30"/>
              <w:highlight w:val="none"/>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_Toc18522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rPr>
            <w:t>第一章</w:t>
          </w:r>
          <w:r>
            <w:rPr>
              <w:rFonts w:hint="eastAsia" w:ascii="仿宋" w:hAnsi="仿宋" w:eastAsia="仿宋" w:cs="仿宋"/>
              <w:color w:val="auto"/>
              <w:kern w:val="44"/>
              <w:sz w:val="30"/>
              <w:szCs w:val="30"/>
              <w:highlight w:val="none"/>
              <w:lang w:val="en-US" w:eastAsia="zh-CN"/>
            </w:rPr>
            <w:t xml:space="preserve"> </w:t>
          </w:r>
          <w:r>
            <w:rPr>
              <w:rFonts w:hint="eastAsia" w:ascii="仿宋" w:hAnsi="仿宋" w:eastAsia="仿宋" w:cs="仿宋"/>
              <w:color w:val="auto"/>
              <w:sz w:val="30"/>
              <w:szCs w:val="30"/>
              <w:highlight w:val="none"/>
            </w:rPr>
            <w:t>招标公告</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_Toc18522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kern w:val="44"/>
              <w:sz w:val="30"/>
              <w:szCs w:val="30"/>
              <w:highlight w:val="none"/>
            </w:rPr>
            <w:fldChar w:fldCharType="end"/>
          </w:r>
        </w:p>
        <w:p w14:paraId="010050A4">
          <w:pPr>
            <w:pStyle w:val="77"/>
            <w:tabs>
              <w:tab w:val="right" w:leader="dot" w:pos="8306"/>
            </w:tabs>
            <w:jc w:val="center"/>
            <w:rPr>
              <w:rFonts w:hint="eastAsia" w:ascii="仿宋" w:hAnsi="仿宋" w:eastAsia="仿宋" w:cs="仿宋"/>
              <w:color w:val="auto"/>
              <w:sz w:val="30"/>
              <w:szCs w:val="30"/>
              <w:highlight w:val="none"/>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_Toc5890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lang w:val="en-US" w:eastAsia="zh-CN" w:bidi="ar-SA"/>
            </w:rPr>
            <w:t>第二章 投标供应商须知</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_Toc5890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7</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kern w:val="44"/>
              <w:sz w:val="30"/>
              <w:szCs w:val="30"/>
              <w:highlight w:val="none"/>
            </w:rPr>
            <w:fldChar w:fldCharType="end"/>
          </w:r>
        </w:p>
        <w:p w14:paraId="5D83493B">
          <w:pPr>
            <w:pStyle w:val="77"/>
            <w:tabs>
              <w:tab w:val="right" w:leader="dot" w:pos="8306"/>
            </w:tabs>
            <w:jc w:val="center"/>
            <w:rPr>
              <w:rFonts w:hint="eastAsia" w:ascii="仿宋" w:hAnsi="仿宋" w:eastAsia="仿宋" w:cs="仿宋"/>
              <w:color w:val="auto"/>
              <w:sz w:val="30"/>
              <w:szCs w:val="30"/>
              <w:highlight w:val="none"/>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_Toc24805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lang w:val="en-US" w:eastAsia="zh-CN" w:bidi="ar-SA"/>
            </w:rPr>
            <w:t>第三章 评标方法和标准</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_Toc24805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34</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kern w:val="44"/>
              <w:sz w:val="30"/>
              <w:szCs w:val="30"/>
              <w:highlight w:val="none"/>
            </w:rPr>
            <w:fldChar w:fldCharType="end"/>
          </w:r>
        </w:p>
        <w:p w14:paraId="04D9D330">
          <w:pPr>
            <w:pStyle w:val="77"/>
            <w:tabs>
              <w:tab w:val="right" w:leader="dot" w:pos="8306"/>
            </w:tabs>
            <w:jc w:val="center"/>
            <w:rPr>
              <w:rFonts w:hint="eastAsia" w:ascii="仿宋" w:hAnsi="仿宋" w:eastAsia="仿宋" w:cs="仿宋"/>
              <w:color w:val="auto"/>
              <w:sz w:val="30"/>
              <w:szCs w:val="30"/>
              <w:highlight w:val="none"/>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_Toc12287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lang w:val="en-US" w:eastAsia="zh-CN" w:bidi="ar-SA"/>
            </w:rPr>
            <w:t>第四章 采购需求及商务要求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_Toc12287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39</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kern w:val="44"/>
              <w:sz w:val="30"/>
              <w:szCs w:val="30"/>
              <w:highlight w:val="none"/>
            </w:rPr>
            <w:fldChar w:fldCharType="end"/>
          </w:r>
        </w:p>
        <w:p w14:paraId="62613694">
          <w:pPr>
            <w:pStyle w:val="77"/>
            <w:tabs>
              <w:tab w:val="right" w:leader="dot" w:pos="8306"/>
            </w:tabs>
            <w:jc w:val="center"/>
            <w:rPr>
              <w:rFonts w:hint="eastAsia" w:ascii="仿宋" w:hAnsi="仿宋" w:eastAsia="仿宋" w:cs="仿宋"/>
              <w:color w:val="auto"/>
              <w:sz w:val="30"/>
              <w:szCs w:val="30"/>
              <w:highlight w:val="none"/>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_Toc30823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lang w:val="en-US" w:eastAsia="zh-CN"/>
            </w:rPr>
            <w:t>第五章 投标文件格式</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_Toc30823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69</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kern w:val="44"/>
              <w:sz w:val="30"/>
              <w:szCs w:val="30"/>
              <w:highlight w:val="none"/>
            </w:rPr>
            <w:fldChar w:fldCharType="end"/>
          </w:r>
        </w:p>
        <w:p w14:paraId="4B66364F">
          <w:pPr>
            <w:pStyle w:val="77"/>
            <w:tabs>
              <w:tab w:val="right" w:leader="dot" w:pos="8306"/>
            </w:tabs>
            <w:jc w:val="center"/>
            <w:rPr>
              <w:rFonts w:hint="eastAsia" w:ascii="仿宋" w:hAnsi="仿宋" w:eastAsia="仿宋" w:cs="仿宋"/>
              <w:color w:val="auto"/>
              <w:sz w:val="30"/>
              <w:szCs w:val="30"/>
              <w:highlight w:val="none"/>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_Toc12058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lang w:val="en-US" w:eastAsia="zh-CN"/>
            </w:rPr>
            <w:t>第六章 采购合同格式</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_Toc12058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89</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kern w:val="44"/>
              <w:sz w:val="30"/>
              <w:szCs w:val="30"/>
              <w:highlight w:val="none"/>
            </w:rPr>
            <w:fldChar w:fldCharType="end"/>
          </w:r>
        </w:p>
        <w:p w14:paraId="7048346D">
          <w:pPr>
            <w:pStyle w:val="2"/>
            <w:spacing w:before="120" w:beforeLines="50"/>
            <w:ind w:firstLine="0"/>
            <w:rPr>
              <w:rFonts w:hint="eastAsia" w:ascii="仿宋" w:hAnsi="仿宋" w:eastAsia="仿宋" w:cs="仿宋"/>
              <w:b/>
              <w:color w:val="auto"/>
              <w:kern w:val="44"/>
              <w:sz w:val="44"/>
              <w:szCs w:val="44"/>
              <w:highlight w:val="none"/>
            </w:rPr>
          </w:pPr>
          <w:r>
            <w:rPr>
              <w:rFonts w:hint="eastAsia" w:ascii="仿宋" w:hAnsi="仿宋" w:eastAsia="仿宋" w:cs="仿宋"/>
              <w:color w:val="auto"/>
              <w:kern w:val="44"/>
              <w:sz w:val="28"/>
              <w:szCs w:val="28"/>
              <w:highlight w:val="none"/>
            </w:rPr>
            <w:fldChar w:fldCharType="end"/>
          </w:r>
        </w:p>
      </w:sdtContent>
    </w:sdt>
    <w:p w14:paraId="3EBC1B6A">
      <w:pPr>
        <w:rPr>
          <w:rFonts w:hint="eastAsia" w:ascii="仿宋" w:hAnsi="仿宋" w:eastAsia="仿宋" w:cs="仿宋"/>
          <w:bCs/>
          <w:color w:val="auto"/>
          <w:sz w:val="36"/>
          <w:highlight w:val="none"/>
        </w:rPr>
      </w:pPr>
      <w:r>
        <w:rPr>
          <w:rFonts w:hint="eastAsia" w:ascii="仿宋" w:hAnsi="仿宋" w:eastAsia="仿宋" w:cs="仿宋"/>
          <w:bCs/>
          <w:color w:val="auto"/>
          <w:sz w:val="36"/>
          <w:highlight w:val="none"/>
        </w:rPr>
        <w:br w:type="page"/>
      </w:r>
    </w:p>
    <w:p w14:paraId="51E9062E">
      <w:pPr>
        <w:pStyle w:val="2"/>
        <w:pageBreakBefore w:val="0"/>
        <w:widowControl w:val="0"/>
        <w:kinsoku/>
        <w:wordWrap/>
        <w:overflowPunct/>
        <w:topLinePunct w:val="0"/>
        <w:bidi w:val="0"/>
        <w:snapToGrid/>
        <w:spacing w:line="480" w:lineRule="exact"/>
        <w:ind w:firstLine="0"/>
        <w:jc w:val="center"/>
        <w:textAlignment w:val="auto"/>
        <w:outlineLvl w:val="0"/>
        <w:rPr>
          <w:rFonts w:hint="eastAsia" w:ascii="仿宋" w:hAnsi="仿宋" w:eastAsia="仿宋" w:cs="仿宋"/>
          <w:color w:val="auto"/>
          <w:sz w:val="44"/>
          <w:szCs w:val="44"/>
          <w:highlight w:val="none"/>
        </w:rPr>
      </w:pPr>
      <w:bookmarkStart w:id="4" w:name="_Toc8018"/>
      <w:bookmarkStart w:id="5" w:name="_Toc18522"/>
      <w:r>
        <w:rPr>
          <w:rFonts w:hint="eastAsia" w:ascii="仿宋" w:hAnsi="仿宋" w:eastAsia="仿宋" w:cs="仿宋"/>
          <w:b/>
          <w:color w:val="auto"/>
          <w:kern w:val="44"/>
          <w:sz w:val="44"/>
          <w:szCs w:val="44"/>
          <w:highlight w:val="none"/>
        </w:rPr>
        <w:t>第一章</w:t>
      </w:r>
      <w:r>
        <w:rPr>
          <w:rFonts w:hint="eastAsia" w:ascii="仿宋" w:hAnsi="仿宋" w:eastAsia="仿宋" w:cs="仿宋"/>
          <w:b/>
          <w:color w:val="auto"/>
          <w:kern w:val="44"/>
          <w:sz w:val="44"/>
          <w:szCs w:val="44"/>
          <w:highlight w:val="none"/>
          <w:lang w:val="en-US" w:eastAsia="zh-CN"/>
        </w:rPr>
        <w:t xml:space="preserve"> </w:t>
      </w:r>
      <w:r>
        <w:rPr>
          <w:rFonts w:hint="eastAsia" w:ascii="仿宋" w:hAnsi="仿宋" w:eastAsia="仿宋" w:cs="仿宋"/>
          <w:b/>
          <w:color w:val="auto"/>
          <w:sz w:val="44"/>
          <w:szCs w:val="44"/>
          <w:highlight w:val="none"/>
        </w:rPr>
        <w:t>招标公告</w:t>
      </w:r>
      <w:bookmarkEnd w:id="4"/>
      <w:bookmarkEnd w:id="5"/>
    </w:p>
    <w:p w14:paraId="0834229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textAlignment w:val="auto"/>
        <w:rPr>
          <w:rFonts w:hint="eastAsia" w:ascii="仿宋" w:hAnsi="仿宋" w:eastAsia="仿宋" w:cs="仿宋"/>
          <w:b/>
          <w:bCs/>
          <w:i w:val="0"/>
          <w:iCs w:val="0"/>
          <w:color w:val="auto"/>
          <w:sz w:val="28"/>
          <w:szCs w:val="28"/>
          <w:highlight w:val="none"/>
          <w:u w:val="none"/>
        </w:rPr>
      </w:pPr>
      <w:bookmarkStart w:id="6" w:name="_Toc213396759"/>
      <w:bookmarkStart w:id="7" w:name="_Toc213496267"/>
      <w:bookmarkStart w:id="8" w:name="_Toc213397009"/>
      <w:bookmarkStart w:id="9" w:name="_Toc213396945"/>
      <w:bookmarkStart w:id="10" w:name="_Toc217446031"/>
      <w:bookmarkStart w:id="11" w:name="_Toc183582202"/>
      <w:bookmarkStart w:id="12" w:name="_Toc89075871"/>
      <w:bookmarkStart w:id="13" w:name="_Toc183682339"/>
      <w:bookmarkStart w:id="14" w:name="_Toc77400776"/>
      <w:r>
        <w:rPr>
          <w:rFonts w:hint="eastAsia" w:ascii="仿宋" w:hAnsi="仿宋" w:eastAsia="仿宋" w:cs="仿宋"/>
          <w:b/>
          <w:bCs/>
          <w:i w:val="0"/>
          <w:iCs w:val="0"/>
          <w:color w:val="auto"/>
          <w:sz w:val="28"/>
          <w:szCs w:val="28"/>
          <w:highlight w:val="none"/>
          <w:u w:val="none"/>
        </w:rPr>
        <w:t>项目概况</w:t>
      </w:r>
      <w:r>
        <w:rPr>
          <w:rFonts w:hint="eastAsia" w:ascii="仿宋" w:hAnsi="仿宋" w:eastAsia="仿宋" w:cs="仿宋"/>
          <w:b/>
          <w:bCs/>
          <w:i w:val="0"/>
          <w:iCs w:val="0"/>
          <w:color w:val="auto"/>
          <w:sz w:val="28"/>
          <w:szCs w:val="28"/>
          <w:highlight w:val="none"/>
          <w:u w:val="none"/>
          <w:lang w:eastAsia="zh-CN"/>
        </w:rPr>
        <w:t>：</w:t>
      </w:r>
      <w:r>
        <w:rPr>
          <w:rFonts w:hint="eastAsia" w:ascii="仿宋" w:hAnsi="仿宋" w:eastAsia="仿宋" w:cs="仿宋"/>
          <w:i w:val="0"/>
          <w:iCs w:val="0"/>
          <w:color w:val="auto"/>
          <w:sz w:val="28"/>
          <w:szCs w:val="28"/>
          <w:highlight w:val="none"/>
          <w:u w:val="single"/>
          <w:lang w:eastAsia="zh-CN"/>
        </w:rPr>
        <w:t>察布查尔锡伯自治县公安局2025年大宗食材采购项目</w:t>
      </w:r>
      <w:r>
        <w:rPr>
          <w:rFonts w:hint="eastAsia" w:ascii="仿宋" w:hAnsi="仿宋" w:eastAsia="仿宋" w:cs="仿宋"/>
          <w:i w:val="0"/>
          <w:iCs w:val="0"/>
          <w:color w:val="auto"/>
          <w:sz w:val="28"/>
          <w:szCs w:val="28"/>
          <w:highlight w:val="none"/>
          <w:u w:val="none"/>
        </w:rPr>
        <w:t>的潜在</w:t>
      </w:r>
      <w:r>
        <w:rPr>
          <w:rFonts w:hint="eastAsia" w:ascii="仿宋" w:hAnsi="仿宋" w:eastAsia="仿宋" w:cs="仿宋"/>
          <w:i w:val="0"/>
          <w:iCs w:val="0"/>
          <w:color w:val="auto"/>
          <w:sz w:val="28"/>
          <w:szCs w:val="28"/>
          <w:highlight w:val="none"/>
          <w:u w:val="none"/>
          <w:lang w:val="en-US" w:eastAsia="zh-CN"/>
        </w:rPr>
        <w:t>投标人</w:t>
      </w:r>
      <w:r>
        <w:rPr>
          <w:rFonts w:hint="eastAsia" w:ascii="仿宋" w:hAnsi="仿宋" w:eastAsia="仿宋" w:cs="仿宋"/>
          <w:i w:val="0"/>
          <w:iCs w:val="0"/>
          <w:color w:val="auto"/>
          <w:sz w:val="28"/>
          <w:szCs w:val="28"/>
          <w:highlight w:val="none"/>
          <w:u w:val="none"/>
        </w:rPr>
        <w:t>应在政采云系统平台（https://www.zcygov.cn/）获取采购文件，</w:t>
      </w:r>
      <w:r>
        <w:rPr>
          <w:rFonts w:hint="eastAsia" w:ascii="仿宋" w:hAnsi="仿宋" w:eastAsia="仿宋" w:cs="仿宋"/>
          <w:b/>
          <w:bCs/>
          <w:i w:val="0"/>
          <w:iCs w:val="0"/>
          <w:color w:val="auto"/>
          <w:sz w:val="28"/>
          <w:szCs w:val="28"/>
          <w:highlight w:val="none"/>
          <w:u w:val="none"/>
        </w:rPr>
        <w:t>并于</w:t>
      </w:r>
      <w:r>
        <w:rPr>
          <w:rFonts w:hint="eastAsia" w:ascii="仿宋" w:hAnsi="仿宋" w:eastAsia="仿宋" w:cs="仿宋"/>
          <w:b/>
          <w:bCs/>
          <w:i w:val="0"/>
          <w:iCs w:val="0"/>
          <w:color w:val="auto"/>
          <w:sz w:val="28"/>
          <w:szCs w:val="28"/>
          <w:highlight w:val="none"/>
          <w:u w:val="single"/>
          <w:lang w:val="en-US" w:eastAsia="zh-CN"/>
        </w:rPr>
        <w:t>2025</w:t>
      </w:r>
      <w:r>
        <w:rPr>
          <w:rFonts w:hint="eastAsia" w:ascii="仿宋" w:hAnsi="仿宋" w:eastAsia="仿宋" w:cs="仿宋"/>
          <w:b/>
          <w:bCs/>
          <w:i w:val="0"/>
          <w:iCs w:val="0"/>
          <w:color w:val="auto"/>
          <w:sz w:val="28"/>
          <w:szCs w:val="28"/>
          <w:highlight w:val="none"/>
          <w:u w:val="single"/>
        </w:rPr>
        <w:t>年</w:t>
      </w:r>
      <w:r>
        <w:rPr>
          <w:rFonts w:hint="eastAsia" w:ascii="仿宋" w:hAnsi="仿宋" w:eastAsia="仿宋" w:cs="仿宋"/>
          <w:b/>
          <w:bCs/>
          <w:color w:val="auto"/>
          <w:kern w:val="2"/>
          <w:sz w:val="28"/>
          <w:szCs w:val="28"/>
          <w:highlight w:val="none"/>
          <w:u w:val="single"/>
          <w:lang w:val="en-US" w:eastAsia="zh-CN" w:bidi="ar-SA"/>
        </w:rPr>
        <w:t>07月22日11点</w:t>
      </w:r>
      <w:r>
        <w:rPr>
          <w:rFonts w:hint="eastAsia" w:ascii="仿宋" w:hAnsi="仿宋" w:eastAsia="仿宋" w:cs="仿宋"/>
          <w:b/>
          <w:bCs/>
          <w:i w:val="0"/>
          <w:iCs w:val="0"/>
          <w:color w:val="auto"/>
          <w:sz w:val="28"/>
          <w:szCs w:val="28"/>
          <w:highlight w:val="none"/>
          <w:u w:val="single"/>
          <w:lang w:val="en-US" w:eastAsia="zh-CN"/>
        </w:rPr>
        <w:t>00</w:t>
      </w:r>
      <w:r>
        <w:rPr>
          <w:rFonts w:hint="eastAsia" w:ascii="仿宋" w:hAnsi="仿宋" w:eastAsia="仿宋" w:cs="仿宋"/>
          <w:b/>
          <w:bCs/>
          <w:i w:val="0"/>
          <w:iCs w:val="0"/>
          <w:color w:val="auto"/>
          <w:sz w:val="28"/>
          <w:szCs w:val="28"/>
          <w:highlight w:val="none"/>
          <w:u w:val="single"/>
        </w:rPr>
        <w:t>分</w:t>
      </w:r>
      <w:r>
        <w:rPr>
          <w:rFonts w:hint="eastAsia" w:ascii="仿宋" w:hAnsi="仿宋" w:eastAsia="仿宋" w:cs="仿宋"/>
          <w:b/>
          <w:bCs/>
          <w:i w:val="0"/>
          <w:iCs w:val="0"/>
          <w:color w:val="auto"/>
          <w:sz w:val="28"/>
          <w:szCs w:val="28"/>
          <w:highlight w:val="none"/>
          <w:u w:val="none"/>
        </w:rPr>
        <w:t>（北京时间）前递交投标文件。</w:t>
      </w:r>
    </w:p>
    <w:p w14:paraId="06A628E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i w:val="0"/>
          <w:iCs w:val="0"/>
          <w:color w:val="auto"/>
          <w:sz w:val="28"/>
          <w:szCs w:val="28"/>
          <w:highlight w:val="none"/>
          <w:lang w:val="en-US" w:eastAsia="zh-CN"/>
        </w:rPr>
      </w:pPr>
      <w:bookmarkStart w:id="15" w:name="_Toc35393790"/>
      <w:bookmarkStart w:id="16" w:name="_Toc35393621"/>
      <w:bookmarkStart w:id="17" w:name="_Toc28359079"/>
      <w:bookmarkStart w:id="18" w:name="_Toc32150"/>
      <w:bookmarkStart w:id="19" w:name="_Toc28359002"/>
      <w:bookmarkStart w:id="20" w:name="_Hlk24379207"/>
      <w:bookmarkStart w:id="21" w:name="_Toc35393624"/>
      <w:bookmarkStart w:id="22" w:name="_Toc35393793"/>
      <w:bookmarkStart w:id="23" w:name="_Toc28359082"/>
      <w:bookmarkStart w:id="24" w:name="_Toc28359005"/>
      <w:r>
        <w:rPr>
          <w:rFonts w:hint="eastAsia" w:ascii="仿宋" w:hAnsi="仿宋" w:eastAsia="仿宋" w:cs="仿宋"/>
          <w:b/>
          <w:bCs/>
          <w:i w:val="0"/>
          <w:iCs w:val="0"/>
          <w:color w:val="auto"/>
          <w:sz w:val="28"/>
          <w:szCs w:val="28"/>
          <w:highlight w:val="none"/>
          <w:lang w:val="en-US" w:eastAsia="zh-CN"/>
        </w:rPr>
        <w:t>一、项目基本情况</w:t>
      </w:r>
      <w:bookmarkEnd w:id="15"/>
      <w:bookmarkEnd w:id="16"/>
      <w:bookmarkEnd w:id="17"/>
      <w:bookmarkEnd w:id="18"/>
      <w:bookmarkEnd w:id="19"/>
    </w:p>
    <w:p w14:paraId="7F9CC3B3">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项目编号：</w:t>
      </w:r>
      <w:r>
        <w:rPr>
          <w:rFonts w:hint="eastAsia" w:ascii="仿宋" w:hAnsi="仿宋" w:eastAsia="仿宋" w:cs="仿宋"/>
          <w:b w:val="0"/>
          <w:bCs w:val="0"/>
          <w:i w:val="0"/>
          <w:iCs w:val="0"/>
          <w:color w:val="auto"/>
          <w:sz w:val="28"/>
          <w:szCs w:val="28"/>
          <w:highlight w:val="none"/>
          <w:lang w:val="en-US" w:eastAsia="zh-CN"/>
        </w:rPr>
        <w:t>XJCRZCG-2025033</w:t>
      </w:r>
    </w:p>
    <w:p w14:paraId="1C6E8DE5">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项目名称：</w:t>
      </w:r>
      <w:r>
        <w:rPr>
          <w:rFonts w:hint="eastAsia" w:ascii="仿宋" w:hAnsi="仿宋" w:eastAsia="仿宋" w:cs="仿宋"/>
          <w:b w:val="0"/>
          <w:bCs w:val="0"/>
          <w:i w:val="0"/>
          <w:iCs w:val="0"/>
          <w:color w:val="auto"/>
          <w:sz w:val="28"/>
          <w:szCs w:val="28"/>
          <w:highlight w:val="none"/>
          <w:lang w:val="en-US" w:eastAsia="zh-CN"/>
        </w:rPr>
        <w:t>察布查尔锡伯自治县公安局2025年大宗食材采购项目</w:t>
      </w:r>
    </w:p>
    <w:bookmarkEnd w:id="20"/>
    <w:p w14:paraId="53FEB623">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采购方式：</w:t>
      </w:r>
      <w:r>
        <w:rPr>
          <w:rFonts w:hint="eastAsia" w:ascii="仿宋" w:hAnsi="仿宋" w:eastAsia="仿宋" w:cs="仿宋"/>
          <w:b w:val="0"/>
          <w:bCs w:val="0"/>
          <w:i w:val="0"/>
          <w:iCs w:val="0"/>
          <w:color w:val="auto"/>
          <w:sz w:val="28"/>
          <w:szCs w:val="28"/>
          <w:highlight w:val="none"/>
          <w:lang w:val="en-US" w:eastAsia="zh-CN"/>
        </w:rPr>
        <w:t>公开招标</w:t>
      </w:r>
    </w:p>
    <w:p w14:paraId="3308324F">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预算金额：980万元</w:t>
      </w:r>
    </w:p>
    <w:p w14:paraId="269E7BAF">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第一标段：780万元；</w:t>
      </w:r>
    </w:p>
    <w:p w14:paraId="5BF18AFD">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第二标段：220万元。</w:t>
      </w:r>
    </w:p>
    <w:p w14:paraId="367DE8FC">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最高限价：</w:t>
      </w:r>
    </w:p>
    <w:p w14:paraId="1E857609">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第一标段：780万元；</w:t>
      </w:r>
    </w:p>
    <w:p w14:paraId="4DB9BBD3">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第二标段：220万元。</w:t>
      </w:r>
    </w:p>
    <w:p w14:paraId="2F7A68C5">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采购需求：</w:t>
      </w:r>
    </w:p>
    <w:p w14:paraId="2A7129CD">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第一标段：米、面、油、蔬果副食品食材及肉类等食材采购。（具体详见招标文件）</w:t>
      </w:r>
    </w:p>
    <w:p w14:paraId="078E3946">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第二标段：盒饭采购。（具体详见招标文件）</w:t>
      </w:r>
    </w:p>
    <w:p w14:paraId="2782EC08">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合同履行期限：</w:t>
      </w:r>
      <w:r>
        <w:rPr>
          <w:rFonts w:hint="eastAsia" w:ascii="仿宋" w:hAnsi="仿宋" w:eastAsia="仿宋" w:cs="仿宋"/>
          <w:b w:val="0"/>
          <w:bCs w:val="0"/>
          <w:i w:val="0"/>
          <w:iCs w:val="0"/>
          <w:color w:val="auto"/>
          <w:sz w:val="28"/>
          <w:szCs w:val="28"/>
          <w:highlight w:val="none"/>
          <w:lang w:val="en-US" w:eastAsia="zh-CN"/>
        </w:rPr>
        <w:t>自合同签订之日起1年。</w:t>
      </w:r>
    </w:p>
    <w:p w14:paraId="79A8B4EE">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本项目不接受联合体。</w:t>
      </w:r>
    </w:p>
    <w:p w14:paraId="25E8A0F0">
      <w:pPr>
        <w:pStyle w:val="5"/>
        <w:pageBreakBefore w:val="0"/>
        <w:widowControl w:val="0"/>
        <w:kinsoku/>
        <w:wordWrap/>
        <w:overflowPunct/>
        <w:topLinePunct w:val="0"/>
        <w:autoSpaceDE/>
        <w:autoSpaceDN/>
        <w:bidi w:val="0"/>
        <w:adjustRightInd/>
        <w:snapToGrid w:val="0"/>
        <w:spacing w:before="0" w:beforeAutospacing="0" w:after="0" w:afterAutospacing="0" w:line="480" w:lineRule="exact"/>
        <w:textAlignment w:val="auto"/>
        <w:rPr>
          <w:rFonts w:hint="eastAsia" w:ascii="仿宋" w:hAnsi="仿宋" w:eastAsia="仿宋" w:cs="仿宋"/>
          <w:b/>
          <w:bCs w:val="0"/>
          <w:i w:val="0"/>
          <w:iCs w:val="0"/>
          <w:color w:val="auto"/>
          <w:sz w:val="28"/>
          <w:szCs w:val="28"/>
          <w:highlight w:val="none"/>
          <w:lang w:val="en-US" w:eastAsia="zh-CN"/>
        </w:rPr>
      </w:pPr>
      <w:bookmarkStart w:id="25" w:name="_Toc27094"/>
      <w:bookmarkStart w:id="26" w:name="_Toc28359003"/>
      <w:bookmarkStart w:id="27" w:name="_Toc35393791"/>
      <w:bookmarkStart w:id="28" w:name="_Toc28359080"/>
      <w:bookmarkStart w:id="29" w:name="_Toc35393622"/>
      <w:r>
        <w:rPr>
          <w:rFonts w:hint="eastAsia" w:ascii="仿宋" w:hAnsi="仿宋" w:eastAsia="仿宋" w:cs="仿宋"/>
          <w:b/>
          <w:bCs w:val="0"/>
          <w:i w:val="0"/>
          <w:iCs w:val="0"/>
          <w:color w:val="auto"/>
          <w:sz w:val="28"/>
          <w:szCs w:val="28"/>
          <w:highlight w:val="none"/>
          <w:lang w:val="en-US" w:eastAsia="zh-CN"/>
        </w:rPr>
        <w:t>二、申请人的资格要求：</w:t>
      </w:r>
      <w:bookmarkEnd w:id="25"/>
      <w:bookmarkEnd w:id="26"/>
      <w:bookmarkEnd w:id="27"/>
      <w:bookmarkEnd w:id="28"/>
      <w:bookmarkEnd w:id="29"/>
    </w:p>
    <w:p w14:paraId="226EF21E">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i w:val="0"/>
          <w:iCs w:val="0"/>
          <w:color w:val="auto"/>
          <w:sz w:val="28"/>
          <w:szCs w:val="28"/>
          <w:highlight w:val="none"/>
          <w:u w:val="none"/>
          <w:lang w:eastAsia="zh-CN"/>
        </w:rPr>
      </w:pPr>
      <w:r>
        <w:rPr>
          <w:rFonts w:hint="eastAsia" w:ascii="仿宋" w:hAnsi="仿宋" w:eastAsia="仿宋" w:cs="仿宋"/>
          <w:b/>
          <w:bCs/>
          <w:i w:val="0"/>
          <w:iCs w:val="0"/>
          <w:color w:val="auto"/>
          <w:sz w:val="28"/>
          <w:szCs w:val="28"/>
          <w:highlight w:val="none"/>
          <w:u w:val="none"/>
        </w:rPr>
        <w:t>1.满足《中华人民共和国政府采购法》第二十二条规定</w:t>
      </w:r>
      <w:r>
        <w:rPr>
          <w:rFonts w:hint="eastAsia" w:ascii="仿宋" w:hAnsi="仿宋" w:eastAsia="仿宋" w:cs="仿宋"/>
          <w:b/>
          <w:bCs/>
          <w:i w:val="0"/>
          <w:iCs w:val="0"/>
          <w:color w:val="auto"/>
          <w:sz w:val="28"/>
          <w:szCs w:val="28"/>
          <w:highlight w:val="none"/>
          <w:u w:val="none"/>
          <w:lang w:eastAsia="zh-CN"/>
        </w:rPr>
        <w:t>：</w:t>
      </w:r>
    </w:p>
    <w:p w14:paraId="0529785C">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bookmarkStart w:id="30" w:name="_Toc35393792"/>
      <w:bookmarkStart w:id="31" w:name="_Toc28359081"/>
      <w:bookmarkStart w:id="32" w:name="_Toc35393623"/>
      <w:bookmarkStart w:id="33" w:name="_Toc28359004"/>
      <w:r>
        <w:rPr>
          <w:rFonts w:hint="eastAsia" w:ascii="仿宋" w:hAnsi="仿宋" w:eastAsia="仿宋" w:cs="仿宋"/>
          <w:b w:val="0"/>
          <w:bCs w:val="0"/>
          <w:i w:val="0"/>
          <w:iCs w:val="0"/>
          <w:color w:val="auto"/>
          <w:sz w:val="28"/>
          <w:szCs w:val="28"/>
          <w:highlight w:val="none"/>
          <w:lang w:val="en-US" w:eastAsia="zh-CN"/>
        </w:rPr>
        <w:t xml:space="preserve">（1）法定代表人授权委托书【法定代表人参加提供法定代表人身份证明书】。 </w:t>
      </w:r>
    </w:p>
    <w:p w14:paraId="5AB35532">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（2）投标供应商需提供投标保证金。</w:t>
      </w:r>
    </w:p>
    <w:p w14:paraId="6FADEF93">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（3）投标供应商具有独立承担民事责任和履行合同能力，持有工商行政管理部门核发的有效期内营业执照。</w:t>
      </w:r>
    </w:p>
    <w:p w14:paraId="29CED041">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（4）社保机构或税务机构出具的投标供应商近3个月中任意1个月的社会保障资金证明。依法不需要缴纳社会保障资金的应提供相应说明。</w:t>
      </w:r>
    </w:p>
    <w:p w14:paraId="4726AF0B">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（5）税务机关出具的投标供应商近3个月中任意1个月的依法纳税凭证或有电子专用章的完税证明。依法免税的应提供相应文件说明。 </w:t>
      </w:r>
    </w:p>
    <w:p w14:paraId="39A97C92">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（6）会计师事务所出具的2023（或2024）年度财务审计报告或银行出具的资信证明。</w:t>
      </w:r>
    </w:p>
    <w:p w14:paraId="2CD315FC">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（7）投标供应商</w:t>
      </w:r>
      <w:r>
        <w:rPr>
          <w:rFonts w:hint="eastAsia" w:ascii="仿宋" w:hAnsi="仿宋" w:eastAsia="仿宋" w:cs="仿宋"/>
          <w:b w:val="0"/>
          <w:bCs w:val="0"/>
          <w:i w:val="0"/>
          <w:iCs w:val="0"/>
          <w:color w:val="auto"/>
          <w:sz w:val="28"/>
          <w:szCs w:val="28"/>
          <w:highlight w:val="none"/>
        </w:rPr>
        <w:t>需提供参加采购活动前三年内，在经营活动中没有重大违法记录，需提供无重大违法记录声明函；供应商不得为“信用中国”网站（网址：www.creditchina.gov.cn ）中列入严重失信主体名单信息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w:t>
      </w:r>
      <w:r>
        <w:rPr>
          <w:rFonts w:hint="eastAsia" w:ascii="仿宋" w:hAnsi="仿宋" w:eastAsia="仿宋" w:cs="仿宋"/>
          <w:b w:val="0"/>
          <w:bCs w:val="0"/>
          <w:i w:val="0"/>
          <w:iCs w:val="0"/>
          <w:color w:val="auto"/>
          <w:sz w:val="28"/>
          <w:szCs w:val="28"/>
          <w:highlight w:val="none"/>
          <w:lang w:val="en-US" w:eastAsia="zh-CN"/>
        </w:rPr>
        <w:t>动的供应商（处罚决定规定的时间和地域范围内），均须提供查询结果打印件（网页打印件须自招标公告发布之日起至首次提交响应文件截止时间内从上述网站中打印加盖企业公章）。</w:t>
      </w:r>
    </w:p>
    <w:p w14:paraId="59D3322F">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（8）</w:t>
      </w:r>
      <w:r>
        <w:rPr>
          <w:rFonts w:hint="eastAsia" w:ascii="仿宋" w:hAnsi="仿宋" w:eastAsia="仿宋" w:cs="仿宋"/>
          <w:b/>
          <w:bCs/>
          <w:i w:val="0"/>
          <w:iCs w:val="0"/>
          <w:color w:val="auto"/>
          <w:sz w:val="28"/>
          <w:szCs w:val="28"/>
          <w:highlight w:val="none"/>
        </w:rPr>
        <w:t>投标人需提供</w:t>
      </w:r>
      <w:r>
        <w:rPr>
          <w:rFonts w:hint="eastAsia" w:ascii="仿宋" w:hAnsi="仿宋" w:eastAsia="仿宋" w:cs="仿宋"/>
          <w:b/>
          <w:bCs/>
          <w:i w:val="0"/>
          <w:iCs w:val="0"/>
          <w:color w:val="auto"/>
          <w:sz w:val="28"/>
          <w:szCs w:val="28"/>
          <w:highlight w:val="none"/>
          <w:lang w:val="en-US" w:eastAsia="zh-CN"/>
        </w:rPr>
        <w:t>《食品经营许可证》或《食品生产许可证》。</w:t>
      </w:r>
    </w:p>
    <w:p w14:paraId="58A45EF3">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rPr>
        <w:t>说明：本项目不接受联合体投标，单位负责人为同一人或者存在控股、管理关系的不同单位，不得同时参加本项目的投标；为本项目提供整体设计、规范编制或者项目管理、监理、检测等服务的服务商，不得再参加本项目投标。</w:t>
      </w:r>
    </w:p>
    <w:bookmarkEnd w:id="21"/>
    <w:bookmarkEnd w:id="22"/>
    <w:bookmarkEnd w:id="23"/>
    <w:bookmarkEnd w:id="24"/>
    <w:bookmarkEnd w:id="30"/>
    <w:bookmarkEnd w:id="31"/>
    <w:bookmarkEnd w:id="32"/>
    <w:bookmarkEnd w:id="33"/>
    <w:p w14:paraId="0CBA9B53">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outlineLvl w:val="1"/>
        <w:rPr>
          <w:rFonts w:hint="eastAsia" w:ascii="仿宋" w:hAnsi="仿宋" w:eastAsia="仿宋" w:cs="仿宋"/>
          <w:color w:val="auto"/>
          <w:sz w:val="28"/>
          <w:szCs w:val="28"/>
          <w:highlight w:val="none"/>
        </w:rPr>
      </w:pPr>
      <w:bookmarkStart w:id="34" w:name="_Toc27388"/>
      <w:bookmarkStart w:id="35" w:name="_Toc27227"/>
      <w:bookmarkStart w:id="36" w:name="_Toc35393796"/>
      <w:bookmarkStart w:id="37" w:name="_Toc28359008"/>
      <w:bookmarkStart w:id="38" w:name="_Toc28359085"/>
      <w:bookmarkStart w:id="39" w:name="_Toc35393627"/>
      <w:r>
        <w:rPr>
          <w:rStyle w:val="30"/>
          <w:rFonts w:hint="eastAsia" w:ascii="仿宋" w:hAnsi="仿宋" w:eastAsia="仿宋" w:cs="仿宋"/>
          <w:color w:val="auto"/>
          <w:sz w:val="28"/>
          <w:szCs w:val="28"/>
          <w:highlight w:val="none"/>
        </w:rPr>
        <w:t>三、获取招标文件</w:t>
      </w:r>
      <w:bookmarkEnd w:id="34"/>
      <w:bookmarkEnd w:id="35"/>
    </w:p>
    <w:p w14:paraId="64CFD80F">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highlight w:val="none"/>
          <w:lang w:bidi="ar"/>
        </w:rPr>
      </w:pPr>
      <w:bookmarkStart w:id="40" w:name="_Toc4966"/>
      <w:bookmarkStart w:id="41" w:name="_Toc18503"/>
      <w:bookmarkStart w:id="42" w:name="_Toc31267"/>
      <w:r>
        <w:rPr>
          <w:rFonts w:hint="eastAsia" w:ascii="仿宋" w:hAnsi="仿宋" w:eastAsia="仿宋" w:cs="仿宋"/>
          <w:color w:val="auto"/>
          <w:kern w:val="0"/>
          <w:sz w:val="28"/>
          <w:szCs w:val="28"/>
          <w:highlight w:val="none"/>
          <w:lang w:bidi="ar"/>
        </w:rPr>
        <w:t>获取时间：</w:t>
      </w:r>
      <w:r>
        <w:rPr>
          <w:rFonts w:hint="eastAsia" w:ascii="仿宋" w:hAnsi="仿宋" w:eastAsia="仿宋" w:cs="仿宋"/>
          <w:color w:val="auto"/>
          <w:kern w:val="0"/>
          <w:sz w:val="28"/>
          <w:szCs w:val="28"/>
          <w:highlight w:val="none"/>
          <w:u w:val="single"/>
          <w:lang w:bidi="ar"/>
        </w:rPr>
        <w:t>202</w:t>
      </w:r>
      <w:r>
        <w:rPr>
          <w:rFonts w:hint="eastAsia" w:ascii="仿宋" w:hAnsi="仿宋" w:eastAsia="仿宋" w:cs="仿宋"/>
          <w:color w:val="auto"/>
          <w:kern w:val="0"/>
          <w:sz w:val="28"/>
          <w:szCs w:val="28"/>
          <w:highlight w:val="none"/>
          <w:u w:val="single"/>
          <w:lang w:val="en-US" w:eastAsia="zh-CN" w:bidi="ar"/>
        </w:rPr>
        <w:t>5</w:t>
      </w:r>
      <w:r>
        <w:rPr>
          <w:rFonts w:hint="eastAsia" w:ascii="仿宋" w:hAnsi="仿宋" w:eastAsia="仿宋" w:cs="仿宋"/>
          <w:color w:val="auto"/>
          <w:kern w:val="0"/>
          <w:sz w:val="28"/>
          <w:szCs w:val="28"/>
          <w:highlight w:val="none"/>
          <w:u w:val="single"/>
          <w:lang w:bidi="ar"/>
        </w:rPr>
        <w:t>年</w:t>
      </w:r>
      <w:r>
        <w:rPr>
          <w:rFonts w:hint="eastAsia" w:ascii="仿宋" w:hAnsi="仿宋" w:eastAsia="仿宋" w:cs="仿宋"/>
          <w:color w:val="auto"/>
          <w:kern w:val="0"/>
          <w:sz w:val="28"/>
          <w:szCs w:val="28"/>
          <w:highlight w:val="none"/>
          <w:u w:val="single"/>
          <w:lang w:val="en-US" w:eastAsia="zh-CN" w:bidi="ar"/>
        </w:rPr>
        <w:t>07</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01</w:t>
      </w:r>
      <w:r>
        <w:rPr>
          <w:rFonts w:hint="eastAsia" w:ascii="仿宋" w:hAnsi="仿宋" w:eastAsia="仿宋" w:cs="仿宋"/>
          <w:color w:val="auto"/>
          <w:kern w:val="0"/>
          <w:sz w:val="28"/>
          <w:szCs w:val="28"/>
          <w:highlight w:val="none"/>
          <w:u w:val="single"/>
          <w:lang w:bidi="ar"/>
        </w:rPr>
        <w:t>日至202</w:t>
      </w:r>
      <w:r>
        <w:rPr>
          <w:rFonts w:hint="eastAsia" w:ascii="仿宋" w:hAnsi="仿宋" w:eastAsia="仿宋" w:cs="仿宋"/>
          <w:color w:val="auto"/>
          <w:kern w:val="0"/>
          <w:sz w:val="28"/>
          <w:szCs w:val="28"/>
          <w:highlight w:val="none"/>
          <w:u w:val="single"/>
          <w:lang w:val="en-US" w:eastAsia="zh-CN" w:bidi="ar"/>
        </w:rPr>
        <w:t>5</w:t>
      </w:r>
      <w:r>
        <w:rPr>
          <w:rFonts w:hint="eastAsia" w:ascii="仿宋" w:hAnsi="仿宋" w:eastAsia="仿宋" w:cs="仿宋"/>
          <w:color w:val="auto"/>
          <w:kern w:val="0"/>
          <w:sz w:val="28"/>
          <w:szCs w:val="28"/>
          <w:highlight w:val="none"/>
          <w:u w:val="single"/>
          <w:lang w:bidi="ar"/>
        </w:rPr>
        <w:t>年</w:t>
      </w:r>
      <w:r>
        <w:rPr>
          <w:rFonts w:hint="eastAsia" w:ascii="仿宋" w:hAnsi="仿宋" w:eastAsia="仿宋" w:cs="仿宋"/>
          <w:color w:val="auto"/>
          <w:kern w:val="0"/>
          <w:sz w:val="28"/>
          <w:szCs w:val="28"/>
          <w:highlight w:val="none"/>
          <w:u w:val="single"/>
          <w:lang w:val="en-US" w:eastAsia="zh-CN" w:bidi="ar"/>
        </w:rPr>
        <w:t>07</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08</w:t>
      </w:r>
      <w:r>
        <w:rPr>
          <w:rFonts w:hint="eastAsia" w:ascii="仿宋" w:hAnsi="仿宋" w:eastAsia="仿宋" w:cs="仿宋"/>
          <w:color w:val="auto"/>
          <w:kern w:val="0"/>
          <w:sz w:val="28"/>
          <w:szCs w:val="28"/>
          <w:highlight w:val="none"/>
          <w:u w:val="single"/>
          <w:lang w:bidi="ar"/>
        </w:rPr>
        <w:t>日，每天上午10:00至14:00，下午</w:t>
      </w:r>
      <w:r>
        <w:rPr>
          <w:rFonts w:hint="eastAsia" w:ascii="仿宋" w:hAnsi="仿宋" w:eastAsia="仿宋" w:cs="仿宋"/>
          <w:color w:val="auto"/>
          <w:kern w:val="0"/>
          <w:sz w:val="28"/>
          <w:szCs w:val="28"/>
          <w:highlight w:val="none"/>
          <w:u w:val="single"/>
          <w:lang w:val="en-US" w:eastAsia="zh-CN" w:bidi="ar"/>
        </w:rPr>
        <w:t>16</w:t>
      </w:r>
      <w:r>
        <w:rPr>
          <w:rFonts w:hint="eastAsia" w:ascii="仿宋" w:hAnsi="仿宋" w:eastAsia="仿宋" w:cs="仿宋"/>
          <w:color w:val="auto"/>
          <w:kern w:val="0"/>
          <w:sz w:val="28"/>
          <w:szCs w:val="28"/>
          <w:highlight w:val="none"/>
          <w:u w:val="single"/>
          <w:lang w:bidi="ar"/>
        </w:rPr>
        <w:t>:</w:t>
      </w:r>
      <w:r>
        <w:rPr>
          <w:rFonts w:hint="eastAsia" w:ascii="仿宋" w:hAnsi="仿宋" w:eastAsia="仿宋" w:cs="仿宋"/>
          <w:color w:val="auto"/>
          <w:kern w:val="0"/>
          <w:sz w:val="28"/>
          <w:szCs w:val="28"/>
          <w:highlight w:val="none"/>
          <w:u w:val="single"/>
          <w:lang w:val="en-US" w:eastAsia="zh-CN" w:bidi="ar"/>
        </w:rPr>
        <w:t>0</w:t>
      </w:r>
      <w:r>
        <w:rPr>
          <w:rFonts w:hint="eastAsia" w:ascii="仿宋" w:hAnsi="仿宋" w:eastAsia="仿宋" w:cs="仿宋"/>
          <w:color w:val="auto"/>
          <w:kern w:val="0"/>
          <w:sz w:val="28"/>
          <w:szCs w:val="28"/>
          <w:highlight w:val="none"/>
          <w:u w:val="single"/>
          <w:lang w:bidi="ar"/>
        </w:rPr>
        <w:t>0至</w:t>
      </w:r>
      <w:r>
        <w:rPr>
          <w:rFonts w:hint="eastAsia" w:ascii="仿宋" w:hAnsi="仿宋" w:eastAsia="仿宋" w:cs="仿宋"/>
          <w:color w:val="auto"/>
          <w:kern w:val="0"/>
          <w:sz w:val="28"/>
          <w:szCs w:val="28"/>
          <w:highlight w:val="none"/>
          <w:u w:val="single"/>
          <w:lang w:val="en-US" w:eastAsia="zh-CN" w:bidi="ar"/>
        </w:rPr>
        <w:t>20</w:t>
      </w:r>
      <w:r>
        <w:rPr>
          <w:rFonts w:hint="eastAsia" w:ascii="仿宋" w:hAnsi="仿宋" w:eastAsia="仿宋" w:cs="仿宋"/>
          <w:color w:val="auto"/>
          <w:kern w:val="0"/>
          <w:sz w:val="28"/>
          <w:szCs w:val="28"/>
          <w:highlight w:val="none"/>
          <w:u w:val="single"/>
          <w:lang w:bidi="ar"/>
        </w:rPr>
        <w:t>:</w:t>
      </w:r>
      <w:r>
        <w:rPr>
          <w:rFonts w:hint="eastAsia" w:ascii="仿宋" w:hAnsi="仿宋" w:eastAsia="仿宋" w:cs="仿宋"/>
          <w:color w:val="auto"/>
          <w:kern w:val="0"/>
          <w:sz w:val="28"/>
          <w:szCs w:val="28"/>
          <w:highlight w:val="none"/>
          <w:u w:val="single"/>
          <w:lang w:val="en-US" w:eastAsia="zh-CN" w:bidi="ar"/>
        </w:rPr>
        <w:t>00</w:t>
      </w:r>
      <w:r>
        <w:rPr>
          <w:rFonts w:hint="eastAsia" w:ascii="仿宋" w:hAnsi="仿宋" w:eastAsia="仿宋" w:cs="仿宋"/>
          <w:color w:val="auto"/>
          <w:kern w:val="0"/>
          <w:sz w:val="28"/>
          <w:szCs w:val="28"/>
          <w:highlight w:val="none"/>
          <w:u w:val="single"/>
          <w:lang w:bidi="ar"/>
        </w:rPr>
        <w:t>北京时间（法定节假日除外）</w:t>
      </w:r>
      <w:r>
        <w:rPr>
          <w:rFonts w:hint="eastAsia" w:ascii="仿宋" w:hAnsi="仿宋" w:eastAsia="仿宋" w:cs="仿宋"/>
          <w:color w:val="auto"/>
          <w:kern w:val="0"/>
          <w:sz w:val="28"/>
          <w:szCs w:val="28"/>
          <w:highlight w:val="none"/>
          <w:lang w:bidi="ar"/>
        </w:rPr>
        <w:t>。</w:t>
      </w:r>
    </w:p>
    <w:p w14:paraId="631FD23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55"/>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auto"/>
          <w:kern w:val="0"/>
          <w:sz w:val="28"/>
          <w:szCs w:val="28"/>
          <w:highlight w:val="none"/>
          <w:lang w:bidi="ar"/>
        </w:rPr>
        <w:t>地</w:t>
      </w:r>
      <w:r>
        <w:rPr>
          <w:rFonts w:hint="eastAsia" w:ascii="仿宋" w:hAnsi="仿宋" w:eastAsia="仿宋" w:cs="仿宋"/>
          <w:b w:val="0"/>
          <w:bCs w:val="0"/>
          <w:i w:val="0"/>
          <w:iCs w:val="0"/>
          <w:color w:val="auto"/>
          <w:sz w:val="28"/>
          <w:szCs w:val="28"/>
          <w:highlight w:val="none"/>
          <w:lang w:val="en-US" w:eastAsia="zh-CN"/>
        </w:rPr>
        <w:t>点：政采云系统平台http://www.ccgp-xinjiang.gov.cn/线上报名及获取招标文件 。</w:t>
      </w:r>
    </w:p>
    <w:p w14:paraId="0F17BF2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55"/>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007AB3D">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outlineLvl w:val="1"/>
        <w:rPr>
          <w:rFonts w:hint="eastAsia" w:ascii="仿宋" w:hAnsi="仿宋" w:eastAsia="仿宋" w:cs="仿宋"/>
          <w:color w:val="auto"/>
          <w:sz w:val="28"/>
          <w:szCs w:val="28"/>
          <w:highlight w:val="none"/>
        </w:rPr>
      </w:pPr>
      <w:bookmarkStart w:id="43" w:name="_Toc16554"/>
      <w:bookmarkStart w:id="44" w:name="_Toc25445"/>
      <w:r>
        <w:rPr>
          <w:rStyle w:val="30"/>
          <w:rFonts w:hint="eastAsia" w:ascii="仿宋" w:hAnsi="仿宋" w:eastAsia="仿宋" w:cs="仿宋"/>
          <w:color w:val="auto"/>
          <w:sz w:val="28"/>
          <w:szCs w:val="28"/>
          <w:highlight w:val="none"/>
        </w:rPr>
        <w:t>四、提交投标文件截止时间、开标时间和地点</w:t>
      </w:r>
      <w:bookmarkEnd w:id="40"/>
      <w:bookmarkEnd w:id="41"/>
      <w:bookmarkEnd w:id="42"/>
      <w:bookmarkEnd w:id="43"/>
      <w:bookmarkEnd w:id="44"/>
    </w:p>
    <w:p w14:paraId="0293C03C">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highlight w:val="none"/>
          <w:u w:val="single"/>
          <w:lang w:bidi="ar"/>
        </w:rPr>
      </w:pPr>
      <w:bookmarkStart w:id="45" w:name="_Toc16244"/>
      <w:bookmarkStart w:id="46" w:name="_Toc9900"/>
      <w:bookmarkStart w:id="47" w:name="_Toc1345"/>
      <w:r>
        <w:rPr>
          <w:rFonts w:hint="eastAsia" w:ascii="仿宋" w:hAnsi="仿宋" w:eastAsia="仿宋" w:cs="仿宋"/>
          <w:color w:val="auto"/>
          <w:kern w:val="0"/>
          <w:sz w:val="28"/>
          <w:szCs w:val="28"/>
          <w:highlight w:val="none"/>
          <w:lang w:bidi="ar"/>
        </w:rPr>
        <w:t>截止时间：</w:t>
      </w:r>
      <w:r>
        <w:rPr>
          <w:rFonts w:hint="eastAsia" w:ascii="仿宋" w:hAnsi="仿宋" w:eastAsia="仿宋" w:cs="仿宋"/>
          <w:color w:val="auto"/>
          <w:kern w:val="0"/>
          <w:sz w:val="28"/>
          <w:szCs w:val="28"/>
          <w:highlight w:val="none"/>
          <w:u w:val="single"/>
          <w:lang w:bidi="ar"/>
        </w:rPr>
        <w:t>202</w:t>
      </w:r>
      <w:r>
        <w:rPr>
          <w:rFonts w:hint="eastAsia" w:ascii="仿宋" w:hAnsi="仿宋" w:eastAsia="仿宋" w:cs="仿宋"/>
          <w:color w:val="auto"/>
          <w:kern w:val="0"/>
          <w:sz w:val="28"/>
          <w:szCs w:val="28"/>
          <w:highlight w:val="none"/>
          <w:u w:val="single"/>
          <w:lang w:val="en-US" w:eastAsia="zh-CN" w:bidi="ar"/>
        </w:rPr>
        <w:t>5</w:t>
      </w:r>
      <w:r>
        <w:rPr>
          <w:rFonts w:hint="eastAsia" w:ascii="仿宋" w:hAnsi="仿宋" w:eastAsia="仿宋" w:cs="仿宋"/>
          <w:color w:val="auto"/>
          <w:kern w:val="0"/>
          <w:sz w:val="28"/>
          <w:szCs w:val="28"/>
          <w:highlight w:val="none"/>
          <w:u w:val="single"/>
          <w:lang w:bidi="ar"/>
        </w:rPr>
        <w:t>年</w:t>
      </w:r>
      <w:r>
        <w:rPr>
          <w:rFonts w:hint="eastAsia" w:ascii="仿宋" w:hAnsi="仿宋" w:eastAsia="仿宋" w:cs="仿宋"/>
          <w:color w:val="auto"/>
          <w:kern w:val="0"/>
          <w:sz w:val="28"/>
          <w:szCs w:val="28"/>
          <w:highlight w:val="none"/>
          <w:u w:val="single"/>
          <w:lang w:val="en-US" w:eastAsia="zh-CN" w:bidi="ar"/>
        </w:rPr>
        <w:t>07</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22</w:t>
      </w:r>
      <w:r>
        <w:rPr>
          <w:rFonts w:hint="eastAsia" w:ascii="仿宋" w:hAnsi="仿宋" w:eastAsia="仿宋" w:cs="仿宋"/>
          <w:color w:val="auto"/>
          <w:kern w:val="0"/>
          <w:sz w:val="28"/>
          <w:szCs w:val="28"/>
          <w:highlight w:val="none"/>
          <w:u w:val="single"/>
          <w:lang w:bidi="ar"/>
        </w:rPr>
        <w:t>日</w:t>
      </w:r>
      <w:r>
        <w:rPr>
          <w:rFonts w:hint="eastAsia" w:ascii="仿宋" w:hAnsi="仿宋" w:eastAsia="仿宋" w:cs="仿宋"/>
          <w:color w:val="auto"/>
          <w:kern w:val="0"/>
          <w:sz w:val="28"/>
          <w:szCs w:val="28"/>
          <w:highlight w:val="none"/>
          <w:u w:val="single"/>
          <w:lang w:val="en-US" w:eastAsia="zh-CN" w:bidi="ar"/>
        </w:rPr>
        <w:t>11</w:t>
      </w:r>
      <w:r>
        <w:rPr>
          <w:rFonts w:hint="eastAsia" w:ascii="仿宋" w:hAnsi="仿宋" w:eastAsia="仿宋" w:cs="仿宋"/>
          <w:color w:val="auto"/>
          <w:kern w:val="0"/>
          <w:sz w:val="28"/>
          <w:szCs w:val="28"/>
          <w:highlight w:val="none"/>
          <w:u w:val="single"/>
          <w:lang w:bidi="ar"/>
        </w:rPr>
        <w:t xml:space="preserve"> 点</w:t>
      </w:r>
      <w:r>
        <w:rPr>
          <w:rFonts w:hint="eastAsia" w:ascii="仿宋" w:hAnsi="仿宋" w:eastAsia="仿宋" w:cs="仿宋"/>
          <w:color w:val="auto"/>
          <w:kern w:val="0"/>
          <w:sz w:val="28"/>
          <w:szCs w:val="28"/>
          <w:highlight w:val="none"/>
          <w:u w:val="single"/>
          <w:lang w:val="en-US" w:eastAsia="zh-CN" w:bidi="ar"/>
        </w:rPr>
        <w:t>0</w:t>
      </w:r>
      <w:r>
        <w:rPr>
          <w:rFonts w:hint="eastAsia" w:ascii="仿宋" w:hAnsi="仿宋" w:eastAsia="仿宋" w:cs="仿宋"/>
          <w:color w:val="auto"/>
          <w:kern w:val="0"/>
          <w:sz w:val="28"/>
          <w:szCs w:val="28"/>
          <w:highlight w:val="none"/>
          <w:u w:val="single"/>
          <w:lang w:bidi="ar"/>
        </w:rPr>
        <w:t>0分(北京时间）</w:t>
      </w:r>
    </w:p>
    <w:p w14:paraId="25B853B8">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开标时间：</w:t>
      </w:r>
      <w:r>
        <w:rPr>
          <w:rFonts w:hint="eastAsia" w:ascii="仿宋" w:hAnsi="仿宋" w:eastAsia="仿宋" w:cs="仿宋"/>
          <w:color w:val="auto"/>
          <w:kern w:val="0"/>
          <w:sz w:val="28"/>
          <w:szCs w:val="28"/>
          <w:highlight w:val="none"/>
          <w:u w:val="single"/>
          <w:lang w:bidi="ar"/>
        </w:rPr>
        <w:t>202</w:t>
      </w:r>
      <w:r>
        <w:rPr>
          <w:rFonts w:hint="eastAsia" w:ascii="仿宋" w:hAnsi="仿宋" w:eastAsia="仿宋" w:cs="仿宋"/>
          <w:color w:val="auto"/>
          <w:kern w:val="0"/>
          <w:sz w:val="28"/>
          <w:szCs w:val="28"/>
          <w:highlight w:val="none"/>
          <w:u w:val="single"/>
          <w:lang w:val="en-US" w:eastAsia="zh-CN" w:bidi="ar"/>
        </w:rPr>
        <w:t>5</w:t>
      </w:r>
      <w:r>
        <w:rPr>
          <w:rFonts w:hint="eastAsia" w:ascii="仿宋" w:hAnsi="仿宋" w:eastAsia="仿宋" w:cs="仿宋"/>
          <w:color w:val="auto"/>
          <w:kern w:val="0"/>
          <w:sz w:val="28"/>
          <w:szCs w:val="28"/>
          <w:highlight w:val="none"/>
          <w:u w:val="single"/>
          <w:lang w:bidi="ar"/>
        </w:rPr>
        <w:t>年</w:t>
      </w:r>
      <w:r>
        <w:rPr>
          <w:rFonts w:hint="eastAsia" w:ascii="仿宋" w:hAnsi="仿宋" w:eastAsia="仿宋" w:cs="仿宋"/>
          <w:color w:val="auto"/>
          <w:kern w:val="0"/>
          <w:sz w:val="28"/>
          <w:szCs w:val="28"/>
          <w:highlight w:val="none"/>
          <w:u w:val="single"/>
          <w:lang w:val="en-US" w:eastAsia="zh-CN" w:bidi="ar"/>
        </w:rPr>
        <w:t>07</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22</w:t>
      </w:r>
      <w:r>
        <w:rPr>
          <w:rFonts w:hint="eastAsia" w:ascii="仿宋" w:hAnsi="仿宋" w:eastAsia="仿宋" w:cs="仿宋"/>
          <w:color w:val="auto"/>
          <w:kern w:val="0"/>
          <w:sz w:val="28"/>
          <w:szCs w:val="28"/>
          <w:highlight w:val="none"/>
          <w:u w:val="single"/>
          <w:lang w:bidi="ar"/>
        </w:rPr>
        <w:t>日</w:t>
      </w:r>
      <w:r>
        <w:rPr>
          <w:rFonts w:hint="eastAsia" w:ascii="仿宋" w:hAnsi="仿宋" w:eastAsia="仿宋" w:cs="仿宋"/>
          <w:color w:val="auto"/>
          <w:kern w:val="0"/>
          <w:sz w:val="28"/>
          <w:szCs w:val="28"/>
          <w:highlight w:val="none"/>
          <w:u w:val="single"/>
          <w:lang w:val="en-US" w:eastAsia="zh-CN" w:bidi="ar"/>
        </w:rPr>
        <w:t>11</w:t>
      </w:r>
      <w:r>
        <w:rPr>
          <w:rFonts w:hint="eastAsia" w:ascii="仿宋" w:hAnsi="仿宋" w:eastAsia="仿宋" w:cs="仿宋"/>
          <w:color w:val="auto"/>
          <w:kern w:val="0"/>
          <w:sz w:val="28"/>
          <w:szCs w:val="28"/>
          <w:highlight w:val="none"/>
          <w:u w:val="single"/>
          <w:lang w:bidi="ar"/>
        </w:rPr>
        <w:t>点</w:t>
      </w:r>
      <w:r>
        <w:rPr>
          <w:rFonts w:hint="eastAsia" w:ascii="仿宋" w:hAnsi="仿宋" w:eastAsia="仿宋" w:cs="仿宋"/>
          <w:color w:val="auto"/>
          <w:kern w:val="0"/>
          <w:sz w:val="28"/>
          <w:szCs w:val="28"/>
          <w:highlight w:val="none"/>
          <w:u w:val="single"/>
          <w:lang w:val="en-US" w:eastAsia="zh-CN" w:bidi="ar"/>
        </w:rPr>
        <w:t>0</w:t>
      </w:r>
      <w:r>
        <w:rPr>
          <w:rFonts w:hint="eastAsia" w:ascii="仿宋" w:hAnsi="仿宋" w:eastAsia="仿宋" w:cs="仿宋"/>
          <w:color w:val="auto"/>
          <w:kern w:val="0"/>
          <w:sz w:val="28"/>
          <w:szCs w:val="28"/>
          <w:highlight w:val="none"/>
          <w:u w:val="single"/>
          <w:lang w:bidi="ar"/>
        </w:rPr>
        <w:t>0分(北京时间）</w:t>
      </w:r>
    </w:p>
    <w:p w14:paraId="2DC2F39D">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地点：</w:t>
      </w:r>
      <w:r>
        <w:rPr>
          <w:rFonts w:hint="eastAsia" w:ascii="仿宋" w:hAnsi="仿宋" w:eastAsia="仿宋" w:cs="仿宋"/>
          <w:color w:val="auto"/>
          <w:sz w:val="28"/>
          <w:szCs w:val="28"/>
          <w:highlight w:val="none"/>
        </w:rPr>
        <w:t>请登录政采云投标客户端投标</w:t>
      </w:r>
    </w:p>
    <w:p w14:paraId="2774DEAD">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1"/>
        <w:rPr>
          <w:rFonts w:hint="eastAsia" w:ascii="仿宋" w:hAnsi="仿宋" w:eastAsia="仿宋" w:cs="仿宋"/>
          <w:b/>
          <w:bCs/>
          <w:color w:val="auto"/>
          <w:kern w:val="0"/>
          <w:sz w:val="28"/>
          <w:szCs w:val="28"/>
          <w:highlight w:val="none"/>
          <w:lang w:bidi="ar"/>
        </w:rPr>
      </w:pPr>
      <w:bookmarkStart w:id="48" w:name="_Toc32534"/>
      <w:r>
        <w:rPr>
          <w:rFonts w:hint="eastAsia" w:ascii="仿宋" w:hAnsi="仿宋" w:eastAsia="仿宋" w:cs="仿宋"/>
          <w:b/>
          <w:bCs/>
          <w:color w:val="auto"/>
          <w:kern w:val="0"/>
          <w:sz w:val="28"/>
          <w:szCs w:val="28"/>
          <w:highlight w:val="none"/>
          <w:lang w:bidi="ar"/>
        </w:rPr>
        <w:t>五、公告期限</w:t>
      </w:r>
      <w:bookmarkEnd w:id="45"/>
      <w:bookmarkEnd w:id="46"/>
      <w:bookmarkEnd w:id="47"/>
      <w:bookmarkEnd w:id="48"/>
    </w:p>
    <w:p w14:paraId="623AFD4E">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自本公告发布之日起5个工作日。</w:t>
      </w:r>
    </w:p>
    <w:p w14:paraId="19A18BFB">
      <w:pPr>
        <w:keepNext w:val="0"/>
        <w:keepLines w:val="0"/>
        <w:pageBreakBefore w:val="0"/>
        <w:widowControl/>
        <w:numPr>
          <w:ilvl w:val="0"/>
          <w:numId w:val="1"/>
        </w:numPr>
        <w:kinsoku/>
        <w:wordWrap/>
        <w:overflowPunct/>
        <w:topLinePunct w:val="0"/>
        <w:autoSpaceDE/>
        <w:autoSpaceDN/>
        <w:bidi w:val="0"/>
        <w:adjustRightInd/>
        <w:snapToGrid/>
        <w:spacing w:line="480" w:lineRule="exact"/>
        <w:jc w:val="left"/>
        <w:textAlignment w:val="auto"/>
        <w:outlineLvl w:val="1"/>
        <w:rPr>
          <w:rFonts w:hint="eastAsia" w:ascii="仿宋" w:hAnsi="仿宋" w:eastAsia="仿宋" w:cs="仿宋"/>
          <w:b/>
          <w:bCs/>
          <w:color w:val="auto"/>
          <w:kern w:val="0"/>
          <w:sz w:val="28"/>
          <w:szCs w:val="28"/>
          <w:highlight w:val="none"/>
          <w:lang w:bidi="ar"/>
        </w:rPr>
      </w:pPr>
      <w:bookmarkStart w:id="49" w:name="_Toc26076"/>
      <w:bookmarkStart w:id="50" w:name="_Toc6850"/>
      <w:bookmarkStart w:id="51" w:name="_Toc25851"/>
      <w:bookmarkStart w:id="52" w:name="_Toc30912"/>
      <w:r>
        <w:rPr>
          <w:rFonts w:hint="eastAsia" w:ascii="仿宋" w:hAnsi="仿宋" w:eastAsia="仿宋" w:cs="仿宋"/>
          <w:b/>
          <w:bCs/>
          <w:color w:val="auto"/>
          <w:kern w:val="0"/>
          <w:sz w:val="28"/>
          <w:szCs w:val="28"/>
          <w:highlight w:val="none"/>
          <w:lang w:bidi="ar"/>
        </w:rPr>
        <w:t>其他补充事宜</w:t>
      </w:r>
      <w:bookmarkEnd w:id="49"/>
      <w:bookmarkEnd w:id="50"/>
      <w:bookmarkEnd w:id="51"/>
      <w:bookmarkEnd w:id="52"/>
    </w:p>
    <w:p w14:paraId="00F196E2">
      <w:pPr>
        <w:keepNext w:val="0"/>
        <w:keepLines w:val="0"/>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1.本项目实行网上投标，采用电子投标文件</w:t>
      </w:r>
      <w:r>
        <w:rPr>
          <w:rFonts w:hint="eastAsia" w:ascii="仿宋" w:hAnsi="仿宋" w:eastAsia="仿宋" w:cs="仿宋"/>
          <w:color w:val="auto"/>
          <w:sz w:val="28"/>
          <w:szCs w:val="28"/>
          <w:highlight w:val="none"/>
          <w:lang w:eastAsia="zh-CN"/>
        </w:rPr>
        <w:t>。</w:t>
      </w:r>
    </w:p>
    <w:p w14:paraId="36FD0E0C">
      <w:pPr>
        <w:keepNext w:val="0"/>
        <w:keepLines w:val="0"/>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"https://www.xjca.com.cn/）或下载\“新疆政务通\”APP自行进行申领。如需咨询，请联系新疆CA服务热线0991-2819290；"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https://www.xjca.com.cn/）或下载“新疆政务通”APP自行申领。如需咨询，请联系新疆CA服务热线099</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982485</w:t>
      </w:r>
      <w:r>
        <w:rPr>
          <w:rFonts w:hint="eastAsia" w:ascii="仿宋" w:hAnsi="仿宋" w:eastAsia="仿宋" w:cs="仿宋"/>
          <w:color w:val="auto"/>
          <w:sz w:val="28"/>
          <w:szCs w:val="28"/>
          <w:highlight w:val="none"/>
          <w:lang w:eastAsia="zh-CN"/>
        </w:rPr>
        <w:t>。</w:t>
      </w:r>
    </w:p>
    <w:p w14:paraId="58D0CC23">
      <w:pPr>
        <w:keepNext w:val="0"/>
        <w:keepLines w:val="0"/>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代理机构不予异常处理，视为供应商自动弃标</w:t>
      </w:r>
      <w:r>
        <w:rPr>
          <w:rFonts w:hint="eastAsia" w:ascii="仿宋" w:hAnsi="仿宋" w:eastAsia="仿宋" w:cs="仿宋"/>
          <w:color w:val="auto"/>
          <w:sz w:val="28"/>
          <w:szCs w:val="28"/>
          <w:highlight w:val="none"/>
          <w:lang w:eastAsia="zh-CN"/>
        </w:rPr>
        <w:t>。</w:t>
      </w:r>
    </w:p>
    <w:p w14:paraId="39D94F49">
      <w:pPr>
        <w:keepNext w:val="0"/>
        <w:keepLines w:val="0"/>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4.供应商应当在投标截止时间前,将生成的“电子加密投标文件”上传递交至“政府采购云平台”,投标截止时间以后上传递交的投标文件将被“政府采购云平台”拒收</w:t>
      </w:r>
      <w:r>
        <w:rPr>
          <w:rFonts w:hint="eastAsia" w:ascii="仿宋" w:hAnsi="仿宋" w:eastAsia="仿宋" w:cs="仿宋"/>
          <w:color w:val="auto"/>
          <w:sz w:val="28"/>
          <w:szCs w:val="28"/>
          <w:highlight w:val="none"/>
          <w:lang w:eastAsia="zh-CN"/>
        </w:rPr>
        <w:t>。</w:t>
      </w:r>
    </w:p>
    <w:p w14:paraId="056C4B89">
      <w:pPr>
        <w:keepNext w:val="0"/>
        <w:keepLines w:val="0"/>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3D2A609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outlineLvl w:val="1"/>
        <w:rPr>
          <w:rFonts w:hint="eastAsia"/>
          <w:color w:val="auto"/>
          <w:highlight w:val="none"/>
          <w:lang w:val="en-US" w:eastAsia="zh-CN"/>
        </w:rPr>
      </w:pPr>
      <w:bookmarkStart w:id="53" w:name="_Toc21382"/>
      <w:bookmarkStart w:id="54" w:name="_Toc24640"/>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供应商登录政采云平台，在开标时间后30分钟内用“项目采购-开标评标”功能进行解密投标文件。若供应商在规定时间内未按时解密的，视为无效投标。解密与加密投标文件须使用同一个CA。</w:t>
      </w:r>
      <w:bookmarkEnd w:id="53"/>
      <w:bookmarkEnd w:id="54"/>
    </w:p>
    <w:p w14:paraId="6133770F">
      <w:pPr>
        <w:pStyle w:val="5"/>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firstLine="0" w:firstLineChars="0"/>
        <w:jc w:val="both"/>
        <w:textAlignment w:val="auto"/>
        <w:rPr>
          <w:rFonts w:hint="eastAsia" w:ascii="仿宋" w:hAnsi="仿宋" w:eastAsia="仿宋" w:cs="仿宋"/>
          <w:b/>
          <w:bCs w:val="0"/>
          <w:i w:val="0"/>
          <w:iCs w:val="0"/>
          <w:color w:val="auto"/>
          <w:sz w:val="28"/>
          <w:szCs w:val="28"/>
          <w:highlight w:val="none"/>
        </w:rPr>
      </w:pPr>
      <w:bookmarkStart w:id="55" w:name="_Toc30277"/>
      <w:r>
        <w:rPr>
          <w:rFonts w:hint="eastAsia" w:ascii="仿宋" w:hAnsi="仿宋" w:eastAsia="仿宋" w:cs="仿宋"/>
          <w:b/>
          <w:bCs w:val="0"/>
          <w:i w:val="0"/>
          <w:iCs w:val="0"/>
          <w:color w:val="auto"/>
          <w:sz w:val="28"/>
          <w:szCs w:val="28"/>
          <w:highlight w:val="none"/>
        </w:rPr>
        <w:t>七、对本次招标提出询问，请按以下方式联系</w:t>
      </w:r>
      <w:bookmarkEnd w:id="36"/>
      <w:bookmarkEnd w:id="37"/>
      <w:bookmarkEnd w:id="38"/>
      <w:bookmarkEnd w:id="39"/>
      <w:bookmarkEnd w:id="55"/>
    </w:p>
    <w:p w14:paraId="11DD5138">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1.采购人信息</w:t>
      </w:r>
    </w:p>
    <w:p w14:paraId="5431F81B">
      <w:pPr>
        <w:keepNext w:val="0"/>
        <w:keepLines w:val="0"/>
        <w:pageBreakBefore w:val="0"/>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rPr>
        <w:t>名 称：</w:t>
      </w:r>
      <w:r>
        <w:rPr>
          <w:rFonts w:hint="eastAsia" w:ascii="仿宋" w:hAnsi="仿宋" w:eastAsia="仿宋" w:cs="仿宋"/>
          <w:i w:val="0"/>
          <w:iCs w:val="0"/>
          <w:color w:val="auto"/>
          <w:sz w:val="28"/>
          <w:szCs w:val="28"/>
          <w:highlight w:val="none"/>
          <w:u w:val="none"/>
          <w:lang w:eastAsia="zh-CN"/>
        </w:rPr>
        <w:t>察布查尔锡伯自治县公安局</w:t>
      </w:r>
      <w:r>
        <w:rPr>
          <w:rFonts w:hint="eastAsia" w:ascii="仿宋" w:hAnsi="仿宋" w:eastAsia="仿宋" w:cs="仿宋"/>
          <w:i w:val="0"/>
          <w:iCs w:val="0"/>
          <w:color w:val="auto"/>
          <w:sz w:val="28"/>
          <w:szCs w:val="28"/>
          <w:highlight w:val="none"/>
          <w:u w:val="none"/>
          <w:lang w:val="en-US" w:eastAsia="zh-CN"/>
        </w:rPr>
        <w:t xml:space="preserve"> </w:t>
      </w:r>
    </w:p>
    <w:p w14:paraId="4A7B51F5">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lang w:val="en-US"/>
        </w:rPr>
      </w:pPr>
      <w:r>
        <w:rPr>
          <w:rFonts w:hint="eastAsia" w:ascii="仿宋" w:hAnsi="仿宋" w:eastAsia="仿宋" w:cs="仿宋"/>
          <w:i w:val="0"/>
          <w:iCs w:val="0"/>
          <w:color w:val="auto"/>
          <w:sz w:val="28"/>
          <w:szCs w:val="28"/>
          <w:highlight w:val="none"/>
        </w:rPr>
        <w:t>地</w:t>
      </w:r>
      <w:r>
        <w:rPr>
          <w:rFonts w:hint="eastAsia" w:ascii="仿宋" w:hAnsi="仿宋" w:eastAsia="仿宋" w:cs="仿宋"/>
          <w:i w:val="0"/>
          <w:iCs w:val="0"/>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lang w:eastAsia="zh-CN"/>
        </w:rPr>
        <w:t>址：</w:t>
      </w:r>
      <w:r>
        <w:rPr>
          <w:rFonts w:hint="eastAsia" w:ascii="仿宋" w:hAnsi="仿宋" w:eastAsia="仿宋" w:cs="仿宋"/>
          <w:i w:val="0"/>
          <w:iCs w:val="0"/>
          <w:color w:val="auto"/>
          <w:sz w:val="28"/>
          <w:szCs w:val="28"/>
          <w:highlight w:val="none"/>
          <w:lang w:val="en-US" w:eastAsia="zh-CN"/>
        </w:rPr>
        <w:t>新疆察布查尔县城镇查鲁盖东街41号</w:t>
      </w:r>
    </w:p>
    <w:p w14:paraId="0EE8C8D7">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lang w:val="en-US" w:eastAsia="zh-CN"/>
        </w:rPr>
      </w:pPr>
      <w:bookmarkStart w:id="56" w:name="_Toc28359086"/>
      <w:bookmarkStart w:id="57" w:name="_Toc28359009"/>
      <w:r>
        <w:rPr>
          <w:rFonts w:hint="eastAsia" w:ascii="仿宋" w:hAnsi="仿宋" w:eastAsia="仿宋" w:cs="仿宋"/>
          <w:i w:val="0"/>
          <w:iCs w:val="0"/>
          <w:color w:val="auto"/>
          <w:sz w:val="28"/>
          <w:szCs w:val="28"/>
          <w:highlight w:val="none"/>
        </w:rPr>
        <w:t>联系人：</w:t>
      </w:r>
      <w:r>
        <w:rPr>
          <w:rFonts w:hint="eastAsia" w:ascii="仿宋" w:hAnsi="仿宋" w:eastAsia="仿宋" w:cs="仿宋"/>
          <w:i w:val="0"/>
          <w:iCs w:val="0"/>
          <w:color w:val="auto"/>
          <w:sz w:val="28"/>
          <w:szCs w:val="28"/>
          <w:highlight w:val="none"/>
          <w:lang w:val="en-US" w:eastAsia="zh-CN"/>
        </w:rPr>
        <w:t>杨斌</w:t>
      </w:r>
    </w:p>
    <w:p w14:paraId="704FE574">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联系方式：</w:t>
      </w:r>
      <w:r>
        <w:rPr>
          <w:rFonts w:hint="eastAsia" w:ascii="仿宋" w:hAnsi="仿宋" w:eastAsia="仿宋" w:cs="仿宋"/>
          <w:i w:val="0"/>
          <w:iCs w:val="0"/>
          <w:color w:val="auto"/>
          <w:sz w:val="28"/>
          <w:szCs w:val="28"/>
          <w:highlight w:val="none"/>
          <w:lang w:val="en-US" w:eastAsia="zh-CN"/>
        </w:rPr>
        <w:t>17799490306</w:t>
      </w:r>
    </w:p>
    <w:p w14:paraId="018EB60F">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2.采购代理机构信息</w:t>
      </w:r>
      <w:bookmarkEnd w:id="56"/>
      <w:bookmarkEnd w:id="57"/>
    </w:p>
    <w:p w14:paraId="7438D4B2">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lang w:eastAsia="zh-CN"/>
        </w:rPr>
      </w:pPr>
      <w:r>
        <w:rPr>
          <w:rFonts w:hint="eastAsia" w:ascii="仿宋" w:hAnsi="仿宋" w:eastAsia="仿宋" w:cs="仿宋"/>
          <w:i w:val="0"/>
          <w:iCs w:val="0"/>
          <w:color w:val="auto"/>
          <w:sz w:val="28"/>
          <w:szCs w:val="28"/>
          <w:highlight w:val="none"/>
        </w:rPr>
        <w:t>名 称：</w:t>
      </w:r>
      <w:r>
        <w:rPr>
          <w:rFonts w:hint="eastAsia" w:ascii="仿宋" w:hAnsi="仿宋" w:eastAsia="仿宋" w:cs="仿宋"/>
          <w:i w:val="0"/>
          <w:iCs w:val="0"/>
          <w:color w:val="auto"/>
          <w:sz w:val="28"/>
          <w:szCs w:val="28"/>
          <w:highlight w:val="none"/>
          <w:lang w:eastAsia="zh-CN"/>
        </w:rPr>
        <w:t>新疆长润泽建设工程管理有限公司</w:t>
      </w:r>
    </w:p>
    <w:p w14:paraId="33531B32">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rPr>
        <w:t>地 址：伊宁市金茂新天地B座16楼</w:t>
      </w:r>
    </w:p>
    <w:p w14:paraId="33321317">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rPr>
        <w:t>项目联系人：</w:t>
      </w:r>
      <w:r>
        <w:rPr>
          <w:rFonts w:hint="eastAsia" w:ascii="仿宋" w:hAnsi="仿宋" w:eastAsia="仿宋" w:cs="仿宋"/>
          <w:i w:val="0"/>
          <w:iCs w:val="0"/>
          <w:color w:val="auto"/>
          <w:sz w:val="28"/>
          <w:szCs w:val="28"/>
          <w:highlight w:val="none"/>
          <w:lang w:val="en-US" w:eastAsia="zh-CN"/>
        </w:rPr>
        <w:t>邱工</w:t>
      </w:r>
    </w:p>
    <w:p w14:paraId="772F55B8">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项目联系方式：</w:t>
      </w:r>
      <w:r>
        <w:rPr>
          <w:rFonts w:hint="eastAsia" w:ascii="仿宋" w:hAnsi="仿宋" w:eastAsia="仿宋" w:cs="仿宋"/>
          <w:i w:val="0"/>
          <w:iCs w:val="0"/>
          <w:color w:val="auto"/>
          <w:sz w:val="28"/>
          <w:szCs w:val="28"/>
          <w:highlight w:val="none"/>
          <w:lang w:val="en-US" w:eastAsia="zh-CN"/>
        </w:rPr>
        <w:t>13095182426</w:t>
      </w:r>
    </w:p>
    <w:p w14:paraId="1DB69BA9">
      <w:pPr>
        <w:pageBreakBefore w:val="0"/>
        <w:kinsoku/>
        <w:wordWrap/>
        <w:overflowPunct/>
        <w:topLinePunct w:val="0"/>
        <w:autoSpaceDE/>
        <w:autoSpaceDN/>
        <w:bidi w:val="0"/>
        <w:adjustRightInd/>
        <w:spacing w:line="480" w:lineRule="exact"/>
        <w:textAlignment w:val="auto"/>
        <w:rPr>
          <w:rFonts w:hint="eastAsia" w:ascii="仿宋" w:hAnsi="仿宋" w:eastAsia="仿宋" w:cs="仿宋"/>
          <w:b/>
          <w:color w:val="auto"/>
          <w:kern w:val="44"/>
          <w:sz w:val="44"/>
          <w:szCs w:val="44"/>
          <w:highlight w:val="none"/>
        </w:rPr>
      </w:pPr>
      <w:r>
        <w:rPr>
          <w:rFonts w:hint="eastAsia" w:ascii="仿宋" w:hAnsi="仿宋" w:eastAsia="仿宋" w:cs="仿宋"/>
          <w:b/>
          <w:color w:val="auto"/>
          <w:kern w:val="44"/>
          <w:sz w:val="44"/>
          <w:szCs w:val="44"/>
          <w:highlight w:val="none"/>
        </w:rPr>
        <w:br w:type="page"/>
      </w:r>
    </w:p>
    <w:p w14:paraId="2C8BD548">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center"/>
        <w:textAlignment w:val="auto"/>
        <w:outlineLvl w:val="0"/>
        <w:rPr>
          <w:rFonts w:hint="eastAsia" w:ascii="仿宋" w:hAnsi="仿宋" w:eastAsia="仿宋" w:cs="仿宋"/>
          <w:b/>
          <w:color w:val="auto"/>
          <w:kern w:val="44"/>
          <w:sz w:val="44"/>
          <w:szCs w:val="44"/>
          <w:highlight w:val="none"/>
          <w:lang w:val="en-US" w:eastAsia="zh-CN" w:bidi="ar-SA"/>
        </w:rPr>
      </w:pPr>
      <w:bookmarkStart w:id="58" w:name="_Toc12457"/>
      <w:bookmarkStart w:id="59" w:name="_Toc5890"/>
      <w:r>
        <w:rPr>
          <w:rFonts w:hint="eastAsia" w:ascii="仿宋" w:hAnsi="仿宋" w:eastAsia="仿宋" w:cs="仿宋"/>
          <w:b/>
          <w:color w:val="auto"/>
          <w:kern w:val="44"/>
          <w:sz w:val="44"/>
          <w:szCs w:val="44"/>
          <w:highlight w:val="none"/>
          <w:lang w:val="en-US" w:eastAsia="zh-CN" w:bidi="ar-SA"/>
        </w:rPr>
        <w:t>第二章 投标供应商须知</w:t>
      </w:r>
      <w:bookmarkEnd w:id="6"/>
      <w:bookmarkEnd w:id="7"/>
      <w:bookmarkEnd w:id="8"/>
      <w:bookmarkEnd w:id="9"/>
      <w:bookmarkEnd w:id="10"/>
      <w:bookmarkEnd w:id="58"/>
      <w:bookmarkEnd w:id="59"/>
      <w:bookmarkStart w:id="60" w:name="_Toc184274915"/>
      <w:bookmarkStart w:id="61" w:name="_Toc213396946"/>
      <w:bookmarkStart w:id="62" w:name="_Toc184283909"/>
      <w:bookmarkStart w:id="63" w:name="_Toc213397010"/>
      <w:bookmarkStart w:id="64" w:name="_Toc213496268"/>
      <w:bookmarkStart w:id="65" w:name="_Toc217446032"/>
      <w:bookmarkStart w:id="66" w:name="_Toc213396760"/>
      <w:bookmarkStart w:id="67" w:name="_Toc189727030"/>
    </w:p>
    <w:bookmarkEnd w:id="60"/>
    <w:bookmarkEnd w:id="61"/>
    <w:bookmarkEnd w:id="62"/>
    <w:bookmarkEnd w:id="63"/>
    <w:bookmarkEnd w:id="64"/>
    <w:bookmarkEnd w:id="65"/>
    <w:bookmarkEnd w:id="66"/>
    <w:bookmarkEnd w:id="67"/>
    <w:p w14:paraId="05FBB3CB">
      <w:pPr>
        <w:pStyle w:val="4"/>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outlineLvl w:val="1"/>
        <w:rPr>
          <w:rFonts w:hint="eastAsia" w:ascii="仿宋" w:hAnsi="仿宋" w:eastAsia="仿宋" w:cs="仿宋"/>
          <w:b/>
          <w:bCs w:val="0"/>
          <w:color w:val="auto"/>
          <w:sz w:val="36"/>
          <w:szCs w:val="36"/>
          <w:highlight w:val="none"/>
          <w:lang w:eastAsia="zh-CN"/>
        </w:rPr>
      </w:pPr>
      <w:bookmarkStart w:id="68" w:name="_Toc4179"/>
      <w:r>
        <w:rPr>
          <w:rFonts w:hint="eastAsia" w:ascii="仿宋" w:hAnsi="仿宋" w:eastAsia="仿宋" w:cs="仿宋"/>
          <w:b/>
          <w:bCs w:val="0"/>
          <w:color w:val="auto"/>
          <w:sz w:val="36"/>
          <w:szCs w:val="36"/>
          <w:highlight w:val="none"/>
          <w:lang w:val="en-US" w:eastAsia="zh-CN"/>
        </w:rPr>
        <w:t>第一部分 投标</w:t>
      </w:r>
      <w:r>
        <w:rPr>
          <w:rFonts w:hint="eastAsia" w:ascii="仿宋" w:hAnsi="仿宋" w:eastAsia="仿宋" w:cs="仿宋"/>
          <w:b/>
          <w:bCs w:val="0"/>
          <w:color w:val="auto"/>
          <w:sz w:val="36"/>
          <w:szCs w:val="36"/>
          <w:highlight w:val="none"/>
          <w:lang w:eastAsia="zh-CN"/>
        </w:rPr>
        <w:t>供应商须知资料表</w:t>
      </w:r>
      <w:bookmarkEnd w:id="68"/>
    </w:p>
    <w:tbl>
      <w:tblPr>
        <w:tblStyle w:val="27"/>
        <w:tblW w:w="10033"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811"/>
        <w:gridCol w:w="2065"/>
        <w:gridCol w:w="7157"/>
      </w:tblGrid>
      <w:tr w14:paraId="638B0AE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11" w:type="dxa"/>
            <w:tcBorders>
              <w:bottom w:val="single" w:color="auto" w:sz="8" w:space="0"/>
              <w:right w:val="single" w:color="auto" w:sz="8" w:space="0"/>
            </w:tcBorders>
            <w:noWrap w:val="0"/>
            <w:vAlign w:val="center"/>
          </w:tcPr>
          <w:p w14:paraId="550F1C53">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 xml:space="preserve">序号 </w:t>
            </w:r>
          </w:p>
        </w:tc>
        <w:tc>
          <w:tcPr>
            <w:tcW w:w="2065" w:type="dxa"/>
            <w:tcBorders>
              <w:left w:val="single" w:color="auto" w:sz="8" w:space="0"/>
              <w:bottom w:val="single" w:color="auto" w:sz="8" w:space="0"/>
              <w:right w:val="single" w:color="auto" w:sz="8" w:space="0"/>
            </w:tcBorders>
            <w:noWrap w:val="0"/>
            <w:vAlign w:val="center"/>
          </w:tcPr>
          <w:p w14:paraId="33E368C3">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内容</w:t>
            </w:r>
          </w:p>
        </w:tc>
        <w:tc>
          <w:tcPr>
            <w:tcW w:w="7157" w:type="dxa"/>
            <w:tcBorders>
              <w:left w:val="single" w:color="auto" w:sz="8" w:space="0"/>
              <w:bottom w:val="single" w:color="auto" w:sz="8" w:space="0"/>
            </w:tcBorders>
            <w:noWrap w:val="0"/>
            <w:vAlign w:val="center"/>
          </w:tcPr>
          <w:p w14:paraId="22AB2C71">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说明和要求</w:t>
            </w:r>
          </w:p>
        </w:tc>
      </w:tr>
      <w:tr w14:paraId="43F088B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54" w:hRule="atLeast"/>
          <w:jc w:val="center"/>
        </w:trPr>
        <w:tc>
          <w:tcPr>
            <w:tcW w:w="811" w:type="dxa"/>
            <w:tcBorders>
              <w:top w:val="single" w:color="auto" w:sz="8" w:space="0"/>
              <w:bottom w:val="single" w:color="auto" w:sz="8" w:space="0"/>
              <w:right w:val="single" w:color="auto" w:sz="8" w:space="0"/>
            </w:tcBorders>
            <w:noWrap w:val="0"/>
            <w:vAlign w:val="center"/>
          </w:tcPr>
          <w:p w14:paraId="24F2C51E">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B9DFC1C">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采购人</w:t>
            </w:r>
          </w:p>
        </w:tc>
        <w:tc>
          <w:tcPr>
            <w:tcW w:w="7157" w:type="dxa"/>
            <w:tcBorders>
              <w:top w:val="single" w:color="auto" w:sz="8" w:space="0"/>
              <w:left w:val="single" w:color="auto" w:sz="8" w:space="0"/>
              <w:bottom w:val="single" w:color="auto" w:sz="8" w:space="0"/>
            </w:tcBorders>
            <w:noWrap w:val="0"/>
            <w:vAlign w:val="center"/>
          </w:tcPr>
          <w:p w14:paraId="19AC9111">
            <w:pPr>
              <w:pStyle w:val="1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察布查尔锡伯自治县公安局</w:t>
            </w:r>
            <w:r>
              <w:rPr>
                <w:rFonts w:hint="eastAsia" w:ascii="仿宋" w:hAnsi="仿宋" w:eastAsia="仿宋" w:cs="仿宋"/>
                <w:color w:val="auto"/>
                <w:sz w:val="28"/>
                <w:szCs w:val="28"/>
                <w:highlight w:val="none"/>
                <w:lang w:val="en-US" w:eastAsia="zh-CN"/>
              </w:rPr>
              <w:t xml:space="preserve"> </w:t>
            </w:r>
          </w:p>
          <w:p w14:paraId="5908F712">
            <w:pPr>
              <w:pStyle w:val="1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地</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址：</w:t>
            </w:r>
            <w:r>
              <w:rPr>
                <w:rFonts w:hint="eastAsia" w:ascii="仿宋" w:hAnsi="仿宋" w:eastAsia="仿宋" w:cs="仿宋"/>
                <w:color w:val="auto"/>
                <w:sz w:val="28"/>
                <w:szCs w:val="28"/>
                <w:highlight w:val="none"/>
                <w:lang w:val="en-US" w:eastAsia="zh-CN"/>
              </w:rPr>
              <w:t>察布查尔锡伯自治县</w:t>
            </w:r>
          </w:p>
          <w:p w14:paraId="421FA019">
            <w:pPr>
              <w:pStyle w:val="1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杨斌</w:t>
            </w:r>
          </w:p>
          <w:p w14:paraId="60BAC979">
            <w:pPr>
              <w:pStyle w:val="1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lang w:val="en-US" w:eastAsia="zh-CN"/>
              </w:rPr>
              <w:t>17799490306</w:t>
            </w:r>
          </w:p>
        </w:tc>
      </w:tr>
      <w:tr w14:paraId="0B0BD8B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369" w:hRule="atLeast"/>
          <w:jc w:val="center"/>
        </w:trPr>
        <w:tc>
          <w:tcPr>
            <w:tcW w:w="811" w:type="dxa"/>
            <w:tcBorders>
              <w:top w:val="single" w:color="auto" w:sz="8" w:space="0"/>
              <w:bottom w:val="single" w:color="auto" w:sz="8" w:space="0"/>
              <w:right w:val="single" w:color="auto" w:sz="8" w:space="0"/>
            </w:tcBorders>
            <w:noWrap w:val="0"/>
            <w:vAlign w:val="center"/>
          </w:tcPr>
          <w:p w14:paraId="42F54998">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FB6A75F">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采购代理机构</w:t>
            </w:r>
          </w:p>
        </w:tc>
        <w:tc>
          <w:tcPr>
            <w:tcW w:w="7157" w:type="dxa"/>
            <w:tcBorders>
              <w:top w:val="single" w:color="auto" w:sz="8" w:space="0"/>
              <w:left w:val="single" w:color="auto" w:sz="8" w:space="0"/>
              <w:bottom w:val="single" w:color="auto" w:sz="8" w:space="0"/>
            </w:tcBorders>
            <w:noWrap w:val="0"/>
            <w:vAlign w:val="center"/>
          </w:tcPr>
          <w:p w14:paraId="68A629D0">
            <w:pPr>
              <w:pStyle w:val="1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名 称：新疆长润泽建设工程管理有限公司</w:t>
            </w:r>
          </w:p>
          <w:p w14:paraId="65FDB816">
            <w:pPr>
              <w:pStyle w:val="1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地 址：伊宁市金茂新天地B座16楼</w:t>
            </w:r>
            <w:r>
              <w:rPr>
                <w:rFonts w:hint="eastAsia" w:ascii="仿宋" w:hAnsi="仿宋" w:eastAsia="仿宋" w:cs="仿宋"/>
                <w:color w:val="auto"/>
                <w:sz w:val="28"/>
                <w:szCs w:val="28"/>
                <w:highlight w:val="none"/>
                <w:lang w:val="en-US" w:eastAsia="zh-CN"/>
              </w:rPr>
              <w:t>1605室</w:t>
            </w:r>
          </w:p>
          <w:p w14:paraId="399E8A99">
            <w:pPr>
              <w:pStyle w:val="1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项目联系人：</w:t>
            </w:r>
            <w:r>
              <w:rPr>
                <w:rFonts w:hint="eastAsia" w:ascii="仿宋" w:hAnsi="仿宋" w:eastAsia="仿宋" w:cs="仿宋"/>
                <w:color w:val="auto"/>
                <w:sz w:val="28"/>
                <w:szCs w:val="28"/>
                <w:highlight w:val="none"/>
                <w:lang w:val="en-US" w:eastAsia="zh-CN"/>
              </w:rPr>
              <w:t>邱工</w:t>
            </w:r>
          </w:p>
          <w:p w14:paraId="7A8752CA">
            <w:pPr>
              <w:pStyle w:val="1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项目联系方式：</w:t>
            </w:r>
            <w:r>
              <w:rPr>
                <w:rFonts w:hint="eastAsia" w:ascii="仿宋" w:hAnsi="仿宋" w:eastAsia="仿宋" w:cs="仿宋"/>
                <w:color w:val="auto"/>
                <w:sz w:val="28"/>
                <w:szCs w:val="28"/>
                <w:highlight w:val="none"/>
                <w:lang w:val="en-US" w:eastAsia="zh-CN"/>
              </w:rPr>
              <w:t>13095182426</w:t>
            </w:r>
          </w:p>
        </w:tc>
      </w:tr>
      <w:tr w14:paraId="1F99E6AE">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92" w:hRule="exact"/>
          <w:jc w:val="center"/>
        </w:trPr>
        <w:tc>
          <w:tcPr>
            <w:tcW w:w="811" w:type="dxa"/>
            <w:tcBorders>
              <w:top w:val="single" w:color="auto" w:sz="8" w:space="0"/>
              <w:bottom w:val="single" w:color="auto" w:sz="8" w:space="0"/>
              <w:right w:val="single" w:color="auto" w:sz="8" w:space="0"/>
            </w:tcBorders>
            <w:noWrap w:val="0"/>
            <w:vAlign w:val="center"/>
          </w:tcPr>
          <w:p w14:paraId="6A55590D">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470B5B1">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采购项目名称</w:t>
            </w:r>
          </w:p>
        </w:tc>
        <w:tc>
          <w:tcPr>
            <w:tcW w:w="7157" w:type="dxa"/>
            <w:tcBorders>
              <w:top w:val="single" w:color="auto" w:sz="8" w:space="0"/>
              <w:left w:val="single" w:color="auto" w:sz="8" w:space="0"/>
              <w:bottom w:val="single" w:color="auto" w:sz="8" w:space="0"/>
            </w:tcBorders>
            <w:noWrap w:val="0"/>
            <w:vAlign w:val="center"/>
          </w:tcPr>
          <w:p w14:paraId="3EDF4370">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察布查尔锡伯自治县公安局2025年大宗食材采购项目</w:t>
            </w:r>
          </w:p>
        </w:tc>
      </w:tr>
      <w:tr w14:paraId="023A337E">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70" w:hRule="exact"/>
          <w:jc w:val="center"/>
        </w:trPr>
        <w:tc>
          <w:tcPr>
            <w:tcW w:w="811" w:type="dxa"/>
            <w:tcBorders>
              <w:top w:val="single" w:color="auto" w:sz="8" w:space="0"/>
              <w:bottom w:val="single" w:color="auto" w:sz="8" w:space="0"/>
              <w:right w:val="single" w:color="auto" w:sz="8" w:space="0"/>
            </w:tcBorders>
            <w:noWrap w:val="0"/>
            <w:vAlign w:val="center"/>
          </w:tcPr>
          <w:p w14:paraId="29344A17">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11E103F">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采购项目编号</w:t>
            </w:r>
          </w:p>
        </w:tc>
        <w:tc>
          <w:tcPr>
            <w:tcW w:w="7157" w:type="dxa"/>
            <w:tcBorders>
              <w:top w:val="single" w:color="auto" w:sz="8" w:space="0"/>
              <w:left w:val="single" w:color="auto" w:sz="8" w:space="0"/>
              <w:bottom w:val="single" w:color="auto" w:sz="8" w:space="0"/>
            </w:tcBorders>
            <w:noWrap w:val="0"/>
            <w:vAlign w:val="center"/>
          </w:tcPr>
          <w:p w14:paraId="2AC75853">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XJCRZCG-202503</w:t>
            </w:r>
            <w:r>
              <w:rPr>
                <w:rFonts w:hint="eastAsia" w:ascii="仿宋" w:hAnsi="仿宋" w:eastAsia="仿宋" w:cs="仿宋"/>
                <w:color w:val="auto"/>
                <w:sz w:val="28"/>
                <w:szCs w:val="28"/>
                <w:highlight w:val="none"/>
                <w:lang w:val="en-US" w:eastAsia="zh-CN"/>
              </w:rPr>
              <w:t>3</w:t>
            </w:r>
          </w:p>
        </w:tc>
      </w:tr>
      <w:tr w14:paraId="58CC00CA">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48" w:hRule="exact"/>
          <w:jc w:val="center"/>
        </w:trPr>
        <w:tc>
          <w:tcPr>
            <w:tcW w:w="811" w:type="dxa"/>
            <w:tcBorders>
              <w:top w:val="single" w:color="auto" w:sz="8" w:space="0"/>
              <w:bottom w:val="single" w:color="auto" w:sz="8" w:space="0"/>
              <w:right w:val="single" w:color="auto" w:sz="8" w:space="0"/>
            </w:tcBorders>
            <w:noWrap w:val="0"/>
            <w:vAlign w:val="center"/>
          </w:tcPr>
          <w:p w14:paraId="568A778E">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5</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1E14A696">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资金来源</w:t>
            </w:r>
          </w:p>
        </w:tc>
        <w:tc>
          <w:tcPr>
            <w:tcW w:w="7157" w:type="dxa"/>
            <w:tcBorders>
              <w:top w:val="single" w:color="auto" w:sz="8" w:space="0"/>
              <w:left w:val="single" w:color="auto" w:sz="8" w:space="0"/>
              <w:bottom w:val="single" w:color="auto" w:sz="8" w:space="0"/>
            </w:tcBorders>
            <w:noWrap w:val="0"/>
            <w:vAlign w:val="center"/>
          </w:tcPr>
          <w:p w14:paraId="74C84805">
            <w:pPr>
              <w:keepNext w:val="0"/>
              <w:keepLines w:val="0"/>
              <w:pageBreakBefore w:val="0"/>
              <w:kinsoku/>
              <w:wordWrap/>
              <w:overflowPunct/>
              <w:topLinePunct w:val="0"/>
              <w:bidi w:val="0"/>
              <w:snapToGrid/>
              <w:spacing w:line="390" w:lineRule="exact"/>
              <w:ind w:right="0" w:right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财政性资金</w:t>
            </w:r>
          </w:p>
        </w:tc>
      </w:tr>
      <w:tr w14:paraId="7E7ADB3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913" w:hRule="exact"/>
          <w:jc w:val="center"/>
        </w:trPr>
        <w:tc>
          <w:tcPr>
            <w:tcW w:w="811" w:type="dxa"/>
            <w:vMerge w:val="restart"/>
            <w:tcBorders>
              <w:top w:val="single" w:color="auto" w:sz="8" w:space="0"/>
              <w:right w:val="single" w:color="auto" w:sz="8" w:space="0"/>
            </w:tcBorders>
            <w:noWrap w:val="0"/>
            <w:vAlign w:val="center"/>
          </w:tcPr>
          <w:p w14:paraId="640FA58A">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6</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1A0DD1FF">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预算金额</w:t>
            </w:r>
          </w:p>
        </w:tc>
        <w:tc>
          <w:tcPr>
            <w:tcW w:w="7157" w:type="dxa"/>
            <w:tcBorders>
              <w:top w:val="single" w:color="auto" w:sz="8" w:space="0"/>
              <w:left w:val="single" w:color="auto" w:sz="8" w:space="0"/>
              <w:bottom w:val="single" w:color="auto" w:sz="8" w:space="0"/>
            </w:tcBorders>
            <w:noWrap w:val="0"/>
            <w:vAlign w:val="center"/>
          </w:tcPr>
          <w:p w14:paraId="08738384">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本项目总预算金额：980万元。</w:t>
            </w:r>
          </w:p>
          <w:p w14:paraId="1731F2B5">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第一标段：780万元；</w:t>
            </w:r>
          </w:p>
          <w:p w14:paraId="2B770766">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第二标段：220万元；</w:t>
            </w:r>
          </w:p>
          <w:p w14:paraId="62D49B90">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备注：预算金额为预估年计划采购金额，作为投标人投标报</w:t>
            </w:r>
            <w:r>
              <w:rPr>
                <w:rFonts w:hint="eastAsia" w:ascii="仿宋" w:hAnsi="仿宋" w:eastAsia="仿宋" w:cs="仿宋"/>
                <w:color w:val="auto"/>
                <w:sz w:val="28"/>
                <w:szCs w:val="28"/>
                <w:highlight w:val="none"/>
                <w:u w:val="none"/>
                <w:lang w:val="en-US" w:eastAsia="zh-CN" w:bidi="ar-SA"/>
              </w:rPr>
              <w:t>价的参考依据，不作为实际发生量的结算金额。</w:t>
            </w:r>
          </w:p>
        </w:tc>
      </w:tr>
      <w:tr w14:paraId="516FFE0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39" w:hRule="exact"/>
          <w:jc w:val="center"/>
        </w:trPr>
        <w:tc>
          <w:tcPr>
            <w:tcW w:w="811" w:type="dxa"/>
            <w:vMerge w:val="continue"/>
            <w:tcBorders>
              <w:bottom w:val="single" w:color="auto" w:sz="8" w:space="0"/>
              <w:right w:val="single" w:color="auto" w:sz="8" w:space="0"/>
            </w:tcBorders>
            <w:noWrap w:val="0"/>
            <w:vAlign w:val="center"/>
          </w:tcPr>
          <w:p w14:paraId="5BCCFDCD">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30B99A6">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最高限价</w:t>
            </w:r>
          </w:p>
        </w:tc>
        <w:tc>
          <w:tcPr>
            <w:tcW w:w="7157" w:type="dxa"/>
            <w:tcBorders>
              <w:top w:val="single" w:color="auto" w:sz="8" w:space="0"/>
              <w:left w:val="single" w:color="auto" w:sz="8" w:space="0"/>
              <w:bottom w:val="single" w:color="auto" w:sz="8" w:space="0"/>
            </w:tcBorders>
            <w:noWrap w:val="0"/>
            <w:vAlign w:val="center"/>
          </w:tcPr>
          <w:p w14:paraId="6F4E2638">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第一标段：780万元；</w:t>
            </w:r>
          </w:p>
          <w:p w14:paraId="41F09451">
            <w:pPr>
              <w:keepNext w:val="0"/>
              <w:keepLines w:val="0"/>
              <w:pageBreakBefore w:val="0"/>
              <w:kinsoku/>
              <w:wordWrap/>
              <w:overflowPunct/>
              <w:topLinePunct w:val="0"/>
              <w:bidi w:val="0"/>
              <w:snapToGrid/>
              <w:spacing w:line="390" w:lineRule="exact"/>
              <w:ind w:right="0" w:right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第二标段：220万元；</w:t>
            </w:r>
          </w:p>
        </w:tc>
      </w:tr>
      <w:tr w14:paraId="6B6233E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068" w:hRule="exact"/>
          <w:jc w:val="center"/>
        </w:trPr>
        <w:tc>
          <w:tcPr>
            <w:tcW w:w="811" w:type="dxa"/>
            <w:tcBorders>
              <w:top w:val="single" w:color="auto" w:sz="8" w:space="0"/>
              <w:bottom w:val="single" w:color="auto" w:sz="8" w:space="0"/>
              <w:right w:val="single" w:color="auto" w:sz="8" w:space="0"/>
            </w:tcBorders>
            <w:noWrap w:val="0"/>
            <w:vAlign w:val="center"/>
          </w:tcPr>
          <w:p w14:paraId="673B849B">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7</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28A2345">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采购需求</w:t>
            </w:r>
          </w:p>
        </w:tc>
        <w:tc>
          <w:tcPr>
            <w:tcW w:w="7157" w:type="dxa"/>
            <w:tcBorders>
              <w:top w:val="single" w:color="auto" w:sz="8" w:space="0"/>
              <w:left w:val="single" w:color="auto" w:sz="8" w:space="0"/>
              <w:bottom w:val="single" w:color="auto" w:sz="8" w:space="0"/>
            </w:tcBorders>
            <w:noWrap w:val="0"/>
            <w:vAlign w:val="center"/>
          </w:tcPr>
          <w:p w14:paraId="1244ACBE">
            <w:pPr>
              <w:keepNext w:val="0"/>
              <w:keepLines w:val="0"/>
              <w:widowControl/>
              <w:suppressLineNumbers w:val="0"/>
              <w:jc w:val="left"/>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eastAsia="zh-CN"/>
              </w:rPr>
              <w:t>第一标段：米、面、油、蔬果副食品食材及肉类等食材采购。（具体详见招标文件）</w:t>
            </w:r>
          </w:p>
          <w:p w14:paraId="35BE324C">
            <w:pPr>
              <w:keepNext w:val="0"/>
              <w:keepLines w:val="0"/>
              <w:widowControl/>
              <w:suppressLineNumbers w:val="0"/>
              <w:jc w:val="left"/>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eastAsia="zh-CN"/>
              </w:rPr>
              <w:t>第二标段：盒饭采购。（具体详见招标文件）</w:t>
            </w:r>
          </w:p>
        </w:tc>
      </w:tr>
      <w:tr w14:paraId="2EB8BEC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26" w:hRule="exact"/>
          <w:jc w:val="center"/>
        </w:trPr>
        <w:tc>
          <w:tcPr>
            <w:tcW w:w="811" w:type="dxa"/>
            <w:tcBorders>
              <w:top w:val="single" w:color="auto" w:sz="8" w:space="0"/>
              <w:bottom w:val="single" w:color="auto" w:sz="8" w:space="0"/>
              <w:right w:val="single" w:color="auto" w:sz="8" w:space="0"/>
            </w:tcBorders>
            <w:noWrap w:val="0"/>
            <w:vAlign w:val="center"/>
          </w:tcPr>
          <w:p w14:paraId="2F2C2CD8">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34507E8A">
            <w:pPr>
              <w:pStyle w:val="16"/>
              <w:keepNext w:val="0"/>
              <w:keepLines w:val="0"/>
              <w:pageBreakBefore w:val="0"/>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rPr>
              <w:t>合同期限、地点</w:t>
            </w:r>
          </w:p>
        </w:tc>
        <w:tc>
          <w:tcPr>
            <w:tcW w:w="7157" w:type="dxa"/>
            <w:tcBorders>
              <w:top w:val="single" w:color="auto" w:sz="8" w:space="0"/>
              <w:left w:val="single" w:color="auto" w:sz="8" w:space="0"/>
              <w:bottom w:val="single" w:color="auto" w:sz="8" w:space="0"/>
            </w:tcBorders>
            <w:noWrap w:val="0"/>
            <w:vAlign w:val="center"/>
          </w:tcPr>
          <w:p w14:paraId="5C67C0D9">
            <w:pPr>
              <w:keepNext w:val="0"/>
              <w:keepLines w:val="0"/>
              <w:pageBreakBefore w:val="0"/>
              <w:widowControl/>
              <w:kinsoku/>
              <w:wordWrap/>
              <w:overflowPunct/>
              <w:topLinePunct w:val="0"/>
              <w:autoSpaceDE/>
              <w:autoSpaceDN/>
              <w:bidi w:val="0"/>
              <w:adjustRightInd/>
              <w:spacing w:after="0" w:line="440" w:lineRule="exact"/>
              <w:jc w:val="left"/>
              <w:textAlignment w:val="auto"/>
              <w:rPr>
                <w:rFonts w:hint="eastAsia" w:ascii="仿宋" w:hAnsi="仿宋" w:eastAsia="仿宋" w:cs="仿宋"/>
                <w:color w:val="auto"/>
                <w:sz w:val="28"/>
                <w:szCs w:val="28"/>
                <w:highlight w:val="none"/>
                <w:u w:val="none"/>
                <w:lang w:val="en-US" w:eastAsia="zh-CN" w:bidi="ar-SA"/>
              </w:rPr>
            </w:pPr>
            <w:r>
              <w:rPr>
                <w:rFonts w:hint="eastAsia" w:ascii="仿宋" w:hAnsi="仿宋" w:eastAsia="仿宋" w:cs="仿宋"/>
                <w:color w:val="auto"/>
                <w:sz w:val="28"/>
                <w:szCs w:val="28"/>
                <w:highlight w:val="none"/>
                <w:u w:val="none"/>
                <w:lang w:val="en-US" w:eastAsia="zh-CN" w:bidi="ar-SA"/>
              </w:rPr>
              <w:t>合同期限：自合同签订之日起1年</w:t>
            </w:r>
          </w:p>
          <w:p w14:paraId="5701153E">
            <w:pPr>
              <w:keepNext w:val="0"/>
              <w:keepLines w:val="0"/>
              <w:pageBreakBefore w:val="0"/>
              <w:widowControl/>
              <w:kinsoku/>
              <w:wordWrap/>
              <w:overflowPunct/>
              <w:topLinePunct w:val="0"/>
              <w:autoSpaceDE/>
              <w:autoSpaceDN/>
              <w:bidi w:val="0"/>
              <w:adjustRightInd/>
              <w:spacing w:after="0" w:line="440" w:lineRule="exact"/>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u w:val="none"/>
                <w:lang w:val="en-US" w:eastAsia="zh-CN" w:bidi="ar-SA"/>
              </w:rPr>
              <w:t>地点：</w:t>
            </w:r>
            <w:r>
              <w:rPr>
                <w:rFonts w:hint="eastAsia" w:ascii="仿宋" w:hAnsi="仿宋" w:eastAsia="仿宋" w:cs="仿宋"/>
                <w:color w:val="auto"/>
                <w:sz w:val="28"/>
                <w:szCs w:val="28"/>
                <w:highlight w:val="none"/>
                <w:lang w:val="en-US" w:eastAsia="zh-CN"/>
              </w:rPr>
              <w:t>采购人指定地点</w:t>
            </w:r>
          </w:p>
        </w:tc>
      </w:tr>
      <w:tr w14:paraId="1B7DB33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194" w:hRule="exact"/>
          <w:jc w:val="center"/>
        </w:trPr>
        <w:tc>
          <w:tcPr>
            <w:tcW w:w="811" w:type="dxa"/>
            <w:tcBorders>
              <w:top w:val="single" w:color="auto" w:sz="8" w:space="0"/>
              <w:bottom w:val="single" w:color="auto" w:sz="8" w:space="0"/>
              <w:right w:val="single" w:color="auto" w:sz="8" w:space="0"/>
            </w:tcBorders>
            <w:noWrap w:val="0"/>
            <w:vAlign w:val="center"/>
          </w:tcPr>
          <w:p w14:paraId="0030FCF4">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44D2AEF4">
            <w:pPr>
              <w:pStyle w:val="16"/>
              <w:keepNext w:val="0"/>
              <w:keepLines w:val="0"/>
              <w:pageBreakBefore w:val="0"/>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u w:val="none"/>
                <w:lang w:val="en-US" w:eastAsia="zh-CN" w:bidi="ar-SA"/>
              </w:rPr>
              <w:t>保质期限</w:t>
            </w:r>
          </w:p>
        </w:tc>
        <w:tc>
          <w:tcPr>
            <w:tcW w:w="7157" w:type="dxa"/>
            <w:tcBorders>
              <w:top w:val="single" w:color="auto" w:sz="8" w:space="0"/>
              <w:left w:val="single" w:color="auto" w:sz="8" w:space="0"/>
              <w:bottom w:val="single" w:color="auto" w:sz="8" w:space="0"/>
            </w:tcBorders>
            <w:noWrap w:val="0"/>
            <w:vAlign w:val="center"/>
          </w:tcPr>
          <w:p w14:paraId="1387D3B0">
            <w:pPr>
              <w:pStyle w:val="16"/>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default"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（1）第一标段：蔬菜、肉类、水果、鲜奶、糕点等必须是当日的新鲜产品；</w:t>
            </w:r>
            <w:r>
              <w:rPr>
                <w:rFonts w:hint="eastAsia" w:ascii="仿宋" w:hAnsi="仿宋" w:eastAsia="仿宋" w:cs="仿宋"/>
                <w:b w:val="0"/>
                <w:bCs w:val="0"/>
                <w:i w:val="0"/>
                <w:iCs w:val="0"/>
                <w:color w:val="auto"/>
                <w:sz w:val="28"/>
                <w:szCs w:val="28"/>
                <w:highlight w:val="none"/>
                <w:lang w:val="en-US" w:eastAsia="zh-CN"/>
              </w:rPr>
              <w:t>米、面、油、</w:t>
            </w:r>
            <w:r>
              <w:rPr>
                <w:rFonts w:hint="eastAsia" w:ascii="仿宋" w:hAnsi="仿宋" w:eastAsia="仿宋" w:cs="仿宋"/>
                <w:b w:val="0"/>
                <w:bCs/>
                <w:color w:val="auto"/>
                <w:kern w:val="2"/>
                <w:sz w:val="28"/>
                <w:szCs w:val="28"/>
                <w:highlight w:val="none"/>
                <w:lang w:val="en-US" w:eastAsia="zh-CN" w:bidi="ar-SA"/>
              </w:rPr>
              <w:t>蛋类、蜂蜜、盒装、袋装、瓶装、罐装等产品均按产品包装上的保质期限，</w:t>
            </w:r>
            <w:r>
              <w:rPr>
                <w:rFonts w:hint="eastAsia" w:ascii="仿宋" w:hAnsi="仿宋" w:eastAsia="仿宋" w:cs="仿宋"/>
                <w:b w:val="0"/>
                <w:bCs/>
                <w:color w:val="auto"/>
                <w:sz w:val="28"/>
                <w:szCs w:val="28"/>
                <w:highlight w:val="none"/>
                <w:lang w:val="en-US" w:eastAsia="zh-CN"/>
              </w:rPr>
              <w:t>中标供应商</w:t>
            </w:r>
            <w:r>
              <w:rPr>
                <w:rFonts w:hint="eastAsia" w:ascii="仿宋" w:hAnsi="仿宋" w:eastAsia="仿宋" w:cs="仿宋"/>
                <w:b w:val="0"/>
                <w:bCs/>
                <w:color w:val="auto"/>
                <w:kern w:val="2"/>
                <w:sz w:val="28"/>
                <w:szCs w:val="28"/>
                <w:highlight w:val="none"/>
                <w:lang w:val="en-US" w:eastAsia="zh-CN" w:bidi="ar-SA"/>
              </w:rPr>
              <w:t>所提供产品的剩余质保期应占提供产品保质期的三分之二以上；符合国家食品质量要求。</w:t>
            </w:r>
          </w:p>
          <w:p w14:paraId="33682C14">
            <w:pPr>
              <w:pStyle w:val="16"/>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（2）第二标段：</w:t>
            </w:r>
            <w:r>
              <w:rPr>
                <w:rFonts w:hint="eastAsia" w:ascii="仿宋" w:hAnsi="仿宋" w:eastAsia="仿宋" w:cs="仿宋"/>
                <w:color w:val="auto"/>
                <w:kern w:val="2"/>
                <w:sz w:val="28"/>
                <w:szCs w:val="28"/>
                <w:highlight w:val="none"/>
                <w:lang w:val="en-US" w:eastAsia="zh-CN" w:bidi="ar-SA"/>
              </w:rPr>
              <w:t xml:space="preserve"> </w:t>
            </w:r>
            <w:r>
              <w:rPr>
                <w:rFonts w:hint="eastAsia" w:ascii="仿宋" w:hAnsi="仿宋" w:eastAsia="仿宋" w:cs="仿宋"/>
                <w:b w:val="0"/>
                <w:bCs/>
                <w:color w:val="auto"/>
                <w:kern w:val="2"/>
                <w:sz w:val="28"/>
                <w:szCs w:val="28"/>
                <w:highlight w:val="none"/>
                <w:lang w:val="en-US" w:eastAsia="zh-CN" w:bidi="ar-SA"/>
              </w:rPr>
              <w:t>盒饭必须是当日的新鲜产品，符合国家食品质量要求。</w:t>
            </w:r>
          </w:p>
        </w:tc>
      </w:tr>
      <w:tr w14:paraId="211A59A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416" w:hRule="exact"/>
          <w:jc w:val="center"/>
        </w:trPr>
        <w:tc>
          <w:tcPr>
            <w:tcW w:w="811" w:type="dxa"/>
            <w:tcBorders>
              <w:top w:val="single" w:color="auto" w:sz="8" w:space="0"/>
              <w:bottom w:val="single" w:color="auto" w:sz="8" w:space="0"/>
              <w:right w:val="single" w:color="auto" w:sz="8" w:space="0"/>
            </w:tcBorders>
            <w:noWrap w:val="0"/>
            <w:vAlign w:val="center"/>
          </w:tcPr>
          <w:p w14:paraId="02DC3467">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4070F43C">
            <w:pPr>
              <w:pStyle w:val="16"/>
              <w:keepNext w:val="0"/>
              <w:keepLines w:val="0"/>
              <w:pageBreakBefore w:val="0"/>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u w:val="none"/>
                <w:lang w:val="en-US" w:eastAsia="zh-CN" w:bidi="ar-SA"/>
              </w:rPr>
              <w:t>交货时间</w:t>
            </w:r>
          </w:p>
        </w:tc>
        <w:tc>
          <w:tcPr>
            <w:tcW w:w="7157" w:type="dxa"/>
            <w:tcBorders>
              <w:top w:val="single" w:color="auto" w:sz="8" w:space="0"/>
              <w:left w:val="single" w:color="auto" w:sz="8" w:space="0"/>
              <w:bottom w:val="single" w:color="auto" w:sz="8" w:space="0"/>
            </w:tcBorders>
            <w:noWrap w:val="0"/>
            <w:vAlign w:val="center"/>
          </w:tcPr>
          <w:p w14:paraId="6CBF3333">
            <w:pPr>
              <w:keepNext w:val="0"/>
              <w:keepLines w:val="0"/>
              <w:pageBreakBefore w:val="0"/>
              <w:kinsoku/>
              <w:wordWrap/>
              <w:overflowPunct/>
              <w:topLinePunct w:val="0"/>
              <w:autoSpaceDE/>
              <w:autoSpaceDN/>
              <w:bidi w:val="0"/>
              <w:adjustRightInd/>
              <w:snapToGrid w:val="0"/>
              <w:spacing w:before="0" w:beforeAutospacing="0" w:after="0" w:afterAutospacing="0" w:line="480" w:lineRule="exact"/>
              <w:jc w:val="both"/>
              <w:textAlignment w:val="baseline"/>
              <w:outlineLvl w:val="2"/>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除不可抗力以外，中标供应商应根据采购人当日提供的配送清单，不晚于次日上午10时前将订单内所有产品配送至采购人指定地点（双方有特殊约定的按照约定时间配送），并提供《送货清单》一式两份。（如有临时需要紧急配送，需接到电话1小时送到。）</w:t>
            </w:r>
          </w:p>
          <w:p w14:paraId="6F17A103">
            <w:pPr>
              <w:pStyle w:val="16"/>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color w:val="auto"/>
                <w:kern w:val="2"/>
                <w:sz w:val="28"/>
                <w:szCs w:val="28"/>
                <w:highlight w:val="none"/>
                <w:u w:val="none"/>
                <w:lang w:val="en-US" w:eastAsia="zh-CN" w:bidi="ar-SA"/>
              </w:rPr>
            </w:pPr>
          </w:p>
        </w:tc>
      </w:tr>
      <w:tr w14:paraId="704D26B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1" w:hRule="exact"/>
          <w:jc w:val="center"/>
        </w:trPr>
        <w:tc>
          <w:tcPr>
            <w:tcW w:w="811" w:type="dxa"/>
            <w:tcBorders>
              <w:top w:val="single" w:color="auto" w:sz="8" w:space="0"/>
              <w:bottom w:val="single" w:color="auto" w:sz="8" w:space="0"/>
              <w:right w:val="single" w:color="auto" w:sz="8" w:space="0"/>
            </w:tcBorders>
            <w:noWrap w:val="0"/>
            <w:vAlign w:val="center"/>
          </w:tcPr>
          <w:p w14:paraId="66463CD1">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2CAD81B1">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采购方式</w:t>
            </w:r>
          </w:p>
        </w:tc>
        <w:tc>
          <w:tcPr>
            <w:tcW w:w="7157" w:type="dxa"/>
            <w:tcBorders>
              <w:top w:val="single" w:color="auto" w:sz="8" w:space="0"/>
              <w:left w:val="single" w:color="auto" w:sz="8" w:space="0"/>
              <w:bottom w:val="single" w:color="auto" w:sz="8" w:space="0"/>
            </w:tcBorders>
            <w:noWrap w:val="0"/>
            <w:vAlign w:val="center"/>
          </w:tcPr>
          <w:p w14:paraId="199046C3">
            <w:pPr>
              <w:pStyle w:val="35"/>
              <w:keepNext w:val="0"/>
              <w:keepLines w:val="0"/>
              <w:pageBreakBefore w:val="0"/>
              <w:kinsoku/>
              <w:wordWrap/>
              <w:overflowPunct/>
              <w:topLinePunct w:val="0"/>
              <w:bidi w:val="0"/>
              <w:snapToGrid/>
              <w:spacing w:line="390" w:lineRule="exact"/>
              <w:ind w:right="0" w:rightChars="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公开招标</w:t>
            </w:r>
          </w:p>
        </w:tc>
      </w:tr>
      <w:tr w14:paraId="5420867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40" w:hRule="exact"/>
          <w:jc w:val="center"/>
        </w:trPr>
        <w:tc>
          <w:tcPr>
            <w:tcW w:w="811" w:type="dxa"/>
            <w:tcBorders>
              <w:top w:val="single" w:color="auto" w:sz="8" w:space="0"/>
              <w:bottom w:val="single" w:color="auto" w:sz="8" w:space="0"/>
              <w:right w:val="single" w:color="auto" w:sz="8" w:space="0"/>
            </w:tcBorders>
            <w:noWrap w:val="0"/>
            <w:vAlign w:val="center"/>
          </w:tcPr>
          <w:p w14:paraId="36B7D020">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86172B0">
            <w:pPr>
              <w:pStyle w:val="35"/>
              <w:keepNext w:val="0"/>
              <w:keepLines w:val="0"/>
              <w:pageBreakBefore w:val="0"/>
              <w:widowControl w:val="0"/>
              <w:kinsoku/>
              <w:wordWrap/>
              <w:overflowPunct/>
              <w:topLinePunct w:val="0"/>
              <w:bidi w:val="0"/>
              <w:snapToGrid/>
              <w:spacing w:line="440" w:lineRule="exact"/>
              <w:ind w:left="38"/>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是否专门面向中小</w:t>
            </w:r>
            <w:r>
              <w:rPr>
                <w:rFonts w:hint="eastAsia" w:ascii="仿宋" w:hAnsi="仿宋" w:eastAsia="仿宋" w:cs="仿宋"/>
                <w:color w:val="auto"/>
                <w:sz w:val="28"/>
                <w:szCs w:val="28"/>
                <w:highlight w:val="none"/>
                <w:lang w:val="en-US" w:eastAsia="zh-CN"/>
              </w:rPr>
              <w:t>微</w:t>
            </w:r>
            <w:r>
              <w:rPr>
                <w:rFonts w:hint="eastAsia" w:ascii="仿宋" w:hAnsi="仿宋" w:eastAsia="仿宋" w:cs="仿宋"/>
                <w:color w:val="auto"/>
                <w:sz w:val="28"/>
                <w:szCs w:val="28"/>
                <w:highlight w:val="none"/>
                <w:lang w:val="zh-CN"/>
              </w:rPr>
              <w:t>企业采购</w:t>
            </w:r>
          </w:p>
        </w:tc>
        <w:tc>
          <w:tcPr>
            <w:tcW w:w="7157" w:type="dxa"/>
            <w:tcBorders>
              <w:top w:val="single" w:color="auto" w:sz="8" w:space="0"/>
              <w:left w:val="single" w:color="auto" w:sz="8" w:space="0"/>
              <w:bottom w:val="single" w:color="auto" w:sz="8" w:space="0"/>
            </w:tcBorders>
            <w:noWrap w:val="0"/>
            <w:vAlign w:val="center"/>
          </w:tcPr>
          <w:p w14:paraId="20394E69">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rPr>
              <w:t>□是      ☑否</w:t>
            </w:r>
          </w:p>
        </w:tc>
      </w:tr>
      <w:tr w14:paraId="5E0CC5D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11" w:type="dxa"/>
            <w:tcBorders>
              <w:top w:val="single" w:color="auto" w:sz="8" w:space="0"/>
              <w:bottom w:val="single" w:color="auto" w:sz="8" w:space="0"/>
              <w:right w:val="single" w:color="auto" w:sz="8" w:space="0"/>
            </w:tcBorders>
            <w:noWrap w:val="0"/>
            <w:vAlign w:val="center"/>
          </w:tcPr>
          <w:p w14:paraId="33D45A47">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2B3B7101">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是否采购进口产品</w:t>
            </w:r>
          </w:p>
        </w:tc>
        <w:tc>
          <w:tcPr>
            <w:tcW w:w="7157" w:type="dxa"/>
            <w:tcBorders>
              <w:top w:val="single" w:color="auto" w:sz="8" w:space="0"/>
              <w:left w:val="single" w:color="auto" w:sz="8" w:space="0"/>
              <w:bottom w:val="single" w:color="auto" w:sz="8" w:space="0"/>
            </w:tcBorders>
            <w:noWrap w:val="0"/>
            <w:vAlign w:val="center"/>
          </w:tcPr>
          <w:p w14:paraId="47462C03">
            <w:pPr>
              <w:pStyle w:val="35"/>
              <w:keepNext w:val="0"/>
              <w:keepLines w:val="0"/>
              <w:pageBreakBefore w:val="0"/>
              <w:kinsoku/>
              <w:wordWrap/>
              <w:overflowPunct/>
              <w:topLinePunct w:val="0"/>
              <w:bidi w:val="0"/>
              <w:snapToGrid/>
              <w:spacing w:line="390" w:lineRule="exact"/>
              <w:ind w:right="0" w:rightChars="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□是      ☑否</w:t>
            </w:r>
          </w:p>
        </w:tc>
      </w:tr>
      <w:tr w14:paraId="277E4F5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811" w:type="dxa"/>
            <w:tcBorders>
              <w:top w:val="single" w:color="auto" w:sz="8" w:space="0"/>
              <w:bottom w:val="single" w:color="auto" w:sz="8" w:space="0"/>
              <w:right w:val="single" w:color="auto" w:sz="8" w:space="0"/>
            </w:tcBorders>
            <w:noWrap w:val="0"/>
            <w:vAlign w:val="center"/>
          </w:tcPr>
          <w:p w14:paraId="04DDAC45">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6AE68D63">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联合体投标</w:t>
            </w:r>
          </w:p>
        </w:tc>
        <w:tc>
          <w:tcPr>
            <w:tcW w:w="7157" w:type="dxa"/>
            <w:tcBorders>
              <w:top w:val="single" w:color="auto" w:sz="8" w:space="0"/>
              <w:left w:val="single" w:color="auto" w:sz="8" w:space="0"/>
              <w:bottom w:val="single" w:color="auto" w:sz="8" w:space="0"/>
            </w:tcBorders>
            <w:noWrap w:val="0"/>
            <w:vAlign w:val="top"/>
          </w:tcPr>
          <w:p w14:paraId="4FFA1D4B">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      ☑否</w:t>
            </w:r>
          </w:p>
        </w:tc>
      </w:tr>
      <w:tr w14:paraId="644352E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60" w:hRule="atLeast"/>
          <w:jc w:val="center"/>
        </w:trPr>
        <w:tc>
          <w:tcPr>
            <w:tcW w:w="811" w:type="dxa"/>
            <w:tcBorders>
              <w:top w:val="single" w:color="auto" w:sz="8" w:space="0"/>
              <w:bottom w:val="single" w:color="auto" w:sz="8" w:space="0"/>
              <w:right w:val="single" w:color="auto" w:sz="8" w:space="0"/>
            </w:tcBorders>
            <w:noWrap w:val="0"/>
            <w:vAlign w:val="center"/>
          </w:tcPr>
          <w:p w14:paraId="25DE11A4">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14C9C891">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b w:val="0"/>
                <w:bCs w:val="0"/>
                <w:color w:val="auto"/>
                <w:sz w:val="28"/>
                <w:szCs w:val="28"/>
                <w:highlight w:val="none"/>
                <w:lang w:val="zh-CN"/>
              </w:rPr>
            </w:pPr>
            <w:r>
              <w:rPr>
                <w:rFonts w:hint="eastAsia" w:ascii="仿宋" w:hAnsi="仿宋" w:eastAsia="仿宋" w:cs="仿宋"/>
                <w:b w:val="0"/>
                <w:bCs w:val="0"/>
                <w:color w:val="auto"/>
                <w:sz w:val="28"/>
                <w:szCs w:val="28"/>
                <w:highlight w:val="none"/>
              </w:rPr>
              <w:t>招标文件获取日期</w:t>
            </w:r>
          </w:p>
        </w:tc>
        <w:tc>
          <w:tcPr>
            <w:tcW w:w="7157" w:type="dxa"/>
            <w:tcBorders>
              <w:top w:val="single" w:color="auto" w:sz="8" w:space="0"/>
              <w:left w:val="single" w:color="auto" w:sz="8" w:space="0"/>
              <w:bottom w:val="single" w:color="auto" w:sz="8" w:space="0"/>
            </w:tcBorders>
            <w:noWrap w:val="0"/>
            <w:vAlign w:val="center"/>
          </w:tcPr>
          <w:p w14:paraId="5DE5AC8E">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时间：</w:t>
            </w:r>
            <w:r>
              <w:rPr>
                <w:rFonts w:hint="eastAsia" w:ascii="仿宋" w:hAnsi="仿宋" w:eastAsia="仿宋" w:cs="仿宋"/>
                <w:color w:val="auto"/>
                <w:kern w:val="0"/>
                <w:sz w:val="28"/>
                <w:szCs w:val="28"/>
                <w:highlight w:val="none"/>
                <w:u w:val="single"/>
                <w:lang w:bidi="ar"/>
              </w:rPr>
              <w:t>202</w:t>
            </w:r>
            <w:r>
              <w:rPr>
                <w:rFonts w:hint="eastAsia" w:ascii="仿宋" w:hAnsi="仿宋" w:eastAsia="仿宋" w:cs="仿宋"/>
                <w:color w:val="auto"/>
                <w:kern w:val="0"/>
                <w:sz w:val="28"/>
                <w:szCs w:val="28"/>
                <w:highlight w:val="none"/>
                <w:u w:val="single"/>
                <w:lang w:val="en-US" w:eastAsia="zh-CN" w:bidi="ar"/>
              </w:rPr>
              <w:t>5</w:t>
            </w:r>
            <w:r>
              <w:rPr>
                <w:rFonts w:hint="eastAsia" w:ascii="仿宋" w:hAnsi="仿宋" w:eastAsia="仿宋" w:cs="仿宋"/>
                <w:color w:val="auto"/>
                <w:kern w:val="0"/>
                <w:sz w:val="28"/>
                <w:szCs w:val="28"/>
                <w:highlight w:val="none"/>
                <w:u w:val="single"/>
                <w:lang w:bidi="ar"/>
              </w:rPr>
              <w:t>年</w:t>
            </w:r>
            <w:r>
              <w:rPr>
                <w:rFonts w:hint="eastAsia" w:ascii="仿宋" w:hAnsi="仿宋" w:eastAsia="仿宋" w:cs="仿宋"/>
                <w:color w:val="auto"/>
                <w:kern w:val="0"/>
                <w:sz w:val="28"/>
                <w:szCs w:val="28"/>
                <w:highlight w:val="none"/>
                <w:u w:val="single"/>
                <w:lang w:val="en-US" w:eastAsia="zh-CN" w:bidi="ar"/>
              </w:rPr>
              <w:t>07</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01</w:t>
            </w:r>
            <w:r>
              <w:rPr>
                <w:rFonts w:hint="eastAsia" w:ascii="仿宋" w:hAnsi="仿宋" w:eastAsia="仿宋" w:cs="仿宋"/>
                <w:color w:val="auto"/>
                <w:kern w:val="0"/>
                <w:sz w:val="28"/>
                <w:szCs w:val="28"/>
                <w:highlight w:val="none"/>
                <w:u w:val="single"/>
                <w:lang w:bidi="ar"/>
              </w:rPr>
              <w:t>日至202</w:t>
            </w:r>
            <w:r>
              <w:rPr>
                <w:rFonts w:hint="eastAsia" w:ascii="仿宋" w:hAnsi="仿宋" w:eastAsia="仿宋" w:cs="仿宋"/>
                <w:color w:val="auto"/>
                <w:kern w:val="0"/>
                <w:sz w:val="28"/>
                <w:szCs w:val="28"/>
                <w:highlight w:val="none"/>
                <w:u w:val="single"/>
                <w:lang w:val="en-US" w:eastAsia="zh-CN" w:bidi="ar"/>
              </w:rPr>
              <w:t>5</w:t>
            </w:r>
            <w:r>
              <w:rPr>
                <w:rFonts w:hint="eastAsia" w:ascii="仿宋" w:hAnsi="仿宋" w:eastAsia="仿宋" w:cs="仿宋"/>
                <w:color w:val="auto"/>
                <w:kern w:val="0"/>
                <w:sz w:val="28"/>
                <w:szCs w:val="28"/>
                <w:highlight w:val="none"/>
                <w:u w:val="single"/>
                <w:lang w:bidi="ar"/>
              </w:rPr>
              <w:t>年</w:t>
            </w:r>
            <w:r>
              <w:rPr>
                <w:rFonts w:hint="eastAsia" w:ascii="仿宋" w:hAnsi="仿宋" w:eastAsia="仿宋" w:cs="仿宋"/>
                <w:color w:val="auto"/>
                <w:kern w:val="0"/>
                <w:sz w:val="28"/>
                <w:szCs w:val="28"/>
                <w:highlight w:val="none"/>
                <w:u w:val="single"/>
                <w:lang w:val="en-US" w:eastAsia="zh-CN" w:bidi="ar"/>
              </w:rPr>
              <w:t>07</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08</w:t>
            </w:r>
            <w:r>
              <w:rPr>
                <w:rFonts w:hint="eastAsia" w:ascii="仿宋" w:hAnsi="仿宋" w:eastAsia="仿宋" w:cs="仿宋"/>
                <w:color w:val="auto"/>
                <w:kern w:val="0"/>
                <w:sz w:val="28"/>
                <w:szCs w:val="28"/>
                <w:highlight w:val="none"/>
                <w:u w:val="single"/>
                <w:lang w:bidi="ar"/>
              </w:rPr>
              <w:t>日，每天上午10:00至14:00，下午</w:t>
            </w:r>
            <w:r>
              <w:rPr>
                <w:rFonts w:hint="eastAsia" w:ascii="仿宋" w:hAnsi="仿宋" w:eastAsia="仿宋" w:cs="仿宋"/>
                <w:color w:val="auto"/>
                <w:kern w:val="0"/>
                <w:sz w:val="28"/>
                <w:szCs w:val="28"/>
                <w:highlight w:val="none"/>
                <w:u w:val="single"/>
                <w:lang w:val="en-US" w:eastAsia="zh-CN" w:bidi="ar"/>
              </w:rPr>
              <w:t>16</w:t>
            </w:r>
            <w:r>
              <w:rPr>
                <w:rFonts w:hint="eastAsia" w:ascii="仿宋" w:hAnsi="仿宋" w:eastAsia="仿宋" w:cs="仿宋"/>
                <w:color w:val="auto"/>
                <w:kern w:val="0"/>
                <w:sz w:val="28"/>
                <w:szCs w:val="28"/>
                <w:highlight w:val="none"/>
                <w:u w:val="single"/>
                <w:lang w:bidi="ar"/>
              </w:rPr>
              <w:t>:</w:t>
            </w:r>
            <w:r>
              <w:rPr>
                <w:rFonts w:hint="eastAsia" w:ascii="仿宋" w:hAnsi="仿宋" w:eastAsia="仿宋" w:cs="仿宋"/>
                <w:color w:val="auto"/>
                <w:kern w:val="0"/>
                <w:sz w:val="28"/>
                <w:szCs w:val="28"/>
                <w:highlight w:val="none"/>
                <w:u w:val="single"/>
                <w:lang w:val="en-US" w:eastAsia="zh-CN" w:bidi="ar"/>
              </w:rPr>
              <w:t>0</w:t>
            </w:r>
            <w:r>
              <w:rPr>
                <w:rFonts w:hint="eastAsia" w:ascii="仿宋" w:hAnsi="仿宋" w:eastAsia="仿宋" w:cs="仿宋"/>
                <w:color w:val="auto"/>
                <w:kern w:val="0"/>
                <w:sz w:val="28"/>
                <w:szCs w:val="28"/>
                <w:highlight w:val="none"/>
                <w:u w:val="single"/>
                <w:lang w:bidi="ar"/>
              </w:rPr>
              <w:t>0至</w:t>
            </w:r>
            <w:r>
              <w:rPr>
                <w:rFonts w:hint="eastAsia" w:ascii="仿宋" w:hAnsi="仿宋" w:eastAsia="仿宋" w:cs="仿宋"/>
                <w:color w:val="auto"/>
                <w:kern w:val="0"/>
                <w:sz w:val="28"/>
                <w:szCs w:val="28"/>
                <w:highlight w:val="none"/>
                <w:u w:val="single"/>
                <w:lang w:val="en-US" w:eastAsia="zh-CN" w:bidi="ar"/>
              </w:rPr>
              <w:t>20</w:t>
            </w:r>
            <w:r>
              <w:rPr>
                <w:rFonts w:hint="eastAsia" w:ascii="仿宋" w:hAnsi="仿宋" w:eastAsia="仿宋" w:cs="仿宋"/>
                <w:color w:val="auto"/>
                <w:kern w:val="0"/>
                <w:sz w:val="28"/>
                <w:szCs w:val="28"/>
                <w:highlight w:val="none"/>
                <w:u w:val="single"/>
                <w:lang w:bidi="ar"/>
              </w:rPr>
              <w:t>:</w:t>
            </w:r>
            <w:r>
              <w:rPr>
                <w:rFonts w:hint="eastAsia" w:ascii="仿宋" w:hAnsi="仿宋" w:eastAsia="仿宋" w:cs="仿宋"/>
                <w:color w:val="auto"/>
                <w:kern w:val="0"/>
                <w:sz w:val="28"/>
                <w:szCs w:val="28"/>
                <w:highlight w:val="none"/>
                <w:u w:val="single"/>
                <w:lang w:val="en-US" w:eastAsia="zh-CN" w:bidi="ar"/>
              </w:rPr>
              <w:t>00</w:t>
            </w:r>
            <w:r>
              <w:rPr>
                <w:rFonts w:hint="eastAsia" w:ascii="仿宋" w:hAnsi="仿宋" w:eastAsia="仿宋" w:cs="仿宋"/>
                <w:color w:val="auto"/>
                <w:kern w:val="0"/>
                <w:sz w:val="28"/>
                <w:szCs w:val="28"/>
                <w:highlight w:val="none"/>
                <w:u w:val="single"/>
                <w:lang w:bidi="ar"/>
              </w:rPr>
              <w:t>北京时间（法定节假日除外）</w:t>
            </w:r>
            <w:r>
              <w:rPr>
                <w:rFonts w:hint="eastAsia" w:ascii="仿宋" w:hAnsi="仿宋" w:eastAsia="仿宋" w:cs="仿宋"/>
                <w:color w:val="auto"/>
                <w:sz w:val="28"/>
                <w:szCs w:val="28"/>
                <w:highlight w:val="none"/>
                <w:lang w:val="en-US" w:eastAsia="zh-CN"/>
              </w:rPr>
              <w:t>。</w:t>
            </w:r>
          </w:p>
        </w:tc>
      </w:tr>
      <w:tr w14:paraId="7B6A514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315" w:hRule="atLeast"/>
          <w:jc w:val="center"/>
        </w:trPr>
        <w:tc>
          <w:tcPr>
            <w:tcW w:w="811" w:type="dxa"/>
            <w:tcBorders>
              <w:top w:val="single" w:color="auto" w:sz="8" w:space="0"/>
              <w:bottom w:val="single" w:color="auto" w:sz="8" w:space="0"/>
              <w:right w:val="single" w:color="auto" w:sz="8" w:space="0"/>
            </w:tcBorders>
            <w:noWrap w:val="0"/>
            <w:vAlign w:val="center"/>
          </w:tcPr>
          <w:p w14:paraId="16F0A8D2">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C28D717">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投标截止时间</w:t>
            </w:r>
            <w:r>
              <w:rPr>
                <w:rFonts w:hint="eastAsia" w:ascii="仿宋" w:hAnsi="仿宋" w:eastAsia="仿宋" w:cs="仿宋"/>
                <w:b w:val="0"/>
                <w:bCs w:val="0"/>
                <w:color w:val="auto"/>
                <w:sz w:val="28"/>
                <w:szCs w:val="28"/>
                <w:highlight w:val="none"/>
                <w:lang w:val="en-US" w:eastAsia="zh-CN"/>
              </w:rPr>
              <w:t>及</w:t>
            </w:r>
            <w:r>
              <w:rPr>
                <w:rFonts w:hint="eastAsia" w:ascii="仿宋" w:hAnsi="仿宋" w:eastAsia="仿宋" w:cs="仿宋"/>
                <w:b w:val="0"/>
                <w:bCs w:val="0"/>
                <w:color w:val="auto"/>
                <w:sz w:val="28"/>
                <w:szCs w:val="28"/>
                <w:highlight w:val="none"/>
                <w:lang w:val="zh-CN"/>
              </w:rPr>
              <w:t>递交投标文件地点</w:t>
            </w:r>
          </w:p>
        </w:tc>
        <w:tc>
          <w:tcPr>
            <w:tcW w:w="7157" w:type="dxa"/>
            <w:tcBorders>
              <w:top w:val="single" w:color="auto" w:sz="8" w:space="0"/>
              <w:left w:val="single" w:color="auto" w:sz="8" w:space="0"/>
              <w:bottom w:val="single" w:color="auto" w:sz="8" w:space="0"/>
            </w:tcBorders>
            <w:noWrap w:val="0"/>
            <w:vAlign w:val="center"/>
          </w:tcPr>
          <w:p w14:paraId="57E9F1D2">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投标截止时间：</w:t>
            </w:r>
            <w:r>
              <w:rPr>
                <w:rFonts w:hint="eastAsia" w:ascii="仿宋" w:hAnsi="仿宋" w:eastAsia="仿宋" w:cs="仿宋"/>
                <w:color w:val="auto"/>
                <w:sz w:val="28"/>
                <w:szCs w:val="28"/>
                <w:highlight w:val="none"/>
                <w:u w:val="single"/>
                <w:lang w:val="en-US" w:eastAsia="zh-CN"/>
              </w:rPr>
              <w:t>2025年07月22日（北京时间11 :00分 ）</w:t>
            </w:r>
            <w:r>
              <w:rPr>
                <w:rFonts w:hint="eastAsia" w:ascii="仿宋" w:hAnsi="仿宋" w:eastAsia="仿宋" w:cs="仿宋"/>
                <w:color w:val="auto"/>
                <w:sz w:val="28"/>
                <w:szCs w:val="28"/>
                <w:highlight w:val="none"/>
                <w:lang w:val="en-US" w:eastAsia="zh-CN"/>
              </w:rPr>
              <w:t>。</w:t>
            </w:r>
          </w:p>
          <w:p w14:paraId="61A86E93">
            <w:pPr>
              <w:keepNext w:val="0"/>
              <w:keepLines w:val="0"/>
              <w:pageBreakBefore w:val="0"/>
              <w:widowControl/>
              <w:kinsoku/>
              <w:wordWrap/>
              <w:overflowPunct/>
              <w:topLinePunct w:val="0"/>
              <w:bidi w:val="0"/>
              <w:snapToGrid/>
              <w:spacing w:line="390" w:lineRule="exact"/>
              <w:ind w:right="0" w:rightChars="0"/>
              <w:jc w:val="left"/>
              <w:textAlignment w:val="auto"/>
              <w:rPr>
                <w:rFonts w:hint="eastAsia"/>
                <w:color w:val="auto"/>
                <w:sz w:val="28"/>
                <w:szCs w:val="28"/>
                <w:highlight w:val="none"/>
                <w:lang w:eastAsia="zh-CN"/>
              </w:rPr>
            </w:pPr>
            <w:r>
              <w:rPr>
                <w:rFonts w:hint="eastAsia" w:ascii="仿宋" w:hAnsi="仿宋" w:eastAsia="仿宋" w:cs="仿宋"/>
                <w:color w:val="auto"/>
                <w:sz w:val="28"/>
                <w:szCs w:val="28"/>
                <w:highlight w:val="none"/>
                <w:lang w:val="zh-CN" w:eastAsia="zh-CN"/>
              </w:rPr>
              <w:t>递交投标文件地点：请登录政采云投标客户端，在截止时间前将加密的电子投标文件上传到新疆政府采购网对应的位置（逾期上传或者未上传指定地点的投标文件，采购人不予受理）</w:t>
            </w:r>
          </w:p>
        </w:tc>
      </w:tr>
      <w:tr w14:paraId="34C53FB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62" w:hRule="atLeast"/>
          <w:jc w:val="center"/>
        </w:trPr>
        <w:tc>
          <w:tcPr>
            <w:tcW w:w="811" w:type="dxa"/>
            <w:tcBorders>
              <w:top w:val="single" w:color="auto" w:sz="8" w:space="0"/>
              <w:bottom w:val="single" w:color="auto" w:sz="8" w:space="0"/>
              <w:right w:val="single" w:color="auto" w:sz="8" w:space="0"/>
            </w:tcBorders>
            <w:noWrap w:val="0"/>
            <w:vAlign w:val="center"/>
          </w:tcPr>
          <w:p w14:paraId="1ABCC6A0">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73D7448">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开标时间</w:t>
            </w:r>
            <w:r>
              <w:rPr>
                <w:rFonts w:hint="eastAsia" w:ascii="仿宋" w:hAnsi="仿宋" w:eastAsia="仿宋" w:cs="仿宋"/>
                <w:b w:val="0"/>
                <w:bCs w:val="0"/>
                <w:color w:val="auto"/>
                <w:sz w:val="28"/>
                <w:szCs w:val="28"/>
                <w:highlight w:val="none"/>
                <w:lang w:val="en-US" w:eastAsia="zh-CN"/>
              </w:rPr>
              <w:t>及开标地点</w:t>
            </w:r>
          </w:p>
        </w:tc>
        <w:tc>
          <w:tcPr>
            <w:tcW w:w="7157" w:type="dxa"/>
            <w:tcBorders>
              <w:top w:val="single" w:color="auto" w:sz="8" w:space="0"/>
              <w:left w:val="single" w:color="auto" w:sz="8" w:space="0"/>
              <w:bottom w:val="single" w:color="auto" w:sz="8" w:space="0"/>
            </w:tcBorders>
            <w:noWrap w:val="0"/>
            <w:vAlign w:val="center"/>
          </w:tcPr>
          <w:p w14:paraId="340C96A4">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eastAsia="zh-CN"/>
              </w:rPr>
              <w:t>开标时间：</w:t>
            </w:r>
            <w:r>
              <w:rPr>
                <w:rFonts w:hint="eastAsia" w:ascii="仿宋" w:hAnsi="仿宋" w:eastAsia="仿宋" w:cs="仿宋"/>
                <w:color w:val="auto"/>
                <w:sz w:val="28"/>
                <w:szCs w:val="28"/>
                <w:highlight w:val="none"/>
                <w:u w:val="single"/>
                <w:lang w:val="zh-CN" w:eastAsia="zh-CN"/>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val="zh-CN" w:eastAsia="zh-CN"/>
              </w:rPr>
              <w:t>年</w:t>
            </w:r>
            <w:r>
              <w:rPr>
                <w:rFonts w:hint="eastAsia" w:ascii="仿宋" w:hAnsi="仿宋" w:eastAsia="仿宋" w:cs="仿宋"/>
                <w:color w:val="auto"/>
                <w:sz w:val="28"/>
                <w:szCs w:val="28"/>
                <w:highlight w:val="none"/>
                <w:u w:val="single"/>
                <w:lang w:val="en-US" w:eastAsia="zh-CN"/>
              </w:rPr>
              <w:t>07</w:t>
            </w:r>
            <w:r>
              <w:rPr>
                <w:rFonts w:hint="eastAsia" w:ascii="仿宋" w:hAnsi="仿宋" w:eastAsia="仿宋" w:cs="仿宋"/>
                <w:color w:val="auto"/>
                <w:sz w:val="28"/>
                <w:szCs w:val="28"/>
                <w:highlight w:val="none"/>
                <w:u w:val="single"/>
                <w:lang w:val="zh-CN" w:eastAsia="zh-CN"/>
              </w:rPr>
              <w:t>月</w:t>
            </w:r>
            <w:r>
              <w:rPr>
                <w:rFonts w:hint="eastAsia" w:ascii="仿宋" w:hAnsi="仿宋" w:eastAsia="仿宋" w:cs="仿宋"/>
                <w:color w:val="auto"/>
                <w:sz w:val="28"/>
                <w:szCs w:val="28"/>
                <w:highlight w:val="none"/>
                <w:u w:val="single"/>
                <w:lang w:val="en-US" w:eastAsia="zh-CN"/>
              </w:rPr>
              <w:t>22</w:t>
            </w:r>
            <w:r>
              <w:rPr>
                <w:rFonts w:hint="eastAsia" w:ascii="仿宋" w:hAnsi="仿宋" w:eastAsia="仿宋" w:cs="仿宋"/>
                <w:color w:val="auto"/>
                <w:sz w:val="28"/>
                <w:szCs w:val="28"/>
                <w:highlight w:val="none"/>
                <w:u w:val="single"/>
                <w:lang w:val="zh-CN" w:eastAsia="zh-CN"/>
              </w:rPr>
              <w:t>日（北京时间</w:t>
            </w:r>
            <w:r>
              <w:rPr>
                <w:rFonts w:hint="eastAsia" w:ascii="仿宋" w:hAnsi="仿宋" w:eastAsia="仿宋" w:cs="仿宋"/>
                <w:color w:val="auto"/>
                <w:sz w:val="28"/>
                <w:szCs w:val="28"/>
                <w:highlight w:val="none"/>
                <w:u w:val="single"/>
                <w:lang w:val="en-US" w:eastAsia="zh-CN"/>
              </w:rPr>
              <w:t>11</w:t>
            </w:r>
            <w:r>
              <w:rPr>
                <w:rFonts w:hint="eastAsia" w:ascii="仿宋" w:hAnsi="仿宋" w:eastAsia="仿宋" w:cs="仿宋"/>
                <w:color w:val="auto"/>
                <w:sz w:val="28"/>
                <w:szCs w:val="28"/>
                <w:highlight w:val="none"/>
                <w:u w:val="single"/>
                <w:lang w:val="zh-CN" w:eastAsia="zh-CN"/>
              </w:rPr>
              <w:t>:</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lang w:val="zh-CN" w:eastAsia="zh-CN"/>
              </w:rPr>
              <w:t>0分）</w:t>
            </w:r>
            <w:r>
              <w:rPr>
                <w:rFonts w:hint="eastAsia" w:ascii="仿宋" w:hAnsi="仿宋" w:eastAsia="仿宋" w:cs="仿宋"/>
                <w:color w:val="auto"/>
                <w:sz w:val="28"/>
                <w:szCs w:val="28"/>
                <w:highlight w:val="none"/>
                <w:lang w:val="zh-CN" w:eastAsia="zh-CN"/>
              </w:rPr>
              <w:t>　　　    　</w:t>
            </w:r>
          </w:p>
          <w:p w14:paraId="5E2ECFDE">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开标地点</w:t>
            </w:r>
            <w:r>
              <w:rPr>
                <w:rFonts w:hint="eastAsia" w:ascii="仿宋" w:hAnsi="仿宋" w:eastAsia="仿宋" w:cs="仿宋"/>
                <w:color w:val="auto"/>
                <w:sz w:val="28"/>
                <w:szCs w:val="28"/>
                <w:highlight w:val="none"/>
                <w:lang w:val="zh-CN" w:eastAsia="zh-CN"/>
              </w:rPr>
              <w:t>：政采云平台（http://www.ccgp-xinjiang.gov.cn/）</w:t>
            </w:r>
          </w:p>
          <w:p w14:paraId="7E060640">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eastAsia="zh-CN"/>
              </w:rPr>
              <w:t>开标时间后30分钟内供应商可以登录“政采云”平台，用“项目采购-开标评标”功能进行解密响应文件，解密时长为：30分钟。</w:t>
            </w:r>
          </w:p>
        </w:tc>
      </w:tr>
      <w:tr w14:paraId="38C87ED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811" w:type="dxa"/>
            <w:tcBorders>
              <w:top w:val="single" w:color="auto" w:sz="8" w:space="0"/>
              <w:bottom w:val="single" w:color="auto" w:sz="8" w:space="0"/>
              <w:right w:val="single" w:color="auto" w:sz="8" w:space="0"/>
            </w:tcBorders>
            <w:noWrap w:val="0"/>
            <w:vAlign w:val="center"/>
          </w:tcPr>
          <w:p w14:paraId="7FBF2CFF">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395FA14E">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考察现场、标前答疑会</w:t>
            </w:r>
          </w:p>
        </w:tc>
        <w:tc>
          <w:tcPr>
            <w:tcW w:w="7157" w:type="dxa"/>
            <w:tcBorders>
              <w:top w:val="single" w:color="auto" w:sz="8" w:space="0"/>
              <w:left w:val="single" w:color="auto" w:sz="8" w:space="0"/>
              <w:bottom w:val="single" w:color="auto" w:sz="8" w:space="0"/>
            </w:tcBorders>
            <w:noWrap w:val="0"/>
            <w:vAlign w:val="center"/>
          </w:tcPr>
          <w:p w14:paraId="3D61C19C">
            <w:pPr>
              <w:pStyle w:val="35"/>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sym w:font="Wingdings 2" w:char="0052"/>
            </w:r>
            <w:r>
              <w:rPr>
                <w:rFonts w:hint="eastAsia" w:ascii="仿宋" w:hAnsi="仿宋" w:eastAsia="仿宋" w:cs="仿宋"/>
                <w:color w:val="auto"/>
                <w:sz w:val="28"/>
                <w:szCs w:val="28"/>
                <w:highlight w:val="none"/>
                <w:lang w:val="zh-CN"/>
              </w:rPr>
              <w:t>不组织</w:t>
            </w:r>
          </w:p>
          <w:p w14:paraId="44810400">
            <w:pPr>
              <w:pStyle w:val="35"/>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□组织，时间、地点另行书面通知</w:t>
            </w:r>
          </w:p>
        </w:tc>
      </w:tr>
      <w:tr w14:paraId="0134A1D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11" w:type="dxa"/>
            <w:tcBorders>
              <w:top w:val="single" w:color="auto" w:sz="8" w:space="0"/>
              <w:bottom w:val="single" w:color="auto" w:sz="8" w:space="0"/>
              <w:right w:val="single" w:color="auto" w:sz="8" w:space="0"/>
            </w:tcBorders>
            <w:noWrap w:val="0"/>
            <w:vAlign w:val="center"/>
          </w:tcPr>
          <w:p w14:paraId="6B647503">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2B7C05F">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转包与分包履约</w:t>
            </w:r>
          </w:p>
        </w:tc>
        <w:tc>
          <w:tcPr>
            <w:tcW w:w="7157" w:type="dxa"/>
            <w:tcBorders>
              <w:top w:val="single" w:color="auto" w:sz="8" w:space="0"/>
              <w:left w:val="single" w:color="auto" w:sz="8" w:space="0"/>
              <w:bottom w:val="single" w:color="auto" w:sz="8" w:space="0"/>
            </w:tcBorders>
            <w:noWrap w:val="0"/>
            <w:vAlign w:val="center"/>
          </w:tcPr>
          <w:p w14:paraId="5672F732">
            <w:pPr>
              <w:pStyle w:val="35"/>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不得转包</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rPr>
              <w:t>不允许分包。</w:t>
            </w:r>
          </w:p>
        </w:tc>
      </w:tr>
      <w:tr w14:paraId="399AAC4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306" w:hRule="atLeast"/>
          <w:jc w:val="center"/>
        </w:trPr>
        <w:tc>
          <w:tcPr>
            <w:tcW w:w="811" w:type="dxa"/>
            <w:tcBorders>
              <w:top w:val="single" w:color="auto" w:sz="8" w:space="0"/>
              <w:bottom w:val="single" w:color="auto" w:sz="8" w:space="0"/>
              <w:right w:val="single" w:color="auto" w:sz="8" w:space="0"/>
            </w:tcBorders>
            <w:noWrap w:val="0"/>
            <w:vAlign w:val="center"/>
          </w:tcPr>
          <w:p w14:paraId="1A397F58">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1CBDCA7B">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付款方式</w:t>
            </w:r>
          </w:p>
        </w:tc>
        <w:tc>
          <w:tcPr>
            <w:tcW w:w="7157" w:type="dxa"/>
            <w:tcBorders>
              <w:top w:val="single" w:color="auto" w:sz="8" w:space="0"/>
              <w:left w:val="single" w:color="auto" w:sz="8" w:space="0"/>
              <w:bottom w:val="single" w:color="auto" w:sz="8" w:space="0"/>
            </w:tcBorders>
            <w:noWrap w:val="0"/>
            <w:vAlign w:val="center"/>
          </w:tcPr>
          <w:p w14:paraId="75DA9279">
            <w:pPr>
              <w:keepNext w:val="0"/>
              <w:keepLines w:val="0"/>
              <w:widowControl/>
              <w:suppressLineNumbers w:val="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第一标段：</w:t>
            </w:r>
            <w:r>
              <w:rPr>
                <w:rFonts w:hint="eastAsia" w:ascii="仿宋" w:hAnsi="仿宋" w:eastAsia="仿宋" w:cs="仿宋"/>
                <w:color w:val="auto"/>
                <w:sz w:val="28"/>
                <w:szCs w:val="28"/>
                <w:highlight w:val="none"/>
                <w:lang w:val="en-US" w:eastAsia="zh-CN"/>
              </w:rPr>
              <w:t>支付比例100%,①计费方式：结算价=参考单价×实际数量×报价统一平均折扣率，不得借故加价或要求任何附加费用。②结算时间：每季度结算一次；③结算依据：以每次提供的货物清单、增值税专用发票为准，采购人在收到中标人的上述凭证后，15天内办理支付手续。</w:t>
            </w:r>
            <w:r>
              <w:rPr>
                <w:rFonts w:hint="eastAsia" w:ascii="仿宋" w:hAnsi="仿宋" w:eastAsia="仿宋" w:cs="仿宋"/>
                <w:b/>
                <w:bCs/>
                <w:color w:val="auto"/>
                <w:sz w:val="28"/>
                <w:szCs w:val="28"/>
                <w:highlight w:val="none"/>
                <w:lang w:val="en-US" w:eastAsia="zh-CN"/>
              </w:rPr>
              <w:t>（备注：</w:t>
            </w:r>
            <w:r>
              <w:rPr>
                <w:rFonts w:hint="eastAsia" w:ascii="仿宋" w:hAnsi="仿宋" w:eastAsia="仿宋" w:cs="仿宋"/>
                <w:b/>
                <w:bCs/>
                <w:color w:val="auto"/>
                <w:kern w:val="0"/>
                <w:sz w:val="28"/>
                <w:szCs w:val="28"/>
                <w:highlight w:val="none"/>
                <w:lang w:val="en-US" w:eastAsia="zh-CN" w:bidi="ar-SA"/>
              </w:rPr>
              <w:t>最终付款方式以和甲方单位签订合同为主。</w:t>
            </w:r>
            <w:r>
              <w:rPr>
                <w:rFonts w:hint="eastAsia" w:ascii="仿宋" w:hAnsi="仿宋" w:eastAsia="仿宋" w:cs="仿宋"/>
                <w:b/>
                <w:bCs/>
                <w:color w:val="auto"/>
                <w:sz w:val="28"/>
                <w:szCs w:val="28"/>
                <w:highlight w:val="none"/>
                <w:lang w:val="en-US" w:eastAsia="zh-CN"/>
              </w:rPr>
              <w:t>）</w:t>
            </w:r>
          </w:p>
          <w:p w14:paraId="5A32E48F">
            <w:pPr>
              <w:keepNext w:val="0"/>
              <w:keepLines w:val="0"/>
              <w:widowControl/>
              <w:suppressLineNumbers w:val="0"/>
              <w:jc w:val="left"/>
              <w:rPr>
                <w:rFonts w:hint="eastAsia"/>
                <w:color w:val="auto"/>
                <w:sz w:val="28"/>
                <w:szCs w:val="28"/>
                <w:highlight w:val="none"/>
                <w:lang w:val="zh-CN"/>
              </w:rPr>
            </w:pPr>
            <w:r>
              <w:rPr>
                <w:rFonts w:hint="eastAsia" w:ascii="仿宋" w:hAnsi="仿宋" w:eastAsia="仿宋" w:cs="仿宋"/>
                <w:b/>
                <w:bCs/>
                <w:color w:val="auto"/>
                <w:sz w:val="28"/>
                <w:szCs w:val="28"/>
                <w:highlight w:val="none"/>
                <w:lang w:val="en-US" w:eastAsia="zh-CN"/>
              </w:rPr>
              <w:t>第二标段：</w:t>
            </w:r>
            <w:r>
              <w:rPr>
                <w:rFonts w:hint="eastAsia" w:ascii="仿宋" w:hAnsi="仿宋" w:eastAsia="仿宋" w:cs="仿宋"/>
                <w:color w:val="auto"/>
                <w:kern w:val="2"/>
                <w:sz w:val="28"/>
                <w:szCs w:val="28"/>
                <w:highlight w:val="none"/>
                <w:lang w:val="en-US" w:eastAsia="zh-CN" w:bidi="ar-SA"/>
              </w:rPr>
              <w:t>支付比例100%,①计费方式：结算价=实际人数</w:t>
            </w:r>
            <w:r>
              <w:rPr>
                <w:rFonts w:hint="default" w:ascii="仿宋" w:hAnsi="仿宋" w:eastAsia="仿宋" w:cs="仿宋"/>
                <w:color w:val="auto"/>
                <w:kern w:val="2"/>
                <w:sz w:val="28"/>
                <w:szCs w:val="28"/>
                <w:highlight w:val="none"/>
                <w:lang w:val="en-US" w:eastAsia="zh-CN" w:bidi="ar-SA"/>
              </w:rPr>
              <w:t>×</w:t>
            </w:r>
            <w:r>
              <w:rPr>
                <w:rFonts w:hint="eastAsia" w:ascii="仿宋" w:hAnsi="仿宋" w:eastAsia="仿宋" w:cs="仿宋"/>
                <w:color w:val="auto"/>
                <w:kern w:val="2"/>
                <w:sz w:val="28"/>
                <w:szCs w:val="28"/>
                <w:highlight w:val="none"/>
                <w:lang w:val="en-US" w:eastAsia="zh-CN" w:bidi="ar-SA"/>
              </w:rPr>
              <w:t>实际天数</w:t>
            </w:r>
            <w:r>
              <w:rPr>
                <w:rFonts w:hint="default" w:ascii="仿宋" w:hAnsi="仿宋" w:eastAsia="仿宋" w:cs="仿宋"/>
                <w:color w:val="auto"/>
                <w:kern w:val="2"/>
                <w:sz w:val="28"/>
                <w:szCs w:val="28"/>
                <w:highlight w:val="none"/>
                <w:lang w:val="en-US" w:eastAsia="zh-CN" w:bidi="ar-SA"/>
              </w:rPr>
              <w:t>×</w:t>
            </w:r>
            <w:r>
              <w:rPr>
                <w:rFonts w:hint="eastAsia" w:ascii="仿宋" w:hAnsi="仿宋" w:eastAsia="仿宋" w:cs="仿宋"/>
                <w:color w:val="auto"/>
                <w:kern w:val="2"/>
                <w:sz w:val="28"/>
                <w:szCs w:val="28"/>
                <w:highlight w:val="none"/>
                <w:lang w:val="en-US" w:eastAsia="zh-CN" w:bidi="ar-SA"/>
              </w:rPr>
              <w:t>单价进行结算，</w:t>
            </w:r>
            <w:r>
              <w:rPr>
                <w:rFonts w:hint="eastAsia" w:ascii="仿宋" w:hAnsi="仿宋" w:eastAsia="仿宋" w:cs="仿宋"/>
                <w:color w:val="auto"/>
                <w:sz w:val="28"/>
                <w:szCs w:val="28"/>
                <w:highlight w:val="none"/>
                <w:lang w:val="en-US" w:eastAsia="zh-CN"/>
              </w:rPr>
              <w:t>不得借故加价或要求任何附加费用。②结算时间：每季度结算一次；③结算依据：以每次提供的货物清单、增值税专用发票为准，采购人在收到中标人的上述凭证后，15天内办理支付手续。</w:t>
            </w:r>
            <w:r>
              <w:rPr>
                <w:rFonts w:hint="eastAsia" w:ascii="仿宋" w:hAnsi="仿宋" w:eastAsia="仿宋" w:cs="仿宋"/>
                <w:b/>
                <w:bCs/>
                <w:color w:val="auto"/>
                <w:sz w:val="28"/>
                <w:szCs w:val="28"/>
                <w:highlight w:val="none"/>
                <w:lang w:val="en-US" w:eastAsia="zh-CN"/>
              </w:rPr>
              <w:t>（备注：</w:t>
            </w:r>
            <w:r>
              <w:rPr>
                <w:rFonts w:hint="eastAsia" w:ascii="仿宋" w:hAnsi="仿宋" w:eastAsia="仿宋" w:cs="仿宋"/>
                <w:b/>
                <w:bCs/>
                <w:color w:val="auto"/>
                <w:kern w:val="0"/>
                <w:sz w:val="28"/>
                <w:szCs w:val="28"/>
                <w:highlight w:val="none"/>
                <w:lang w:val="en-US" w:eastAsia="zh-CN" w:bidi="ar-SA"/>
              </w:rPr>
              <w:t>最终付款方式以和甲方单位签订合同为主。</w:t>
            </w:r>
            <w:r>
              <w:rPr>
                <w:rFonts w:hint="eastAsia" w:ascii="仿宋" w:hAnsi="仿宋" w:eastAsia="仿宋" w:cs="仿宋"/>
                <w:b/>
                <w:bCs/>
                <w:color w:val="auto"/>
                <w:sz w:val="28"/>
                <w:szCs w:val="28"/>
                <w:highlight w:val="none"/>
                <w:lang w:val="en-US" w:eastAsia="zh-CN"/>
              </w:rPr>
              <w:t>）</w:t>
            </w:r>
          </w:p>
        </w:tc>
      </w:tr>
      <w:tr w14:paraId="3DD1310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72" w:hRule="atLeast"/>
          <w:jc w:val="center"/>
        </w:trPr>
        <w:tc>
          <w:tcPr>
            <w:tcW w:w="811" w:type="dxa"/>
            <w:tcBorders>
              <w:top w:val="single" w:color="auto" w:sz="8" w:space="0"/>
              <w:bottom w:val="single" w:color="auto" w:sz="8" w:space="0"/>
              <w:right w:val="single" w:color="auto" w:sz="8" w:space="0"/>
            </w:tcBorders>
            <w:noWrap w:val="0"/>
            <w:vAlign w:val="center"/>
          </w:tcPr>
          <w:p w14:paraId="6D2BE8A7">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6EC5AB0">
            <w:pPr>
              <w:pStyle w:val="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招标文件澄清</w:t>
            </w:r>
          </w:p>
          <w:p w14:paraId="58C4D58F">
            <w:pPr>
              <w:pStyle w:val="2"/>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或修改时间、形式</w:t>
            </w:r>
          </w:p>
        </w:tc>
        <w:tc>
          <w:tcPr>
            <w:tcW w:w="7157" w:type="dxa"/>
            <w:tcBorders>
              <w:top w:val="single" w:color="auto" w:sz="8" w:space="0"/>
              <w:left w:val="single" w:color="auto" w:sz="8" w:space="0"/>
              <w:bottom w:val="single" w:color="auto" w:sz="8" w:space="0"/>
            </w:tcBorders>
            <w:noWrap w:val="0"/>
            <w:vAlign w:val="center"/>
          </w:tcPr>
          <w:p w14:paraId="00D144F3">
            <w:pPr>
              <w:pStyle w:val="2"/>
              <w:keepNext w:val="0"/>
              <w:keepLines w:val="0"/>
              <w:pageBreakBefore w:val="0"/>
              <w:kinsoku/>
              <w:wordWrap/>
              <w:overflowPunct/>
              <w:topLinePunct w:val="0"/>
              <w:bidi w:val="0"/>
              <w:snapToGrid/>
              <w:spacing w:line="390" w:lineRule="exact"/>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rPr>
              <w:t>时间：</w:t>
            </w:r>
            <w:r>
              <w:rPr>
                <w:rFonts w:hint="eastAsia" w:ascii="仿宋" w:hAnsi="仿宋" w:eastAsia="仿宋" w:cs="仿宋"/>
                <w:color w:val="auto"/>
                <w:sz w:val="28"/>
                <w:szCs w:val="28"/>
                <w:highlight w:val="none"/>
              </w:rPr>
              <w:t>递交投标文件</w:t>
            </w:r>
            <w:r>
              <w:rPr>
                <w:rFonts w:hint="eastAsia" w:ascii="仿宋" w:hAnsi="仿宋" w:eastAsia="仿宋" w:cs="仿宋"/>
                <w:color w:val="auto"/>
                <w:sz w:val="28"/>
                <w:szCs w:val="28"/>
                <w:highlight w:val="none"/>
                <w:lang w:eastAsia="zh-CN"/>
              </w:rPr>
              <w:t>截止</w:t>
            </w:r>
            <w:r>
              <w:rPr>
                <w:rFonts w:hint="eastAsia" w:ascii="仿宋" w:hAnsi="仿宋" w:eastAsia="仿宋" w:cs="仿宋"/>
                <w:color w:val="auto"/>
                <w:sz w:val="28"/>
                <w:szCs w:val="28"/>
                <w:highlight w:val="none"/>
              </w:rPr>
              <w:t>时间15日前</w:t>
            </w:r>
            <w:r>
              <w:rPr>
                <w:rFonts w:hint="eastAsia" w:ascii="仿宋" w:hAnsi="仿宋" w:eastAsia="仿宋" w:cs="仿宋"/>
                <w:color w:val="auto"/>
                <w:sz w:val="28"/>
                <w:szCs w:val="28"/>
                <w:highlight w:val="none"/>
                <w:lang w:val="en-US" w:eastAsia="zh-CN"/>
              </w:rPr>
              <w:t>。</w:t>
            </w:r>
          </w:p>
          <w:p w14:paraId="03EE6614">
            <w:pPr>
              <w:pStyle w:val="2"/>
              <w:keepNext w:val="0"/>
              <w:keepLines w:val="0"/>
              <w:pageBreakBefore w:val="0"/>
              <w:kinsoku/>
              <w:wordWrap/>
              <w:overflowPunct/>
              <w:topLinePunct w:val="0"/>
              <w:bidi w:val="0"/>
              <w:snapToGrid/>
              <w:spacing w:line="390" w:lineRule="exact"/>
              <w:ind w:left="0" w:leftChars="0" w:right="0" w:rightChars="0" w:firstLine="0" w:firstLineChars="0"/>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形式：</w:t>
            </w:r>
            <w:r>
              <w:rPr>
                <w:rFonts w:hint="eastAsia" w:ascii="仿宋" w:hAnsi="仿宋" w:eastAsia="仿宋" w:cs="仿宋"/>
                <w:color w:val="auto"/>
                <w:sz w:val="28"/>
                <w:szCs w:val="28"/>
                <w:highlight w:val="none"/>
                <w:lang w:eastAsia="zh-CN"/>
              </w:rPr>
              <w:t>政采云平</w:t>
            </w:r>
            <w:r>
              <w:rPr>
                <w:rFonts w:hint="eastAsia" w:ascii="仿宋" w:hAnsi="仿宋" w:eastAsia="仿宋" w:cs="仿宋"/>
                <w:color w:val="auto"/>
                <w:sz w:val="28"/>
                <w:szCs w:val="28"/>
                <w:highlight w:val="none"/>
                <w:lang w:val="en-US" w:eastAsia="zh-CN"/>
              </w:rPr>
              <w:t>台发布更正澄清公告</w:t>
            </w:r>
            <w:r>
              <w:rPr>
                <w:rFonts w:hint="eastAsia" w:ascii="仿宋" w:hAnsi="仿宋" w:eastAsia="仿宋" w:cs="仿宋"/>
                <w:color w:val="auto"/>
                <w:sz w:val="28"/>
                <w:szCs w:val="28"/>
                <w:highlight w:val="none"/>
                <w:lang w:eastAsia="zh-CN"/>
              </w:rPr>
              <w:t>。</w:t>
            </w:r>
          </w:p>
        </w:tc>
      </w:tr>
      <w:tr w14:paraId="1026372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bottom w:val="single" w:color="auto" w:sz="8" w:space="0"/>
              <w:right w:val="single" w:color="auto" w:sz="8" w:space="0"/>
            </w:tcBorders>
            <w:noWrap w:val="0"/>
            <w:vAlign w:val="center"/>
          </w:tcPr>
          <w:p w14:paraId="7F121EDF">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BC9D464">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构成招标文件的</w:t>
            </w:r>
          </w:p>
          <w:p w14:paraId="04E44EEB">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其他文件</w:t>
            </w:r>
          </w:p>
        </w:tc>
        <w:tc>
          <w:tcPr>
            <w:tcW w:w="7157" w:type="dxa"/>
            <w:tcBorders>
              <w:top w:val="single" w:color="auto" w:sz="8" w:space="0"/>
              <w:left w:val="single" w:color="auto" w:sz="8" w:space="0"/>
              <w:bottom w:val="single" w:color="auto" w:sz="8" w:space="0"/>
            </w:tcBorders>
            <w:noWrap w:val="0"/>
            <w:vAlign w:val="center"/>
          </w:tcPr>
          <w:p w14:paraId="1E88C0D0">
            <w:pPr>
              <w:pStyle w:val="35"/>
              <w:keepNext w:val="0"/>
              <w:keepLines w:val="0"/>
              <w:pageBreakBefore w:val="0"/>
              <w:widowControl w:val="0"/>
              <w:kinsoku/>
              <w:wordWrap/>
              <w:overflowPunct/>
              <w:topLinePunct w:val="0"/>
              <w:autoSpaceDE w:val="0"/>
              <w:autoSpaceDN w:val="0"/>
              <w:bidi w:val="0"/>
              <w:adjustRightInd w:val="0"/>
              <w:snapToGrid/>
              <w:spacing w:line="390" w:lineRule="exact"/>
              <w:ind w:right="0" w:rightChars="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rPr>
              <w:t>招标文件的澄清</w:t>
            </w:r>
            <w:r>
              <w:rPr>
                <w:rFonts w:hint="eastAsia" w:ascii="仿宋" w:hAnsi="仿宋" w:eastAsia="仿宋" w:cs="仿宋"/>
                <w:color w:val="auto"/>
                <w:sz w:val="28"/>
                <w:szCs w:val="28"/>
                <w:highlight w:val="none"/>
              </w:rPr>
              <w:t>、修改及有关补充通知为招标文件的有效组成部分</w:t>
            </w:r>
            <w:r>
              <w:rPr>
                <w:rFonts w:hint="eastAsia" w:ascii="仿宋" w:hAnsi="仿宋" w:eastAsia="仿宋" w:cs="仿宋"/>
                <w:color w:val="auto"/>
                <w:sz w:val="28"/>
                <w:szCs w:val="28"/>
                <w:highlight w:val="none"/>
                <w:lang w:eastAsia="zh-CN"/>
              </w:rPr>
              <w:t>。</w:t>
            </w:r>
          </w:p>
        </w:tc>
      </w:tr>
      <w:tr w14:paraId="7F4366A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bottom w:val="single" w:color="auto" w:sz="8" w:space="0"/>
              <w:right w:val="single" w:color="auto" w:sz="8" w:space="0"/>
            </w:tcBorders>
            <w:noWrap w:val="0"/>
            <w:vAlign w:val="center"/>
          </w:tcPr>
          <w:p w14:paraId="5A9024B1">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21ACAF8F">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投标人对招标文件提出质疑的时间、形式</w:t>
            </w:r>
          </w:p>
        </w:tc>
        <w:tc>
          <w:tcPr>
            <w:tcW w:w="7157" w:type="dxa"/>
            <w:tcBorders>
              <w:top w:val="single" w:color="auto" w:sz="8" w:space="0"/>
              <w:left w:val="single" w:color="auto" w:sz="8" w:space="0"/>
              <w:bottom w:val="single" w:color="auto" w:sz="8" w:space="0"/>
            </w:tcBorders>
            <w:noWrap w:val="0"/>
            <w:vAlign w:val="center"/>
          </w:tcPr>
          <w:p w14:paraId="6495FCA6">
            <w:pPr>
              <w:pStyle w:val="35"/>
              <w:keepNext w:val="0"/>
              <w:keepLines w:val="0"/>
              <w:pageBreakBefore w:val="0"/>
              <w:widowControl w:val="0"/>
              <w:kinsoku/>
              <w:wordWrap/>
              <w:overflowPunct/>
              <w:topLinePunct w:val="0"/>
              <w:autoSpaceDE w:val="0"/>
              <w:autoSpaceDN w:val="0"/>
              <w:bidi w:val="0"/>
              <w:adjustRightInd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时间：自投标人收到招标文件之日起7个工作日内，超过期限的采购人或采购代理机构不再受理。</w:t>
            </w:r>
          </w:p>
          <w:p w14:paraId="24AD9154">
            <w:pPr>
              <w:pStyle w:val="35"/>
              <w:keepNext w:val="0"/>
              <w:keepLines w:val="0"/>
              <w:pageBreakBefore w:val="0"/>
              <w:widowControl w:val="0"/>
              <w:kinsoku/>
              <w:wordWrap/>
              <w:overflowPunct/>
              <w:topLinePunct w:val="0"/>
              <w:autoSpaceDE w:val="0"/>
              <w:autoSpaceDN w:val="0"/>
              <w:bidi w:val="0"/>
              <w:adjustRightInd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形式：书面形式。</w:t>
            </w:r>
          </w:p>
        </w:tc>
      </w:tr>
      <w:tr w14:paraId="56F3836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239" w:hRule="exact"/>
          <w:jc w:val="center"/>
        </w:trPr>
        <w:tc>
          <w:tcPr>
            <w:tcW w:w="811" w:type="dxa"/>
            <w:tcBorders>
              <w:top w:val="single" w:color="auto" w:sz="8" w:space="0"/>
              <w:bottom w:val="single" w:color="auto" w:sz="8" w:space="0"/>
              <w:right w:val="single" w:color="auto" w:sz="8" w:space="0"/>
            </w:tcBorders>
            <w:noWrap w:val="0"/>
            <w:vAlign w:val="center"/>
          </w:tcPr>
          <w:p w14:paraId="01E8AF01">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038FEC5B">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对投标人提出质疑答复时间、形式</w:t>
            </w:r>
          </w:p>
        </w:tc>
        <w:tc>
          <w:tcPr>
            <w:tcW w:w="7157" w:type="dxa"/>
            <w:tcBorders>
              <w:top w:val="single" w:color="auto" w:sz="8" w:space="0"/>
              <w:left w:val="single" w:color="auto" w:sz="8" w:space="0"/>
              <w:bottom w:val="single" w:color="auto" w:sz="8" w:space="0"/>
            </w:tcBorders>
            <w:noWrap w:val="0"/>
            <w:vAlign w:val="center"/>
          </w:tcPr>
          <w:p w14:paraId="585CCACB">
            <w:pPr>
              <w:pStyle w:val="35"/>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时间：自收到投标人质疑函之日起7个工作日内。</w:t>
            </w:r>
          </w:p>
          <w:p w14:paraId="55CD744F">
            <w:pPr>
              <w:pStyle w:val="35"/>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形式：书面形式。</w:t>
            </w:r>
          </w:p>
        </w:tc>
      </w:tr>
      <w:tr w14:paraId="6AAE066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45" w:hRule="exact"/>
          <w:jc w:val="center"/>
        </w:trPr>
        <w:tc>
          <w:tcPr>
            <w:tcW w:w="811" w:type="dxa"/>
            <w:tcBorders>
              <w:top w:val="single" w:color="auto" w:sz="8" w:space="0"/>
              <w:bottom w:val="single" w:color="auto" w:sz="8" w:space="0"/>
              <w:right w:val="single" w:color="auto" w:sz="8" w:space="0"/>
            </w:tcBorders>
            <w:noWrap w:val="0"/>
            <w:vAlign w:val="center"/>
          </w:tcPr>
          <w:p w14:paraId="39BCF9F2">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25</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31E0C8A4">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投标响应文件有效期</w:t>
            </w:r>
          </w:p>
        </w:tc>
        <w:tc>
          <w:tcPr>
            <w:tcW w:w="7157" w:type="dxa"/>
            <w:tcBorders>
              <w:top w:val="single" w:color="auto" w:sz="8" w:space="0"/>
              <w:left w:val="single" w:color="auto" w:sz="8" w:space="0"/>
              <w:bottom w:val="single" w:color="auto" w:sz="8" w:space="0"/>
            </w:tcBorders>
            <w:noWrap w:val="0"/>
            <w:vAlign w:val="center"/>
          </w:tcPr>
          <w:p w14:paraId="46393149">
            <w:pPr>
              <w:pStyle w:val="35"/>
              <w:keepNext w:val="0"/>
              <w:keepLines w:val="0"/>
              <w:pageBreakBefore w:val="0"/>
              <w:kinsoku/>
              <w:wordWrap/>
              <w:overflowPunct/>
              <w:topLinePunct w:val="0"/>
              <w:bidi w:val="0"/>
              <w:snapToGrid/>
              <w:spacing w:line="390" w:lineRule="exact"/>
              <w:ind w:right="0" w:right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从投标截止日起90</w:t>
            </w:r>
            <w:r>
              <w:rPr>
                <w:rFonts w:hint="eastAsia" w:ascii="仿宋" w:hAnsi="仿宋" w:eastAsia="仿宋" w:cs="仿宋"/>
                <w:color w:val="auto"/>
                <w:sz w:val="28"/>
                <w:szCs w:val="28"/>
                <w:highlight w:val="none"/>
              </w:rPr>
              <w:t>日历</w:t>
            </w:r>
            <w:r>
              <w:rPr>
                <w:rFonts w:hint="eastAsia" w:ascii="仿宋" w:hAnsi="仿宋" w:eastAsia="仿宋" w:cs="仿宋"/>
                <w:color w:val="auto"/>
                <w:sz w:val="28"/>
                <w:szCs w:val="28"/>
                <w:highlight w:val="none"/>
                <w:lang w:val="zh-CN"/>
              </w:rPr>
              <w:t>日</w:t>
            </w:r>
          </w:p>
        </w:tc>
      </w:tr>
      <w:tr w14:paraId="0DE12944">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65" w:hRule="exact"/>
          <w:jc w:val="center"/>
        </w:trPr>
        <w:tc>
          <w:tcPr>
            <w:tcW w:w="811" w:type="dxa"/>
            <w:tcBorders>
              <w:top w:val="single" w:color="auto" w:sz="8" w:space="0"/>
              <w:bottom w:val="single" w:color="auto" w:sz="8" w:space="0"/>
              <w:right w:val="single" w:color="auto" w:sz="8" w:space="0"/>
            </w:tcBorders>
            <w:noWrap w:val="0"/>
            <w:vAlign w:val="center"/>
          </w:tcPr>
          <w:p w14:paraId="05E14F86">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26</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4320C478">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是否允许递交多个</w:t>
            </w:r>
          </w:p>
          <w:p w14:paraId="247DBA8E">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备选投标方案</w:t>
            </w:r>
          </w:p>
        </w:tc>
        <w:tc>
          <w:tcPr>
            <w:tcW w:w="7157" w:type="dxa"/>
            <w:tcBorders>
              <w:top w:val="single" w:color="auto" w:sz="8" w:space="0"/>
              <w:left w:val="single" w:color="auto" w:sz="8" w:space="0"/>
              <w:bottom w:val="single" w:color="auto" w:sz="8" w:space="0"/>
            </w:tcBorders>
            <w:noWrap w:val="0"/>
            <w:vAlign w:val="center"/>
          </w:tcPr>
          <w:p w14:paraId="1AFF84DF">
            <w:pPr>
              <w:pStyle w:val="35"/>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不允许</w:t>
            </w:r>
          </w:p>
        </w:tc>
      </w:tr>
      <w:tr w14:paraId="294ABDF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811" w:type="dxa"/>
            <w:tcBorders>
              <w:top w:val="single" w:color="auto" w:sz="8" w:space="0"/>
              <w:bottom w:val="single" w:color="auto" w:sz="8" w:space="0"/>
              <w:right w:val="single" w:color="auto" w:sz="8" w:space="0"/>
            </w:tcBorders>
            <w:noWrap w:val="0"/>
            <w:vAlign w:val="center"/>
          </w:tcPr>
          <w:p w14:paraId="3D9C86FB">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27</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32D6D17B">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投标保证金</w:t>
            </w:r>
          </w:p>
        </w:tc>
        <w:tc>
          <w:tcPr>
            <w:tcW w:w="7157" w:type="dxa"/>
            <w:tcBorders>
              <w:top w:val="single" w:color="auto" w:sz="8" w:space="0"/>
              <w:left w:val="single" w:color="auto" w:sz="8" w:space="0"/>
              <w:bottom w:val="single" w:color="auto" w:sz="8" w:space="0"/>
            </w:tcBorders>
            <w:noWrap w:val="0"/>
            <w:vAlign w:val="center"/>
          </w:tcPr>
          <w:p w14:paraId="68812859">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是否要求投标人递交投标保证金：要求</w:t>
            </w:r>
          </w:p>
          <w:p w14:paraId="5FAD0CB0">
            <w:pPr>
              <w:pStyle w:val="16"/>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保证金数额</w:t>
            </w:r>
            <w:r>
              <w:rPr>
                <w:rFonts w:hint="eastAsia" w:ascii="仿宋" w:hAnsi="仿宋" w:eastAsia="仿宋" w:cs="仿宋"/>
                <w:color w:val="auto"/>
                <w:sz w:val="28"/>
                <w:szCs w:val="28"/>
                <w:highlight w:val="none"/>
              </w:rPr>
              <w:t>（按照预算金额2%以内的整数计算）</w:t>
            </w:r>
            <w:r>
              <w:rPr>
                <w:rFonts w:hint="eastAsia" w:ascii="仿宋" w:hAnsi="仿宋" w:eastAsia="仿宋" w:cs="仿宋"/>
                <w:b/>
                <w:bCs/>
                <w:color w:val="auto"/>
                <w:sz w:val="28"/>
                <w:szCs w:val="28"/>
                <w:highlight w:val="none"/>
              </w:rPr>
              <w:t>：</w:t>
            </w:r>
          </w:p>
          <w:p w14:paraId="63407ED5">
            <w:pPr>
              <w:pStyle w:val="16"/>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default"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第一标段：150000.00元；第二标段：40000.00元</w:t>
            </w:r>
          </w:p>
          <w:p w14:paraId="60085F12">
            <w:pPr>
              <w:pStyle w:val="63"/>
              <w:keepNext w:val="0"/>
              <w:keepLines w:val="0"/>
              <w:pageBreakBefore w:val="0"/>
              <w:kinsoku/>
              <w:wordWrap/>
              <w:overflowPunct/>
              <w:topLinePunct w:val="0"/>
              <w:bidi w:val="0"/>
              <w:adjustRightInd/>
              <w:spacing w:line="44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交款方式：投标保证金应当以支票、汇票、本票或者金融机构、担保机构出具的保函等非现金形式提交。银行转账可以采取支票、电汇、网银、汇票、本票等方式，均应从基本账户转出。</w:t>
            </w:r>
          </w:p>
          <w:p w14:paraId="6C9B5720">
            <w:pPr>
              <w:pStyle w:val="63"/>
              <w:keepNext w:val="0"/>
              <w:keepLines w:val="0"/>
              <w:pageBreakBefore w:val="0"/>
              <w:kinsoku/>
              <w:wordWrap/>
              <w:overflowPunct/>
              <w:topLinePunct w:val="0"/>
              <w:bidi w:val="0"/>
              <w:adjustRightInd/>
              <w:spacing w:line="440" w:lineRule="exact"/>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户    名：新疆长润泽建设工程管理有限公司</w:t>
            </w:r>
          </w:p>
          <w:p w14:paraId="56BE2453">
            <w:pPr>
              <w:pStyle w:val="63"/>
              <w:keepNext w:val="0"/>
              <w:keepLines w:val="0"/>
              <w:pageBreakBefore w:val="0"/>
              <w:kinsoku/>
              <w:wordWrap/>
              <w:overflowPunct/>
              <w:topLinePunct w:val="0"/>
              <w:bidi w:val="0"/>
              <w:adjustRightInd/>
              <w:spacing w:line="440" w:lineRule="exact"/>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开户行:中信银行股份有限公司伊犁分行</w:t>
            </w:r>
          </w:p>
          <w:p w14:paraId="3C6F2FCE">
            <w:pPr>
              <w:pStyle w:val="63"/>
              <w:keepNext w:val="0"/>
              <w:keepLines w:val="0"/>
              <w:pageBreakBefore w:val="0"/>
              <w:kinsoku/>
              <w:wordWrap/>
              <w:overflowPunct/>
              <w:topLinePunct w:val="0"/>
              <w:bidi w:val="0"/>
              <w:adjustRightInd/>
              <w:spacing w:line="440" w:lineRule="exact"/>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账号：8113 7010 1270 0221 619</w:t>
            </w:r>
          </w:p>
          <w:p w14:paraId="12C0FD54">
            <w:pPr>
              <w:pStyle w:val="63"/>
              <w:keepNext w:val="0"/>
              <w:keepLines w:val="0"/>
              <w:pageBreakBefore w:val="0"/>
              <w:kinsoku/>
              <w:wordWrap/>
              <w:overflowPunct/>
              <w:topLinePunct w:val="0"/>
              <w:bidi w:val="0"/>
              <w:adjustRightInd/>
              <w:spacing w:line="440" w:lineRule="exact"/>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行号：302898000133</w:t>
            </w:r>
          </w:p>
          <w:p w14:paraId="13B3BB06">
            <w:pPr>
              <w:pStyle w:val="63"/>
              <w:keepNext w:val="0"/>
              <w:keepLines w:val="0"/>
              <w:pageBreakBefore w:val="0"/>
              <w:kinsoku/>
              <w:wordWrap/>
              <w:overflowPunct/>
              <w:topLinePunct w:val="0"/>
              <w:bidi w:val="0"/>
              <w:adjustRightInd/>
              <w:spacing w:line="44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在递交的投标保证金转账单附注说明中写清：项目名称（有标段号的需注明标段号），投标保证金递交截止时间：</w:t>
            </w:r>
            <w:r>
              <w:rPr>
                <w:rFonts w:hint="eastAsia" w:ascii="仿宋" w:hAnsi="仿宋" w:eastAsia="仿宋" w:cs="仿宋"/>
                <w:b/>
                <w:bCs/>
                <w:color w:val="auto"/>
                <w:kern w:val="2"/>
                <w:sz w:val="28"/>
                <w:szCs w:val="28"/>
                <w:highlight w:val="none"/>
                <w:lang w:val="en-US" w:eastAsia="zh-CN" w:bidi="ar-SA"/>
              </w:rPr>
              <w:t>同提交投标文件截止时间。</w:t>
            </w:r>
          </w:p>
          <w:p w14:paraId="395B0774">
            <w:pPr>
              <w:pStyle w:val="63"/>
              <w:keepNext w:val="0"/>
              <w:keepLines w:val="0"/>
              <w:pageBreakBefore w:val="0"/>
              <w:kinsoku/>
              <w:wordWrap/>
              <w:overflowPunct/>
              <w:topLinePunct w:val="0"/>
              <w:bidi w:val="0"/>
              <w:adjustRightInd/>
              <w:spacing w:line="44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新疆政府采购电子保函操作流程：登录新疆政府采购网,进入“政采贷/电子保函”模块，即可在线完成电子保函的申请。若有任何问题，可以联系政采云金融服务专属客服，电话：400-903-9583。</w:t>
            </w:r>
          </w:p>
          <w:p w14:paraId="2AC90B63">
            <w:pPr>
              <w:pStyle w:val="63"/>
              <w:keepNext w:val="0"/>
              <w:keepLines w:val="0"/>
              <w:pageBreakBefore w:val="0"/>
              <w:kinsoku/>
              <w:wordWrap/>
              <w:overflowPunct/>
              <w:topLinePunct w:val="0"/>
              <w:bidi w:val="0"/>
              <w:adjustRightInd/>
              <w:spacing w:line="44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潜在供应商可以自主选择以上任一种递交方式提交保证金。</w:t>
            </w:r>
          </w:p>
        </w:tc>
      </w:tr>
      <w:tr w14:paraId="0DC0C754">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00" w:hRule="exact"/>
          <w:jc w:val="center"/>
        </w:trPr>
        <w:tc>
          <w:tcPr>
            <w:tcW w:w="811" w:type="dxa"/>
            <w:tcBorders>
              <w:top w:val="single" w:color="auto" w:sz="8" w:space="0"/>
              <w:bottom w:val="single" w:color="auto" w:sz="8" w:space="0"/>
              <w:right w:val="single" w:color="auto" w:sz="8" w:space="0"/>
            </w:tcBorders>
            <w:noWrap w:val="0"/>
            <w:vAlign w:val="center"/>
          </w:tcPr>
          <w:p w14:paraId="546FD59D">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28</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308B66F4">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解密</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val="zh-CN"/>
              </w:rPr>
              <w:t>文件现场是否提供样品</w:t>
            </w:r>
          </w:p>
        </w:tc>
        <w:tc>
          <w:tcPr>
            <w:tcW w:w="7157" w:type="dxa"/>
            <w:tcBorders>
              <w:top w:val="single" w:color="auto" w:sz="8" w:space="0"/>
              <w:left w:val="single" w:color="auto" w:sz="8" w:space="0"/>
              <w:bottom w:val="single" w:color="auto" w:sz="8" w:space="0"/>
            </w:tcBorders>
            <w:noWrap w:val="0"/>
            <w:vAlign w:val="center"/>
          </w:tcPr>
          <w:p w14:paraId="1A46A019">
            <w:pPr>
              <w:spacing w:line="320" w:lineRule="exact"/>
              <w:ind w:right="105" w:rightChars="50"/>
              <w:rPr>
                <w:rFonts w:hint="eastAsia" w:ascii="仿宋" w:hAnsi="仿宋" w:eastAsia="仿宋" w:cs="仿宋"/>
                <w:color w:val="auto"/>
                <w:kern w:val="0"/>
                <w:sz w:val="28"/>
                <w:szCs w:val="28"/>
                <w:highlight w:val="none"/>
                <w:lang w:val="zh-CN" w:eastAsia="zh-CN" w:bidi="ar-SA"/>
              </w:rPr>
            </w:pPr>
            <w:r>
              <w:rPr>
                <w:rFonts w:hint="eastAsia" w:ascii="仿宋" w:hAnsi="仿宋" w:eastAsia="仿宋" w:cs="仿宋"/>
                <w:color w:val="auto"/>
                <w:kern w:val="0"/>
                <w:sz w:val="28"/>
                <w:szCs w:val="28"/>
                <w:highlight w:val="none"/>
                <w:lang w:val="zh-CN" w:eastAsia="zh-CN" w:bidi="ar-SA"/>
              </w:rPr>
              <w:sym w:font="Wingdings 2" w:char="0052"/>
            </w:r>
            <w:r>
              <w:rPr>
                <w:rFonts w:hint="eastAsia" w:ascii="仿宋" w:hAnsi="仿宋" w:eastAsia="仿宋" w:cs="仿宋"/>
                <w:color w:val="auto"/>
                <w:kern w:val="0"/>
                <w:sz w:val="28"/>
                <w:szCs w:val="28"/>
                <w:highlight w:val="none"/>
                <w:lang w:val="zh-CN" w:eastAsia="zh-CN" w:bidi="ar-SA"/>
              </w:rPr>
              <w:t xml:space="preserve">  不需要</w:t>
            </w:r>
          </w:p>
          <w:p w14:paraId="550113B1">
            <w:pPr>
              <w:spacing w:line="340" w:lineRule="exact"/>
              <w:ind w:right="105" w:rightChars="50"/>
              <w:rPr>
                <w:rFonts w:hint="eastAsia" w:ascii="仿宋" w:hAnsi="仿宋" w:eastAsia="仿宋" w:cs="仿宋"/>
                <w:color w:val="auto"/>
                <w:sz w:val="28"/>
                <w:szCs w:val="28"/>
                <w:highlight w:val="none"/>
                <w:lang w:val="zh-CN"/>
              </w:rPr>
            </w:pPr>
            <w:r>
              <w:rPr>
                <w:rFonts w:hint="eastAsia" w:ascii="仿宋" w:hAnsi="仿宋" w:eastAsia="仿宋" w:cs="仿宋"/>
                <w:color w:val="auto"/>
                <w:kern w:val="0"/>
                <w:sz w:val="28"/>
                <w:szCs w:val="28"/>
                <w:highlight w:val="none"/>
                <w:lang w:val="zh-CN" w:eastAsia="zh-CN" w:bidi="ar-SA"/>
              </w:rPr>
              <w:t>□  需要，样品要求：</w:t>
            </w:r>
          </w:p>
        </w:tc>
      </w:tr>
      <w:tr w14:paraId="271F2F9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47" w:hRule="exact"/>
          <w:jc w:val="center"/>
        </w:trPr>
        <w:tc>
          <w:tcPr>
            <w:tcW w:w="811" w:type="dxa"/>
            <w:tcBorders>
              <w:top w:val="single" w:color="auto" w:sz="8" w:space="0"/>
              <w:bottom w:val="single" w:color="auto" w:sz="8" w:space="0"/>
              <w:right w:val="single" w:color="auto" w:sz="8" w:space="0"/>
            </w:tcBorders>
            <w:noWrap w:val="0"/>
            <w:vAlign w:val="center"/>
          </w:tcPr>
          <w:p w14:paraId="79690BFC">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29</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492D8099">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投标文件签字</w:t>
            </w:r>
          </w:p>
          <w:p w14:paraId="6C16B9F8">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或盖章要求</w:t>
            </w:r>
          </w:p>
        </w:tc>
        <w:tc>
          <w:tcPr>
            <w:tcW w:w="7157" w:type="dxa"/>
            <w:tcBorders>
              <w:top w:val="single" w:color="auto" w:sz="8" w:space="0"/>
              <w:left w:val="single" w:color="auto" w:sz="8" w:space="0"/>
              <w:bottom w:val="single" w:color="auto" w:sz="8" w:space="0"/>
            </w:tcBorders>
            <w:noWrap w:val="0"/>
            <w:vAlign w:val="center"/>
          </w:tcPr>
          <w:p w14:paraId="7FC8B14F">
            <w:pPr>
              <w:pStyle w:val="35"/>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投标人必须按照招标文件的规定和要求签字、盖章</w:t>
            </w:r>
          </w:p>
        </w:tc>
      </w:tr>
      <w:tr w14:paraId="2A7945C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411" w:hRule="exact"/>
          <w:jc w:val="center"/>
        </w:trPr>
        <w:tc>
          <w:tcPr>
            <w:tcW w:w="811" w:type="dxa"/>
            <w:tcBorders>
              <w:top w:val="single" w:color="auto" w:sz="8" w:space="0"/>
              <w:bottom w:val="single" w:color="auto" w:sz="8" w:space="0"/>
              <w:right w:val="single" w:color="auto" w:sz="8" w:space="0"/>
            </w:tcBorders>
            <w:noWrap w:val="0"/>
            <w:vAlign w:val="center"/>
          </w:tcPr>
          <w:p w14:paraId="37D7E595">
            <w:pPr>
              <w:pStyle w:val="35"/>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30</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5848170">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投标文件</w:t>
            </w:r>
          </w:p>
        </w:tc>
        <w:tc>
          <w:tcPr>
            <w:tcW w:w="7157" w:type="dxa"/>
            <w:tcBorders>
              <w:top w:val="single" w:color="auto" w:sz="8" w:space="0"/>
              <w:left w:val="single" w:color="auto" w:sz="8" w:space="0"/>
              <w:bottom w:val="single" w:color="auto" w:sz="8" w:space="0"/>
            </w:tcBorders>
            <w:noWrap w:val="0"/>
            <w:vAlign w:val="center"/>
          </w:tcPr>
          <w:p w14:paraId="1E825968">
            <w:pPr>
              <w:pStyle w:val="63"/>
              <w:keepNext w:val="0"/>
              <w:keepLines w:val="0"/>
              <w:pageBreakBefore w:val="0"/>
              <w:widowControl w:val="0"/>
              <w:kinsoku/>
              <w:wordWrap/>
              <w:overflowPunct/>
              <w:topLinePunct w:val="0"/>
              <w:bidi w:val="0"/>
              <w:adjustRightInd/>
              <w:snapToGrid/>
              <w:spacing w:line="320" w:lineRule="exact"/>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kern w:val="2"/>
                <w:sz w:val="28"/>
                <w:szCs w:val="28"/>
                <w:highlight w:val="none"/>
                <w:lang w:val="zh-CN" w:eastAsia="zh-CN" w:bidi="ar-SA"/>
              </w:rPr>
              <w:t>本项目采用不见面开标，供应商需要递交电子投标文件。加密的电子投标文件，在公开招标截止时间前通过新疆政采云平台上传到指定位置，无需递交纸质文件。</w:t>
            </w:r>
          </w:p>
          <w:p w14:paraId="0EE2FD5D">
            <w:pPr>
              <w:pStyle w:val="64"/>
              <w:keepNext w:val="0"/>
              <w:keepLines w:val="0"/>
              <w:pageBreakBefore w:val="0"/>
              <w:widowControl w:val="0"/>
              <w:kinsoku/>
              <w:wordWrap/>
              <w:overflowPunct/>
              <w:topLinePunct w:val="0"/>
              <w:bidi w:val="0"/>
              <w:adjustRightInd/>
              <w:snapToGrid/>
              <w:spacing w:line="320" w:lineRule="exact"/>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2.本项目采用远程不见面交易的模式。开标当日，供应商需在任意地点新疆政采云http://www.ccgp-xinjiang.gov.cn/网上开标完成远程解密、提疑澄清、开标唱标、结果公布等交互环节。供应商必须使用能正确解密投标文件的“新疆政采云数字证书”在规定的时间内完成远程解密，因供应商原因未能解密、解密失败或解密超时，视为供应商撤销其投标文件，系统内投标文件将被退回；因采购人原因或网上政采云平台发生故障，导致无法按时完成投标文件解密或开、评标工作无法进行的，可根据实际情况相应延迟解密时间或调整开、评标时间（友情提示：若供应商已领取副锁（含多把副锁）请注意正副锁的使用差别，务必使用生成投标文件的那把锁解密）。</w:t>
            </w:r>
          </w:p>
          <w:p w14:paraId="5BA99368">
            <w:pPr>
              <w:pStyle w:val="64"/>
              <w:keepNext w:val="0"/>
              <w:keepLines w:val="0"/>
              <w:pageBreakBefore w:val="0"/>
              <w:widowControl w:val="0"/>
              <w:kinsoku/>
              <w:wordWrap/>
              <w:overflowPunct/>
              <w:topLinePunct w:val="0"/>
              <w:bidi w:val="0"/>
              <w:adjustRightInd/>
              <w:snapToGrid/>
              <w:spacing w:line="320" w:lineRule="exact"/>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 xml:space="preserve">不见面开标默认解密时长：30分钟    </w:t>
            </w:r>
          </w:p>
          <w:p w14:paraId="6F201B86">
            <w:pPr>
              <w:pStyle w:val="35"/>
              <w:keepNext w:val="0"/>
              <w:keepLines w:val="0"/>
              <w:pageBreakBefore w:val="0"/>
              <w:widowControl w:val="0"/>
              <w:kinsoku/>
              <w:wordWrap/>
              <w:overflowPunct/>
              <w:topLinePunct w:val="0"/>
              <w:bidi w:val="0"/>
              <w:snapToGrid/>
              <w:spacing w:line="32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kern w:val="2"/>
                <w:sz w:val="28"/>
                <w:szCs w:val="28"/>
                <w:highlight w:val="none"/>
                <w:lang w:val="zh-CN" w:eastAsia="zh-CN" w:bidi="ar-SA"/>
              </w:rPr>
              <w:t>关于能否延长解密时间的约定：开标现场若发现默认解密时长不足，由采购人决定是否延长解密时长。</w:t>
            </w:r>
          </w:p>
        </w:tc>
      </w:tr>
      <w:tr w14:paraId="42537644">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94" w:hRule="exact"/>
          <w:jc w:val="center"/>
        </w:trPr>
        <w:tc>
          <w:tcPr>
            <w:tcW w:w="811" w:type="dxa"/>
            <w:tcBorders>
              <w:top w:val="single" w:color="auto" w:sz="8" w:space="0"/>
              <w:bottom w:val="single" w:color="auto" w:sz="8" w:space="0"/>
              <w:right w:val="single" w:color="auto" w:sz="8" w:space="0"/>
            </w:tcBorders>
            <w:noWrap w:val="0"/>
            <w:vAlign w:val="center"/>
          </w:tcPr>
          <w:p w14:paraId="00B4199A">
            <w:pPr>
              <w:pStyle w:val="35"/>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31</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1ED049B">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投标文件是否退还</w:t>
            </w:r>
          </w:p>
        </w:tc>
        <w:tc>
          <w:tcPr>
            <w:tcW w:w="7157" w:type="dxa"/>
            <w:tcBorders>
              <w:top w:val="single" w:color="auto" w:sz="8" w:space="0"/>
              <w:left w:val="single" w:color="auto" w:sz="8" w:space="0"/>
              <w:bottom w:val="single" w:color="auto" w:sz="8" w:space="0"/>
            </w:tcBorders>
            <w:noWrap w:val="0"/>
            <w:vAlign w:val="center"/>
          </w:tcPr>
          <w:p w14:paraId="6598753F">
            <w:pPr>
              <w:pStyle w:val="35"/>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否</w:t>
            </w:r>
          </w:p>
        </w:tc>
      </w:tr>
      <w:tr w14:paraId="51C8E51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bottom w:val="single" w:color="auto" w:sz="8" w:space="0"/>
              <w:right w:val="single" w:color="auto" w:sz="8" w:space="0"/>
            </w:tcBorders>
            <w:noWrap w:val="0"/>
            <w:vAlign w:val="center"/>
          </w:tcPr>
          <w:p w14:paraId="08529E90">
            <w:pPr>
              <w:pStyle w:val="35"/>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32</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38A57B5B">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评标方法及标准</w:t>
            </w:r>
          </w:p>
        </w:tc>
        <w:tc>
          <w:tcPr>
            <w:tcW w:w="7157" w:type="dxa"/>
            <w:tcBorders>
              <w:top w:val="single" w:color="auto" w:sz="8" w:space="0"/>
              <w:left w:val="single" w:color="auto" w:sz="8" w:space="0"/>
              <w:bottom w:val="single" w:color="auto" w:sz="8" w:space="0"/>
            </w:tcBorders>
            <w:noWrap w:val="0"/>
            <w:vAlign w:val="center"/>
          </w:tcPr>
          <w:p w14:paraId="28B6B5BB">
            <w:pPr>
              <w:pageBreakBefore w:val="0"/>
              <w:kinsoku/>
              <w:wordWrap/>
              <w:overflowPunct/>
              <w:topLinePunct w:val="0"/>
              <w:bidi w:val="0"/>
              <w:spacing w:beforeAutospacing="0" w:line="48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采用</w:t>
            </w:r>
            <w:r>
              <w:rPr>
                <w:rFonts w:hint="eastAsia" w:ascii="仿宋" w:hAnsi="仿宋" w:eastAsia="仿宋" w:cs="仿宋"/>
                <w:color w:val="auto"/>
                <w:kern w:val="2"/>
                <w:sz w:val="28"/>
                <w:szCs w:val="28"/>
                <w:highlight w:val="none"/>
                <w:lang w:val="zh-CN" w:eastAsia="zh-CN" w:bidi="ar-SA"/>
              </w:rPr>
              <w:t>综合评分法，是指投标文件满足招标文件全部实质性要求，且按照评审因素的量化指标评审得分最高的供应商为中标候选人的评标方法。</w:t>
            </w:r>
          </w:p>
        </w:tc>
      </w:tr>
      <w:tr w14:paraId="39EBAEA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85" w:hRule="atLeast"/>
          <w:jc w:val="center"/>
        </w:trPr>
        <w:tc>
          <w:tcPr>
            <w:tcW w:w="811" w:type="dxa"/>
            <w:tcBorders>
              <w:top w:val="single" w:color="auto" w:sz="8" w:space="0"/>
              <w:bottom w:val="single" w:color="auto" w:sz="8" w:space="0"/>
              <w:right w:val="single" w:color="auto" w:sz="8" w:space="0"/>
            </w:tcBorders>
            <w:noWrap w:val="0"/>
            <w:vAlign w:val="center"/>
          </w:tcPr>
          <w:p w14:paraId="4F48F8B8">
            <w:pPr>
              <w:pStyle w:val="35"/>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33</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21F48355">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b w:val="0"/>
                <w:bCs w:val="0"/>
                <w:color w:val="auto"/>
                <w:sz w:val="28"/>
                <w:szCs w:val="28"/>
                <w:highlight w:val="none"/>
                <w:lang w:val="zh-CN"/>
              </w:rPr>
            </w:pPr>
            <w:r>
              <w:rPr>
                <w:rFonts w:hint="eastAsia" w:ascii="仿宋" w:hAnsi="仿宋" w:eastAsia="仿宋" w:cs="仿宋"/>
                <w:b w:val="0"/>
                <w:bCs w:val="0"/>
                <w:color w:val="auto"/>
                <w:sz w:val="28"/>
                <w:szCs w:val="28"/>
                <w:highlight w:val="none"/>
              </w:rPr>
              <w:t>推荐中标候选供应商的数量</w:t>
            </w:r>
          </w:p>
        </w:tc>
        <w:tc>
          <w:tcPr>
            <w:tcW w:w="7157" w:type="dxa"/>
            <w:tcBorders>
              <w:top w:val="single" w:color="auto" w:sz="8" w:space="0"/>
              <w:left w:val="single" w:color="auto" w:sz="8" w:space="0"/>
              <w:bottom w:val="single" w:color="auto" w:sz="8" w:space="0"/>
            </w:tcBorders>
            <w:noWrap w:val="0"/>
            <w:vAlign w:val="center"/>
          </w:tcPr>
          <w:p w14:paraId="49914C20">
            <w:pPr>
              <w:pStyle w:val="35"/>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b w:val="0"/>
                <w:bCs w:val="0"/>
                <w:color w:val="auto"/>
                <w:sz w:val="28"/>
                <w:szCs w:val="28"/>
                <w:highlight w:val="none"/>
                <w:lang w:val="zh-CN"/>
              </w:rPr>
            </w:pPr>
            <w:r>
              <w:rPr>
                <w:rFonts w:hint="eastAsia" w:ascii="仿宋" w:hAnsi="仿宋" w:eastAsia="仿宋" w:cs="仿宋"/>
                <w:b w:val="0"/>
                <w:bCs w:val="0"/>
                <w:i w:val="0"/>
                <w:iCs w:val="0"/>
                <w:color w:val="auto"/>
                <w:sz w:val="28"/>
                <w:szCs w:val="28"/>
                <w:highlight w:val="none"/>
                <w:u w:val="none"/>
              </w:rPr>
              <w:t>1家</w:t>
            </w:r>
            <w:r>
              <w:rPr>
                <w:rFonts w:hint="eastAsia" w:ascii="仿宋" w:hAnsi="仿宋" w:eastAsia="仿宋" w:cs="仿宋"/>
                <w:b w:val="0"/>
                <w:bCs w:val="0"/>
                <w:i w:val="0"/>
                <w:iCs w:val="0"/>
                <w:color w:val="auto"/>
                <w:sz w:val="28"/>
                <w:szCs w:val="28"/>
                <w:highlight w:val="none"/>
                <w:u w:val="none"/>
                <w:lang w:val="en-US" w:eastAsia="zh-CN"/>
              </w:rPr>
              <w:t>/标段</w:t>
            </w:r>
            <w:r>
              <w:rPr>
                <w:rFonts w:hint="eastAsia" w:ascii="仿宋" w:hAnsi="仿宋" w:eastAsia="仿宋" w:cs="仿宋"/>
                <w:b w:val="0"/>
                <w:bCs w:val="0"/>
                <w:i w:val="0"/>
                <w:iCs w:val="0"/>
                <w:color w:val="auto"/>
                <w:sz w:val="28"/>
                <w:szCs w:val="28"/>
                <w:highlight w:val="none"/>
                <w:u w:val="none"/>
              </w:rPr>
              <w:t xml:space="preserve"> </w:t>
            </w:r>
          </w:p>
        </w:tc>
      </w:tr>
      <w:tr w14:paraId="1CA3939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39" w:hRule="atLeast"/>
          <w:jc w:val="center"/>
        </w:trPr>
        <w:tc>
          <w:tcPr>
            <w:tcW w:w="811" w:type="dxa"/>
            <w:tcBorders>
              <w:top w:val="single" w:color="auto" w:sz="8" w:space="0"/>
              <w:bottom w:val="single" w:color="auto" w:sz="8" w:space="0"/>
              <w:right w:val="single" w:color="auto" w:sz="8" w:space="0"/>
            </w:tcBorders>
            <w:noWrap w:val="0"/>
            <w:vAlign w:val="center"/>
          </w:tcPr>
          <w:p w14:paraId="0E0386D8">
            <w:pPr>
              <w:pStyle w:val="35"/>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34</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636D0AC7">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是否授权评标委员会确定中标人</w:t>
            </w:r>
          </w:p>
        </w:tc>
        <w:tc>
          <w:tcPr>
            <w:tcW w:w="7157" w:type="dxa"/>
            <w:tcBorders>
              <w:top w:val="single" w:color="auto" w:sz="8" w:space="0"/>
              <w:left w:val="single" w:color="auto" w:sz="8" w:space="0"/>
              <w:bottom w:val="single" w:color="auto" w:sz="8" w:space="0"/>
            </w:tcBorders>
            <w:noWrap w:val="0"/>
            <w:vAlign w:val="center"/>
          </w:tcPr>
          <w:p w14:paraId="5C73DD38">
            <w:pPr>
              <w:pStyle w:val="35"/>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否</w:t>
            </w:r>
          </w:p>
        </w:tc>
      </w:tr>
      <w:tr w14:paraId="01F6DC6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25" w:hRule="atLeast"/>
          <w:jc w:val="center"/>
        </w:trPr>
        <w:tc>
          <w:tcPr>
            <w:tcW w:w="811" w:type="dxa"/>
            <w:tcBorders>
              <w:top w:val="single" w:color="auto" w:sz="8" w:space="0"/>
              <w:bottom w:val="single" w:color="auto" w:sz="8" w:space="0"/>
              <w:right w:val="single" w:color="auto" w:sz="8" w:space="0"/>
            </w:tcBorders>
            <w:noWrap w:val="0"/>
            <w:vAlign w:val="center"/>
          </w:tcPr>
          <w:p w14:paraId="3EBAF2BC">
            <w:pPr>
              <w:pStyle w:val="35"/>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35</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3F784A6A">
            <w:pPr>
              <w:pStyle w:val="35"/>
              <w:keepNext w:val="0"/>
              <w:keepLines w:val="0"/>
              <w:pageBreakBefore w:val="0"/>
              <w:widowControl w:val="0"/>
              <w:kinsoku/>
              <w:wordWrap w:val="0"/>
              <w:overflowPunct/>
              <w:topLinePunct w:val="0"/>
              <w:autoSpaceDE w:val="0"/>
              <w:autoSpaceDN w:val="0"/>
              <w:bidi w:val="0"/>
              <w:adjustRightInd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b w:val="0"/>
                <w:bCs/>
                <w:color w:val="auto"/>
                <w:sz w:val="28"/>
                <w:szCs w:val="28"/>
                <w:highlight w:val="none"/>
              </w:rPr>
              <w:t>公告发布媒</w:t>
            </w:r>
          </w:p>
        </w:tc>
        <w:tc>
          <w:tcPr>
            <w:tcW w:w="7157" w:type="dxa"/>
            <w:tcBorders>
              <w:top w:val="single" w:color="auto" w:sz="8" w:space="0"/>
              <w:left w:val="single" w:color="auto" w:sz="8" w:space="0"/>
              <w:bottom w:val="single" w:color="auto" w:sz="8" w:space="0"/>
            </w:tcBorders>
            <w:noWrap w:val="0"/>
            <w:vAlign w:val="center"/>
          </w:tcPr>
          <w:p w14:paraId="3C5F0E07">
            <w:pPr>
              <w:pStyle w:val="35"/>
              <w:keepNext w:val="0"/>
              <w:keepLines w:val="0"/>
              <w:pageBreakBefore w:val="0"/>
              <w:widowControl w:val="0"/>
              <w:kinsoku/>
              <w:wordWrap w:val="0"/>
              <w:overflowPunct/>
              <w:topLinePunct w:val="0"/>
              <w:autoSpaceDE w:val="0"/>
              <w:autoSpaceDN w:val="0"/>
              <w:bidi w:val="0"/>
              <w:adjustRightInd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b w:val="0"/>
                <w:bCs/>
                <w:color w:val="auto"/>
                <w:sz w:val="28"/>
                <w:szCs w:val="28"/>
                <w:highlight w:val="none"/>
              </w:rPr>
              <w:t>《</w:t>
            </w:r>
            <w:r>
              <w:rPr>
                <w:rFonts w:hint="eastAsia" w:ascii="仿宋" w:hAnsi="仿宋" w:eastAsia="仿宋" w:cs="仿宋"/>
                <w:color w:val="auto"/>
                <w:kern w:val="0"/>
                <w:sz w:val="28"/>
                <w:szCs w:val="28"/>
                <w:highlight w:val="none"/>
                <w:lang w:val="zh-CN" w:eastAsia="zh-CN" w:bidi="ar-SA"/>
              </w:rPr>
              <w:t>新疆政府采购网》(http://www.ccgp-xinjiang.gov.cn/)、</w:t>
            </w:r>
            <w:r>
              <w:rPr>
                <w:rFonts w:hint="eastAsia" w:ascii="仿宋" w:hAnsi="仿宋" w:eastAsia="仿宋" w:cs="仿宋"/>
                <w:color w:val="auto"/>
                <w:kern w:val="0"/>
                <w:sz w:val="28"/>
                <w:szCs w:val="28"/>
                <w:highlight w:val="none"/>
                <w:lang w:val="en-US" w:eastAsia="zh-CN" w:bidi="ar-SA"/>
              </w:rPr>
              <w:t>伊犁州公共资源交易平台http://ggzy.xjyl.gov.cn。</w:t>
            </w:r>
          </w:p>
        </w:tc>
      </w:tr>
      <w:tr w14:paraId="3D8A9A1E">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6" w:hRule="atLeast"/>
          <w:jc w:val="center"/>
        </w:trPr>
        <w:tc>
          <w:tcPr>
            <w:tcW w:w="811" w:type="dxa"/>
            <w:tcBorders>
              <w:top w:val="single" w:color="auto" w:sz="8" w:space="0"/>
              <w:bottom w:val="single" w:color="auto" w:sz="8" w:space="0"/>
              <w:right w:val="single" w:color="auto" w:sz="8" w:space="0"/>
            </w:tcBorders>
            <w:noWrap w:val="0"/>
            <w:vAlign w:val="center"/>
          </w:tcPr>
          <w:p w14:paraId="152871EC">
            <w:pPr>
              <w:pStyle w:val="35"/>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36</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069A2FD9">
            <w:pPr>
              <w:pStyle w:val="35"/>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履约保证金</w:t>
            </w:r>
          </w:p>
        </w:tc>
        <w:tc>
          <w:tcPr>
            <w:tcW w:w="7157" w:type="dxa"/>
            <w:tcBorders>
              <w:top w:val="single" w:color="auto" w:sz="8" w:space="0"/>
              <w:left w:val="single" w:color="auto" w:sz="8" w:space="0"/>
              <w:bottom w:val="single" w:color="auto" w:sz="8" w:space="0"/>
            </w:tcBorders>
            <w:noWrap w:val="0"/>
            <w:vAlign w:val="center"/>
          </w:tcPr>
          <w:p w14:paraId="691629E7">
            <w:pPr>
              <w:pStyle w:val="65"/>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fldChar w:fldCharType="begin"/>
            </w:r>
            <w:r>
              <w:rPr>
                <w:rFonts w:hint="eastAsia" w:ascii="仿宋" w:hAnsi="仿宋" w:eastAsia="仿宋" w:cs="仿宋"/>
                <w:color w:val="auto"/>
                <w:kern w:val="2"/>
                <w:sz w:val="28"/>
                <w:szCs w:val="28"/>
                <w:highlight w:val="none"/>
                <w:lang w:val="zh-CN" w:eastAsia="zh-CN" w:bidi="ar-SA"/>
              </w:rPr>
              <w:instrText xml:space="preserve">eq \o\ac(□,</w:instrText>
            </w:r>
            <w:r>
              <w:rPr>
                <w:rFonts w:hint="eastAsia" w:ascii="仿宋" w:hAnsi="仿宋" w:eastAsia="仿宋" w:cs="仿宋"/>
                <w:color w:val="auto"/>
                <w:kern w:val="2"/>
                <w:position w:val="3"/>
                <w:sz w:val="19"/>
                <w:szCs w:val="28"/>
                <w:highlight w:val="none"/>
                <w:lang w:val="zh-CN" w:eastAsia="zh-CN" w:bidi="ar-SA"/>
              </w:rPr>
              <w:instrText xml:space="preserve">√</w:instrText>
            </w:r>
            <w:r>
              <w:rPr>
                <w:rFonts w:hint="eastAsia" w:ascii="仿宋" w:hAnsi="仿宋" w:eastAsia="仿宋" w:cs="仿宋"/>
                <w:color w:val="auto"/>
                <w:kern w:val="2"/>
                <w:sz w:val="28"/>
                <w:szCs w:val="28"/>
                <w:highlight w:val="none"/>
                <w:lang w:val="zh-CN" w:eastAsia="zh-CN" w:bidi="ar-SA"/>
              </w:rPr>
              <w:instrText xml:space="preserve">)</w:instrText>
            </w:r>
            <w:r>
              <w:rPr>
                <w:rFonts w:hint="eastAsia" w:ascii="仿宋" w:hAnsi="仿宋" w:eastAsia="仿宋" w:cs="仿宋"/>
                <w:color w:val="auto"/>
                <w:kern w:val="2"/>
                <w:sz w:val="28"/>
                <w:szCs w:val="28"/>
                <w:highlight w:val="none"/>
                <w:lang w:val="zh-CN" w:eastAsia="zh-CN" w:bidi="ar-SA"/>
              </w:rPr>
              <w:fldChar w:fldCharType="end"/>
            </w:r>
            <w:r>
              <w:rPr>
                <w:rFonts w:hint="eastAsia" w:ascii="仿宋" w:hAnsi="仿宋" w:eastAsia="仿宋" w:cs="仿宋"/>
                <w:color w:val="auto"/>
                <w:kern w:val="2"/>
                <w:sz w:val="28"/>
                <w:szCs w:val="28"/>
                <w:highlight w:val="none"/>
                <w:lang w:val="zh-CN" w:eastAsia="zh-CN" w:bidi="ar-SA"/>
              </w:rPr>
              <w:t>不要求提供</w:t>
            </w:r>
          </w:p>
          <w:p w14:paraId="3DCBA475">
            <w:pPr>
              <w:pStyle w:val="65"/>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fldChar w:fldCharType="begin"/>
            </w:r>
            <w:r>
              <w:rPr>
                <w:rFonts w:hint="eastAsia" w:ascii="仿宋" w:hAnsi="仿宋" w:eastAsia="仿宋" w:cs="仿宋"/>
                <w:color w:val="auto"/>
                <w:kern w:val="2"/>
                <w:sz w:val="28"/>
                <w:szCs w:val="28"/>
                <w:highlight w:val="none"/>
                <w:lang w:val="zh-CN" w:eastAsia="zh-CN" w:bidi="ar-SA"/>
              </w:rPr>
              <w:instrText xml:space="preserve">eq \o\ac(□)</w:instrText>
            </w:r>
            <w:r>
              <w:rPr>
                <w:rFonts w:hint="eastAsia" w:ascii="仿宋" w:hAnsi="仿宋" w:eastAsia="仿宋" w:cs="仿宋"/>
                <w:color w:val="auto"/>
                <w:kern w:val="2"/>
                <w:sz w:val="28"/>
                <w:szCs w:val="28"/>
                <w:highlight w:val="none"/>
                <w:lang w:val="zh-CN" w:eastAsia="zh-CN" w:bidi="ar-SA"/>
              </w:rPr>
              <w:fldChar w:fldCharType="end"/>
            </w:r>
            <w:r>
              <w:rPr>
                <w:rFonts w:hint="eastAsia" w:ascii="仿宋" w:hAnsi="仿宋" w:eastAsia="仿宋" w:cs="仿宋"/>
                <w:color w:val="auto"/>
                <w:kern w:val="2"/>
                <w:sz w:val="28"/>
                <w:szCs w:val="28"/>
                <w:highlight w:val="none"/>
                <w:lang w:val="zh-CN" w:eastAsia="zh-CN" w:bidi="ar-SA"/>
              </w:rPr>
              <w:t>要求提供。</w:t>
            </w:r>
          </w:p>
          <w:p w14:paraId="479AE7C0">
            <w:pPr>
              <w:pStyle w:val="35"/>
              <w:keepNext w:val="0"/>
              <w:keepLines w:val="0"/>
              <w:pageBreakBefore w:val="0"/>
              <w:widowControl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kern w:val="2"/>
                <w:sz w:val="28"/>
                <w:szCs w:val="28"/>
                <w:highlight w:val="none"/>
                <w:lang w:val="zh-CN" w:eastAsia="zh-CN" w:bidi="ar-SA"/>
              </w:rPr>
              <w:t>履约保证金的数额不得超过政府采购合同金额的10%，本采购项目履约保证金为合同金额的</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zh-CN" w:eastAsia="zh-CN" w:bidi="ar-SA"/>
              </w:rPr>
              <w:t>%，提交方式为：以电汇方式递交履约保证金须在电汇凭据附言栏中写明</w:t>
            </w:r>
            <w:r>
              <w:rPr>
                <w:rFonts w:hint="eastAsia" w:ascii="仿宋" w:hAnsi="仿宋" w:eastAsia="仿宋" w:cs="仿宋"/>
                <w:color w:val="auto"/>
                <w:kern w:val="2"/>
                <w:sz w:val="28"/>
                <w:szCs w:val="28"/>
                <w:highlight w:val="none"/>
                <w:lang w:val="en-US" w:eastAsia="zh-CN" w:bidi="ar-SA"/>
              </w:rPr>
              <w:t>项目</w:t>
            </w:r>
            <w:r>
              <w:rPr>
                <w:rFonts w:hint="eastAsia" w:ascii="仿宋" w:hAnsi="仿宋" w:eastAsia="仿宋" w:cs="仿宋"/>
                <w:color w:val="auto"/>
                <w:kern w:val="2"/>
                <w:sz w:val="28"/>
                <w:szCs w:val="28"/>
                <w:highlight w:val="none"/>
                <w:lang w:val="zh-CN" w:eastAsia="zh-CN" w:bidi="ar-SA"/>
              </w:rPr>
              <w:t>编号及用途(履约保证金)。中标（</w:t>
            </w:r>
            <w:r>
              <w:rPr>
                <w:rFonts w:hint="eastAsia" w:ascii="仿宋" w:hAnsi="仿宋" w:eastAsia="仿宋" w:cs="仿宋"/>
                <w:color w:val="auto"/>
                <w:kern w:val="2"/>
                <w:sz w:val="28"/>
                <w:szCs w:val="28"/>
                <w:highlight w:val="none"/>
                <w:lang w:val="en-US" w:eastAsia="zh-CN" w:bidi="ar-SA"/>
              </w:rPr>
              <w:t>成交</w:t>
            </w:r>
            <w:r>
              <w:rPr>
                <w:rFonts w:hint="eastAsia" w:ascii="仿宋" w:hAnsi="仿宋" w:eastAsia="仿宋" w:cs="仿宋"/>
                <w:color w:val="auto"/>
                <w:kern w:val="2"/>
                <w:sz w:val="28"/>
                <w:szCs w:val="28"/>
                <w:highlight w:val="none"/>
                <w:lang w:val="zh-CN" w:eastAsia="zh-CN" w:bidi="ar-SA"/>
              </w:rPr>
              <w:t>）供应商应当以支票、汇票、本票或者金融机构、担保机构出具的保函等非现金形式向采购方交纳履约保证金。</w:t>
            </w:r>
          </w:p>
        </w:tc>
      </w:tr>
      <w:tr w14:paraId="1A427C3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67" w:hRule="atLeast"/>
          <w:jc w:val="center"/>
        </w:trPr>
        <w:tc>
          <w:tcPr>
            <w:tcW w:w="811" w:type="dxa"/>
            <w:tcBorders>
              <w:top w:val="single" w:color="auto" w:sz="8" w:space="0"/>
              <w:bottom w:val="single" w:color="auto" w:sz="8" w:space="0"/>
              <w:right w:val="single" w:color="auto" w:sz="8" w:space="0"/>
            </w:tcBorders>
            <w:noWrap w:val="0"/>
            <w:vAlign w:val="center"/>
          </w:tcPr>
          <w:p w14:paraId="3E0FB9BE">
            <w:pPr>
              <w:pStyle w:val="35"/>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37</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6F393568">
            <w:pPr>
              <w:pStyle w:val="35"/>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开标现场是否</w:t>
            </w:r>
          </w:p>
          <w:p w14:paraId="7896D7DE">
            <w:pPr>
              <w:pStyle w:val="35"/>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演示与述标</w:t>
            </w:r>
          </w:p>
        </w:tc>
        <w:tc>
          <w:tcPr>
            <w:tcW w:w="7157" w:type="dxa"/>
            <w:tcBorders>
              <w:top w:val="single" w:color="auto" w:sz="8" w:space="0"/>
              <w:left w:val="single" w:color="auto" w:sz="8" w:space="0"/>
              <w:bottom w:val="single" w:color="auto" w:sz="8" w:space="0"/>
            </w:tcBorders>
            <w:noWrap w:val="0"/>
            <w:vAlign w:val="center"/>
          </w:tcPr>
          <w:p w14:paraId="5D14CB35">
            <w:pPr>
              <w:keepNext w:val="0"/>
              <w:keepLines w:val="0"/>
              <w:pageBreakBefore w:val="0"/>
              <w:widowControl w:val="0"/>
              <w:tabs>
                <w:tab w:val="left" w:pos="279"/>
              </w:tabs>
              <w:kinsoku/>
              <w:wordWrap/>
              <w:overflowPunct/>
              <w:topLinePunct w:val="0"/>
              <w:bidi w:val="0"/>
              <w:adjustRightInd/>
              <w:snapToGrid/>
              <w:spacing w:line="36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rPr>
              <w:t xml:space="preserve"> 需要  </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rPr>
              <w:t xml:space="preserve"> 不需要</w:t>
            </w:r>
          </w:p>
        </w:tc>
      </w:tr>
      <w:tr w14:paraId="6EAF3EF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811" w:type="dxa"/>
            <w:tcBorders>
              <w:top w:val="single" w:color="auto" w:sz="8" w:space="0"/>
              <w:bottom w:val="single" w:color="auto" w:sz="8" w:space="0"/>
              <w:right w:val="single" w:color="auto" w:sz="8" w:space="0"/>
            </w:tcBorders>
            <w:noWrap w:val="0"/>
            <w:vAlign w:val="center"/>
          </w:tcPr>
          <w:p w14:paraId="3EB0E12C">
            <w:pPr>
              <w:pStyle w:val="35"/>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38</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2BFC7787">
            <w:pPr>
              <w:pStyle w:val="35"/>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资格要求</w:t>
            </w:r>
          </w:p>
        </w:tc>
        <w:tc>
          <w:tcPr>
            <w:tcW w:w="7157" w:type="dxa"/>
            <w:tcBorders>
              <w:top w:val="single" w:color="auto" w:sz="8" w:space="0"/>
              <w:left w:val="single" w:color="auto" w:sz="8" w:space="0"/>
              <w:bottom w:val="single" w:color="auto" w:sz="8" w:space="0"/>
            </w:tcBorders>
            <w:noWrap w:val="0"/>
            <w:vAlign w:val="center"/>
          </w:tcPr>
          <w:p w14:paraId="291E7E19">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满足《中华人民共和国政府采购法》第二十二条规定</w:t>
            </w:r>
            <w:r>
              <w:rPr>
                <w:rFonts w:hint="eastAsia" w:ascii="仿宋" w:hAnsi="仿宋" w:eastAsia="仿宋" w:cs="仿宋"/>
                <w:color w:val="auto"/>
                <w:sz w:val="28"/>
                <w:szCs w:val="28"/>
                <w:highlight w:val="none"/>
                <w:lang w:eastAsia="zh-CN"/>
              </w:rPr>
              <w:t>：</w:t>
            </w:r>
          </w:p>
          <w:p w14:paraId="7EEB102F">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（1）法定代表人授权委托书【法定代表人参加提供法定代表人身份证明书】。 </w:t>
            </w:r>
          </w:p>
          <w:p w14:paraId="0C7F0466">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（2）投标供应商需提供投标保证金。</w:t>
            </w:r>
          </w:p>
          <w:p w14:paraId="2429D448">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（3）投标供应商具有独立承担民事责任和履行合同能力，持有工商行政管理部门核发的有效期内营业执照。</w:t>
            </w:r>
          </w:p>
          <w:p w14:paraId="494EAA47">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（4）社保机构或税务机构出具的投标供应商近3个月中任意1个月的社会保障资金证明。依法不需要缴纳社会保障资金的应提供相应说明。</w:t>
            </w:r>
          </w:p>
          <w:p w14:paraId="39447F93">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（5）税务机关出具的投标供应商近3个月中任意1个月的依法纳税凭证或有电子专用章的完税证明。依法免税的应提供相应文件说明。 </w:t>
            </w:r>
          </w:p>
          <w:p w14:paraId="2D2D366D">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（6）会计师事务所出具的2023（或2024）年度财务审计报告或银行出具的资信证明。</w:t>
            </w:r>
          </w:p>
          <w:p w14:paraId="24AAE516">
            <w:pPr>
              <w:keepNext w:val="0"/>
              <w:keepLines w:val="0"/>
              <w:pageBreakBefore w:val="0"/>
              <w:widowControl w:val="0"/>
              <w:kinsoku/>
              <w:wordWrap w:val="0"/>
              <w:overflowPunct/>
              <w:topLinePunct w:val="0"/>
              <w:autoSpaceDE/>
              <w:autoSpaceDN/>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（7）投标供应商需提供参加采购活动前三年内，在经营活动中没有重大违法记录，需提供无重大违法记录声明函；供应商不得为“信用中国”网站（网址：www.creditchina.gov.cn ）中列入严重失信主体名单信息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动的供应商（处罚决定规定的时间和地域范围内），均须提供查询结果打印件（网页打印件须自招标公告发布之日起至首次提交响应文件截止时间内从上述网站中打印加盖企业公章）。</w:t>
            </w:r>
          </w:p>
          <w:p w14:paraId="1197C3C4">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（8）投标人需提供《食品经营许可证》或《食品生产许可证》。</w:t>
            </w:r>
          </w:p>
          <w:p w14:paraId="29BBCF95">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说明：本项目不接受联合体投标，单位负责人为同一人或者存在控股、管理关系的不同单位，不得同时参加本项目的投标；为本项目提供整体设计、规范编制或者项目管理、监理、检测等服务的服务商，不得再参加本项目投标。</w:t>
            </w:r>
          </w:p>
        </w:tc>
      </w:tr>
      <w:tr w14:paraId="5662080A">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48" w:hRule="atLeast"/>
          <w:jc w:val="center"/>
        </w:trPr>
        <w:tc>
          <w:tcPr>
            <w:tcW w:w="811" w:type="dxa"/>
            <w:tcBorders>
              <w:top w:val="single" w:color="auto" w:sz="8" w:space="0"/>
              <w:bottom w:val="single" w:color="auto" w:sz="8" w:space="0"/>
              <w:right w:val="single" w:color="auto" w:sz="8" w:space="0"/>
            </w:tcBorders>
            <w:noWrap w:val="0"/>
            <w:vAlign w:val="center"/>
          </w:tcPr>
          <w:p w14:paraId="39A3C54E">
            <w:pPr>
              <w:pStyle w:val="35"/>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39</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28E6471B">
            <w:pPr>
              <w:pStyle w:val="35"/>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采购标的</w:t>
            </w:r>
            <w:r>
              <w:rPr>
                <w:rFonts w:hint="eastAsia" w:ascii="仿宋" w:hAnsi="仿宋" w:eastAsia="仿宋" w:cs="仿宋"/>
                <w:color w:val="auto"/>
                <w:sz w:val="28"/>
                <w:szCs w:val="28"/>
                <w:highlight w:val="none"/>
                <w:lang w:val="en-US" w:eastAsia="zh-CN"/>
              </w:rPr>
              <w:t>所属行业</w:t>
            </w:r>
          </w:p>
        </w:tc>
        <w:tc>
          <w:tcPr>
            <w:tcW w:w="7157" w:type="dxa"/>
            <w:tcBorders>
              <w:top w:val="single" w:color="auto" w:sz="8" w:space="0"/>
              <w:left w:val="single" w:color="auto" w:sz="8" w:space="0"/>
              <w:bottom w:val="single" w:color="auto" w:sz="8" w:space="0"/>
            </w:tcBorders>
            <w:noWrap w:val="0"/>
            <w:vAlign w:val="center"/>
          </w:tcPr>
          <w:p w14:paraId="53511A54">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采购标的对应的中小企业划分标准所属行业为</w:t>
            </w:r>
            <w:r>
              <w:rPr>
                <w:rFonts w:hint="eastAsia" w:ascii="仿宋" w:hAnsi="仿宋" w:eastAsia="仿宋" w:cs="仿宋"/>
                <w:color w:val="auto"/>
                <w:sz w:val="28"/>
                <w:szCs w:val="28"/>
                <w:highlight w:val="none"/>
                <w:u w:val="single"/>
                <w:lang w:val="en-US" w:eastAsia="zh-CN"/>
              </w:rPr>
              <w:t>零售业</w:t>
            </w:r>
            <w:r>
              <w:rPr>
                <w:rFonts w:hint="eastAsia" w:ascii="仿宋" w:hAnsi="仿宋" w:eastAsia="仿宋" w:cs="仿宋"/>
                <w:color w:val="auto"/>
                <w:sz w:val="28"/>
                <w:szCs w:val="28"/>
                <w:highlight w:val="none"/>
                <w:lang w:val="en-US" w:eastAsia="zh-CN"/>
              </w:rPr>
              <w:t>：</w:t>
            </w:r>
          </w:p>
          <w:p w14:paraId="222F4715">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color w:val="auto"/>
                <w:highlight w:val="none"/>
              </w:rPr>
            </w:pPr>
            <w:r>
              <w:rPr>
                <w:rFonts w:hint="eastAsia" w:ascii="仿宋" w:hAnsi="仿宋" w:eastAsia="仿宋" w:cs="仿宋"/>
                <w:color w:val="auto"/>
                <w:sz w:val="28"/>
                <w:szCs w:val="28"/>
                <w:highlight w:val="none"/>
                <w:lang w:val="en-US" w:eastAsia="zh-CN"/>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tc>
      </w:tr>
      <w:tr w14:paraId="632FA7A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right w:val="single" w:color="auto" w:sz="8" w:space="0"/>
            </w:tcBorders>
            <w:noWrap w:val="0"/>
            <w:vAlign w:val="center"/>
          </w:tcPr>
          <w:p w14:paraId="22C9B31D">
            <w:pPr>
              <w:pStyle w:val="35"/>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40</w:t>
            </w:r>
          </w:p>
        </w:tc>
        <w:tc>
          <w:tcPr>
            <w:tcW w:w="2065" w:type="dxa"/>
            <w:tcBorders>
              <w:top w:val="single" w:color="auto" w:sz="8" w:space="0"/>
              <w:left w:val="single" w:color="auto" w:sz="8" w:space="0"/>
              <w:right w:val="single" w:color="auto" w:sz="8" w:space="0"/>
            </w:tcBorders>
            <w:noWrap w:val="0"/>
            <w:vAlign w:val="center"/>
          </w:tcPr>
          <w:p w14:paraId="53422B59">
            <w:pPr>
              <w:pStyle w:val="35"/>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其他</w:t>
            </w:r>
          </w:p>
        </w:tc>
        <w:tc>
          <w:tcPr>
            <w:tcW w:w="7157" w:type="dxa"/>
            <w:tcBorders>
              <w:top w:val="single" w:color="auto" w:sz="8" w:space="0"/>
              <w:left w:val="single" w:color="auto" w:sz="8" w:space="0"/>
            </w:tcBorders>
            <w:noWrap w:val="0"/>
            <w:vAlign w:val="center"/>
          </w:tcPr>
          <w:p w14:paraId="6BC891DB">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低于成本价不正当竞争预防措施：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提交相关证明材料后，评标委员会应当结合采购项目采购需求、专业实际情况与其他供应商比较情况等就供应商提交相关证明材料进行审查评价。供应商拒绝或者变相拒绝提供有效相关证明材料或者相关证明材料不能证明其报价合理性的，评标委员会将投标文件作为无效处理。</w:t>
            </w:r>
          </w:p>
          <w:p w14:paraId="57A9E6F1">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（2）投标文件制作工具，请在新疆政府采购网政采云平台首页--下载专区--电子招投标客户端下载中进行下载。</w:t>
            </w:r>
          </w:p>
          <w:p w14:paraId="02D1113A">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（3）“电子投标文件”指利用新疆政府采购网政采云平台提供的“电子投标文件制作工具”编制加密的投标文件。</w:t>
            </w:r>
          </w:p>
          <w:p w14:paraId="444BACB9">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2E1B2A56">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文件解释权：本招标文件的解释权归新疆长润泽建设工程管理有限公司所有，当对一个问题有多种解释时以采购代理机构解释为准。采购文件未作须知明示，而又有法律法规规定的，采购代理机构将依据法律法规的规定进行解释。</w:t>
            </w:r>
          </w:p>
          <w:p w14:paraId="46F2CF33">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（6）录音录像：采购代理机构对开标、投标人资格审查和评标过程进行全程录音录像，并存档备查。</w:t>
            </w:r>
          </w:p>
          <w:p w14:paraId="27C14D17">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（7）合格投标人不足3家的，不得评标，不合格的投标人，不得进入评标环节。</w:t>
            </w:r>
          </w:p>
          <w:p w14:paraId="5FBD8650">
            <w:pPr>
              <w:pStyle w:val="2"/>
              <w:ind w:left="0" w:leftChars="0" w:firstLine="0" w:firstLineChars="0"/>
              <w:rPr>
                <w:rFonts w:hint="default"/>
                <w:highlight w:val="none"/>
                <w:lang w:val="en-US" w:eastAsia="zh-CN"/>
              </w:rPr>
            </w:pPr>
            <w:r>
              <w:rPr>
                <w:rFonts w:hint="eastAsia" w:ascii="仿宋" w:hAnsi="仿宋" w:eastAsia="仿宋" w:cs="仿宋"/>
                <w:color w:val="auto"/>
                <w:sz w:val="28"/>
                <w:szCs w:val="28"/>
                <w:highlight w:val="none"/>
                <w:lang w:val="en-US" w:eastAsia="zh-CN"/>
              </w:rPr>
              <w:t>（8）如有矛盾，以本表为准！</w:t>
            </w:r>
          </w:p>
        </w:tc>
      </w:tr>
    </w:tbl>
    <w:p w14:paraId="74BDB9BD">
      <w:pPr>
        <w:pStyle w:val="5"/>
        <w:keepNext w:val="0"/>
        <w:keepLines w:val="0"/>
        <w:pageBreakBefore w:val="0"/>
        <w:widowControl w:val="0"/>
        <w:kinsoku/>
        <w:wordWrap/>
        <w:overflowPunct/>
        <w:topLinePunct w:val="0"/>
        <w:autoSpaceDE/>
        <w:autoSpaceDN/>
        <w:bidi w:val="0"/>
        <w:adjustRightInd/>
        <w:snapToGrid/>
        <w:spacing w:before="0" w:beforeAutospacing="0" w:line="480" w:lineRule="exact"/>
        <w:ind w:left="0" w:leftChars="0" w:firstLine="0" w:firstLine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11"/>
      <w:bookmarkEnd w:id="12"/>
      <w:bookmarkEnd w:id="13"/>
      <w:bookmarkEnd w:id="14"/>
      <w:bookmarkStart w:id="69" w:name="_Toc520356143"/>
      <w:bookmarkStart w:id="70" w:name="_Toc216582805"/>
      <w:bookmarkStart w:id="71" w:name="_Toc8264"/>
      <w:bookmarkStart w:id="72" w:name="_Toc7844"/>
      <w:bookmarkStart w:id="73" w:name="_Toc9485"/>
      <w:bookmarkStart w:id="74" w:name="_Toc15004"/>
      <w:bookmarkStart w:id="75" w:name="_Toc518923060"/>
      <w:bookmarkStart w:id="76" w:name="_Toc217446081"/>
    </w:p>
    <w:p w14:paraId="35FD1A3C">
      <w:pPr>
        <w:pageBreakBefore w:val="0"/>
        <w:widowControl w:val="0"/>
        <w:kinsoku/>
        <w:wordWrap/>
        <w:overflowPunct/>
        <w:topLinePunct w:val="0"/>
        <w:bidi w:val="0"/>
        <w:snapToGrid/>
        <w:spacing w:beforeAutospacing="0" w:line="480" w:lineRule="exact"/>
        <w:ind w:firstLine="723" w:firstLineChars="200"/>
        <w:jc w:val="center"/>
        <w:textAlignment w:val="auto"/>
        <w:rPr>
          <w:rFonts w:hint="eastAsia" w:ascii="仿宋" w:hAnsi="仿宋" w:eastAsia="仿宋" w:cs="仿宋"/>
          <w:b/>
          <w:bCs/>
          <w:color w:val="auto"/>
          <w:sz w:val="36"/>
          <w:szCs w:val="36"/>
          <w:highlight w:val="none"/>
          <w:lang w:val="en-US" w:eastAsia="zh-CN"/>
        </w:rPr>
      </w:pPr>
      <w:bookmarkStart w:id="77" w:name="_Toc30788"/>
      <w:r>
        <w:rPr>
          <w:rFonts w:hint="eastAsia" w:ascii="仿宋" w:hAnsi="仿宋" w:eastAsia="仿宋" w:cs="仿宋"/>
          <w:b/>
          <w:bCs/>
          <w:color w:val="auto"/>
          <w:sz w:val="36"/>
          <w:szCs w:val="36"/>
          <w:highlight w:val="none"/>
          <w:lang w:val="en-US" w:eastAsia="zh-CN"/>
        </w:rPr>
        <w:t>第二部分 投标须知</w:t>
      </w:r>
    </w:p>
    <w:p w14:paraId="2F6586D2">
      <w:pPr>
        <w:pStyle w:val="5"/>
        <w:pageBreakBefore w:val="0"/>
        <w:kinsoku/>
        <w:wordWrap/>
        <w:overflowPunct/>
        <w:topLinePunct w:val="0"/>
        <w:bidi w:val="0"/>
        <w:spacing w:before="0" w:beforeAutospacing="0" w:line="480" w:lineRule="exact"/>
        <w:ind w:left="0" w:leftChars="0" w:firstLine="0" w:firstLineChars="0"/>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一</w:t>
      </w:r>
      <w:bookmarkEnd w:id="69"/>
      <w:bookmarkEnd w:id="70"/>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总  则</w:t>
      </w:r>
      <w:bookmarkEnd w:id="71"/>
      <w:bookmarkEnd w:id="72"/>
      <w:bookmarkEnd w:id="73"/>
      <w:bookmarkEnd w:id="74"/>
      <w:bookmarkEnd w:id="75"/>
      <w:bookmarkEnd w:id="77"/>
    </w:p>
    <w:p w14:paraId="2B041A20">
      <w:pPr>
        <w:pageBreakBefore w:val="0"/>
        <w:widowControl w:val="0"/>
        <w:kinsoku/>
        <w:wordWrap/>
        <w:overflowPunct/>
        <w:topLinePunct w:val="0"/>
        <w:bidi w:val="0"/>
        <w:snapToGrid/>
        <w:spacing w:beforeAutospacing="0" w:line="480" w:lineRule="exact"/>
        <w:textAlignment w:val="auto"/>
        <w:rPr>
          <w:rFonts w:hint="eastAsia" w:ascii="仿宋" w:hAnsi="仿宋" w:eastAsia="仿宋" w:cs="仿宋"/>
          <w:b/>
          <w:bCs/>
          <w:color w:val="auto"/>
          <w:sz w:val="28"/>
          <w:szCs w:val="28"/>
          <w:highlight w:val="none"/>
          <w:lang w:eastAsia="zh-CN"/>
        </w:rPr>
      </w:pPr>
      <w:bookmarkStart w:id="78" w:name="_Toc520356144"/>
      <w:bookmarkStart w:id="79" w:name="_Toc12013"/>
      <w:bookmarkStart w:id="80" w:name="_Toc518923061"/>
      <w:bookmarkStart w:id="81" w:name="_Toc19817"/>
      <w:bookmarkStart w:id="82" w:name="_Toc20824"/>
      <w:bookmarkStart w:id="83" w:name="_Toc809"/>
      <w:bookmarkStart w:id="84" w:name="_Toc518923065"/>
      <w:bookmarkStart w:id="85" w:name="_Toc216582806"/>
      <w:bookmarkStart w:id="86" w:name="_Toc30070"/>
      <w:bookmarkStart w:id="87" w:name="_Toc520356146"/>
      <w:bookmarkStart w:id="88" w:name="_Toc23334"/>
      <w:r>
        <w:rPr>
          <w:rFonts w:hint="eastAsia" w:ascii="仿宋" w:hAnsi="仿宋" w:eastAsia="仿宋" w:cs="仿宋"/>
          <w:b/>
          <w:bCs/>
          <w:color w:val="auto"/>
          <w:sz w:val="28"/>
          <w:szCs w:val="28"/>
          <w:highlight w:val="none"/>
        </w:rPr>
        <w:t>1.采购人、采购代理机构及</w:t>
      </w:r>
      <w:bookmarkEnd w:id="78"/>
      <w:bookmarkEnd w:id="79"/>
      <w:bookmarkEnd w:id="80"/>
      <w:r>
        <w:rPr>
          <w:rFonts w:hint="eastAsia" w:ascii="仿宋" w:hAnsi="仿宋" w:eastAsia="仿宋" w:cs="仿宋"/>
          <w:b/>
          <w:bCs/>
          <w:color w:val="auto"/>
          <w:sz w:val="28"/>
          <w:szCs w:val="28"/>
          <w:highlight w:val="none"/>
          <w:lang w:eastAsia="zh-CN"/>
        </w:rPr>
        <w:t>供应商</w:t>
      </w:r>
      <w:bookmarkEnd w:id="81"/>
      <w:bookmarkEnd w:id="82"/>
    </w:p>
    <w:p w14:paraId="6802D352">
      <w:pPr>
        <w:pageBreakBefore w:val="0"/>
        <w:widowControl w:val="0"/>
        <w:tabs>
          <w:tab w:val="left" w:pos="0"/>
        </w:tabs>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1.1采购人：是指依法开展政府采购活动的国家机关、事业单位、团体组织。本项目的采购人见</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w:t>
      </w:r>
    </w:p>
    <w:p w14:paraId="44128559">
      <w:pPr>
        <w:pageBreakBefore w:val="0"/>
        <w:widowControl w:val="0"/>
        <w:tabs>
          <w:tab w:val="left" w:pos="0"/>
        </w:tabs>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1.2采购代理机构：是指集中采购机构或从事采购代理业务的社会中介机构。本项目的采购代理机构见</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w:t>
      </w:r>
    </w:p>
    <w:p w14:paraId="00E9CA34">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：是指向采购人提供货物、工程或者服务的法人、非法人组织或者自然人。本项目的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须满足以下条件：</w:t>
      </w:r>
    </w:p>
    <w:p w14:paraId="25F340AB">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1.3.1在中华人民共和国境内注册，能够独立承担民事责任，有生产或供应能力的本国供应商。</w:t>
      </w:r>
    </w:p>
    <w:p w14:paraId="54478BF8">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1.3.2具备《中华人民共和国政府采购法》第二十二条关于供应商条件的规定，遵守本项目采购人本级和上级财政部门政府采购的有关规定。</w:t>
      </w:r>
    </w:p>
    <w:p w14:paraId="455022E8">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1.3.3以采购代理机构认可的方式获得了本项目的招标文件。</w:t>
      </w:r>
    </w:p>
    <w:p w14:paraId="2BFCB9B7">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1.3.4符合</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中规定的其他要求。</w:t>
      </w:r>
    </w:p>
    <w:p w14:paraId="2ACF0D40">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 若</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中写明专门面向中小企业采购的，如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为非中小企业，投标被认定为投标无效。</w:t>
      </w:r>
    </w:p>
    <w:p w14:paraId="00D362C5">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1.4如</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中允许联合体投标，对联合体规定如下：</w:t>
      </w:r>
    </w:p>
    <w:p w14:paraId="237C572A">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1.4.1两个以上供应商可以组成一个投标联合体，以一个</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的身份投标。</w:t>
      </w:r>
    </w:p>
    <w:p w14:paraId="6569FBC4">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1.4.2联合体各方均应符合《中华人民共和国政府采购法》第二十二条规定的条件。</w:t>
      </w:r>
    </w:p>
    <w:p w14:paraId="3EC1083F">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1.4.3采购人根据采购项目对</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的特殊要求，联合体中至少应当有一方符合相关规定。</w:t>
      </w:r>
    </w:p>
    <w:p w14:paraId="020DC20A">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1.4.4联合体各方应签订共同投标协议，明确约定联合体各方承担的工作和相应的责任，并共同投标协议连同投标文件一并提交招标采购单位。</w:t>
      </w:r>
    </w:p>
    <w:p w14:paraId="69F64B8A">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1.4.5大中型企业、其他自然人、法人或者非法人组织与小型、微型企业组成联合体共同参加投标，共同投标协议中应写明小型、微型企业的协议合同金额占到共同投标协议投标总金额的比例。</w:t>
      </w:r>
    </w:p>
    <w:p w14:paraId="7E9350D3">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1.4.6联合体中有同类资质的供应商按照联合体分工承担相同工作的，按照资质等级较低的供应商确定资质等级。</w:t>
      </w:r>
    </w:p>
    <w:p w14:paraId="35500250">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1.4.7以联合体形式参加政府采购活动的，联合体各方不得再单独参加或者与其他供应商另外组成联合体参加本项目投标，否则相关投标被认定为投标无效。</w:t>
      </w:r>
    </w:p>
    <w:p w14:paraId="31B3C30F">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1.4.8对联合体投标的其他资格要求见</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w:t>
      </w:r>
    </w:p>
    <w:p w14:paraId="713FD674">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1.5单位负责人为同一人或者存在直接控股、管理关系的不同供应商，相关投标被认定为投标无效。</w:t>
      </w:r>
    </w:p>
    <w:p w14:paraId="170C54C6">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1.6为本项目提供过整体设计、规范编制或者项目管理、监理、检测等服务的供应商，不得再参加本项目上述服务以外的其他采购活动。否则投标被认定为投标无效。</w:t>
      </w:r>
    </w:p>
    <w:p w14:paraId="1E0455D1">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在投标过程中不得向采购人提供或给予影响其正常决策行为的任何有价值物品或服务。一经发现，投标被认定为投标无效。</w:t>
      </w:r>
    </w:p>
    <w:p w14:paraId="5AF739FB">
      <w:pPr>
        <w:pStyle w:val="6"/>
        <w:pageBreakBefore w:val="0"/>
        <w:widowControl w:val="0"/>
        <w:kinsoku/>
        <w:wordWrap/>
        <w:overflowPunct/>
        <w:topLinePunct w:val="0"/>
        <w:bidi w:val="0"/>
        <w:snapToGrid/>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89" w:name="_Toc9219"/>
      <w:bookmarkStart w:id="90" w:name="_Toc518923062"/>
      <w:bookmarkStart w:id="91" w:name="_Toc25173"/>
      <w:bookmarkStart w:id="92" w:name="_Toc2643"/>
      <w:r>
        <w:rPr>
          <w:rFonts w:hint="eastAsia" w:ascii="仿宋" w:hAnsi="仿宋" w:eastAsia="仿宋" w:cs="仿宋"/>
          <w:color w:val="auto"/>
          <w:sz w:val="28"/>
          <w:szCs w:val="28"/>
          <w:highlight w:val="none"/>
          <w:u w:val="none"/>
        </w:rPr>
        <w:t>2.资金来源</w:t>
      </w:r>
      <w:bookmarkEnd w:id="89"/>
      <w:bookmarkEnd w:id="90"/>
      <w:bookmarkEnd w:id="91"/>
      <w:bookmarkEnd w:id="92"/>
    </w:p>
    <w:p w14:paraId="51B588CC">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2.1本项目的采购人已获得足以支付本次招标后所签订的合同项下的资金（包括财政性资金和本项目采购中无法与财政性资金分割的非财政性资金）。</w:t>
      </w:r>
    </w:p>
    <w:p w14:paraId="462FF84A">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2.2项目预算金额</w:t>
      </w:r>
      <w:r>
        <w:rPr>
          <w:rFonts w:hint="eastAsia" w:ascii="仿宋" w:hAnsi="仿宋" w:eastAsia="仿宋" w:cs="仿宋"/>
          <w:color w:val="auto"/>
          <w:sz w:val="28"/>
          <w:szCs w:val="28"/>
          <w:highlight w:val="none"/>
          <w:u w:val="none"/>
        </w:rPr>
        <w:t>见</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w:t>
      </w:r>
    </w:p>
    <w:p w14:paraId="3B299FD8">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报价超过招标文件规定的</w:t>
      </w:r>
      <w:r>
        <w:rPr>
          <w:rFonts w:hint="eastAsia" w:ascii="仿宋" w:hAnsi="仿宋" w:eastAsia="仿宋" w:cs="仿宋"/>
          <w:color w:val="auto"/>
          <w:sz w:val="28"/>
          <w:szCs w:val="28"/>
          <w:highlight w:val="none"/>
          <w:lang w:val="en-US" w:eastAsia="zh-CN"/>
        </w:rPr>
        <w:t>预算金额</w:t>
      </w:r>
      <w:r>
        <w:rPr>
          <w:rFonts w:hint="eastAsia" w:ascii="仿宋" w:hAnsi="仿宋" w:eastAsia="仿宋" w:cs="仿宋"/>
          <w:color w:val="auto"/>
          <w:sz w:val="28"/>
          <w:szCs w:val="28"/>
          <w:highlight w:val="none"/>
        </w:rPr>
        <w:t>的，投标被认定为投标无效。</w:t>
      </w:r>
    </w:p>
    <w:p w14:paraId="400BE9BA">
      <w:pPr>
        <w:pStyle w:val="6"/>
        <w:pageBreakBefore w:val="0"/>
        <w:widowControl w:val="0"/>
        <w:kinsoku/>
        <w:wordWrap/>
        <w:overflowPunct/>
        <w:topLinePunct w:val="0"/>
        <w:bidi w:val="0"/>
        <w:snapToGrid/>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93" w:name="_Toc4207"/>
      <w:bookmarkStart w:id="94" w:name="_Toc520356145"/>
      <w:bookmarkStart w:id="95" w:name="_Toc28166"/>
      <w:bookmarkStart w:id="96" w:name="_Toc518923063"/>
      <w:bookmarkStart w:id="97" w:name="_Toc11742"/>
      <w:r>
        <w:rPr>
          <w:rFonts w:hint="eastAsia" w:ascii="仿宋" w:hAnsi="仿宋" w:eastAsia="仿宋" w:cs="仿宋"/>
          <w:color w:val="auto"/>
          <w:sz w:val="28"/>
          <w:szCs w:val="28"/>
          <w:highlight w:val="none"/>
          <w:u w:val="none"/>
        </w:rPr>
        <w:t>3.投标费用</w:t>
      </w:r>
      <w:bookmarkEnd w:id="93"/>
      <w:bookmarkEnd w:id="94"/>
      <w:bookmarkEnd w:id="95"/>
      <w:bookmarkEnd w:id="96"/>
      <w:bookmarkEnd w:id="97"/>
    </w:p>
    <w:p w14:paraId="6726AFCC">
      <w:pPr>
        <w:pageBreakBefore w:val="0"/>
        <w:widowControl w:val="0"/>
        <w:kinsoku/>
        <w:wordWrap/>
        <w:overflowPunct/>
        <w:topLinePunct w:val="0"/>
        <w:bidi w:val="0"/>
        <w:snapToGrid/>
        <w:spacing w:beforeAutospacing="0"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不论投标的结果如何，</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应承担所有与准备和参加投标有关的费用。</w:t>
      </w:r>
    </w:p>
    <w:p w14:paraId="2E977EDD">
      <w:pPr>
        <w:pStyle w:val="6"/>
        <w:pageBreakBefore w:val="0"/>
        <w:widowControl w:val="0"/>
        <w:kinsoku/>
        <w:wordWrap/>
        <w:overflowPunct/>
        <w:topLinePunct w:val="0"/>
        <w:bidi w:val="0"/>
        <w:snapToGrid/>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98" w:name="_Toc518923064"/>
      <w:bookmarkStart w:id="99" w:name="_Toc7152"/>
      <w:bookmarkStart w:id="100" w:name="_Toc5685"/>
      <w:bookmarkStart w:id="101" w:name="_Toc32365"/>
      <w:r>
        <w:rPr>
          <w:rFonts w:hint="eastAsia" w:ascii="仿宋" w:hAnsi="仿宋" w:eastAsia="仿宋" w:cs="仿宋"/>
          <w:color w:val="auto"/>
          <w:sz w:val="28"/>
          <w:szCs w:val="28"/>
          <w:highlight w:val="none"/>
          <w:u w:val="none"/>
        </w:rPr>
        <w:t>4.适用法律</w:t>
      </w:r>
      <w:bookmarkEnd w:id="98"/>
      <w:bookmarkEnd w:id="99"/>
      <w:bookmarkEnd w:id="100"/>
      <w:bookmarkEnd w:id="101"/>
    </w:p>
    <w:p w14:paraId="54EBBA3E">
      <w:pPr>
        <w:pageBreakBefore w:val="0"/>
        <w:widowControl w:val="0"/>
        <w:kinsoku/>
        <w:wordWrap/>
        <w:overflowPunct/>
        <w:topLinePunct w:val="0"/>
        <w:bidi w:val="0"/>
        <w:snapToGrid/>
        <w:spacing w:beforeAutospacing="0" w:line="480" w:lineRule="exact"/>
        <w:textAlignment w:val="auto"/>
        <w:rPr>
          <w:rFonts w:hint="eastAsia" w:ascii="仿宋" w:hAnsi="仿宋" w:eastAsia="仿宋" w:cs="仿宋"/>
          <w:b/>
          <w:bCs/>
          <w:color w:val="auto"/>
          <w:sz w:val="36"/>
          <w:szCs w:val="36"/>
          <w:highlight w:val="none"/>
        </w:rPr>
      </w:pPr>
      <w:r>
        <w:rPr>
          <w:rFonts w:hint="eastAsia" w:ascii="仿宋" w:hAnsi="仿宋" w:eastAsia="仿宋" w:cs="仿宋"/>
          <w:color w:val="auto"/>
          <w:sz w:val="28"/>
          <w:szCs w:val="28"/>
          <w:highlight w:val="none"/>
        </w:rPr>
        <w:t xml:space="preserve">   本项目采购人、采购代理机构、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、评标委员会的相关行为均受《中华人民共和国政府采购法》、《中华人民共和国政府采购法实施条例》及本项目本级和上级财政部门政府采购有关规定的约束，其权利受到上述法律法规的保护。</w:t>
      </w:r>
      <w:bookmarkStart w:id="102" w:name="_Toc25297"/>
    </w:p>
    <w:p w14:paraId="29095429">
      <w:pPr>
        <w:pStyle w:val="5"/>
        <w:pageBreakBefore w:val="0"/>
        <w:widowControl w:val="0"/>
        <w:kinsoku/>
        <w:wordWrap/>
        <w:overflowPunct/>
        <w:topLinePunct w:val="0"/>
        <w:autoSpaceDE/>
        <w:autoSpaceDN/>
        <w:bidi w:val="0"/>
        <w:adjustRightInd/>
        <w:snapToGrid/>
        <w:spacing w:before="0" w:beforeAutospacing="0" w:line="480" w:lineRule="exact"/>
        <w:ind w:left="0" w:leftChars="0" w:firstLine="0" w:firstLineChars="0"/>
        <w:jc w:val="center"/>
        <w:textAlignment w:val="auto"/>
        <w:rPr>
          <w:rFonts w:hint="eastAsia" w:ascii="仿宋" w:hAnsi="仿宋" w:eastAsia="仿宋" w:cs="仿宋"/>
          <w:b/>
          <w:bCs/>
          <w:color w:val="auto"/>
          <w:sz w:val="36"/>
          <w:szCs w:val="36"/>
          <w:highlight w:val="none"/>
        </w:rPr>
      </w:pPr>
      <w:bookmarkStart w:id="103" w:name="_Toc26886"/>
      <w:r>
        <w:rPr>
          <w:rFonts w:hint="eastAsia" w:ascii="仿宋" w:hAnsi="仿宋" w:eastAsia="仿宋" w:cs="仿宋"/>
          <w:b/>
          <w:bCs/>
          <w:color w:val="auto"/>
          <w:sz w:val="36"/>
          <w:szCs w:val="36"/>
          <w:highlight w:val="none"/>
        </w:rPr>
        <w:t>二</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招标文件</w:t>
      </w:r>
      <w:bookmarkEnd w:id="83"/>
      <w:bookmarkEnd w:id="84"/>
      <w:bookmarkEnd w:id="85"/>
      <w:bookmarkEnd w:id="86"/>
      <w:bookmarkEnd w:id="87"/>
      <w:bookmarkEnd w:id="88"/>
      <w:bookmarkEnd w:id="102"/>
      <w:bookmarkEnd w:id="103"/>
    </w:p>
    <w:p w14:paraId="48D63B92">
      <w:pPr>
        <w:pageBreakBefore w:val="0"/>
        <w:widowControl w:val="0"/>
        <w:kinsoku/>
        <w:wordWrap/>
        <w:overflowPunct/>
        <w:topLinePunct w:val="0"/>
        <w:autoSpaceDE/>
        <w:autoSpaceDN/>
        <w:bidi w:val="0"/>
        <w:adjustRightInd/>
        <w:snapToGrid/>
        <w:spacing w:beforeAutospacing="0" w:line="480" w:lineRule="exact"/>
        <w:textAlignment w:val="auto"/>
        <w:rPr>
          <w:rFonts w:hint="eastAsia" w:ascii="仿宋" w:hAnsi="仿宋" w:eastAsia="仿宋" w:cs="仿宋"/>
          <w:b/>
          <w:bCs/>
          <w:color w:val="auto"/>
          <w:sz w:val="28"/>
          <w:szCs w:val="28"/>
          <w:highlight w:val="none"/>
          <w:lang w:val="en-US" w:eastAsia="zh-CN"/>
        </w:rPr>
      </w:pPr>
      <w:bookmarkStart w:id="104" w:name="_Toc22990"/>
      <w:bookmarkStart w:id="105" w:name="_Toc24789"/>
      <w:bookmarkStart w:id="106" w:name="_Toc32491"/>
      <w:bookmarkStart w:id="107" w:name="_Toc30631"/>
      <w:bookmarkStart w:id="108" w:name="_Toc520356147"/>
      <w:bookmarkStart w:id="109" w:name="_Toc18180"/>
      <w:bookmarkStart w:id="110" w:name="_Toc518923066"/>
      <w:r>
        <w:rPr>
          <w:rFonts w:hint="eastAsia" w:ascii="仿宋" w:hAnsi="仿宋" w:eastAsia="仿宋" w:cs="仿宋"/>
          <w:b/>
          <w:bCs/>
          <w:color w:val="auto"/>
          <w:sz w:val="28"/>
          <w:szCs w:val="28"/>
          <w:highlight w:val="none"/>
          <w:lang w:val="en-US" w:eastAsia="zh-CN"/>
        </w:rPr>
        <w:t>5.招标文件构成</w:t>
      </w:r>
      <w:bookmarkEnd w:id="104"/>
      <w:bookmarkEnd w:id="105"/>
      <w:bookmarkEnd w:id="106"/>
      <w:bookmarkEnd w:id="107"/>
      <w:bookmarkEnd w:id="108"/>
      <w:bookmarkEnd w:id="109"/>
      <w:bookmarkEnd w:id="110"/>
    </w:p>
    <w:p w14:paraId="37A0AA86">
      <w:pPr>
        <w:pageBreakBefore w:val="0"/>
        <w:widowControl w:val="0"/>
        <w:kinsoku/>
        <w:wordWrap/>
        <w:overflowPunct/>
        <w:topLinePunct w:val="0"/>
        <w:autoSpaceDE/>
        <w:autoSpaceDN/>
        <w:bidi w:val="0"/>
        <w:adjustRightInd/>
        <w:snapToGrid/>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5.1招标文件分为6章，内容如下：</w:t>
      </w:r>
    </w:p>
    <w:p w14:paraId="6942B4B3">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_Toc18522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第一章 招标公告</w:t>
      </w:r>
      <w:r>
        <w:rPr>
          <w:rFonts w:hint="eastAsia" w:ascii="仿宋" w:hAnsi="仿宋" w:eastAsia="仿宋" w:cs="仿宋"/>
          <w:color w:val="auto"/>
          <w:sz w:val="28"/>
          <w:szCs w:val="28"/>
          <w:highlight w:val="none"/>
          <w:lang w:val="en-US" w:eastAsia="zh-CN"/>
        </w:rPr>
        <w:fldChar w:fldCharType="end"/>
      </w:r>
    </w:p>
    <w:p w14:paraId="7FC860CA">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_Toc5890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第二章 投标供应商须知</w:t>
      </w:r>
      <w:r>
        <w:rPr>
          <w:rFonts w:hint="eastAsia" w:ascii="仿宋" w:hAnsi="仿宋" w:eastAsia="仿宋" w:cs="仿宋"/>
          <w:color w:val="auto"/>
          <w:sz w:val="28"/>
          <w:szCs w:val="28"/>
          <w:highlight w:val="none"/>
          <w:lang w:val="en-US" w:eastAsia="zh-CN"/>
        </w:rPr>
        <w:fldChar w:fldCharType="end"/>
      </w:r>
    </w:p>
    <w:p w14:paraId="32F3DB13">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_Toc24805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第三章 评标方法和标准</w:t>
      </w:r>
      <w:r>
        <w:rPr>
          <w:rFonts w:hint="eastAsia" w:ascii="仿宋" w:hAnsi="仿宋" w:eastAsia="仿宋" w:cs="仿宋"/>
          <w:color w:val="auto"/>
          <w:sz w:val="28"/>
          <w:szCs w:val="28"/>
          <w:highlight w:val="none"/>
          <w:lang w:val="en-US" w:eastAsia="zh-CN"/>
        </w:rPr>
        <w:fldChar w:fldCharType="end"/>
      </w:r>
    </w:p>
    <w:p w14:paraId="3EC2D15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_Toc12287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第四章 采购需求及商务要求</w:t>
      </w:r>
      <w:r>
        <w:rPr>
          <w:rFonts w:hint="eastAsia" w:ascii="仿宋" w:hAnsi="仿宋" w:eastAsia="仿宋" w:cs="仿宋"/>
          <w:color w:val="auto"/>
          <w:sz w:val="28"/>
          <w:szCs w:val="28"/>
          <w:highlight w:val="none"/>
          <w:lang w:val="en-US" w:eastAsia="zh-CN"/>
        </w:rPr>
        <w:fldChar w:fldCharType="end"/>
      </w:r>
    </w:p>
    <w:p w14:paraId="64FA60C7">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_Toc30823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第五章 投标文件格式</w:t>
      </w:r>
      <w:r>
        <w:rPr>
          <w:rFonts w:hint="eastAsia" w:ascii="仿宋" w:hAnsi="仿宋" w:eastAsia="仿宋" w:cs="仿宋"/>
          <w:color w:val="auto"/>
          <w:sz w:val="28"/>
          <w:szCs w:val="28"/>
          <w:highlight w:val="none"/>
          <w:lang w:val="en-US" w:eastAsia="zh-CN"/>
        </w:rPr>
        <w:fldChar w:fldCharType="end"/>
      </w:r>
    </w:p>
    <w:p w14:paraId="3043EC33">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_Toc12058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第六章 采购合同格式</w:t>
      </w:r>
      <w:r>
        <w:rPr>
          <w:rFonts w:hint="eastAsia" w:ascii="仿宋" w:hAnsi="仿宋" w:eastAsia="仿宋" w:cs="仿宋"/>
          <w:color w:val="auto"/>
          <w:sz w:val="28"/>
          <w:szCs w:val="28"/>
          <w:highlight w:val="none"/>
          <w:lang w:val="en-US" w:eastAsia="zh-CN"/>
        </w:rPr>
        <w:tab/>
      </w:r>
    </w:p>
    <w:p w14:paraId="7A33C76E">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b w:val="0"/>
          <w:color w:val="auto"/>
          <w:kern w:val="2"/>
          <w:sz w:val="28"/>
          <w:szCs w:val="28"/>
          <w:highlight w:val="none"/>
          <w:lang w:val="en-US" w:eastAsia="zh-CN" w:bidi="ar-SA"/>
        </w:rPr>
        <w:t>5.2如本文件的前后内容不一致，以最后描述为准。</w:t>
      </w:r>
    </w:p>
    <w:p w14:paraId="5DE25223">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5.3 </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应认真阅读招标文件所有的事项、格式、条款和技术规范等。如</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没有按照招标文件要求提交全部资料，或者投标文件没有对招标文件在各方面都做出实质性响应，投标被认定为</w:t>
      </w:r>
      <w:r>
        <w:rPr>
          <w:rFonts w:hint="eastAsia" w:ascii="仿宋" w:hAnsi="仿宋" w:eastAsia="仿宋" w:cs="仿宋"/>
          <w:b/>
          <w:bCs/>
          <w:color w:val="auto"/>
          <w:sz w:val="28"/>
          <w:szCs w:val="28"/>
          <w:highlight w:val="none"/>
        </w:rPr>
        <w:t>投标无效。</w:t>
      </w:r>
    </w:p>
    <w:p w14:paraId="4874D37F">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b w:val="0"/>
          <w:color w:val="auto"/>
          <w:sz w:val="28"/>
          <w:szCs w:val="28"/>
          <w:highlight w:val="none"/>
          <w:u w:val="none"/>
        </w:rPr>
      </w:pPr>
      <w:bookmarkStart w:id="111" w:name="_Toc520356148"/>
      <w:bookmarkStart w:id="112" w:name="_Toc4505"/>
      <w:bookmarkStart w:id="113" w:name="_Toc518923067"/>
      <w:bookmarkStart w:id="114" w:name="_Toc31726"/>
      <w:bookmarkStart w:id="115" w:name="_Toc21314"/>
      <w:bookmarkStart w:id="116" w:name="_Toc23363"/>
      <w:bookmarkStart w:id="117" w:name="_Toc13923"/>
      <w:r>
        <w:rPr>
          <w:rFonts w:hint="eastAsia" w:ascii="仿宋" w:hAnsi="仿宋" w:eastAsia="仿宋" w:cs="仿宋"/>
          <w:color w:val="auto"/>
          <w:sz w:val="28"/>
          <w:szCs w:val="28"/>
          <w:highlight w:val="none"/>
          <w:u w:val="none"/>
        </w:rPr>
        <w:t>6</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招标文件的澄清</w:t>
      </w:r>
      <w:bookmarkEnd w:id="111"/>
      <w:r>
        <w:rPr>
          <w:rFonts w:hint="eastAsia" w:ascii="仿宋" w:hAnsi="仿宋" w:eastAsia="仿宋" w:cs="仿宋"/>
          <w:color w:val="auto"/>
          <w:sz w:val="28"/>
          <w:szCs w:val="28"/>
          <w:highlight w:val="none"/>
          <w:u w:val="none"/>
        </w:rPr>
        <w:t>与修改</w:t>
      </w:r>
      <w:bookmarkEnd w:id="112"/>
      <w:bookmarkEnd w:id="113"/>
      <w:bookmarkEnd w:id="114"/>
      <w:bookmarkEnd w:id="115"/>
      <w:bookmarkEnd w:id="116"/>
      <w:bookmarkEnd w:id="117"/>
    </w:p>
    <w:p w14:paraId="34F78D71">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bookmarkStart w:id="118" w:name="_Toc515904806"/>
      <w:bookmarkStart w:id="119" w:name="_Toc520356149"/>
      <w:bookmarkStart w:id="120" w:name="_Ref467378678"/>
      <w:bookmarkStart w:id="121" w:name="_Toc518923068"/>
      <w:bookmarkStart w:id="122" w:name="_Toc10994"/>
      <w:r>
        <w:rPr>
          <w:rFonts w:hint="eastAsia" w:ascii="仿宋" w:hAnsi="仿宋" w:eastAsia="仿宋" w:cs="仿宋"/>
          <w:color w:val="auto"/>
          <w:sz w:val="28"/>
          <w:szCs w:val="28"/>
          <w:highlight w:val="none"/>
        </w:rPr>
        <w:t>6.1采购人或者采购代理机构可以对已发出的招标文件进行必要的澄清或者修改。</w:t>
      </w:r>
    </w:p>
    <w:p w14:paraId="7BDDA334">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6.2采购代理机构将以发布澄清（更正）公告的方式，澄清或修改招标文件，澄清或修改内容作为招标文件的组成部分。</w:t>
      </w:r>
    </w:p>
    <w:p w14:paraId="4D2FA4FD">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6.3澄清或者修改的内容可能影响投标文件编制的，采购人或者采购代理机构应当在投标截止时间至少15日前，以发布澄清（更正）公告的形式通知所有获取招标文件的潜在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；不足15日的，采购人或者采购代理机构应当顺延提交投标文件的截止时间。</w:t>
      </w:r>
      <w:bookmarkEnd w:id="118"/>
      <w:bookmarkEnd w:id="119"/>
      <w:bookmarkEnd w:id="120"/>
      <w:bookmarkEnd w:id="121"/>
      <w:bookmarkEnd w:id="122"/>
      <w:bookmarkStart w:id="123" w:name="_Toc516367020"/>
      <w:bookmarkStart w:id="124" w:name="_Toc520356150"/>
      <w:bookmarkStart w:id="125" w:name="_Toc25389"/>
      <w:bookmarkStart w:id="126" w:name="_Toc518923069"/>
      <w:bookmarkStart w:id="127" w:name="_Toc30238"/>
      <w:bookmarkStart w:id="128" w:name="_Toc216582807"/>
    </w:p>
    <w:p w14:paraId="07CA6D9E">
      <w:pPr>
        <w:pStyle w:val="5"/>
        <w:keepNext w:val="0"/>
        <w:keepLines w:val="0"/>
        <w:pageBreakBefore w:val="0"/>
        <w:widowControl w:val="0"/>
        <w:kinsoku/>
        <w:wordWrap/>
        <w:overflowPunct/>
        <w:topLinePunct w:val="0"/>
        <w:autoSpaceDE/>
        <w:autoSpaceDN/>
        <w:bidi w:val="0"/>
        <w:adjustRightInd/>
        <w:snapToGrid/>
        <w:spacing w:before="0" w:beforeAutospacing="0" w:line="480" w:lineRule="exact"/>
        <w:ind w:left="0" w:leftChars="0" w:firstLine="0" w:firstLineChars="0"/>
        <w:jc w:val="center"/>
        <w:textAlignment w:val="auto"/>
        <w:rPr>
          <w:rFonts w:hint="eastAsia" w:ascii="仿宋" w:hAnsi="仿宋" w:eastAsia="仿宋" w:cs="仿宋"/>
          <w:b/>
          <w:bCs/>
          <w:color w:val="auto"/>
          <w:sz w:val="36"/>
          <w:szCs w:val="36"/>
          <w:highlight w:val="none"/>
        </w:rPr>
      </w:pPr>
      <w:bookmarkStart w:id="129" w:name="_Toc14607"/>
      <w:bookmarkStart w:id="130" w:name="_Toc3617"/>
      <w:bookmarkStart w:id="131" w:name="_Toc14836"/>
      <w:r>
        <w:rPr>
          <w:rFonts w:hint="eastAsia" w:ascii="仿宋" w:hAnsi="仿宋" w:eastAsia="仿宋" w:cs="仿宋"/>
          <w:b/>
          <w:bCs/>
          <w:color w:val="auto"/>
          <w:sz w:val="36"/>
          <w:szCs w:val="36"/>
          <w:highlight w:val="none"/>
        </w:rPr>
        <w:t>三</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投标文件</w:t>
      </w:r>
      <w:bookmarkEnd w:id="123"/>
      <w:r>
        <w:rPr>
          <w:rFonts w:hint="eastAsia" w:ascii="仿宋" w:hAnsi="仿宋" w:eastAsia="仿宋" w:cs="仿宋"/>
          <w:b/>
          <w:bCs/>
          <w:color w:val="auto"/>
          <w:sz w:val="36"/>
          <w:szCs w:val="36"/>
          <w:highlight w:val="none"/>
        </w:rPr>
        <w:t>的编制</w:t>
      </w:r>
      <w:bookmarkEnd w:id="124"/>
      <w:bookmarkEnd w:id="125"/>
      <w:bookmarkEnd w:id="126"/>
      <w:bookmarkEnd w:id="127"/>
      <w:bookmarkEnd w:id="128"/>
      <w:bookmarkEnd w:id="129"/>
      <w:bookmarkEnd w:id="130"/>
      <w:bookmarkEnd w:id="131"/>
    </w:p>
    <w:p w14:paraId="75621F8A">
      <w:pPr>
        <w:pStyle w:val="6"/>
        <w:pageBreakBefore w:val="0"/>
        <w:widowControl w:val="0"/>
        <w:tabs>
          <w:tab w:val="left" w:pos="900"/>
        </w:tabs>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highlight w:val="none"/>
          <w:u w:val="none"/>
        </w:rPr>
      </w:pPr>
      <w:bookmarkStart w:id="132" w:name="_Toc30570"/>
      <w:bookmarkStart w:id="133" w:name="_Toc7786"/>
      <w:bookmarkStart w:id="134" w:name="_Toc520356151"/>
      <w:bookmarkStart w:id="135" w:name="_Toc19777"/>
      <w:bookmarkStart w:id="136" w:name="_Toc14192"/>
      <w:bookmarkStart w:id="137" w:name="_Toc516367021"/>
      <w:bookmarkStart w:id="138" w:name="_Toc515647767"/>
      <w:bookmarkStart w:id="139" w:name="_Toc3553"/>
      <w:bookmarkStart w:id="140" w:name="_Toc13282"/>
      <w:bookmarkStart w:id="141" w:name="_Toc22303"/>
      <w:bookmarkStart w:id="142" w:name="_Toc520356159"/>
      <w:bookmarkStart w:id="143" w:name="_Toc28936"/>
      <w:bookmarkStart w:id="144" w:name="_Toc518923078"/>
      <w:bookmarkStart w:id="145" w:name="_Toc216582808"/>
      <w:bookmarkStart w:id="146" w:name="_Toc18535"/>
      <w:r>
        <w:rPr>
          <w:rFonts w:hint="eastAsia" w:ascii="仿宋" w:hAnsi="仿宋" w:eastAsia="仿宋" w:cs="仿宋"/>
          <w:color w:val="auto"/>
          <w:sz w:val="28"/>
          <w:szCs w:val="28"/>
          <w:highlight w:val="none"/>
          <w:u w:val="none"/>
        </w:rPr>
        <w:t>7.投标范围及投标文件中标准则和计量单位的使用</w:t>
      </w:r>
      <w:bookmarkEnd w:id="132"/>
      <w:bookmarkEnd w:id="133"/>
      <w:bookmarkEnd w:id="134"/>
      <w:bookmarkEnd w:id="135"/>
      <w:bookmarkEnd w:id="136"/>
      <w:bookmarkEnd w:id="137"/>
      <w:bookmarkEnd w:id="138"/>
      <w:bookmarkEnd w:id="139"/>
    </w:p>
    <w:p w14:paraId="080B9498">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7.1项目有分标段的，供应商可对招标文件其中某一个或几个标段货物进行投标，除非在</w:t>
      </w:r>
      <w:r>
        <w:rPr>
          <w:rFonts w:hint="eastAsia" w:ascii="仿宋" w:hAnsi="仿宋" w:eastAsia="仿宋" w:cs="仿宋"/>
          <w:color w:val="auto"/>
          <w:sz w:val="28"/>
          <w:szCs w:val="28"/>
          <w:highlight w:val="none"/>
          <w:u w:val="single"/>
        </w:rPr>
        <w:t>供应商须知资料表</w:t>
      </w:r>
      <w:r>
        <w:rPr>
          <w:rFonts w:hint="eastAsia" w:ascii="仿宋" w:hAnsi="仿宋" w:eastAsia="仿宋" w:cs="仿宋"/>
          <w:color w:val="auto"/>
          <w:sz w:val="28"/>
          <w:szCs w:val="28"/>
          <w:highlight w:val="none"/>
        </w:rPr>
        <w:t>中另有规定。</w:t>
      </w:r>
    </w:p>
    <w:p w14:paraId="2CC8FA46">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7.2供应商应当对所投项目招标文件中“</w:t>
      </w:r>
      <w:r>
        <w:rPr>
          <w:rFonts w:hint="eastAsia" w:ascii="仿宋" w:hAnsi="仿宋" w:eastAsia="仿宋" w:cs="仿宋"/>
          <w:color w:val="auto"/>
          <w:sz w:val="28"/>
          <w:szCs w:val="28"/>
          <w:highlight w:val="none"/>
          <w:lang w:val="en-US" w:eastAsia="zh-CN"/>
        </w:rPr>
        <w:t>采购需求及商务要求</w:t>
      </w:r>
      <w:r>
        <w:rPr>
          <w:rFonts w:hint="eastAsia" w:ascii="仿宋" w:hAnsi="仿宋" w:eastAsia="仿宋" w:cs="仿宋"/>
          <w:color w:val="auto"/>
          <w:sz w:val="28"/>
          <w:szCs w:val="28"/>
          <w:highlight w:val="none"/>
        </w:rPr>
        <w:t>”所列的所有内容进行投标。</w:t>
      </w:r>
    </w:p>
    <w:p w14:paraId="499F030F">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7.3无论招标文件第</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章否要求，供应商所投货物均应符合国家强制性标准。</w:t>
      </w:r>
    </w:p>
    <w:p w14:paraId="333341FF">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7.4除招标文件中有特殊要求外，投标文件中所使用的计量单位，应采用中华人民共和国法定计量单位。</w:t>
      </w:r>
    </w:p>
    <w:p w14:paraId="1ADA67C3">
      <w:pPr>
        <w:pStyle w:val="6"/>
        <w:pageBreakBefore w:val="0"/>
        <w:widowControl w:val="0"/>
        <w:tabs>
          <w:tab w:val="left" w:pos="900"/>
        </w:tabs>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highlight w:val="none"/>
          <w:u w:val="none"/>
        </w:rPr>
      </w:pPr>
      <w:bookmarkStart w:id="147" w:name="_Toc516367022"/>
      <w:bookmarkStart w:id="148" w:name="_Ref467306676"/>
      <w:bookmarkStart w:id="149" w:name="_Ref467306195"/>
      <w:bookmarkStart w:id="150" w:name="_Toc10364"/>
      <w:bookmarkStart w:id="151" w:name="_Toc515647768"/>
      <w:bookmarkStart w:id="152" w:name="_Toc28307"/>
      <w:bookmarkStart w:id="153" w:name="_Toc18692"/>
      <w:bookmarkStart w:id="154" w:name="_Toc520356152"/>
      <w:bookmarkStart w:id="155" w:name="_Toc32467"/>
      <w:bookmarkStart w:id="156" w:name="_Toc16425"/>
      <w:r>
        <w:rPr>
          <w:rFonts w:hint="eastAsia" w:ascii="仿宋" w:hAnsi="仿宋" w:eastAsia="仿宋" w:cs="仿宋"/>
          <w:color w:val="auto"/>
          <w:sz w:val="28"/>
          <w:szCs w:val="28"/>
          <w:highlight w:val="none"/>
          <w:u w:val="none"/>
        </w:rPr>
        <w:t>8.投标文件</w:t>
      </w:r>
      <w:bookmarkEnd w:id="147"/>
      <w:bookmarkEnd w:id="148"/>
      <w:bookmarkEnd w:id="149"/>
      <w:r>
        <w:rPr>
          <w:rFonts w:hint="eastAsia" w:ascii="仿宋" w:hAnsi="仿宋" w:eastAsia="仿宋" w:cs="仿宋"/>
          <w:color w:val="auto"/>
          <w:sz w:val="28"/>
          <w:szCs w:val="28"/>
          <w:highlight w:val="none"/>
          <w:u w:val="none"/>
        </w:rPr>
        <w:t>构成</w:t>
      </w:r>
      <w:bookmarkEnd w:id="150"/>
      <w:bookmarkEnd w:id="151"/>
      <w:bookmarkEnd w:id="152"/>
      <w:bookmarkEnd w:id="153"/>
      <w:bookmarkEnd w:id="154"/>
      <w:bookmarkEnd w:id="155"/>
      <w:r>
        <w:rPr>
          <w:rFonts w:hint="eastAsia" w:ascii="仿宋" w:hAnsi="仿宋" w:eastAsia="仿宋" w:cs="仿宋"/>
          <w:color w:val="auto"/>
          <w:sz w:val="28"/>
          <w:szCs w:val="28"/>
          <w:highlight w:val="none"/>
          <w:u w:val="none"/>
        </w:rPr>
        <w:t>（详见投标文件格式）</w:t>
      </w:r>
      <w:bookmarkEnd w:id="156"/>
    </w:p>
    <w:p w14:paraId="33402B99">
      <w:pPr>
        <w:pStyle w:val="63"/>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bookmarkStart w:id="157" w:name="_Ref467052588"/>
      <w:bookmarkStart w:id="158" w:name="_Toc10379"/>
      <w:bookmarkStart w:id="159" w:name="_Toc520356153"/>
      <w:bookmarkStart w:id="160" w:name="_Toc4601"/>
      <w:bookmarkStart w:id="161" w:name="_Toc13143"/>
      <w:bookmarkStart w:id="162" w:name="_Toc516367023"/>
      <w:bookmarkStart w:id="163" w:name="_Toc515647769"/>
      <w:r>
        <w:rPr>
          <w:rFonts w:hint="eastAsia" w:ascii="仿宋" w:hAnsi="仿宋" w:eastAsia="仿宋" w:cs="仿宋"/>
          <w:color w:val="auto"/>
          <w:sz w:val="28"/>
          <w:szCs w:val="28"/>
          <w:highlight w:val="none"/>
        </w:rPr>
        <w:t>8.1本项目采用不见面开标，供应商需要递交电子投标文件。加密的电子投标文件，在公开招标截止时间前通过新疆政采云平台上传到指定位置，无需递交纸质文件。</w:t>
      </w:r>
    </w:p>
    <w:p w14:paraId="1E1E0169">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开标当日，供应商无需到达开标现场，仅需通过政采云系统完成远程解密、提疑澄清、开标唱标、结果公布等交互环节。供应商必须使用能正确解密响应文件的“CA锁”在规定的时间内完成远程解密，因供应商原因未能解密、解密失败或解密超时，视为供应商撤销其响应文件，系统内响应文件将被退回；因采购人原因或政采云平台发生故障，导致无法按时完成响应文件解密或开、评标工作无法进行的，可根据实际情况相应延迟解密时间或调整开、评标时间。</w:t>
      </w:r>
    </w:p>
    <w:bookmarkEnd w:id="157"/>
    <w:p w14:paraId="1D233D06">
      <w:pPr>
        <w:pStyle w:val="6"/>
        <w:pageBreakBefore w:val="0"/>
        <w:widowControl w:val="0"/>
        <w:tabs>
          <w:tab w:val="left" w:pos="900"/>
        </w:tabs>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highlight w:val="none"/>
          <w:u w:val="none"/>
        </w:rPr>
      </w:pPr>
      <w:bookmarkStart w:id="164" w:name="_Toc11034"/>
      <w:bookmarkStart w:id="165" w:name="_Toc25142"/>
      <w:r>
        <w:rPr>
          <w:rFonts w:hint="eastAsia" w:ascii="仿宋" w:hAnsi="仿宋" w:eastAsia="仿宋" w:cs="仿宋"/>
          <w:color w:val="auto"/>
          <w:sz w:val="28"/>
          <w:szCs w:val="28"/>
          <w:highlight w:val="none"/>
          <w:u w:val="none"/>
        </w:rPr>
        <w:t>9.证明投标标的的合格性和符合招标文件规定的技术文件</w:t>
      </w:r>
      <w:bookmarkEnd w:id="158"/>
      <w:bookmarkEnd w:id="159"/>
      <w:bookmarkEnd w:id="160"/>
      <w:bookmarkEnd w:id="161"/>
      <w:bookmarkEnd w:id="162"/>
      <w:bookmarkEnd w:id="163"/>
      <w:bookmarkEnd w:id="164"/>
      <w:bookmarkEnd w:id="165"/>
    </w:p>
    <w:p w14:paraId="6EF9FEB8">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9.1供应商应提交证明文件，证明其投标内容符合招标文件规定。该证明文件是投标文件的一部分。</w:t>
      </w:r>
    </w:p>
    <w:p w14:paraId="41A08060">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bookmarkStart w:id="166" w:name="_Ref467306244"/>
      <w:r>
        <w:rPr>
          <w:rFonts w:hint="eastAsia" w:ascii="仿宋" w:hAnsi="仿宋" w:eastAsia="仿宋" w:cs="仿宋"/>
          <w:color w:val="auto"/>
          <w:sz w:val="28"/>
          <w:szCs w:val="28"/>
          <w:highlight w:val="none"/>
        </w:rPr>
        <w:t>9.2上款所述的证明文件，可以是文字资料、图纸和数据，</w:t>
      </w:r>
      <w:bookmarkEnd w:id="166"/>
      <w:r>
        <w:rPr>
          <w:rFonts w:hint="eastAsia" w:ascii="仿宋" w:hAnsi="仿宋" w:eastAsia="仿宋" w:cs="仿宋"/>
          <w:color w:val="auto"/>
          <w:sz w:val="28"/>
          <w:szCs w:val="28"/>
          <w:highlight w:val="none"/>
        </w:rPr>
        <w:t>它包括：</w:t>
      </w:r>
    </w:p>
    <w:p w14:paraId="57BA2108">
      <w:pPr>
        <w:pageBreakBefore w:val="0"/>
        <w:widowControl w:val="0"/>
        <w:kinsoku/>
        <w:wordWrap/>
        <w:overflowPunct/>
        <w:topLinePunct w:val="0"/>
        <w:autoSpaceDE/>
        <w:autoSpaceDN/>
        <w:bidi w:val="0"/>
        <w:adjustRightInd/>
        <w:snapToGrid/>
        <w:spacing w:line="480" w:lineRule="exact"/>
        <w:ind w:firstLine="560" w:firstLineChars="200"/>
        <w:textAlignment w:val="auto"/>
        <w:outlineLvl w:val="2"/>
        <w:rPr>
          <w:rFonts w:hint="eastAsia" w:ascii="仿宋" w:hAnsi="仿宋" w:eastAsia="仿宋" w:cs="仿宋"/>
          <w:color w:val="auto"/>
          <w:sz w:val="28"/>
          <w:szCs w:val="28"/>
          <w:highlight w:val="none"/>
        </w:rPr>
      </w:pPr>
      <w:bookmarkStart w:id="167" w:name="_Toc26980"/>
      <w:r>
        <w:rPr>
          <w:rFonts w:hint="eastAsia" w:ascii="仿宋" w:hAnsi="仿宋" w:eastAsia="仿宋" w:cs="仿宋"/>
          <w:color w:val="auto"/>
          <w:sz w:val="28"/>
          <w:szCs w:val="28"/>
          <w:highlight w:val="none"/>
        </w:rPr>
        <w:t>9.2.1货物主要技术指标和性能的详细说明。</w:t>
      </w:r>
      <w:bookmarkEnd w:id="167"/>
    </w:p>
    <w:p w14:paraId="436C4B1C">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9.2.2货物从买方开始使用至招标文件规定的保质期内正常、连续地使用所必须的备件和专用工具清单，包括备件和专用工具的货源及现行价格。</w:t>
      </w:r>
    </w:p>
    <w:p w14:paraId="109CF85C">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9.2.3对照招标文件技术规格，逐条说明所提供货物及伴随的工程和服务已对招标文件的技术规格做出了实质性的响应，或申明与技术规格条文的偏差和例外。</w:t>
      </w:r>
    </w:p>
    <w:p w14:paraId="76C39A60">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9.3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40A1AAFB">
      <w:pPr>
        <w:pStyle w:val="6"/>
        <w:pageBreakBefore w:val="0"/>
        <w:widowControl w:val="0"/>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highlight w:val="none"/>
          <w:u w:val="none"/>
        </w:rPr>
      </w:pPr>
      <w:bookmarkStart w:id="168" w:name="_Toc23231"/>
      <w:bookmarkStart w:id="169" w:name="_Toc17878"/>
      <w:bookmarkStart w:id="170" w:name="_Toc520356155"/>
      <w:bookmarkStart w:id="171" w:name="_Toc2248"/>
      <w:bookmarkStart w:id="172" w:name="_Toc19624"/>
      <w:bookmarkStart w:id="173" w:name="_Toc515647770"/>
      <w:bookmarkStart w:id="174" w:name="_Toc18482"/>
      <w:r>
        <w:rPr>
          <w:rFonts w:hint="eastAsia" w:ascii="仿宋" w:hAnsi="仿宋" w:eastAsia="仿宋" w:cs="仿宋"/>
          <w:color w:val="auto"/>
          <w:sz w:val="28"/>
          <w:szCs w:val="28"/>
          <w:highlight w:val="none"/>
          <w:u w:val="none"/>
        </w:rPr>
        <w:t>10.投标报价</w:t>
      </w:r>
      <w:bookmarkEnd w:id="168"/>
      <w:bookmarkEnd w:id="169"/>
      <w:bookmarkEnd w:id="170"/>
      <w:bookmarkEnd w:id="171"/>
      <w:bookmarkEnd w:id="172"/>
      <w:bookmarkEnd w:id="173"/>
      <w:bookmarkEnd w:id="174"/>
    </w:p>
    <w:p w14:paraId="52192947">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10.1所有投标均以人民币报价。同时，根据《中华人民共和国政府采购法》第二条的规定，为保证公平竞争，如有货物主体部分的赠与行为，投标被认定为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44B455B8">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10.2供应商应在投标分项报价表上标明投标货物及相关服务的单价（如适用）和总价，并由法定代表人或</w:t>
      </w:r>
      <w:r>
        <w:rPr>
          <w:rFonts w:hint="eastAsia" w:ascii="仿宋" w:hAnsi="仿宋" w:eastAsia="仿宋" w:cs="仿宋"/>
          <w:color w:val="auto"/>
          <w:sz w:val="28"/>
          <w:szCs w:val="28"/>
          <w:highlight w:val="none"/>
          <w:lang w:val="en-US" w:eastAsia="zh-CN"/>
        </w:rPr>
        <w:t>被授权人</w:t>
      </w:r>
      <w:r>
        <w:rPr>
          <w:rFonts w:hint="eastAsia" w:ascii="仿宋" w:hAnsi="仿宋" w:eastAsia="仿宋" w:cs="仿宋"/>
          <w:color w:val="auto"/>
          <w:sz w:val="28"/>
          <w:szCs w:val="28"/>
          <w:highlight w:val="none"/>
        </w:rPr>
        <w:t>签署。</w:t>
      </w:r>
    </w:p>
    <w:p w14:paraId="7AF4B05F">
      <w:pPr>
        <w:pageBreakBefore w:val="0"/>
        <w:widowControl w:val="0"/>
        <w:kinsoku/>
        <w:wordWrap/>
        <w:overflowPunct/>
        <w:topLinePunct w:val="0"/>
        <w:autoSpaceDE/>
        <w:autoSpaceDN/>
        <w:bidi w:val="0"/>
        <w:adjustRightInd/>
        <w:snapToGrid/>
        <w:spacing w:line="480" w:lineRule="exact"/>
        <w:ind w:firstLine="560" w:firstLineChars="200"/>
        <w:textAlignment w:val="auto"/>
        <w:outlineLvl w:val="2"/>
        <w:rPr>
          <w:rFonts w:hint="eastAsia" w:ascii="仿宋" w:hAnsi="仿宋" w:eastAsia="仿宋" w:cs="仿宋"/>
          <w:color w:val="auto"/>
          <w:sz w:val="28"/>
          <w:szCs w:val="28"/>
          <w:highlight w:val="none"/>
        </w:rPr>
      </w:pPr>
      <w:bookmarkStart w:id="175" w:name="_Toc2180"/>
      <w:r>
        <w:rPr>
          <w:rFonts w:hint="eastAsia" w:ascii="仿宋" w:hAnsi="仿宋" w:eastAsia="仿宋" w:cs="仿宋"/>
          <w:color w:val="auto"/>
          <w:sz w:val="28"/>
          <w:szCs w:val="28"/>
          <w:highlight w:val="none"/>
        </w:rPr>
        <w:t>10.3投标分项报价表上的价格应按下列方式填写：</w:t>
      </w:r>
      <w:bookmarkEnd w:id="175"/>
    </w:p>
    <w:p w14:paraId="21D87871">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10.3.1投标货物（包括备品备件、专用工具等）的出厂价（包括已在中国国内的进口货物完税后的仓库交货价、展室交货价或货架交货价），投标货物安装、调试、检验、技术服务和培训等费用；</w:t>
      </w:r>
    </w:p>
    <w:p w14:paraId="7A4EAD39">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10.3.2货物运至最终目的地的运输费和保险费用。</w:t>
      </w:r>
    </w:p>
    <w:p w14:paraId="5EF056C2">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10.4供应商所报的各分项投标单价在合同履行过程中是固定不变的，不得以任何理由予以变更。任何包含价格调整要求的投标，投标被认定为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49F94B54">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10.5每种货物只能有一个投标报价。采购人不接受具有附加条件的报价。</w:t>
      </w:r>
    </w:p>
    <w:p w14:paraId="2C74C3DE">
      <w:pPr>
        <w:pStyle w:val="6"/>
        <w:pageBreakBefore w:val="0"/>
        <w:widowControl w:val="0"/>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highlight w:val="none"/>
          <w:u w:val="none"/>
        </w:rPr>
      </w:pPr>
      <w:bookmarkStart w:id="176" w:name="_Toc15493"/>
      <w:bookmarkStart w:id="177" w:name="_Toc7837"/>
      <w:bookmarkStart w:id="178" w:name="_Ref467306513"/>
      <w:bookmarkStart w:id="179" w:name="_Toc515647771"/>
      <w:bookmarkStart w:id="180" w:name="_Toc22212"/>
      <w:bookmarkStart w:id="181" w:name="_Toc11514"/>
      <w:bookmarkStart w:id="182" w:name="_Toc17788"/>
      <w:bookmarkStart w:id="183" w:name="_Toc520356156"/>
      <w:r>
        <w:rPr>
          <w:rFonts w:hint="eastAsia" w:ascii="仿宋" w:hAnsi="仿宋" w:eastAsia="仿宋" w:cs="仿宋"/>
          <w:color w:val="auto"/>
          <w:sz w:val="28"/>
          <w:szCs w:val="28"/>
          <w:highlight w:val="none"/>
          <w:u w:val="none"/>
        </w:rPr>
        <w:t>11.投标保证金</w:t>
      </w:r>
      <w:bookmarkEnd w:id="176"/>
      <w:bookmarkEnd w:id="177"/>
      <w:bookmarkEnd w:id="178"/>
      <w:bookmarkEnd w:id="179"/>
      <w:bookmarkEnd w:id="180"/>
      <w:bookmarkEnd w:id="181"/>
      <w:bookmarkEnd w:id="182"/>
      <w:bookmarkEnd w:id="183"/>
    </w:p>
    <w:p w14:paraId="46638EA1">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bookmarkStart w:id="184" w:name="_Ref467306302"/>
      <w:r>
        <w:rPr>
          <w:rFonts w:hint="eastAsia" w:ascii="仿宋" w:hAnsi="仿宋" w:eastAsia="仿宋" w:cs="仿宋"/>
          <w:color w:val="auto"/>
          <w:sz w:val="28"/>
          <w:szCs w:val="28"/>
          <w:highlight w:val="none"/>
        </w:rPr>
        <w:t>11.1供应商应提交</w:t>
      </w:r>
      <w:r>
        <w:rPr>
          <w:rFonts w:hint="eastAsia" w:ascii="仿宋" w:hAnsi="仿宋" w:eastAsia="仿宋" w:cs="仿宋"/>
          <w:color w:val="auto"/>
          <w:sz w:val="28"/>
          <w:szCs w:val="28"/>
          <w:highlight w:val="none"/>
          <w:u w:val="single"/>
        </w:rPr>
        <w:t>供应商须知资料表</w:t>
      </w:r>
      <w:r>
        <w:rPr>
          <w:rFonts w:hint="eastAsia" w:ascii="仿宋" w:hAnsi="仿宋" w:eastAsia="仿宋" w:cs="仿宋"/>
          <w:color w:val="auto"/>
          <w:sz w:val="28"/>
          <w:szCs w:val="28"/>
          <w:highlight w:val="none"/>
        </w:rPr>
        <w:t>中规定的投标保证金</w:t>
      </w:r>
      <w:bookmarkEnd w:id="184"/>
      <w:r>
        <w:rPr>
          <w:rFonts w:hint="eastAsia" w:ascii="仿宋" w:hAnsi="仿宋" w:eastAsia="仿宋" w:cs="仿宋"/>
          <w:color w:val="auto"/>
          <w:sz w:val="28"/>
          <w:szCs w:val="28"/>
          <w:highlight w:val="none"/>
        </w:rPr>
        <w:t>，并作为其投标的一部分。</w:t>
      </w:r>
    </w:p>
    <w:p w14:paraId="786F8C1B">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11.2供应商未按本招标文件规定提交投标保证金的，投标被认定为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06E40593">
      <w:pPr>
        <w:pStyle w:val="16"/>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11.3投标保证金应当以支票、汇票、本票或者金融机构、担保机构出具的保函等非现金形式提交。</w:t>
      </w:r>
    </w:p>
    <w:p w14:paraId="463A2617">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11.4联合体投标的，可以由联合体中的一方或者共同提交投标保证金。以一方名义提交投标保证金的，对联合体各方均具有约束力。</w:t>
      </w:r>
    </w:p>
    <w:p w14:paraId="1C5CF813">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11.5因供应商自身原因导致无法及时退还的，采购人或采购代理机构将不承担相应责任。</w:t>
      </w:r>
    </w:p>
    <w:p w14:paraId="68A1853B">
      <w:pPr>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.6投标保证金的退还</w:t>
      </w:r>
    </w:p>
    <w:p w14:paraId="0FC585F7">
      <w:pPr>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CN"/>
        </w:rPr>
        <w:t>1中标</w:t>
      </w:r>
      <w:r>
        <w:rPr>
          <w:rFonts w:hint="eastAsia" w:ascii="仿宋" w:hAnsi="仿宋" w:eastAsia="仿宋" w:cs="仿宋"/>
          <w:color w:val="auto"/>
          <w:sz w:val="28"/>
          <w:szCs w:val="28"/>
          <w:highlight w:val="none"/>
        </w:rPr>
        <w:t>人应在与采购人签订合同之日起5个工作日内，及时联系保证金收受机构办理投标保证金无息退还手续。</w:t>
      </w:r>
    </w:p>
    <w:p w14:paraId="0FDE3F68">
      <w:pPr>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.6.2未</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投标人的投标保证金将在</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通知书发出之日暨</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结果公告公布之日起5个工作日内无息退还。投标人及时联系保证金收受机构办理退还投标保证金手续。</w:t>
      </w:r>
      <w:bookmarkStart w:id="185" w:name="_Toc518923075"/>
    </w:p>
    <w:bookmarkEnd w:id="185"/>
    <w:p w14:paraId="01248B5F">
      <w:pPr>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.7因投标人自身原因导致无法及时退还的，采购人或采购代理机构将不承担相应责任。</w:t>
      </w:r>
    </w:p>
    <w:p w14:paraId="6C550BFC">
      <w:pPr>
        <w:pStyle w:val="6"/>
        <w:pageBreakBefore w:val="0"/>
        <w:widowControl w:val="0"/>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highlight w:val="none"/>
          <w:u w:val="none"/>
        </w:rPr>
      </w:pPr>
      <w:bookmarkStart w:id="186" w:name="_Toc23590"/>
      <w:bookmarkStart w:id="187" w:name="_Toc32569"/>
      <w:bookmarkStart w:id="188" w:name="_Toc3238"/>
      <w:bookmarkStart w:id="189" w:name="_Toc520356157"/>
      <w:bookmarkStart w:id="190" w:name="_Toc515647772"/>
      <w:bookmarkStart w:id="191" w:name="_Toc11080"/>
      <w:bookmarkStart w:id="192" w:name="_Toc22901"/>
      <w:r>
        <w:rPr>
          <w:rFonts w:hint="eastAsia" w:ascii="仿宋" w:hAnsi="仿宋" w:eastAsia="仿宋" w:cs="仿宋"/>
          <w:color w:val="auto"/>
          <w:sz w:val="28"/>
          <w:szCs w:val="28"/>
          <w:highlight w:val="none"/>
          <w:u w:val="none"/>
        </w:rPr>
        <w:t>12.投标有效期</w:t>
      </w:r>
      <w:bookmarkEnd w:id="186"/>
      <w:bookmarkEnd w:id="187"/>
      <w:bookmarkEnd w:id="188"/>
      <w:bookmarkEnd w:id="189"/>
      <w:bookmarkEnd w:id="190"/>
      <w:bookmarkEnd w:id="191"/>
      <w:bookmarkEnd w:id="192"/>
    </w:p>
    <w:p w14:paraId="76AE6EAA">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12.1投标应在</w:t>
      </w:r>
      <w:r>
        <w:rPr>
          <w:rFonts w:hint="eastAsia" w:ascii="仿宋" w:hAnsi="仿宋" w:eastAsia="仿宋" w:cs="仿宋"/>
          <w:color w:val="auto"/>
          <w:sz w:val="28"/>
          <w:szCs w:val="28"/>
          <w:highlight w:val="none"/>
          <w:u w:val="single"/>
        </w:rPr>
        <w:t>供应商须知资料表</w:t>
      </w:r>
      <w:r>
        <w:rPr>
          <w:rFonts w:hint="eastAsia" w:ascii="仿宋" w:hAnsi="仿宋" w:eastAsia="仿宋" w:cs="仿宋"/>
          <w:color w:val="auto"/>
          <w:sz w:val="28"/>
          <w:szCs w:val="28"/>
          <w:highlight w:val="none"/>
        </w:rPr>
        <w:t>中规定时间内保持有效。投标有效期不满足要求的投标，投标被认定为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0E84E61F">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上述要求和答复都应以书面形式提交。</w:t>
      </w:r>
    </w:p>
    <w:p w14:paraId="0F475F0F">
      <w:pPr>
        <w:pStyle w:val="5"/>
        <w:keepNext w:val="0"/>
        <w:keepLines w:val="0"/>
        <w:pageBreakBefore w:val="0"/>
        <w:widowControl w:val="0"/>
        <w:kinsoku/>
        <w:wordWrap/>
        <w:overflowPunct/>
        <w:topLinePunct w:val="0"/>
        <w:autoSpaceDE/>
        <w:autoSpaceDN/>
        <w:bidi w:val="0"/>
        <w:adjustRightInd/>
        <w:snapToGrid/>
        <w:spacing w:before="0" w:beforeAutospacing="0" w:line="480" w:lineRule="exact"/>
        <w:ind w:left="0" w:leftChars="0" w:firstLine="0" w:firstLineChars="0"/>
        <w:jc w:val="center"/>
        <w:textAlignment w:val="auto"/>
        <w:rPr>
          <w:rFonts w:hint="eastAsia" w:ascii="仿宋" w:hAnsi="仿宋" w:eastAsia="仿宋" w:cs="仿宋"/>
          <w:b/>
          <w:bCs/>
          <w:color w:val="auto"/>
          <w:sz w:val="36"/>
          <w:szCs w:val="36"/>
          <w:highlight w:val="none"/>
        </w:rPr>
      </w:pPr>
      <w:bookmarkStart w:id="193" w:name="_Toc29988"/>
      <w:r>
        <w:rPr>
          <w:rFonts w:hint="eastAsia" w:ascii="仿宋" w:hAnsi="仿宋" w:eastAsia="仿宋" w:cs="仿宋"/>
          <w:b/>
          <w:bCs/>
          <w:color w:val="auto"/>
          <w:sz w:val="36"/>
          <w:szCs w:val="36"/>
          <w:highlight w:val="none"/>
        </w:rPr>
        <w:t>四</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投标文件的递交</w:t>
      </w:r>
      <w:bookmarkEnd w:id="140"/>
      <w:bookmarkEnd w:id="141"/>
      <w:bookmarkEnd w:id="142"/>
      <w:bookmarkEnd w:id="143"/>
      <w:bookmarkEnd w:id="144"/>
      <w:bookmarkEnd w:id="145"/>
      <w:bookmarkEnd w:id="146"/>
      <w:bookmarkEnd w:id="193"/>
    </w:p>
    <w:p w14:paraId="75A585AE">
      <w:pPr>
        <w:pStyle w:val="6"/>
        <w:pageBreakBefore w:val="0"/>
        <w:widowControl w:val="0"/>
        <w:kinsoku/>
        <w:wordWrap/>
        <w:overflowPunct/>
        <w:topLinePunct w:val="0"/>
        <w:autoSpaceDE/>
        <w:autoSpaceDN/>
        <w:bidi w:val="0"/>
        <w:adjustRightInd/>
        <w:snapToGrid/>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194" w:name="_Toc314"/>
      <w:bookmarkStart w:id="195" w:name="_Toc26195"/>
      <w:bookmarkStart w:id="196" w:name="_Toc515647775"/>
      <w:bookmarkStart w:id="197" w:name="_Toc520356160"/>
      <w:bookmarkStart w:id="198" w:name="_Toc32337"/>
      <w:bookmarkStart w:id="199" w:name="_Toc20600"/>
      <w:bookmarkStart w:id="200" w:name="_Toc21645"/>
      <w:bookmarkStart w:id="201" w:name="_Toc32462"/>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3</w:t>
      </w:r>
      <w:r>
        <w:rPr>
          <w:rFonts w:hint="eastAsia" w:ascii="仿宋" w:hAnsi="仿宋" w:eastAsia="仿宋" w:cs="仿宋"/>
          <w:color w:val="auto"/>
          <w:sz w:val="28"/>
          <w:szCs w:val="28"/>
          <w:highlight w:val="none"/>
          <w:u w:val="none"/>
        </w:rPr>
        <w:t>.投标文件的密封和标记</w:t>
      </w:r>
      <w:bookmarkEnd w:id="194"/>
      <w:bookmarkEnd w:id="195"/>
      <w:bookmarkEnd w:id="196"/>
      <w:bookmarkEnd w:id="197"/>
      <w:bookmarkEnd w:id="198"/>
      <w:bookmarkEnd w:id="199"/>
      <w:bookmarkEnd w:id="200"/>
      <w:bookmarkEnd w:id="201"/>
    </w:p>
    <w:p w14:paraId="4CD8909D">
      <w:pPr>
        <w:pStyle w:val="66"/>
        <w:pageBreakBefore w:val="0"/>
        <w:widowControl w:val="0"/>
        <w:kinsoku/>
        <w:wordWrap/>
        <w:overflowPunct/>
        <w:topLinePunct w:val="0"/>
        <w:autoSpaceDE/>
        <w:autoSpaceDN/>
        <w:bidi w:val="0"/>
        <w:adjustRightInd/>
        <w:snapToGrid/>
        <w:spacing w:beforeAutospacing="0" w:line="480" w:lineRule="exact"/>
        <w:ind w:firstLine="56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rPr>
        <w:t>响应文件的密封和标记。电子响应文件的内容通过数字证书进行加密并签章，投标截止时间前通过政采云平台上传到指定位置。未按要求加密</w:t>
      </w:r>
      <w:r>
        <w:rPr>
          <w:rFonts w:hint="eastAsia" w:ascii="仿宋" w:hAnsi="仿宋" w:eastAsia="仿宋" w:cs="仿宋"/>
          <w:color w:val="auto"/>
          <w:kern w:val="2"/>
          <w:sz w:val="28"/>
          <w:szCs w:val="28"/>
          <w:highlight w:val="none"/>
          <w:lang w:val="en-US" w:eastAsia="zh-CN"/>
        </w:rPr>
        <w:t>签章</w:t>
      </w:r>
      <w:r>
        <w:rPr>
          <w:rFonts w:hint="eastAsia" w:ascii="仿宋" w:hAnsi="仿宋" w:eastAsia="仿宋" w:cs="仿宋"/>
          <w:color w:val="auto"/>
          <w:kern w:val="2"/>
          <w:sz w:val="28"/>
          <w:szCs w:val="28"/>
          <w:highlight w:val="none"/>
        </w:rPr>
        <w:t>和数字证书认证的响应文件，电子评标系统将无法接受,代理机构及采购方不予受理。</w:t>
      </w:r>
    </w:p>
    <w:p w14:paraId="7BD86B33">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02" w:name="_Toc25030"/>
      <w:bookmarkStart w:id="203" w:name="_Toc16755"/>
      <w:bookmarkStart w:id="204" w:name="_Toc518923081"/>
      <w:bookmarkStart w:id="205" w:name="_Toc13921"/>
      <w:bookmarkStart w:id="206" w:name="_Toc520356162"/>
      <w:bookmarkStart w:id="207" w:name="_Toc2352"/>
      <w:bookmarkStart w:id="208" w:name="_Toc9534"/>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4</w:t>
      </w:r>
      <w:r>
        <w:rPr>
          <w:rFonts w:hint="eastAsia" w:ascii="仿宋" w:hAnsi="仿宋" w:eastAsia="仿宋" w:cs="仿宋"/>
          <w:color w:val="auto"/>
          <w:sz w:val="28"/>
          <w:szCs w:val="28"/>
          <w:highlight w:val="none"/>
          <w:u w:val="none"/>
        </w:rPr>
        <w:t>.投标截止</w:t>
      </w:r>
      <w:bookmarkEnd w:id="202"/>
      <w:bookmarkEnd w:id="203"/>
    </w:p>
    <w:p w14:paraId="08A4CDDD">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14.1供应商应按照本项目招标文件和政采云平台的要求编制电子响应文件，于投标截止时间之前将制作好的加密的电子响应文件上传到“政采云”平台。未在响应文件递交截止时间前完成上传的电子响应文件视为逾期送达，逾期上传或未按规定方式上传的电子响应文件，采购单位不予受理。本项目采用不见面开标，无需提供电子响应文件U盘、纸质响应文件。供应商在使用系统进行投标的过程中遇到涉及平台使用的任何问题，可致电政采云平台技术支持热线咨询，联系方式：95763。</w:t>
      </w:r>
    </w:p>
    <w:p w14:paraId="45428503">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14.2本项目实行网上投标，采用电子响应文件。若供应商参与投标，自行承担投标一切费用。</w:t>
      </w:r>
    </w:p>
    <w:p w14:paraId="1F7D61EF">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14.3本项目为电子招投标，</w:t>
      </w:r>
      <w:r>
        <w:rPr>
          <w:rFonts w:hint="eastAsia" w:ascii="仿宋" w:hAnsi="仿宋" w:eastAsia="仿宋" w:cs="仿宋"/>
          <w:color w:val="auto"/>
          <w:kern w:val="2"/>
          <w:sz w:val="28"/>
          <w:szCs w:val="28"/>
          <w:highlight w:val="none"/>
          <w:lang w:eastAsia="zh-CN"/>
        </w:rPr>
        <w:t>供应商</w:t>
      </w:r>
      <w:r>
        <w:rPr>
          <w:rFonts w:hint="eastAsia" w:ascii="仿宋" w:hAnsi="仿宋" w:eastAsia="仿宋" w:cs="仿宋"/>
          <w:color w:val="auto"/>
          <w:kern w:val="2"/>
          <w:sz w:val="28"/>
          <w:szCs w:val="28"/>
          <w:highlight w:val="none"/>
        </w:rPr>
        <w:t>需要使用CA加密设备，凡参加本项目须下载附件并填齐相关企业信息，然后发送至政采云公司指定邮箱，进行申领CA加密设备。</w:t>
      </w:r>
    </w:p>
    <w:p w14:paraId="51965317">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14.4供应商将政采云电子交易客户端下载、安装完成后，可通过账号密码或CA登录客户端进行响应文件制作。客户端请至新疆政府采购网（</w:t>
      </w:r>
      <w:r>
        <w:rPr>
          <w:rFonts w:hint="eastAsia" w:ascii="仿宋" w:hAnsi="仿宋" w:eastAsia="仿宋" w:cs="仿宋"/>
          <w:color w:val="auto"/>
          <w:sz w:val="28"/>
          <w:szCs w:val="28"/>
          <w:highlight w:val="none"/>
        </w:rPr>
        <w:t>http://www.ccgp-xinjiang.gov.cn/</w:t>
      </w:r>
      <w:r>
        <w:rPr>
          <w:rFonts w:hint="eastAsia" w:ascii="仿宋" w:hAnsi="仿宋" w:eastAsia="仿宋" w:cs="仿宋"/>
          <w:color w:val="auto"/>
          <w:kern w:val="2"/>
          <w:sz w:val="28"/>
          <w:szCs w:val="28"/>
          <w:highlight w:val="none"/>
        </w:rPr>
        <w:t>）下载专区查看，如有问题可拨打政采云客户服务热线95763进行咨询。</w:t>
      </w:r>
    </w:p>
    <w:p w14:paraId="23BFDCB6">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14.5开标时间后30分钟内供应商可以登录“政采云”平台，用“项目采购-开标评标”功能进行解密响应文件。若供应商在规定时间内未按时解密的，视为响应文件撤回。</w:t>
      </w:r>
    </w:p>
    <w:p w14:paraId="2E2EDFDC">
      <w:pPr>
        <w:pStyle w:val="6"/>
        <w:pageBreakBefore w:val="0"/>
        <w:kinsoku/>
        <w:wordWrap/>
        <w:overflowPunct/>
        <w:topLinePunct w:val="0"/>
        <w:bidi w:val="0"/>
        <w:spacing w:before="0" w:beforeAutospacing="0" w:after="0" w:line="480" w:lineRule="exact"/>
        <w:ind w:firstLine="560" w:firstLineChars="200"/>
        <w:textAlignment w:val="auto"/>
        <w:rPr>
          <w:rFonts w:hint="eastAsia" w:ascii="仿宋" w:hAnsi="仿宋" w:eastAsia="仿宋" w:cs="仿宋"/>
          <w:b w:val="0"/>
          <w:color w:val="auto"/>
          <w:kern w:val="2"/>
          <w:sz w:val="28"/>
          <w:szCs w:val="28"/>
          <w:highlight w:val="none"/>
          <w:u w:val="none"/>
          <w:lang w:val="en-US" w:eastAsia="zh-CN"/>
        </w:rPr>
      </w:pPr>
      <w:bookmarkStart w:id="209" w:name="_Toc19533"/>
      <w:r>
        <w:rPr>
          <w:rFonts w:hint="eastAsia" w:ascii="仿宋" w:hAnsi="仿宋" w:eastAsia="仿宋" w:cs="仿宋"/>
          <w:b w:val="0"/>
          <w:color w:val="auto"/>
          <w:kern w:val="2"/>
          <w:sz w:val="28"/>
          <w:szCs w:val="28"/>
          <w:highlight w:val="none"/>
          <w:u w:val="none"/>
          <w:lang w:val="en-US" w:eastAsia="zh-CN"/>
        </w:rPr>
        <w:t>14.6开标时报价签字确认时段不得超过30分钟。</w:t>
      </w:r>
      <w:bookmarkEnd w:id="209"/>
    </w:p>
    <w:bookmarkEnd w:id="204"/>
    <w:bookmarkEnd w:id="205"/>
    <w:bookmarkEnd w:id="206"/>
    <w:bookmarkEnd w:id="207"/>
    <w:bookmarkEnd w:id="208"/>
    <w:p w14:paraId="0797E9F6">
      <w:pPr>
        <w:pStyle w:val="68"/>
        <w:pageBreakBefore w:val="0"/>
        <w:kinsoku/>
        <w:wordWrap/>
        <w:overflowPunct/>
        <w:topLinePunct w:val="0"/>
        <w:bidi w:val="0"/>
        <w:spacing w:beforeAutospacing="0" w:line="480" w:lineRule="exact"/>
        <w:ind w:left="420" w:hanging="420"/>
        <w:textAlignment w:val="auto"/>
        <w:outlineLvl w:val="1"/>
        <w:rPr>
          <w:rFonts w:hint="eastAsia" w:ascii="仿宋" w:hAnsi="仿宋" w:eastAsia="仿宋" w:cs="仿宋"/>
          <w:b/>
          <w:bCs/>
          <w:color w:val="auto"/>
          <w:kern w:val="2"/>
          <w:sz w:val="28"/>
          <w:szCs w:val="28"/>
          <w:highlight w:val="none"/>
        </w:rPr>
      </w:pPr>
      <w:bookmarkStart w:id="210" w:name="_Toc24302"/>
      <w:bookmarkStart w:id="211" w:name="_Toc518923082"/>
      <w:bookmarkStart w:id="212" w:name="_Toc520356163"/>
      <w:bookmarkStart w:id="213" w:name="_Toc317"/>
      <w:bookmarkStart w:id="214" w:name="_Toc216582809"/>
      <w:bookmarkStart w:id="215" w:name="_Toc10257"/>
      <w:r>
        <w:rPr>
          <w:rFonts w:hint="eastAsia" w:ascii="仿宋" w:hAnsi="仿宋" w:eastAsia="仿宋" w:cs="仿宋"/>
          <w:b/>
          <w:bCs/>
          <w:color w:val="auto"/>
          <w:kern w:val="2"/>
          <w:sz w:val="28"/>
          <w:szCs w:val="28"/>
          <w:highlight w:val="none"/>
        </w:rPr>
        <w:t>15.递交的公开投标响应文件</w:t>
      </w:r>
      <w:bookmarkEnd w:id="210"/>
    </w:p>
    <w:p w14:paraId="1BD2D46A">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36"/>
          <w:szCs w:val="36"/>
          <w:highlight w:val="none"/>
        </w:rPr>
      </w:pPr>
      <w:r>
        <w:rPr>
          <w:rFonts w:hint="eastAsia" w:ascii="仿宋" w:hAnsi="仿宋" w:eastAsia="仿宋" w:cs="仿宋"/>
          <w:color w:val="auto"/>
          <w:kern w:val="2"/>
          <w:sz w:val="28"/>
          <w:szCs w:val="28"/>
          <w:highlight w:val="none"/>
        </w:rPr>
        <w:t>各供应商应在开标前应确保成为新疆政府采购网正式注册入库供应商，并完成CA数字证书申领。因未注册入库、未办理CA数字证书等原因造成无法投标或投标失败等后果由供应商自行承担。建议于公开投标响应文件递交截止时间前1个工作日完成公开投标响应文件的制作与上传。</w:t>
      </w:r>
      <w:bookmarkStart w:id="216" w:name="_Toc14771"/>
    </w:p>
    <w:p w14:paraId="2F38C246">
      <w:pPr>
        <w:pStyle w:val="5"/>
        <w:keepNext w:val="0"/>
        <w:keepLines w:val="0"/>
        <w:pageBreakBefore w:val="0"/>
        <w:widowControl w:val="0"/>
        <w:kinsoku/>
        <w:wordWrap/>
        <w:overflowPunct/>
        <w:topLinePunct w:val="0"/>
        <w:bidi w:val="0"/>
        <w:snapToGrid/>
        <w:spacing w:before="0" w:beforeAutospacing="0" w:line="480" w:lineRule="exact"/>
        <w:jc w:val="center"/>
        <w:textAlignment w:val="auto"/>
        <w:rPr>
          <w:rFonts w:hint="eastAsia" w:ascii="仿宋" w:hAnsi="仿宋" w:eastAsia="仿宋" w:cs="仿宋"/>
          <w:b/>
          <w:bCs/>
          <w:color w:val="auto"/>
          <w:sz w:val="36"/>
          <w:szCs w:val="36"/>
          <w:highlight w:val="none"/>
        </w:rPr>
      </w:pPr>
      <w:bookmarkStart w:id="217" w:name="_Toc12131"/>
      <w:bookmarkStart w:id="218" w:name="_Toc17265"/>
      <w:r>
        <w:rPr>
          <w:rFonts w:hint="eastAsia" w:ascii="仿宋" w:hAnsi="仿宋" w:eastAsia="仿宋" w:cs="仿宋"/>
          <w:b/>
          <w:bCs/>
          <w:color w:val="auto"/>
          <w:sz w:val="36"/>
          <w:szCs w:val="36"/>
          <w:highlight w:val="none"/>
        </w:rPr>
        <w:t>五</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开标及评标</w:t>
      </w:r>
      <w:bookmarkEnd w:id="211"/>
      <w:bookmarkEnd w:id="212"/>
      <w:bookmarkEnd w:id="213"/>
      <w:bookmarkEnd w:id="214"/>
      <w:bookmarkEnd w:id="215"/>
      <w:bookmarkEnd w:id="216"/>
      <w:bookmarkEnd w:id="217"/>
      <w:bookmarkEnd w:id="218"/>
    </w:p>
    <w:p w14:paraId="23097B75">
      <w:pPr>
        <w:pStyle w:val="6"/>
        <w:keepNext w:val="0"/>
        <w:keepLines w:val="0"/>
        <w:pageBreakBefore w:val="0"/>
        <w:widowControl w:val="0"/>
        <w:kinsoku/>
        <w:wordWrap/>
        <w:overflowPunct/>
        <w:topLinePunct w:val="0"/>
        <w:bidi w:val="0"/>
        <w:snapToGrid/>
        <w:spacing w:beforeAutospacing="0" w:after="0" w:line="480" w:lineRule="exact"/>
        <w:textAlignment w:val="auto"/>
        <w:outlineLvl w:val="1"/>
        <w:rPr>
          <w:rFonts w:hint="eastAsia" w:ascii="仿宋" w:hAnsi="仿宋" w:eastAsia="仿宋" w:cs="仿宋"/>
          <w:color w:val="auto"/>
          <w:sz w:val="28"/>
          <w:szCs w:val="28"/>
          <w:highlight w:val="none"/>
        </w:rPr>
      </w:pPr>
      <w:bookmarkStart w:id="219" w:name="_Toc17257"/>
      <w:bookmarkStart w:id="220" w:name="_Toc515647779"/>
      <w:bookmarkStart w:id="221" w:name="_Toc25345"/>
      <w:bookmarkStart w:id="222" w:name="_Toc751"/>
      <w:bookmarkStart w:id="223" w:name="_Toc520356164"/>
      <w:bookmarkStart w:id="224" w:name="_Toc7186"/>
      <w:bookmarkStart w:id="225" w:name="_Toc29802"/>
      <w:bookmarkStart w:id="226" w:name="_Toc2210"/>
      <w:bookmarkStart w:id="227" w:name="_Toc520356165"/>
      <w:bookmarkStart w:id="228" w:name="_Toc34"/>
      <w:bookmarkStart w:id="229" w:name="_Toc26925"/>
      <w:bookmarkStart w:id="230" w:name="_Toc13390"/>
      <w:bookmarkStart w:id="231" w:name="_Toc518923084"/>
      <w:r>
        <w:rPr>
          <w:rFonts w:hint="eastAsia" w:ascii="仿宋" w:hAnsi="仿宋" w:eastAsia="仿宋" w:cs="仿宋"/>
          <w:color w:val="auto"/>
          <w:sz w:val="28"/>
          <w:szCs w:val="28"/>
          <w:highlight w:val="none"/>
          <w:u w:val="none"/>
          <w:lang w:val="en-US" w:eastAsia="zh-CN"/>
        </w:rPr>
        <w:t>16.</w:t>
      </w:r>
      <w:bookmarkEnd w:id="219"/>
      <w:bookmarkEnd w:id="220"/>
      <w:bookmarkEnd w:id="221"/>
      <w:bookmarkEnd w:id="222"/>
      <w:bookmarkEnd w:id="223"/>
      <w:bookmarkEnd w:id="224"/>
      <w:r>
        <w:rPr>
          <w:rFonts w:hint="eastAsia" w:ascii="仿宋" w:hAnsi="仿宋" w:eastAsia="仿宋" w:cs="仿宋"/>
          <w:color w:val="auto"/>
          <w:sz w:val="28"/>
          <w:szCs w:val="28"/>
          <w:highlight w:val="none"/>
          <w:u w:val="none"/>
        </w:rPr>
        <w:t>采用不见面开标方式</w:t>
      </w:r>
      <w:bookmarkEnd w:id="225"/>
      <w:bookmarkEnd w:id="226"/>
    </w:p>
    <w:p w14:paraId="2C778145">
      <w:pPr>
        <w:pStyle w:val="6"/>
        <w:keepNext w:val="0"/>
        <w:keepLines w:val="0"/>
        <w:pageBreakBefore w:val="0"/>
        <w:widowControl w:val="0"/>
        <w:kinsoku/>
        <w:wordWrap/>
        <w:overflowPunct/>
        <w:topLinePunct w:val="0"/>
        <w:bidi w:val="0"/>
        <w:snapToGrid/>
        <w:spacing w:before="0" w:beforeAutospacing="0" w:after="0" w:line="480" w:lineRule="exact"/>
        <w:ind w:firstLine="560" w:firstLineChars="200"/>
        <w:textAlignment w:val="auto"/>
        <w:rPr>
          <w:rFonts w:hint="eastAsia" w:ascii="仿宋" w:hAnsi="仿宋" w:eastAsia="仿宋" w:cs="仿宋"/>
          <w:b w:val="0"/>
          <w:color w:val="auto"/>
          <w:kern w:val="2"/>
          <w:sz w:val="28"/>
          <w:szCs w:val="28"/>
          <w:highlight w:val="none"/>
          <w:u w:val="none"/>
          <w:lang w:val="en-US" w:eastAsia="zh-CN"/>
        </w:rPr>
      </w:pPr>
      <w:bookmarkStart w:id="232" w:name="_Toc3343"/>
      <w:r>
        <w:rPr>
          <w:rFonts w:hint="eastAsia" w:ascii="仿宋" w:hAnsi="仿宋" w:eastAsia="仿宋" w:cs="仿宋"/>
          <w:b w:val="0"/>
          <w:color w:val="auto"/>
          <w:kern w:val="2"/>
          <w:sz w:val="28"/>
          <w:szCs w:val="28"/>
          <w:highlight w:val="none"/>
          <w:u w:val="none"/>
          <w:lang w:val="en-US" w:eastAsia="zh-CN"/>
        </w:rPr>
        <w:t>16.1供应商在规定的投标截止时间（开标时间）和</w:t>
      </w:r>
      <w:r>
        <w:rPr>
          <w:rFonts w:hint="eastAsia" w:ascii="仿宋" w:hAnsi="仿宋" w:eastAsia="仿宋" w:cs="仿宋"/>
          <w:b w:val="0"/>
          <w:bCs/>
          <w:color w:val="auto"/>
          <w:sz w:val="28"/>
          <w:szCs w:val="28"/>
          <w:highlight w:val="none"/>
          <w:u w:val="single"/>
          <w:lang w:val="en-US" w:eastAsia="zh-CN"/>
        </w:rPr>
        <w:t>投标</w:t>
      </w:r>
      <w:r>
        <w:rPr>
          <w:rFonts w:hint="eastAsia" w:ascii="仿宋" w:hAnsi="仿宋" w:eastAsia="仿宋" w:cs="仿宋"/>
          <w:b w:val="0"/>
          <w:bCs/>
          <w:color w:val="auto"/>
          <w:sz w:val="28"/>
          <w:szCs w:val="28"/>
          <w:highlight w:val="none"/>
          <w:u w:val="single"/>
          <w:lang w:eastAsia="zh-CN"/>
        </w:rPr>
        <w:t>供应商</w:t>
      </w:r>
      <w:r>
        <w:rPr>
          <w:rFonts w:hint="eastAsia" w:ascii="仿宋" w:hAnsi="仿宋" w:eastAsia="仿宋" w:cs="仿宋"/>
          <w:b w:val="0"/>
          <w:bCs/>
          <w:color w:val="auto"/>
          <w:sz w:val="28"/>
          <w:szCs w:val="28"/>
          <w:highlight w:val="none"/>
          <w:u w:val="single"/>
        </w:rPr>
        <w:t>须知资料表</w:t>
      </w:r>
      <w:r>
        <w:rPr>
          <w:rFonts w:hint="eastAsia" w:ascii="仿宋" w:hAnsi="仿宋" w:eastAsia="仿宋" w:cs="仿宋"/>
          <w:b w:val="0"/>
          <w:color w:val="auto"/>
          <w:kern w:val="2"/>
          <w:sz w:val="28"/>
          <w:szCs w:val="28"/>
          <w:highlight w:val="none"/>
          <w:u w:val="none"/>
          <w:lang w:val="en-US" w:eastAsia="zh-CN"/>
        </w:rPr>
        <w:t>规定的地点开标。供应商的法定代表人或被授权人无需到达开标现场，仅需在任意地点通过新疆政采云开标系统，使用CA密钥完成远程解密、提疑澄清、开标唱标、结果公布等交互环节。</w:t>
      </w:r>
      <w:bookmarkEnd w:id="232"/>
    </w:p>
    <w:p w14:paraId="567F4476">
      <w:pPr>
        <w:keepNext w:val="0"/>
        <w:keepLines w:val="0"/>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16.2开标前，采购代理机构将会同采购方监督人员或公证人员进行验标（检查网上招标系统正常与否，检查未加密的电子投标文件，检查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保证金交纳情况），确认无误后开标。</w:t>
      </w:r>
    </w:p>
    <w:p w14:paraId="5701CB83">
      <w:pPr>
        <w:pStyle w:val="6"/>
        <w:keepNext w:val="0"/>
        <w:keepLines w:val="0"/>
        <w:pageBreakBefore w:val="0"/>
        <w:widowControl w:val="0"/>
        <w:kinsoku/>
        <w:wordWrap/>
        <w:overflowPunct/>
        <w:topLinePunct w:val="0"/>
        <w:bidi w:val="0"/>
        <w:snapToGrid/>
        <w:spacing w:before="0" w:beforeAutospacing="0" w:after="0" w:line="480" w:lineRule="exact"/>
        <w:ind w:firstLine="560" w:firstLineChars="200"/>
        <w:textAlignment w:val="auto"/>
        <w:rPr>
          <w:rFonts w:hint="eastAsia" w:ascii="仿宋" w:hAnsi="仿宋" w:eastAsia="仿宋" w:cs="仿宋"/>
          <w:b w:val="0"/>
          <w:color w:val="auto"/>
          <w:kern w:val="2"/>
          <w:sz w:val="28"/>
          <w:szCs w:val="28"/>
          <w:highlight w:val="none"/>
          <w:u w:val="none"/>
          <w:lang w:val="en-US" w:eastAsia="zh-CN"/>
        </w:rPr>
      </w:pPr>
      <w:bookmarkStart w:id="233" w:name="_Toc18490"/>
      <w:r>
        <w:rPr>
          <w:rFonts w:hint="eastAsia" w:ascii="仿宋" w:hAnsi="仿宋" w:eastAsia="仿宋" w:cs="仿宋"/>
          <w:b w:val="0"/>
          <w:color w:val="auto"/>
          <w:kern w:val="2"/>
          <w:sz w:val="28"/>
          <w:szCs w:val="28"/>
          <w:highlight w:val="none"/>
          <w:u w:val="none"/>
          <w:lang w:val="en-US" w:eastAsia="zh-CN"/>
        </w:rPr>
        <w:t>16.3法定代表人或被授权人参与远程交互，中途不得更换，在废标、澄清、提疑、传送文件等特殊情况下需要交互时，供应商一端参与交互的人员将均被视为是供应商的被授权人或法定代表人，供应商不得以不承认交互人员的资格或身份等为借口推脱，供应商自行承担随意更换人员所导致的一切后果。</w:t>
      </w:r>
      <w:bookmarkEnd w:id="233"/>
    </w:p>
    <w:p w14:paraId="7607E8D2">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16.4开标时间截止后，提交投标电子响应文件的供应商不足三家时，按照政府采购的相关法规处理。</w:t>
      </w:r>
    </w:p>
    <w:bookmarkEnd w:id="227"/>
    <w:bookmarkEnd w:id="228"/>
    <w:bookmarkEnd w:id="229"/>
    <w:bookmarkEnd w:id="230"/>
    <w:bookmarkEnd w:id="231"/>
    <w:p w14:paraId="2618EC47">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34" w:name="_Toc11943"/>
      <w:bookmarkStart w:id="235" w:name="_Toc4751"/>
      <w:bookmarkStart w:id="236" w:name="_Toc518923085"/>
      <w:bookmarkStart w:id="237" w:name="_Toc6842"/>
      <w:bookmarkStart w:id="238" w:name="_Toc520356166"/>
      <w:bookmarkStart w:id="239" w:name="_Toc14340"/>
      <w:bookmarkStart w:id="240" w:name="_Toc22789"/>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.资格审查及组建评标委员会</w:t>
      </w:r>
      <w:bookmarkEnd w:id="234"/>
      <w:bookmarkEnd w:id="235"/>
    </w:p>
    <w:p w14:paraId="3D12DD77">
      <w:pPr>
        <w:pageBreakBefore w:val="0"/>
        <w:kinsoku/>
        <w:wordWrap/>
        <w:overflowPunct/>
        <w:topLinePunct w:val="0"/>
        <w:bidi w:val="0"/>
        <w:spacing w:beforeAutospacing="0" w:line="480" w:lineRule="exact"/>
        <w:ind w:firstLine="560" w:firstLineChars="200"/>
        <w:textAlignment w:val="auto"/>
        <w:outlineLvl w:val="2"/>
        <w:rPr>
          <w:rFonts w:hint="eastAsia" w:ascii="仿宋" w:hAnsi="仿宋" w:eastAsia="仿宋" w:cs="仿宋"/>
          <w:color w:val="auto"/>
          <w:sz w:val="28"/>
          <w:szCs w:val="28"/>
          <w:highlight w:val="none"/>
        </w:rPr>
      </w:pPr>
      <w:bookmarkStart w:id="241" w:name="_Toc16980"/>
      <w:bookmarkStart w:id="242" w:name="_Toc129"/>
      <w:r>
        <w:rPr>
          <w:rFonts w:hint="eastAsia" w:ascii="仿宋" w:hAnsi="仿宋" w:eastAsia="仿宋" w:cs="仿宋"/>
          <w:color w:val="auto"/>
          <w:sz w:val="28"/>
          <w:szCs w:val="28"/>
          <w:highlight w:val="none"/>
        </w:rPr>
        <w:t>17.1资质审查</w:t>
      </w:r>
      <w:bookmarkEnd w:id="241"/>
      <w:bookmarkEnd w:id="242"/>
    </w:p>
    <w:p w14:paraId="3E845D14">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bookmarkStart w:id="243" w:name="_Toc19151"/>
      <w:r>
        <w:rPr>
          <w:rFonts w:hint="eastAsia" w:ascii="仿宋" w:hAnsi="仿宋" w:eastAsia="仿宋" w:cs="仿宋"/>
          <w:color w:val="auto"/>
          <w:kern w:val="2"/>
          <w:sz w:val="28"/>
          <w:szCs w:val="28"/>
          <w:highlight w:val="none"/>
        </w:rPr>
        <w:t>（1）供应商在规定的时间内解密上传的公开招标响应文件。</w:t>
      </w:r>
    </w:p>
    <w:p w14:paraId="2A52728F">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（2）评标委员会根据评审原则及标准对投标供应商递交的公开招标响应文件进行资格和符合性审查，以确定其投标供应商是否具备参加公开招标的资格。</w:t>
      </w:r>
    </w:p>
    <w:p w14:paraId="5294AB93">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（3）公开招标响应文件凡具有下列情形之一者，均视为没有响应公开招标文件要求的无效文件：</w:t>
      </w:r>
    </w:p>
    <w:p w14:paraId="15D26395">
      <w:pPr>
        <w:pStyle w:val="68"/>
        <w:pageBreakBefore w:val="0"/>
        <w:kinsoku/>
        <w:wordWrap/>
        <w:overflowPunct/>
        <w:topLinePunct w:val="0"/>
        <w:autoSpaceDE w:val="0"/>
        <w:autoSpaceDN w:val="0"/>
        <w:bidi w:val="0"/>
        <w:adjustRightInd w:val="0"/>
        <w:snapToGrid w:val="0"/>
        <w:spacing w:beforeAutospacing="0" w:line="480" w:lineRule="exact"/>
        <w:ind w:right="32" w:firstLine="660" w:firstLineChars="236"/>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1）未按照招标文件规定缴纳投标保证金的；</w:t>
      </w:r>
    </w:p>
    <w:p w14:paraId="1951A7EF">
      <w:pPr>
        <w:pStyle w:val="68"/>
        <w:pageBreakBefore w:val="0"/>
        <w:kinsoku/>
        <w:wordWrap/>
        <w:overflowPunct/>
        <w:topLinePunct w:val="0"/>
        <w:autoSpaceDE w:val="0"/>
        <w:autoSpaceDN w:val="0"/>
        <w:bidi w:val="0"/>
        <w:adjustRightInd w:val="0"/>
        <w:snapToGrid w:val="0"/>
        <w:spacing w:beforeAutospacing="0" w:line="480" w:lineRule="exact"/>
        <w:ind w:right="32" w:firstLine="660" w:firstLineChars="236"/>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2）未按照招标文件规定要求签署、盖章的；</w:t>
      </w:r>
    </w:p>
    <w:p w14:paraId="7574BCCD">
      <w:pPr>
        <w:pStyle w:val="68"/>
        <w:pageBreakBefore w:val="0"/>
        <w:kinsoku/>
        <w:wordWrap/>
        <w:overflowPunct/>
        <w:topLinePunct w:val="0"/>
        <w:autoSpaceDE w:val="0"/>
        <w:autoSpaceDN w:val="0"/>
        <w:bidi w:val="0"/>
        <w:adjustRightInd w:val="0"/>
        <w:snapToGrid w:val="0"/>
        <w:spacing w:beforeAutospacing="0" w:line="480" w:lineRule="exact"/>
        <w:ind w:right="32" w:firstLine="660" w:firstLineChars="236"/>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3）不具备招标文件中规定资格要求的；</w:t>
      </w:r>
    </w:p>
    <w:p w14:paraId="6AE632FA">
      <w:pPr>
        <w:pStyle w:val="68"/>
        <w:pageBreakBefore w:val="0"/>
        <w:kinsoku/>
        <w:wordWrap/>
        <w:overflowPunct/>
        <w:topLinePunct w:val="0"/>
        <w:autoSpaceDE w:val="0"/>
        <w:autoSpaceDN w:val="0"/>
        <w:bidi w:val="0"/>
        <w:adjustRightInd w:val="0"/>
        <w:snapToGrid w:val="0"/>
        <w:spacing w:beforeAutospacing="0" w:line="480" w:lineRule="exact"/>
        <w:ind w:right="32" w:firstLine="660" w:firstLineChars="236"/>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4）不符合法律、法规和招标文件中规定的其他实质性要求的。</w:t>
      </w:r>
    </w:p>
    <w:p w14:paraId="3A909BF3">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（4）公开招标响应文件被确认为无效文件后，该供应商即失去参加本次公开招标的资格。</w:t>
      </w:r>
    </w:p>
    <w:p w14:paraId="746C0060">
      <w:pPr>
        <w:pStyle w:val="6"/>
        <w:pageBreakBefore w:val="0"/>
        <w:kinsoku/>
        <w:wordWrap/>
        <w:overflowPunct/>
        <w:topLinePunct w:val="0"/>
        <w:bidi w:val="0"/>
        <w:spacing w:before="0" w:beforeAutospacing="0" w:after="0" w:line="480" w:lineRule="exact"/>
        <w:ind w:firstLine="560" w:firstLineChars="200"/>
        <w:textAlignment w:val="auto"/>
        <w:rPr>
          <w:rFonts w:hint="eastAsia" w:ascii="仿宋" w:hAnsi="仿宋" w:eastAsia="仿宋" w:cs="仿宋"/>
          <w:b w:val="0"/>
          <w:color w:val="auto"/>
          <w:kern w:val="2"/>
          <w:sz w:val="28"/>
          <w:szCs w:val="28"/>
          <w:highlight w:val="none"/>
          <w:u w:val="none"/>
          <w:lang w:val="en-US" w:eastAsia="zh-CN"/>
        </w:rPr>
      </w:pPr>
      <w:bookmarkStart w:id="244" w:name="_Toc20108"/>
      <w:r>
        <w:rPr>
          <w:rFonts w:hint="eastAsia" w:ascii="仿宋" w:hAnsi="仿宋" w:eastAsia="仿宋" w:cs="仿宋"/>
          <w:b w:val="0"/>
          <w:color w:val="auto"/>
          <w:kern w:val="2"/>
          <w:sz w:val="28"/>
          <w:szCs w:val="28"/>
          <w:highlight w:val="none"/>
          <w:u w:val="none"/>
          <w:lang w:val="en-US" w:eastAsia="zh-CN"/>
        </w:rPr>
        <w:t>17.2 组建评标委员会</w:t>
      </w:r>
      <w:bookmarkEnd w:id="243"/>
      <w:bookmarkEnd w:id="244"/>
      <w:r>
        <w:rPr>
          <w:rFonts w:hint="eastAsia" w:ascii="仿宋" w:hAnsi="仿宋" w:eastAsia="仿宋" w:cs="仿宋"/>
          <w:b w:val="0"/>
          <w:color w:val="auto"/>
          <w:kern w:val="2"/>
          <w:sz w:val="28"/>
          <w:szCs w:val="28"/>
          <w:highlight w:val="none"/>
          <w:u w:val="none"/>
          <w:lang w:val="en-US" w:eastAsia="zh-CN"/>
        </w:rPr>
        <w:t xml:space="preserve">  </w:t>
      </w:r>
    </w:p>
    <w:p w14:paraId="66C158F7">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17.2.1采购代理机构将根据《政府采购法》等法律法规的规定，通过新疆政府采购网专家库抽取评审专家依法组建本次招标的评标委员会，负责本次招标的评标活动。评标委员会负责向采购人、采购代理机构推荐中标候选人。</w:t>
      </w:r>
    </w:p>
    <w:p w14:paraId="000F0DC3">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17.2.2评标委员会人选于开标前确定，成员名单在中标结果确定前保密。</w:t>
      </w:r>
    </w:p>
    <w:p w14:paraId="4C08C94C">
      <w:pPr>
        <w:pStyle w:val="24"/>
        <w:pageBreakBefore w:val="0"/>
        <w:widowControl/>
        <w:kinsoku/>
        <w:wordWrap/>
        <w:overflowPunct/>
        <w:topLinePunct w:val="0"/>
        <w:bidi w:val="0"/>
        <w:spacing w:before="0" w:beforeAutospacing="0" w:after="0" w:afterAutospacing="0" w:line="480" w:lineRule="exact"/>
        <w:ind w:firstLine="560" w:firstLineChars="20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17.2.3评标委员会由有关此次项目方面的专家和采购人熟悉相关业务的代表人员组成，其中项目采购人代表1人，专家4人，其中评审专家成员人数不少于成员总数的三分之二。</w:t>
      </w:r>
    </w:p>
    <w:p w14:paraId="162978D9">
      <w:pPr>
        <w:pStyle w:val="24"/>
        <w:pageBreakBefore w:val="0"/>
        <w:widowControl/>
        <w:kinsoku/>
        <w:wordWrap/>
        <w:overflowPunct/>
        <w:topLinePunct w:val="0"/>
        <w:bidi w:val="0"/>
        <w:spacing w:before="0" w:beforeAutospacing="0" w:after="0" w:afterAutospacing="0" w:line="48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17.2.4</w:t>
      </w:r>
      <w:r>
        <w:rPr>
          <w:rFonts w:hint="eastAsia" w:ascii="仿宋" w:hAnsi="仿宋" w:eastAsia="仿宋" w:cs="仿宋"/>
          <w:color w:val="auto"/>
          <w:kern w:val="2"/>
          <w:sz w:val="28"/>
          <w:szCs w:val="28"/>
          <w:highlight w:val="none"/>
        </w:rPr>
        <w:t>对技术复杂、专业性强的采购项目，通过随机方式难以确定合适评审专家的，经主管预算单位同意，采购人可以自行选定相应专业领域的评审专家。</w:t>
      </w:r>
    </w:p>
    <w:p w14:paraId="30FE63C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17.2.5有下列情形之一的，不得担任评标委员会成员：</w:t>
      </w:r>
    </w:p>
    <w:p w14:paraId="6547BA5F">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或者投标主要负责人有近亲关系的；</w:t>
      </w:r>
    </w:p>
    <w:p w14:paraId="3373B1D5">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（2）与项目主管部门或者行政监督部门的人员有近亲关系的；</w:t>
      </w:r>
    </w:p>
    <w:p w14:paraId="15B86E4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（3）与</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有经济利益关系，可能影响对投标公正评审的；</w:t>
      </w:r>
    </w:p>
    <w:p w14:paraId="740FF099">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（4）曾因在招标、评标以及其他与招标投标有关活动中从事违法行为而受过行政处罚或刑事处罚的。</w:t>
      </w:r>
    </w:p>
    <w:p w14:paraId="51130D3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招标委员会成员有前款规定情形之一的，应当主动提出回避。</w:t>
      </w:r>
    </w:p>
    <w:p w14:paraId="6AAFD833">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17.2.6评标委员会成员应当客观、公正地履行职责，遵守职业道德，并对所提出的评审意见承担个人责任。评标委员会成员不得与任何</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或者与招标结果有利害关系的人员进行私下接触，不得收受</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、中介人或其他有利害关系人的财物或好处。</w:t>
      </w:r>
    </w:p>
    <w:p w14:paraId="56667662">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17.2.7评标委员会成员和与本次评标活动有关的工作人员（是指评标委员会成员以外的、因参与评标监督工作或者事务性工作而知悉有关评标情况的所有人员），不得透露对投标文件的评审和比较、中标候选人的推荐情况以及与评标有关的其他情况。</w:t>
      </w:r>
    </w:p>
    <w:p w14:paraId="09F8D9B0">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17.2.8如果出现有效投标供应商不足三家时，由于项目紧急，经财政部门（政府采购监督管理部门）批准，改为非招标采购方式进行采购时，依法组建本次招标的评标委员会则作为改变采购方式后谈判小组，负责改变采购方式后的谈判活动。</w:t>
      </w:r>
    </w:p>
    <w:bookmarkEnd w:id="236"/>
    <w:bookmarkEnd w:id="237"/>
    <w:bookmarkEnd w:id="238"/>
    <w:bookmarkEnd w:id="239"/>
    <w:bookmarkEnd w:id="240"/>
    <w:p w14:paraId="23794048">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b w:val="0"/>
          <w:bCs/>
          <w:color w:val="auto"/>
          <w:sz w:val="28"/>
          <w:szCs w:val="28"/>
          <w:highlight w:val="none"/>
          <w:bdr w:val="single" w:color="auto" w:sz="4" w:space="0"/>
        </w:rPr>
      </w:pPr>
      <w:bookmarkStart w:id="245" w:name="_Toc7782"/>
      <w:bookmarkStart w:id="246" w:name="_Toc24761"/>
      <w:bookmarkStart w:id="247" w:name="_Toc23393"/>
      <w:bookmarkStart w:id="248" w:name="_Toc26741"/>
      <w:bookmarkStart w:id="249" w:name="_Toc518923086"/>
      <w:bookmarkStart w:id="250" w:name="_Toc8603"/>
      <w:bookmarkStart w:id="251" w:name="_Toc520356167"/>
      <w:r>
        <w:rPr>
          <w:rFonts w:hint="eastAsia" w:ascii="仿宋" w:hAnsi="仿宋" w:eastAsia="仿宋" w:cs="仿宋"/>
          <w:color w:val="auto"/>
          <w:sz w:val="28"/>
          <w:szCs w:val="28"/>
          <w:highlight w:val="none"/>
          <w:u w:val="none"/>
        </w:rPr>
        <w:t>18.投标文件的符合性审查与澄清</w:t>
      </w:r>
      <w:bookmarkEnd w:id="245"/>
      <w:bookmarkEnd w:id="246"/>
    </w:p>
    <w:p w14:paraId="0E46A687">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18.1符合性审查是指依据招标文件的规定，从投标文件的有效性和完整性对招标文件的响应程度进行审查，以确定是否对招标文件的实质性要求做出响应。</w:t>
      </w:r>
      <w:bookmarkStart w:id="252" w:name="_Hlt522424701"/>
      <w:bookmarkEnd w:id="252"/>
    </w:p>
    <w:p w14:paraId="6B5F1C9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18.2投标文件的澄清</w:t>
      </w:r>
    </w:p>
    <w:p w14:paraId="214EDCFC">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18.2.1在评标期间，评标委员会将以</w:t>
      </w:r>
      <w:r>
        <w:rPr>
          <w:rFonts w:hint="eastAsia" w:ascii="仿宋" w:hAnsi="仿宋" w:eastAsia="仿宋" w:cs="仿宋"/>
          <w:color w:val="auto"/>
          <w:sz w:val="28"/>
          <w:szCs w:val="28"/>
          <w:highlight w:val="none"/>
          <w:lang w:val="en-US" w:eastAsia="zh-CN"/>
        </w:rPr>
        <w:t>询标函</w:t>
      </w:r>
      <w:r>
        <w:rPr>
          <w:rFonts w:hint="eastAsia" w:ascii="仿宋" w:hAnsi="仿宋" w:eastAsia="仿宋" w:cs="仿宋"/>
          <w:color w:val="auto"/>
          <w:sz w:val="28"/>
          <w:szCs w:val="28"/>
          <w:highlight w:val="none"/>
        </w:rPr>
        <w:t>方式要求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对其投标文件中含义不明确、对同类问题表述不一致或者有明显文字和计算错误的内容，以及评标委员会认为</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的报价明显低于其他通过符合性检查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有可能影响履约的情况作必要的澄清、说明或补正。采购代理机构将通知所有投标供应商,并给所有投标供应商提供较充分的修正时间。投标供应商根据要求，对原响应文件进行修正，并将修正文件通过数字证书加密并签章后，传到网站指定栏目。逾期不上传的，视同放弃投标。修正文件与响应文件同具法律效力。文件修正后，按照规定的时间继续进行招标。</w:t>
      </w:r>
    </w:p>
    <w:p w14:paraId="62FBC97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18.2.2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的澄清、说明或补正将作为投标文件的一部分。</w:t>
      </w:r>
    </w:p>
    <w:p w14:paraId="60C8BBA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18.3 投标文件报价出现前后不一致的，按照下列规定修正：</w:t>
      </w:r>
    </w:p>
    <w:p w14:paraId="728D4F2F">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（一）投标文件中开标一览表内容与投标文件中相应内容不一致的，以开标一览表为准；</w:t>
      </w:r>
    </w:p>
    <w:p w14:paraId="27C866E7">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（二）大写金额和小写金额不一致的，以大写金额为准；</w:t>
      </w:r>
    </w:p>
    <w:p w14:paraId="56638A2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（三）单价金额小数点或者百分比有明显错位的，以开标一览表的总价为准，并修改单价；</w:t>
      </w:r>
    </w:p>
    <w:p w14:paraId="3FE6773E">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（四）总价金额与按单价汇总金额不一致的，以单价金额计算结果为准。</w:t>
      </w:r>
    </w:p>
    <w:p w14:paraId="6936838E">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同时出现两种以上不一致的，按照前款规定的顺序修正。修正后的报价按照第18.2条的规定经</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确认后产生约束力，</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不确认的，将被认定为投标无效。</w:t>
      </w:r>
    </w:p>
    <w:p w14:paraId="71BD1F5E">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对不同文字文本投标文件的解释发生异议的，以中文文本为准。</w:t>
      </w:r>
    </w:p>
    <w:p w14:paraId="545E0DC8">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投标文件中，若某项有不合理报价（或零报价、漏报价）的，经评标委员会评审后，此项得分为零，不参与投标报价分值的计算。</w:t>
      </w:r>
    </w:p>
    <w:p w14:paraId="0703F282">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评标委员会成员打分超过得分界限或未按本办法赋分时，该评标委员会成员的打分，按废票处理。</w:t>
      </w:r>
    </w:p>
    <w:p w14:paraId="2F8DCAA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18.4</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为提供</w:t>
      </w:r>
      <w:r>
        <w:rPr>
          <w:rFonts w:hint="eastAsia" w:ascii="仿宋" w:hAnsi="仿宋" w:eastAsia="仿宋" w:cs="仿宋"/>
          <w:color w:val="auto"/>
          <w:sz w:val="28"/>
          <w:szCs w:val="28"/>
          <w:highlight w:val="none"/>
          <w:lang w:val="en-US" w:eastAsia="zh-CN"/>
        </w:rPr>
        <w:t>货物</w:t>
      </w:r>
      <w:r>
        <w:rPr>
          <w:rFonts w:hint="eastAsia" w:ascii="仿宋" w:hAnsi="仿宋" w:eastAsia="仿宋" w:cs="仿宋"/>
          <w:color w:val="auto"/>
          <w:sz w:val="28"/>
          <w:szCs w:val="28"/>
          <w:highlight w:val="none"/>
        </w:rPr>
        <w:t>所伴随投标的产品如被列入财政部与国家主管部门颁发的节能产品目录或环境标志产品目录或无线局域网产品目录，应提供相关证明，在评标时予以优先采购。</w:t>
      </w:r>
    </w:p>
    <w:p w14:paraId="1AF157F5">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53" w:name="_Toc10611"/>
      <w:bookmarkStart w:id="254" w:name="_Toc8694"/>
      <w:r>
        <w:rPr>
          <w:rFonts w:hint="eastAsia" w:ascii="仿宋" w:hAnsi="仿宋" w:eastAsia="仿宋" w:cs="仿宋"/>
          <w:color w:val="auto"/>
          <w:sz w:val="28"/>
          <w:szCs w:val="28"/>
          <w:highlight w:val="none"/>
          <w:u w:val="none"/>
          <w:lang w:val="en-US" w:eastAsia="zh-CN"/>
        </w:rPr>
        <w:t>19</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投标偏离</w:t>
      </w:r>
      <w:bookmarkEnd w:id="247"/>
      <w:bookmarkEnd w:id="248"/>
      <w:bookmarkEnd w:id="249"/>
      <w:bookmarkEnd w:id="250"/>
      <w:bookmarkEnd w:id="253"/>
      <w:bookmarkEnd w:id="254"/>
    </w:p>
    <w:p w14:paraId="445E1684">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评标委员会可以接受投标文件中不构成实质性偏离的不正规或不一致。</w:t>
      </w:r>
    </w:p>
    <w:p w14:paraId="171E173E">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55" w:name="_Toc13551"/>
      <w:bookmarkStart w:id="256" w:name="_Toc30941"/>
      <w:bookmarkStart w:id="257" w:name="_Toc25255"/>
      <w:bookmarkStart w:id="258" w:name="_Toc21580"/>
      <w:bookmarkStart w:id="259" w:name="_Toc20906"/>
      <w:bookmarkStart w:id="260" w:name="_Toc518923087"/>
      <w:r>
        <w:rPr>
          <w:rFonts w:hint="eastAsia" w:ascii="仿宋" w:hAnsi="仿宋" w:eastAsia="仿宋" w:cs="仿宋"/>
          <w:color w:val="auto"/>
          <w:sz w:val="28"/>
          <w:szCs w:val="28"/>
          <w:highlight w:val="none"/>
          <w:u w:val="none"/>
          <w:lang w:val="en-US" w:eastAsia="zh-CN"/>
        </w:rPr>
        <w:t>20</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投标无效</w:t>
      </w:r>
      <w:bookmarkEnd w:id="255"/>
      <w:bookmarkEnd w:id="256"/>
      <w:bookmarkEnd w:id="257"/>
      <w:bookmarkEnd w:id="258"/>
      <w:bookmarkEnd w:id="259"/>
      <w:bookmarkEnd w:id="260"/>
    </w:p>
    <w:p w14:paraId="54AE6480">
      <w:pPr>
        <w:pageBreakBefore w:val="0"/>
        <w:widowControl w:val="0"/>
        <w:kinsoku/>
        <w:wordWrap/>
        <w:overflowPunct/>
        <w:topLinePunct w:val="0"/>
        <w:bidi w:val="0"/>
        <w:snapToGrid/>
        <w:spacing w:beforeAutospacing="0" w:line="480" w:lineRule="exact"/>
        <w:ind w:leftChars="0" w:firstLine="560" w:firstLineChars="200"/>
        <w:textAlignment w:val="auto"/>
        <w:outlineLvl w:val="2"/>
        <w:rPr>
          <w:rFonts w:hint="eastAsia" w:ascii="仿宋" w:hAnsi="仿宋" w:eastAsia="仿宋" w:cs="仿宋"/>
          <w:b w:val="0"/>
          <w:bCs w:val="0"/>
          <w:color w:val="auto"/>
          <w:sz w:val="28"/>
          <w:szCs w:val="28"/>
          <w:highlight w:val="none"/>
        </w:rPr>
      </w:pPr>
      <w:bookmarkStart w:id="261" w:name="_Toc17435"/>
      <w:bookmarkStart w:id="262" w:name="_Toc17585"/>
      <w:bookmarkStart w:id="263" w:name="_Toc30512"/>
      <w:r>
        <w:rPr>
          <w:rFonts w:hint="eastAsia" w:ascii="仿宋" w:hAnsi="仿宋" w:eastAsia="仿宋" w:cs="仿宋"/>
          <w:b w:val="0"/>
          <w:bCs w:val="0"/>
          <w:color w:val="auto"/>
          <w:sz w:val="28"/>
          <w:szCs w:val="28"/>
          <w:highlight w:val="none"/>
          <w:lang w:val="en-US" w:eastAsia="zh-CN"/>
        </w:rPr>
        <w:t>20</w:t>
      </w:r>
      <w:r>
        <w:rPr>
          <w:rFonts w:hint="eastAsia" w:ascii="仿宋" w:hAnsi="仿宋" w:eastAsia="仿宋" w:cs="仿宋"/>
          <w:b w:val="0"/>
          <w:bCs w:val="0"/>
          <w:color w:val="auto"/>
          <w:sz w:val="28"/>
          <w:szCs w:val="28"/>
          <w:highlight w:val="none"/>
        </w:rPr>
        <w:t>.1无效投标的概念</w:t>
      </w:r>
      <w:bookmarkEnd w:id="261"/>
      <w:bookmarkEnd w:id="262"/>
      <w:bookmarkEnd w:id="263"/>
    </w:p>
    <w:p w14:paraId="20A23697">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无效投标一般是指由于</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所递交的单个投标文件，经审查不符合招标文件资格性、符合性的要求，从而导致评标委员会拒绝接受该投标文件。无效投标对其他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投标行为的有效性不直接产生影响，该招标项目可以继续进行。</w:t>
      </w:r>
    </w:p>
    <w:p w14:paraId="27B41112">
      <w:pPr>
        <w:pageBreakBefore w:val="0"/>
        <w:widowControl w:val="0"/>
        <w:kinsoku/>
        <w:wordWrap/>
        <w:overflowPunct/>
        <w:topLinePunct w:val="0"/>
        <w:bidi w:val="0"/>
        <w:snapToGrid/>
        <w:spacing w:beforeAutospacing="0" w:line="480" w:lineRule="exact"/>
        <w:ind w:leftChars="0" w:firstLine="560" w:firstLineChars="200"/>
        <w:textAlignment w:val="auto"/>
        <w:outlineLvl w:val="2"/>
        <w:rPr>
          <w:rFonts w:hint="eastAsia" w:ascii="仿宋" w:hAnsi="仿宋" w:eastAsia="仿宋" w:cs="仿宋"/>
          <w:b w:val="0"/>
          <w:bCs/>
          <w:color w:val="auto"/>
          <w:sz w:val="28"/>
          <w:szCs w:val="28"/>
          <w:highlight w:val="none"/>
          <w:lang w:val="en-US" w:eastAsia="zh-CN"/>
        </w:rPr>
      </w:pPr>
      <w:bookmarkStart w:id="264" w:name="_Toc323"/>
      <w:r>
        <w:rPr>
          <w:rFonts w:hint="eastAsia" w:ascii="仿宋" w:hAnsi="仿宋" w:eastAsia="仿宋" w:cs="仿宋"/>
          <w:b w:val="0"/>
          <w:bCs/>
          <w:color w:val="auto"/>
          <w:sz w:val="28"/>
          <w:szCs w:val="28"/>
          <w:highlight w:val="none"/>
          <w:lang w:val="en-US" w:eastAsia="zh-CN"/>
        </w:rPr>
        <w:t>20.2有下列情形之一的，视为投标人串通投标，投标无效：</w:t>
      </w:r>
      <w:bookmarkEnd w:id="264"/>
    </w:p>
    <w:p w14:paraId="2202EC73">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w:t>
      </w:r>
      <w:r>
        <w:rPr>
          <w:rFonts w:hint="eastAsia" w:ascii="仿宋" w:hAnsi="仿宋" w:eastAsia="仿宋" w:cs="仿宋"/>
          <w:color w:val="auto"/>
          <w:sz w:val="28"/>
          <w:szCs w:val="28"/>
          <w:highlight w:val="none"/>
          <w:lang w:val="en-US" w:eastAsia="zh-CN"/>
        </w:rPr>
        <w:t>（一）不同投标人的投标文件由同一单位或者个人编制；</w:t>
      </w:r>
    </w:p>
    <w:p w14:paraId="2C7C71B7">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（二）不同投标人委托同一单位或者个人办理投标事宜；</w:t>
      </w:r>
    </w:p>
    <w:p w14:paraId="08A8075C">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（三）不同投标人的投标文件载明的项目管理成员或者联系人员为同一人；</w:t>
      </w:r>
    </w:p>
    <w:p w14:paraId="06E7D131">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（四）不同投标人的投标文件异常一致或者投标报价呈规律性差异；</w:t>
      </w:r>
    </w:p>
    <w:p w14:paraId="33D1A48C">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（五）不同投标人的投标文件相互混装；</w:t>
      </w:r>
    </w:p>
    <w:p w14:paraId="6F9F5A9F">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（六）不同投标人的投标保证金从同一单位或者个人的账户转出。</w:t>
      </w:r>
    </w:p>
    <w:p w14:paraId="310CE3C9">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20.3有下列情形之一的，属于恶意串通，对供应商依照政府采购法第七十七条第一款的规定追究法律责任，对采购人、采购代理机构及其工作人员依照政府采购法第七十二条的规定追究法律责任：</w:t>
      </w:r>
    </w:p>
    <w:p w14:paraId="332EB29F">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（一）供应商直接或者间接从采购人或者采购代理机构处获得其他供应商的相关情况并修改其投标文件或者响应文件；</w:t>
      </w:r>
    </w:p>
    <w:p w14:paraId="6E00EECD">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（二）供应商按照采购人或者采购代理机构的授意撤换、修改投标文件或者响应文件；</w:t>
      </w:r>
    </w:p>
    <w:p w14:paraId="0339FAA9">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（三）供应商之间协商报价、技术方案等投标文件或者响应文件的实质性内容；</w:t>
      </w:r>
    </w:p>
    <w:p w14:paraId="721B55A6">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（四）属于同一集团、协会、商会等组织成员的供应商按照该组织要求协同参加政府采购活动；</w:t>
      </w:r>
    </w:p>
    <w:p w14:paraId="36B2BBEE">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（五）供应商之间事先约定由某一特定供应商中标、成交；</w:t>
      </w:r>
    </w:p>
    <w:p w14:paraId="7D2A3E00">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（六）供应商之间商定部分供应商放弃参加政府采购活动或者放弃中标、成交；</w:t>
      </w:r>
    </w:p>
    <w:p w14:paraId="7208DA1D">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（七）供应商与采购人或者采购代理机构之间、供应商相互之间，为谋求特定供应商中标、成交或者排斥其他供应商的其他串通行为。</w:t>
      </w:r>
    </w:p>
    <w:p w14:paraId="39B70A06">
      <w:pPr>
        <w:pageBreakBefore w:val="0"/>
        <w:kinsoku/>
        <w:wordWrap/>
        <w:overflowPunct/>
        <w:topLinePunct w:val="0"/>
        <w:bidi w:val="0"/>
        <w:spacing w:beforeAutospacing="0" w:line="48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20.</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如发现下列情况之一的，投标被认定为投标无效：</w:t>
      </w:r>
    </w:p>
    <w:p w14:paraId="7841D500">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bookmarkStart w:id="265" w:name="_Toc20835"/>
      <w:bookmarkStart w:id="266" w:name="_Toc518923088"/>
      <w:bookmarkStart w:id="267" w:name="_Toc24432"/>
      <w:bookmarkStart w:id="268" w:name="_Toc6881"/>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截止时间过后递交的</w:t>
      </w:r>
      <w:r>
        <w:rPr>
          <w:rFonts w:hint="eastAsia" w:ascii="仿宋" w:hAnsi="仿宋" w:eastAsia="仿宋" w:cs="仿宋"/>
          <w:color w:val="auto"/>
          <w:sz w:val="28"/>
          <w:szCs w:val="28"/>
          <w:highlight w:val="none"/>
          <w:lang w:val="en-US" w:eastAsia="zh-CN"/>
        </w:rPr>
        <w:t>电子响应</w:t>
      </w:r>
      <w:r>
        <w:rPr>
          <w:rFonts w:hint="eastAsia" w:ascii="仿宋" w:hAnsi="仿宋" w:eastAsia="仿宋" w:cs="仿宋"/>
          <w:color w:val="auto"/>
          <w:sz w:val="28"/>
          <w:szCs w:val="28"/>
          <w:highlight w:val="none"/>
        </w:rPr>
        <w:t>文件；</w:t>
      </w:r>
    </w:p>
    <w:p w14:paraId="2F052970">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（2）应交未交投标保证金</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w:t>
      </w:r>
    </w:p>
    <w:p w14:paraId="4954555C">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（3）不具备</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文件中规定资格要求</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资格要求</w:t>
      </w:r>
      <w:r>
        <w:rPr>
          <w:rFonts w:hint="eastAsia" w:ascii="仿宋" w:hAnsi="仿宋" w:eastAsia="仿宋" w:cs="仿宋"/>
          <w:color w:val="auto"/>
          <w:sz w:val="28"/>
          <w:szCs w:val="28"/>
          <w:highlight w:val="none"/>
          <w:lang w:val="en-US" w:eastAsia="zh-CN"/>
        </w:rPr>
        <w:t>资料提供不全</w:t>
      </w:r>
      <w:r>
        <w:rPr>
          <w:rFonts w:hint="eastAsia" w:ascii="仿宋" w:hAnsi="仿宋" w:eastAsia="仿宋" w:cs="仿宋"/>
          <w:color w:val="auto"/>
          <w:sz w:val="28"/>
          <w:szCs w:val="28"/>
          <w:highlight w:val="none"/>
        </w:rPr>
        <w:t>的；</w:t>
      </w:r>
    </w:p>
    <w:p w14:paraId="692B1271">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（4）未提供《开标一览表》的</w:t>
      </w:r>
      <w:r>
        <w:rPr>
          <w:rFonts w:hint="eastAsia" w:ascii="仿宋" w:hAnsi="仿宋" w:eastAsia="仿宋" w:cs="仿宋"/>
          <w:color w:val="auto"/>
          <w:sz w:val="28"/>
          <w:szCs w:val="28"/>
          <w:highlight w:val="none"/>
          <w:lang w:val="en-US" w:eastAsia="zh-CN"/>
        </w:rPr>
        <w:t>，投标报价不符合报价要求的</w:t>
      </w:r>
      <w:r>
        <w:rPr>
          <w:rFonts w:hint="eastAsia" w:ascii="仿宋" w:hAnsi="仿宋" w:eastAsia="仿宋" w:cs="仿宋"/>
          <w:color w:val="auto"/>
          <w:sz w:val="28"/>
          <w:szCs w:val="28"/>
          <w:highlight w:val="none"/>
        </w:rPr>
        <w:t>；</w:t>
      </w:r>
    </w:p>
    <w:p w14:paraId="7EA91CC7">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pacing w:val="15"/>
          <w:kern w:val="0"/>
          <w:sz w:val="28"/>
          <w:szCs w:val="28"/>
          <w:highlight w:val="none"/>
          <w:lang w:val="en-US" w:eastAsia="zh-CN"/>
        </w:rPr>
        <w:t>响应</w:t>
      </w:r>
      <w:r>
        <w:rPr>
          <w:rFonts w:hint="eastAsia" w:ascii="仿宋" w:hAnsi="仿宋" w:eastAsia="仿宋" w:cs="仿宋"/>
          <w:color w:val="auto"/>
          <w:spacing w:val="15"/>
          <w:kern w:val="0"/>
          <w:sz w:val="28"/>
          <w:szCs w:val="28"/>
          <w:highlight w:val="none"/>
        </w:rPr>
        <w:t>文件未按照</w:t>
      </w:r>
      <w:r>
        <w:rPr>
          <w:rFonts w:hint="eastAsia" w:ascii="仿宋" w:hAnsi="仿宋" w:eastAsia="仿宋" w:cs="仿宋"/>
          <w:color w:val="auto"/>
          <w:spacing w:val="15"/>
          <w:kern w:val="0"/>
          <w:sz w:val="28"/>
          <w:szCs w:val="28"/>
          <w:highlight w:val="none"/>
          <w:lang w:val="en-US" w:eastAsia="zh-CN"/>
        </w:rPr>
        <w:t>招标</w:t>
      </w:r>
      <w:r>
        <w:rPr>
          <w:rFonts w:hint="eastAsia" w:ascii="仿宋" w:hAnsi="仿宋" w:eastAsia="仿宋" w:cs="仿宋"/>
          <w:color w:val="auto"/>
          <w:spacing w:val="15"/>
          <w:kern w:val="0"/>
          <w:sz w:val="28"/>
          <w:szCs w:val="28"/>
          <w:highlight w:val="none"/>
        </w:rPr>
        <w:t>文件规定要求签署、盖章的；</w:t>
      </w:r>
    </w:p>
    <w:p w14:paraId="679579F3">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（6）投标报价超过</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文件中规定的</w:t>
      </w:r>
      <w:r>
        <w:rPr>
          <w:rFonts w:hint="eastAsia" w:ascii="仿宋" w:hAnsi="仿宋" w:eastAsia="仿宋" w:cs="仿宋"/>
          <w:color w:val="auto"/>
          <w:sz w:val="28"/>
          <w:szCs w:val="28"/>
          <w:highlight w:val="none"/>
          <w:lang w:val="en-US" w:eastAsia="zh-CN"/>
        </w:rPr>
        <w:t>预算金额或最高限价或最高限价单价</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w:t>
      </w:r>
    </w:p>
    <w:p w14:paraId="45DD7A89">
      <w:pPr>
        <w:pageBreakBefore w:val="0"/>
        <w:kinsoku/>
        <w:wordWrap/>
        <w:overflowPunct/>
        <w:topLinePunct w:val="0"/>
        <w:bidi w:val="0"/>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b w:val="0"/>
          <w:bCs w:val="0"/>
          <w:color w:val="auto"/>
          <w:sz w:val="28"/>
          <w:szCs w:val="28"/>
          <w:highlight w:val="none"/>
        </w:rPr>
        <w:t>投标文件载明的采购项目</w:t>
      </w:r>
      <w:r>
        <w:rPr>
          <w:rFonts w:hint="eastAsia" w:ascii="仿宋" w:hAnsi="仿宋" w:eastAsia="仿宋" w:cs="仿宋"/>
          <w:b w:val="0"/>
          <w:bCs w:val="0"/>
          <w:color w:val="auto"/>
          <w:sz w:val="28"/>
          <w:szCs w:val="28"/>
          <w:highlight w:val="none"/>
          <w:lang w:val="en-US" w:eastAsia="zh-CN"/>
        </w:rPr>
        <w:t>交货时间</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合同期限、</w:t>
      </w:r>
      <w:r>
        <w:rPr>
          <w:rFonts w:hint="eastAsia" w:ascii="仿宋" w:hAnsi="仿宋" w:eastAsia="仿宋" w:cs="仿宋"/>
          <w:color w:val="auto"/>
          <w:sz w:val="28"/>
          <w:szCs w:val="28"/>
          <w:highlight w:val="none"/>
          <w:u w:val="none"/>
          <w:lang w:val="en-US" w:eastAsia="zh-CN" w:bidi="ar-SA"/>
        </w:rPr>
        <w:t>保质期限</w:t>
      </w:r>
      <w:r>
        <w:rPr>
          <w:rFonts w:hint="eastAsia" w:ascii="仿宋" w:hAnsi="仿宋" w:eastAsia="仿宋" w:cs="仿宋"/>
          <w:b w:val="0"/>
          <w:bCs w:val="0"/>
          <w:color w:val="auto"/>
          <w:sz w:val="28"/>
          <w:szCs w:val="28"/>
          <w:highlight w:val="none"/>
          <w:lang w:val="en-US" w:eastAsia="zh-CN"/>
        </w:rPr>
        <w:t>不符合采购</w:t>
      </w:r>
      <w:r>
        <w:rPr>
          <w:rFonts w:hint="eastAsia" w:ascii="仿宋" w:hAnsi="仿宋" w:eastAsia="仿宋" w:cs="仿宋"/>
          <w:b w:val="0"/>
          <w:bCs w:val="0"/>
          <w:color w:val="auto"/>
          <w:sz w:val="28"/>
          <w:szCs w:val="28"/>
          <w:highlight w:val="none"/>
        </w:rPr>
        <w:t>文件规定期限的；</w:t>
      </w:r>
    </w:p>
    <w:p w14:paraId="2C7A5514">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（8）评标过程中拒绝澄清相关事宜和问题的；</w:t>
      </w:r>
    </w:p>
    <w:p w14:paraId="77D22F09">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文件不真实，有欺骗行为的；</w:t>
      </w:r>
    </w:p>
    <w:p w14:paraId="15960D4F">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文件含有</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人和</w:t>
      </w:r>
      <w:r>
        <w:rPr>
          <w:rFonts w:hint="eastAsia" w:ascii="仿宋" w:hAnsi="仿宋" w:eastAsia="仿宋" w:cs="仿宋"/>
          <w:bCs/>
          <w:color w:val="auto"/>
          <w:sz w:val="28"/>
          <w:szCs w:val="28"/>
          <w:highlight w:val="none"/>
        </w:rPr>
        <w:t>采购代理机构</w:t>
      </w:r>
      <w:r>
        <w:rPr>
          <w:rFonts w:hint="eastAsia" w:ascii="仿宋" w:hAnsi="仿宋" w:eastAsia="仿宋" w:cs="仿宋"/>
          <w:color w:val="auto"/>
          <w:sz w:val="28"/>
          <w:szCs w:val="28"/>
          <w:highlight w:val="none"/>
        </w:rPr>
        <w:t>不能接受的条件的；</w:t>
      </w:r>
    </w:p>
    <w:p w14:paraId="1E79647D">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（11）响应文件未按照</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文件要求顺序编制的；</w:t>
      </w:r>
    </w:p>
    <w:p w14:paraId="7C7C0ABB">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）不符合</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文件规定的其他实质性要求的；</w:t>
      </w:r>
    </w:p>
    <w:p w14:paraId="3939B91B">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（13）响应文件未关联目录</w:t>
      </w:r>
      <w:r>
        <w:rPr>
          <w:rFonts w:hint="eastAsia" w:ascii="仿宋" w:hAnsi="仿宋" w:eastAsia="仿宋" w:cs="仿宋"/>
          <w:color w:val="auto"/>
          <w:sz w:val="28"/>
          <w:szCs w:val="28"/>
          <w:highlight w:val="none"/>
          <w:lang w:eastAsia="zh-CN"/>
        </w:rPr>
        <w:t>；</w:t>
      </w:r>
    </w:p>
    <w:p w14:paraId="544EB9EA">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符合性审查未通过的；</w:t>
      </w:r>
    </w:p>
    <w:p w14:paraId="04560EEE">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投标货物（产品）不符合强制执行的国家标准、行业标准的</w:t>
      </w:r>
      <w:r>
        <w:rPr>
          <w:rFonts w:hint="eastAsia" w:ascii="仿宋" w:hAnsi="仿宋" w:eastAsia="仿宋" w:cs="仿宋"/>
          <w:color w:val="auto"/>
          <w:sz w:val="28"/>
          <w:szCs w:val="28"/>
          <w:highlight w:val="none"/>
          <w:lang w:eastAsia="zh-CN"/>
        </w:rPr>
        <w:t>；</w:t>
      </w:r>
    </w:p>
    <w:p w14:paraId="6C931ACD">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16）投标文件的关键内容字迹模糊和无法辨认的；</w:t>
      </w:r>
    </w:p>
    <w:p w14:paraId="165907C6">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（17）法律法规和招标文件规定的其他情形的。</w:t>
      </w:r>
    </w:p>
    <w:p w14:paraId="2EE7E769">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69" w:name="_Toc13237"/>
      <w:bookmarkStart w:id="270" w:name="_Toc9708"/>
      <w:r>
        <w:rPr>
          <w:rFonts w:hint="eastAsia" w:ascii="仿宋" w:hAnsi="仿宋" w:eastAsia="仿宋" w:cs="仿宋"/>
          <w:color w:val="auto"/>
          <w:sz w:val="28"/>
          <w:szCs w:val="28"/>
          <w:highlight w:val="none"/>
          <w:u w:val="none"/>
        </w:rPr>
        <w:t>2</w:t>
      </w:r>
      <w:bookmarkEnd w:id="251"/>
      <w:r>
        <w:rPr>
          <w:rFonts w:hint="eastAsia" w:ascii="仿宋" w:hAnsi="仿宋" w:eastAsia="仿宋" w:cs="仿宋"/>
          <w:color w:val="auto"/>
          <w:sz w:val="28"/>
          <w:szCs w:val="28"/>
          <w:highlight w:val="none"/>
          <w:u w:val="none"/>
          <w:lang w:val="en-US" w:eastAsia="zh-CN"/>
        </w:rPr>
        <w:t>1</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比较与评价</w:t>
      </w:r>
      <w:bookmarkEnd w:id="265"/>
      <w:bookmarkEnd w:id="266"/>
      <w:bookmarkEnd w:id="267"/>
      <w:bookmarkEnd w:id="268"/>
      <w:bookmarkEnd w:id="269"/>
      <w:bookmarkEnd w:id="270"/>
    </w:p>
    <w:p w14:paraId="1CA449F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21.1经符合性审查合格的投标文件，评标委员会将根据招标文件确定的评标方法和标准，对其技术部分和商务部分作进一步的比较和评价。</w:t>
      </w:r>
    </w:p>
    <w:p w14:paraId="0D54166D">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21.2 评标严格按照招标文件的要求和条件进行。根据实际情况，在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须知资料表中规定采用综合评分法，是指投标文件满足招标文件全部实质性要求，且按照评审因素的量化指标评审得分最高的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为中标候选人的评标方法。</w:t>
      </w:r>
    </w:p>
    <w:p w14:paraId="6A297ADD">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21.3</w:t>
      </w:r>
      <w:r>
        <w:rPr>
          <w:rFonts w:hint="eastAsia" w:ascii="仿宋" w:hAnsi="仿宋" w:eastAsia="仿宋" w:cs="仿宋"/>
          <w:color w:val="auto"/>
          <w:sz w:val="28"/>
          <w:szCs w:val="28"/>
          <w:highlight w:val="none"/>
        </w:rPr>
        <w:t>如果投标文件没有实质性响应招标文件的要求，评标委员会将予以拒绝。投标人不得通过修正或撤销不合要求的偏离或保留，从而使其投标成为实质性响应的投标。</w:t>
      </w:r>
      <w:bookmarkStart w:id="271" w:name="_Toc520356168"/>
      <w:bookmarkStart w:id="272" w:name="_Toc515647785"/>
      <w:bookmarkStart w:id="273" w:name="_Toc8399"/>
      <w:bookmarkStart w:id="274" w:name="_Toc27165"/>
      <w:bookmarkStart w:id="275" w:name="_Toc20227"/>
      <w:bookmarkStart w:id="276" w:name="_Toc9378"/>
      <w:bookmarkStart w:id="277" w:name="_Toc20956"/>
      <w:bookmarkStart w:id="278" w:name="_Toc31728"/>
      <w:bookmarkStart w:id="279" w:name="_Toc23660"/>
      <w:bookmarkStart w:id="280" w:name="_Toc518923090"/>
      <w:bookmarkStart w:id="281" w:name="_Toc520356169"/>
    </w:p>
    <w:p w14:paraId="39321933">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21.4</w:t>
      </w:r>
      <w:r>
        <w:rPr>
          <w:rFonts w:hint="eastAsia" w:ascii="仿宋" w:hAnsi="仿宋" w:eastAsia="仿宋" w:cs="仿宋"/>
          <w:color w:val="auto"/>
          <w:sz w:val="28"/>
          <w:szCs w:val="28"/>
          <w:highlight w:val="none"/>
        </w:rPr>
        <w:t>复核与核对评标结果</w:t>
      </w:r>
    </w:p>
    <w:p w14:paraId="5FD1404C">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21.4.1</w:t>
      </w:r>
      <w:r>
        <w:rPr>
          <w:rFonts w:hint="eastAsia" w:ascii="仿宋" w:hAnsi="仿宋" w:eastAsia="仿宋" w:cs="仿宋"/>
          <w:color w:val="auto"/>
          <w:sz w:val="28"/>
          <w:szCs w:val="28"/>
          <w:highlight w:val="none"/>
        </w:rPr>
        <w:t>评分汇总结束后，评标委员会应当进行复核，特别要对拟推荐中标候选人的、报价最低的、投标文件被认定无效的进行重点复核。</w:t>
      </w:r>
    </w:p>
    <w:p w14:paraId="7BC72B8C">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21.4.2</w:t>
      </w:r>
      <w:r>
        <w:rPr>
          <w:rFonts w:hint="eastAsia" w:ascii="仿宋" w:hAnsi="仿宋" w:eastAsia="仿宋" w:cs="仿宋"/>
          <w:color w:val="auto"/>
          <w:sz w:val="28"/>
          <w:szCs w:val="28"/>
          <w:highlight w:val="none"/>
        </w:rPr>
        <w:t>评标结果汇总完成后，评标报告签署前，采购代理机构应当核对评标结果，除下列情形外，任何人不得修改评标结果：</w:t>
      </w:r>
    </w:p>
    <w:p w14:paraId="6AC8693B">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（1）分值汇总计算错误的；</w:t>
      </w:r>
    </w:p>
    <w:p w14:paraId="30366D85">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（2）分项评分超出评分标准范围的；</w:t>
      </w:r>
    </w:p>
    <w:p w14:paraId="3E0C36AE">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（3）评标委员会对客观评审因素评分不一致的；</w:t>
      </w:r>
    </w:p>
    <w:p w14:paraId="5EA3F94D">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（4）经评标委员会认定评分畸高、畸低的。</w:t>
      </w:r>
    </w:p>
    <w:p w14:paraId="2868D36B">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经复核发现存在以上情形之一的，评标委员会应当当场修改评标结果，</w:t>
      </w:r>
      <w:r>
        <w:rPr>
          <w:rFonts w:hint="eastAsia" w:ascii="仿宋" w:hAnsi="仿宋" w:eastAsia="仿宋" w:cs="仿宋"/>
          <w:color w:val="auto"/>
          <w:sz w:val="28"/>
          <w:szCs w:val="28"/>
          <w:highlight w:val="none"/>
          <w:lang w:val="en-US" w:eastAsia="zh-CN"/>
        </w:rPr>
        <w:t>并在评标报告中记载。</w:t>
      </w:r>
    </w:p>
    <w:p w14:paraId="5D7BA67A">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21.5评标争议处理原则</w:t>
      </w:r>
    </w:p>
    <w:p w14:paraId="5743C910">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14:paraId="7786BED8">
      <w:pPr>
        <w:pageBreakBefore w:val="0"/>
        <w:kinsoku/>
        <w:wordWrap/>
        <w:overflowPunct/>
        <w:topLinePunct w:val="0"/>
        <w:bidi w:val="0"/>
        <w:spacing w:beforeAutospacing="0" w:line="480" w:lineRule="exact"/>
        <w:textAlignment w:val="auto"/>
        <w:outlineLvl w:val="1"/>
        <w:rPr>
          <w:rFonts w:hint="eastAsia" w:ascii="仿宋" w:hAnsi="仿宋" w:eastAsia="仿宋" w:cs="仿宋"/>
          <w:b/>
          <w:bCs/>
          <w:color w:val="auto"/>
          <w:sz w:val="28"/>
          <w:szCs w:val="28"/>
          <w:highlight w:val="none"/>
          <w:u w:val="none"/>
        </w:rPr>
      </w:pPr>
      <w:bookmarkStart w:id="282" w:name="_Toc22546"/>
      <w:r>
        <w:rPr>
          <w:rFonts w:hint="eastAsia" w:ascii="仿宋" w:hAnsi="仿宋" w:eastAsia="仿宋" w:cs="仿宋"/>
          <w:b/>
          <w:bCs/>
          <w:color w:val="auto"/>
          <w:sz w:val="28"/>
          <w:szCs w:val="28"/>
          <w:highlight w:val="none"/>
          <w:u w:val="none"/>
        </w:rPr>
        <w:t>2</w:t>
      </w:r>
      <w:bookmarkEnd w:id="271"/>
      <w:r>
        <w:rPr>
          <w:rFonts w:hint="eastAsia" w:ascii="仿宋" w:hAnsi="仿宋" w:eastAsia="仿宋" w:cs="仿宋"/>
          <w:b/>
          <w:bCs/>
          <w:color w:val="auto"/>
          <w:sz w:val="28"/>
          <w:szCs w:val="28"/>
          <w:highlight w:val="none"/>
          <w:u w:val="none"/>
          <w:lang w:val="en-US" w:eastAsia="zh-CN"/>
        </w:rPr>
        <w:t>2</w:t>
      </w:r>
      <w:r>
        <w:rPr>
          <w:rFonts w:hint="eastAsia" w:ascii="仿宋" w:hAnsi="仿宋" w:eastAsia="仿宋" w:cs="仿宋"/>
          <w:b/>
          <w:bCs/>
          <w:color w:val="auto"/>
          <w:sz w:val="28"/>
          <w:szCs w:val="28"/>
          <w:highlight w:val="none"/>
          <w:u w:val="none"/>
          <w:lang w:eastAsia="zh-CN"/>
        </w:rPr>
        <w:t>.</w:t>
      </w:r>
      <w:r>
        <w:rPr>
          <w:rFonts w:hint="eastAsia" w:ascii="仿宋" w:hAnsi="仿宋" w:eastAsia="仿宋" w:cs="仿宋"/>
          <w:b/>
          <w:bCs/>
          <w:color w:val="auto"/>
          <w:sz w:val="28"/>
          <w:szCs w:val="28"/>
          <w:highlight w:val="none"/>
          <w:u w:val="none"/>
        </w:rPr>
        <w:t>废标</w:t>
      </w:r>
      <w:bookmarkEnd w:id="272"/>
      <w:bookmarkEnd w:id="273"/>
      <w:bookmarkEnd w:id="274"/>
      <w:bookmarkEnd w:id="275"/>
      <w:bookmarkEnd w:id="276"/>
      <w:bookmarkEnd w:id="277"/>
      <w:bookmarkEnd w:id="278"/>
      <w:bookmarkEnd w:id="282"/>
    </w:p>
    <w:p w14:paraId="0F404375">
      <w:pPr>
        <w:pageBreakBefore w:val="0"/>
        <w:tabs>
          <w:tab w:val="left" w:pos="1260"/>
        </w:tabs>
        <w:kinsoku/>
        <w:wordWrap/>
        <w:overflowPunct/>
        <w:topLinePunct w:val="0"/>
        <w:bidi w:val="0"/>
        <w:spacing w:beforeAutospacing="0" w:line="48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22.1废标的概念</w:t>
      </w:r>
    </w:p>
    <w:p w14:paraId="20B4462B">
      <w:pPr>
        <w:pageBreakBefore w:val="0"/>
        <w:tabs>
          <w:tab w:val="left" w:pos="1260"/>
        </w:tabs>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废标一般是指由于</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所递交的所有投标文件，经评标委员会审查，在合格投标文件的数量、投标报价、招标过程的公正性上不符合法律的规定，从而导致评标委员会拒绝接受所有投标文件。废标对所有</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的投标行为都直接产生影响，标志着该招标项目立即终止，需要重新招标或改用其他采购方式。</w:t>
      </w:r>
    </w:p>
    <w:p w14:paraId="18A25CE4">
      <w:pPr>
        <w:pageBreakBefore w:val="0"/>
        <w:tabs>
          <w:tab w:val="left" w:pos="1260"/>
        </w:tabs>
        <w:kinsoku/>
        <w:wordWrap/>
        <w:overflowPunct/>
        <w:topLinePunct w:val="0"/>
        <w:bidi w:val="0"/>
        <w:spacing w:beforeAutospacing="0"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22.2有下列情形之一的予以废标</w:t>
      </w:r>
      <w:r>
        <w:rPr>
          <w:rFonts w:hint="eastAsia" w:ascii="仿宋" w:hAnsi="仿宋" w:eastAsia="仿宋" w:cs="仿宋"/>
          <w:color w:val="auto"/>
          <w:sz w:val="28"/>
          <w:szCs w:val="28"/>
          <w:highlight w:val="none"/>
        </w:rPr>
        <w:t>：</w:t>
      </w:r>
    </w:p>
    <w:p w14:paraId="59081729">
      <w:pPr>
        <w:pageBreakBefore w:val="0"/>
        <w:tabs>
          <w:tab w:val="left" w:pos="1260"/>
        </w:tabs>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(1)出现影响采购公正的违法、违规行为的；</w:t>
      </w:r>
    </w:p>
    <w:p w14:paraId="58AA9D74">
      <w:pPr>
        <w:pageBreakBefore w:val="0"/>
        <w:tabs>
          <w:tab w:val="left" w:pos="1260"/>
        </w:tabs>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的报价超过了</w:t>
      </w:r>
      <w:r>
        <w:rPr>
          <w:rFonts w:hint="eastAsia" w:ascii="仿宋" w:hAnsi="仿宋" w:eastAsia="仿宋" w:cs="仿宋"/>
          <w:color w:val="auto"/>
          <w:sz w:val="28"/>
          <w:szCs w:val="28"/>
          <w:highlight w:val="none"/>
          <w:lang w:val="en-US" w:eastAsia="zh-CN"/>
        </w:rPr>
        <w:t>预算金额</w:t>
      </w:r>
      <w:r>
        <w:rPr>
          <w:rFonts w:hint="eastAsia" w:ascii="仿宋" w:hAnsi="仿宋" w:eastAsia="仿宋" w:cs="仿宋"/>
          <w:color w:val="auto"/>
          <w:sz w:val="28"/>
          <w:szCs w:val="28"/>
          <w:highlight w:val="none"/>
        </w:rPr>
        <w:t>，且采购人不能支付的；</w:t>
      </w:r>
    </w:p>
    <w:p w14:paraId="31E4E5C6">
      <w:pPr>
        <w:pageBreakBefore w:val="0"/>
        <w:tabs>
          <w:tab w:val="left" w:pos="1260"/>
        </w:tabs>
        <w:kinsoku/>
        <w:wordWrap/>
        <w:overflowPunct/>
        <w:topLinePunct w:val="0"/>
        <w:bidi w:val="0"/>
        <w:spacing w:beforeAutospacing="0" w:line="48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(3)因重大变故，采购任务取消的。</w:t>
      </w:r>
    </w:p>
    <w:p w14:paraId="7F0CC82C">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83" w:name="_Toc10465"/>
      <w:bookmarkStart w:id="284" w:name="_Toc15758"/>
      <w:bookmarkStart w:id="285" w:name="_Toc27073"/>
      <w:bookmarkStart w:id="286" w:name="_Toc28805"/>
      <w:r>
        <w:rPr>
          <w:rFonts w:hint="eastAsia" w:ascii="仿宋" w:hAnsi="仿宋" w:eastAsia="仿宋" w:cs="仿宋"/>
          <w:color w:val="auto"/>
          <w:sz w:val="28"/>
          <w:szCs w:val="28"/>
          <w:highlight w:val="none"/>
          <w:u w:val="none"/>
        </w:rPr>
        <w:t>2</w:t>
      </w:r>
      <w:r>
        <w:rPr>
          <w:rFonts w:hint="eastAsia" w:ascii="仿宋" w:hAnsi="仿宋" w:eastAsia="仿宋" w:cs="仿宋"/>
          <w:color w:val="auto"/>
          <w:sz w:val="28"/>
          <w:szCs w:val="28"/>
          <w:highlight w:val="none"/>
          <w:u w:val="none"/>
          <w:lang w:val="en-US" w:eastAsia="zh-CN"/>
        </w:rPr>
        <w:t>3</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保密原则</w:t>
      </w:r>
      <w:bookmarkEnd w:id="279"/>
      <w:bookmarkEnd w:id="280"/>
      <w:bookmarkEnd w:id="283"/>
      <w:bookmarkEnd w:id="284"/>
      <w:bookmarkEnd w:id="285"/>
      <w:bookmarkEnd w:id="286"/>
    </w:p>
    <w:p w14:paraId="7F40B065">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23.1评标将在严格保密的情况下进行。</w:t>
      </w:r>
    </w:p>
    <w:p w14:paraId="051DD69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28"/>
          <w:szCs w:val="28"/>
          <w:highlight w:val="none"/>
        </w:rPr>
        <w:t>23.2政府采购评审专家应当遵守评审工作纪律，不得泄露评审文件、评审情况和评审中获悉的商业秘密。</w:t>
      </w:r>
      <w:bookmarkStart w:id="287" w:name="_Toc16040"/>
      <w:bookmarkStart w:id="288" w:name="_Toc10964"/>
      <w:bookmarkStart w:id="289" w:name="_Toc518923091"/>
      <w:bookmarkStart w:id="290" w:name="_Toc216582810"/>
      <w:bookmarkStart w:id="291" w:name="_Toc11553"/>
    </w:p>
    <w:p w14:paraId="6E5F7312">
      <w:pPr>
        <w:pStyle w:val="5"/>
        <w:keepNext w:val="0"/>
        <w:keepLines w:val="0"/>
        <w:pageBreakBefore w:val="0"/>
        <w:kinsoku/>
        <w:wordWrap/>
        <w:overflowPunct/>
        <w:topLinePunct w:val="0"/>
        <w:bidi w:val="0"/>
        <w:spacing w:before="0" w:beforeAutospacing="0" w:line="480" w:lineRule="exact"/>
        <w:ind w:left="0" w:leftChars="0" w:firstLine="0" w:firstLineChars="0"/>
        <w:jc w:val="center"/>
        <w:textAlignment w:val="auto"/>
        <w:rPr>
          <w:rFonts w:hint="eastAsia" w:ascii="仿宋" w:hAnsi="仿宋" w:eastAsia="仿宋" w:cs="仿宋"/>
          <w:b/>
          <w:bCs/>
          <w:color w:val="auto"/>
          <w:sz w:val="36"/>
          <w:szCs w:val="36"/>
          <w:highlight w:val="none"/>
        </w:rPr>
      </w:pPr>
      <w:bookmarkStart w:id="292" w:name="_Toc9413"/>
      <w:bookmarkStart w:id="293" w:name="_Toc19574"/>
      <w:r>
        <w:rPr>
          <w:rFonts w:hint="eastAsia" w:ascii="仿宋" w:hAnsi="仿宋" w:eastAsia="仿宋" w:cs="仿宋"/>
          <w:b/>
          <w:bCs/>
          <w:color w:val="auto"/>
          <w:sz w:val="36"/>
          <w:szCs w:val="36"/>
          <w:highlight w:val="none"/>
        </w:rPr>
        <w:t>六</w:t>
      </w:r>
      <w:bookmarkEnd w:id="281"/>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确定中标</w:t>
      </w:r>
      <w:bookmarkEnd w:id="287"/>
      <w:bookmarkEnd w:id="288"/>
      <w:bookmarkEnd w:id="289"/>
      <w:bookmarkEnd w:id="290"/>
      <w:bookmarkEnd w:id="291"/>
      <w:bookmarkEnd w:id="292"/>
      <w:bookmarkEnd w:id="293"/>
    </w:p>
    <w:p w14:paraId="2B801BFC">
      <w:pPr>
        <w:pStyle w:val="6"/>
        <w:keepNext w:val="0"/>
        <w:keepLines w:val="0"/>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94" w:name="_Toc28807"/>
      <w:bookmarkStart w:id="295" w:name="_Toc520356170"/>
      <w:bookmarkStart w:id="296" w:name="_Toc518923092"/>
      <w:bookmarkStart w:id="297" w:name="_Ref467307010"/>
      <w:bookmarkStart w:id="298" w:name="_Toc32578"/>
      <w:bookmarkStart w:id="299" w:name="_Toc10802"/>
      <w:bookmarkStart w:id="300" w:name="_Toc24341"/>
      <w:bookmarkStart w:id="301" w:name="_Toc10436"/>
      <w:r>
        <w:rPr>
          <w:rFonts w:hint="eastAsia" w:ascii="仿宋" w:hAnsi="仿宋" w:eastAsia="仿宋" w:cs="仿宋"/>
          <w:color w:val="auto"/>
          <w:sz w:val="28"/>
          <w:szCs w:val="28"/>
          <w:highlight w:val="none"/>
          <w:u w:val="none"/>
        </w:rPr>
        <w:t>2</w:t>
      </w:r>
      <w:r>
        <w:rPr>
          <w:rFonts w:hint="eastAsia" w:ascii="仿宋" w:hAnsi="仿宋" w:eastAsia="仿宋" w:cs="仿宋"/>
          <w:color w:val="auto"/>
          <w:sz w:val="28"/>
          <w:szCs w:val="28"/>
          <w:highlight w:val="none"/>
          <w:u w:val="none"/>
          <w:lang w:val="en-US" w:eastAsia="zh-CN"/>
        </w:rPr>
        <w:t>4</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中标候选人的确定原则及标准</w:t>
      </w:r>
      <w:bookmarkEnd w:id="294"/>
      <w:bookmarkEnd w:id="295"/>
      <w:bookmarkEnd w:id="296"/>
      <w:bookmarkEnd w:id="297"/>
      <w:bookmarkEnd w:id="298"/>
      <w:bookmarkEnd w:id="299"/>
      <w:bookmarkEnd w:id="300"/>
      <w:bookmarkEnd w:id="301"/>
    </w:p>
    <w:p w14:paraId="28604E14">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bCs/>
          <w:color w:val="auto"/>
          <w:sz w:val="28"/>
          <w:szCs w:val="28"/>
          <w:highlight w:val="none"/>
        </w:rPr>
      </w:pPr>
      <w:bookmarkStart w:id="302" w:name="_Toc518923093"/>
      <w:bookmarkStart w:id="303" w:name="_Toc3537"/>
      <w:bookmarkStart w:id="304" w:name="_Toc23486"/>
      <w:bookmarkStart w:id="305" w:name="_Toc10555"/>
      <w:r>
        <w:rPr>
          <w:rFonts w:hint="eastAsia" w:ascii="仿宋" w:hAnsi="仿宋" w:eastAsia="仿宋" w:cs="仿宋"/>
          <w:bCs/>
          <w:color w:val="auto"/>
          <w:sz w:val="28"/>
          <w:szCs w:val="28"/>
          <w:highlight w:val="none"/>
        </w:rPr>
        <w:t>24.1根据投标供应商综合得分，按照从高到低的顺序，推荐中标候选人，并编写评审报告。</w:t>
      </w:r>
    </w:p>
    <w:p w14:paraId="0F7C2FD2">
      <w:pPr>
        <w:pStyle w:val="6"/>
        <w:keepNext w:val="0"/>
        <w:keepLines w:val="0"/>
        <w:pageBreakBefore w:val="0"/>
        <w:kinsoku/>
        <w:wordWrap/>
        <w:overflowPunct/>
        <w:topLinePunct w:val="0"/>
        <w:bidi w:val="0"/>
        <w:spacing w:before="0" w:beforeAutospacing="0" w:after="0" w:line="480" w:lineRule="exact"/>
        <w:ind w:firstLine="560" w:firstLineChars="200"/>
        <w:textAlignment w:val="auto"/>
        <w:rPr>
          <w:rFonts w:hint="eastAsia" w:ascii="仿宋" w:hAnsi="仿宋" w:eastAsia="仿宋" w:cs="仿宋"/>
          <w:b w:val="0"/>
          <w:bCs/>
          <w:color w:val="auto"/>
          <w:sz w:val="28"/>
          <w:szCs w:val="28"/>
          <w:highlight w:val="none"/>
          <w:u w:val="none"/>
        </w:rPr>
      </w:pPr>
      <w:bookmarkStart w:id="306" w:name="_Toc20821"/>
      <w:r>
        <w:rPr>
          <w:rFonts w:hint="eastAsia" w:ascii="仿宋" w:hAnsi="仿宋" w:eastAsia="仿宋" w:cs="仿宋"/>
          <w:b w:val="0"/>
          <w:bCs/>
          <w:color w:val="auto"/>
          <w:sz w:val="28"/>
          <w:szCs w:val="28"/>
          <w:highlight w:val="none"/>
          <w:u w:val="none"/>
          <w:lang w:val="en-US" w:eastAsia="zh-CN"/>
        </w:rPr>
        <w:t>24.2</w:t>
      </w:r>
      <w:r>
        <w:rPr>
          <w:rFonts w:hint="eastAsia" w:ascii="仿宋" w:hAnsi="仿宋" w:eastAsia="仿宋" w:cs="仿宋"/>
          <w:b w:val="0"/>
          <w:bCs/>
          <w:color w:val="auto"/>
          <w:sz w:val="28"/>
          <w:szCs w:val="28"/>
          <w:highlight w:val="none"/>
          <w:u w:val="none"/>
          <w:lang w:eastAsia="zh-CN"/>
        </w:rPr>
        <w:t>.</w:t>
      </w:r>
      <w:r>
        <w:rPr>
          <w:rFonts w:hint="eastAsia" w:ascii="仿宋" w:hAnsi="仿宋" w:eastAsia="仿宋" w:cs="仿宋"/>
          <w:b w:val="0"/>
          <w:bCs/>
          <w:color w:val="auto"/>
          <w:sz w:val="28"/>
          <w:szCs w:val="28"/>
          <w:highlight w:val="none"/>
          <w:u w:val="none"/>
        </w:rPr>
        <w:t>确定中标候选人和中标人</w:t>
      </w:r>
      <w:bookmarkEnd w:id="302"/>
      <w:bookmarkEnd w:id="303"/>
      <w:bookmarkEnd w:id="304"/>
      <w:bookmarkEnd w:id="305"/>
      <w:bookmarkEnd w:id="306"/>
    </w:p>
    <w:p w14:paraId="7D06AEC7">
      <w:pPr>
        <w:pageBreakBefore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b w:val="0"/>
          <w:bCs/>
          <w:color w:val="auto"/>
          <w:sz w:val="28"/>
          <w:szCs w:val="28"/>
          <w:highlight w:val="none"/>
          <w:u w:val="none"/>
        </w:rPr>
      </w:pPr>
      <w:bookmarkStart w:id="307" w:name="_Ref467306874"/>
      <w:bookmarkStart w:id="308" w:name="_Toc520356173"/>
      <w:bookmarkStart w:id="309" w:name="_Toc518923094"/>
      <w:bookmarkStart w:id="310" w:name="_Toc23629"/>
      <w:bookmarkStart w:id="311" w:name="_Toc9768"/>
      <w:bookmarkStart w:id="312" w:name="_Toc17138"/>
      <w:r>
        <w:rPr>
          <w:rFonts w:hint="eastAsia" w:ascii="仿宋" w:hAnsi="仿宋" w:eastAsia="仿宋" w:cs="仿宋"/>
          <w:b w:val="0"/>
          <w:bCs/>
          <w:color w:val="auto"/>
          <w:sz w:val="28"/>
          <w:szCs w:val="28"/>
          <w:highlight w:val="none"/>
          <w:u w:val="none"/>
          <w:lang w:eastAsia="zh-CN"/>
        </w:rPr>
        <w:t>（</w:t>
      </w:r>
      <w:r>
        <w:rPr>
          <w:rFonts w:hint="eastAsia" w:ascii="仿宋" w:hAnsi="仿宋" w:eastAsia="仿宋" w:cs="仿宋"/>
          <w:b w:val="0"/>
          <w:bCs/>
          <w:color w:val="auto"/>
          <w:spacing w:val="-2"/>
          <w:sz w:val="28"/>
          <w:szCs w:val="28"/>
          <w:highlight w:val="none"/>
          <w:u w:val="none"/>
        </w:rPr>
        <w:t>1）</w:t>
      </w:r>
      <w:r>
        <w:rPr>
          <w:rFonts w:hint="eastAsia" w:ascii="仿宋" w:hAnsi="仿宋" w:eastAsia="仿宋" w:cs="仿宋"/>
          <w:bCs/>
          <w:color w:val="auto"/>
          <w:sz w:val="28"/>
          <w:szCs w:val="28"/>
          <w:highlight w:val="none"/>
          <w:lang w:eastAsia="zh-CN"/>
        </w:rPr>
        <w:t>采购人</w:t>
      </w:r>
      <w:r>
        <w:rPr>
          <w:rFonts w:hint="eastAsia" w:ascii="仿宋" w:hAnsi="仿宋" w:eastAsia="仿宋" w:cs="仿宋"/>
          <w:bCs/>
          <w:color w:val="auto"/>
          <w:sz w:val="28"/>
          <w:szCs w:val="28"/>
          <w:highlight w:val="none"/>
        </w:rPr>
        <w:t>在评标结束后</w:t>
      </w:r>
      <w:r>
        <w:rPr>
          <w:rFonts w:hint="eastAsia" w:ascii="仿宋" w:hAnsi="仿宋" w:eastAsia="仿宋" w:cs="仿宋"/>
          <w:bCs/>
          <w:color w:val="auto"/>
          <w:sz w:val="28"/>
          <w:szCs w:val="28"/>
          <w:highlight w:val="none"/>
          <w:lang w:val="en-US" w:eastAsia="zh-CN"/>
        </w:rPr>
        <w:t>2个工作日</w:t>
      </w:r>
      <w:r>
        <w:rPr>
          <w:rFonts w:hint="eastAsia" w:ascii="仿宋" w:hAnsi="仿宋" w:eastAsia="仿宋" w:cs="仿宋"/>
          <w:bCs/>
          <w:color w:val="auto"/>
          <w:sz w:val="28"/>
          <w:szCs w:val="28"/>
          <w:highlight w:val="none"/>
        </w:rPr>
        <w:t>将评标报告</w:t>
      </w:r>
      <w:r>
        <w:rPr>
          <w:rFonts w:hint="eastAsia" w:ascii="仿宋" w:hAnsi="仿宋" w:eastAsia="仿宋" w:cs="仿宋"/>
          <w:bCs/>
          <w:color w:val="auto"/>
          <w:sz w:val="28"/>
          <w:szCs w:val="28"/>
          <w:highlight w:val="none"/>
          <w:lang w:val="en-US" w:eastAsia="zh-CN"/>
        </w:rPr>
        <w:t>提交</w:t>
      </w:r>
      <w:r>
        <w:rPr>
          <w:rFonts w:hint="eastAsia" w:ascii="仿宋" w:hAnsi="仿宋" w:eastAsia="仿宋" w:cs="仿宋"/>
          <w:bCs/>
          <w:color w:val="auto"/>
          <w:sz w:val="28"/>
          <w:szCs w:val="28"/>
          <w:highlight w:val="none"/>
        </w:rPr>
        <w:t>采购人</w:t>
      </w:r>
      <w:r>
        <w:rPr>
          <w:rFonts w:hint="eastAsia" w:ascii="仿宋" w:hAnsi="仿宋" w:eastAsia="仿宋" w:cs="仿宋"/>
          <w:bCs/>
          <w:color w:val="auto"/>
          <w:sz w:val="28"/>
          <w:szCs w:val="28"/>
          <w:highlight w:val="none"/>
          <w:lang w:val="en-US" w:eastAsia="zh-CN"/>
        </w:rPr>
        <w:t>审核</w:t>
      </w:r>
      <w:r>
        <w:rPr>
          <w:rFonts w:hint="eastAsia" w:ascii="仿宋" w:hAnsi="仿宋" w:eastAsia="仿宋" w:cs="仿宋"/>
          <w:bCs/>
          <w:color w:val="auto"/>
          <w:sz w:val="28"/>
          <w:szCs w:val="28"/>
          <w:highlight w:val="none"/>
        </w:rPr>
        <w:t>，采购人根据评标报告确定的中标候选人名单，出具《</w:t>
      </w:r>
      <w:r>
        <w:rPr>
          <w:rFonts w:hint="eastAsia" w:ascii="仿宋" w:hAnsi="仿宋" w:eastAsia="仿宋" w:cs="仿宋"/>
          <w:bCs/>
          <w:color w:val="auto"/>
          <w:sz w:val="28"/>
          <w:szCs w:val="28"/>
          <w:highlight w:val="none"/>
          <w:lang w:val="en-US" w:eastAsia="zh-CN"/>
        </w:rPr>
        <w:t>采购结果</w:t>
      </w:r>
      <w:r>
        <w:rPr>
          <w:rFonts w:hint="eastAsia" w:ascii="仿宋" w:hAnsi="仿宋" w:eastAsia="仿宋" w:cs="仿宋"/>
          <w:bCs/>
          <w:color w:val="auto"/>
          <w:sz w:val="28"/>
          <w:szCs w:val="28"/>
          <w:highlight w:val="none"/>
        </w:rPr>
        <w:t>确认书》，按顺序确定中标人。中标候选人并列的，由采购人或者采购人委托评标委员会按照招标文件规定的方式确定中标人。采购人在收到评标报告5个工作日内未按评标报告推荐的中标候选人顺序确定中标人，又不能说明合法理由的，视同按评标报告推荐的顺序确定排名第一的中标候选人为中标人。</w:t>
      </w:r>
    </w:p>
    <w:p w14:paraId="0D5058F6">
      <w:pPr>
        <w:pageBreakBefore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rPr>
        <w:t>（2）采购人或者</w:t>
      </w:r>
      <w:r>
        <w:rPr>
          <w:rFonts w:hint="eastAsia" w:ascii="仿宋" w:hAnsi="仿宋" w:eastAsia="仿宋" w:cs="仿宋"/>
          <w:b w:val="0"/>
          <w:bCs/>
          <w:color w:val="auto"/>
          <w:sz w:val="28"/>
          <w:szCs w:val="28"/>
          <w:highlight w:val="none"/>
          <w:lang w:eastAsia="zh-CN"/>
        </w:rPr>
        <w:t>采购人</w:t>
      </w:r>
      <w:r>
        <w:rPr>
          <w:rFonts w:hint="eastAsia" w:ascii="仿宋" w:hAnsi="仿宋" w:eastAsia="仿宋" w:cs="仿宋"/>
          <w:b w:val="0"/>
          <w:bCs/>
          <w:color w:val="auto"/>
          <w:sz w:val="28"/>
          <w:szCs w:val="28"/>
          <w:highlight w:val="none"/>
        </w:rPr>
        <w:t>自中标人确定之日起</w:t>
      </w:r>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rPr>
        <w:t>个工作日内，在</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新疆政府采购网</w:t>
      </w:r>
      <w:r>
        <w:rPr>
          <w:rFonts w:hint="eastAsia" w:ascii="仿宋" w:hAnsi="仿宋" w:eastAsia="仿宋" w:cs="仿宋"/>
          <w:color w:val="auto"/>
          <w:sz w:val="28"/>
          <w:szCs w:val="28"/>
          <w:highlight w:val="none"/>
        </w:rPr>
        <w:t>》http://www.ccgp-xinjiang.gov.cn/</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val="en-US" w:eastAsia="zh-CN" w:bidi="ar-SA"/>
        </w:rPr>
        <w:t>伊犁州公共资源交易平台http://ggzy.xjyl.gov.cn</w:t>
      </w:r>
      <w:r>
        <w:rPr>
          <w:rFonts w:hint="eastAsia" w:ascii="仿宋" w:hAnsi="仿宋" w:eastAsia="仿宋" w:cs="仿宋"/>
          <w:b w:val="0"/>
          <w:bCs/>
          <w:color w:val="auto"/>
          <w:sz w:val="28"/>
          <w:szCs w:val="28"/>
          <w:highlight w:val="none"/>
        </w:rPr>
        <w:t>上公告中标结果。</w:t>
      </w:r>
      <w:r>
        <w:rPr>
          <w:rFonts w:hint="eastAsia" w:ascii="仿宋" w:hAnsi="仿宋" w:eastAsia="仿宋" w:cs="仿宋"/>
          <w:b w:val="0"/>
          <w:bCs/>
          <w:color w:val="auto"/>
          <w:sz w:val="28"/>
          <w:szCs w:val="28"/>
          <w:highlight w:val="none"/>
          <w:lang w:val="en-US" w:eastAsia="zh-CN"/>
        </w:rPr>
        <w:t>中标公告期限为1个工作日。</w:t>
      </w:r>
    </w:p>
    <w:p w14:paraId="63CE26F8">
      <w:pPr>
        <w:pStyle w:val="6"/>
        <w:pageBreakBefore w:val="0"/>
        <w:tabs>
          <w:tab w:val="left" w:pos="900"/>
        </w:tabs>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313" w:name="_Toc8813"/>
      <w:bookmarkStart w:id="314" w:name="_Toc7064"/>
      <w:r>
        <w:rPr>
          <w:rFonts w:hint="eastAsia" w:ascii="仿宋" w:hAnsi="仿宋" w:eastAsia="仿宋" w:cs="仿宋"/>
          <w:color w:val="auto"/>
          <w:sz w:val="28"/>
          <w:szCs w:val="28"/>
          <w:highlight w:val="none"/>
          <w:u w:val="none"/>
        </w:rPr>
        <w:t>2</w:t>
      </w:r>
      <w:bookmarkEnd w:id="307"/>
      <w:bookmarkEnd w:id="308"/>
      <w:r>
        <w:rPr>
          <w:rFonts w:hint="eastAsia" w:ascii="仿宋" w:hAnsi="仿宋" w:eastAsia="仿宋" w:cs="仿宋"/>
          <w:color w:val="auto"/>
          <w:sz w:val="28"/>
          <w:szCs w:val="28"/>
          <w:highlight w:val="none"/>
          <w:u w:val="none"/>
          <w:lang w:val="en-US" w:eastAsia="zh-CN"/>
        </w:rPr>
        <w:t>5</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采购任务取消</w:t>
      </w:r>
      <w:bookmarkEnd w:id="309"/>
      <w:bookmarkEnd w:id="310"/>
      <w:bookmarkEnd w:id="311"/>
      <w:bookmarkEnd w:id="312"/>
      <w:bookmarkEnd w:id="313"/>
      <w:bookmarkEnd w:id="314"/>
    </w:p>
    <w:p w14:paraId="0DF9AC18">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因重大变故采购任务取消时，采购人有权拒绝任何</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中标，且对受影响的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不承担任何责任。</w:t>
      </w:r>
      <w:bookmarkStart w:id="315" w:name="_Toc520356174"/>
    </w:p>
    <w:p w14:paraId="11D2844E">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316" w:name="_Toc14713"/>
      <w:bookmarkStart w:id="317" w:name="_Toc23656"/>
      <w:bookmarkStart w:id="318" w:name="_Toc518923095"/>
      <w:bookmarkStart w:id="319" w:name="_Toc15290"/>
      <w:bookmarkStart w:id="320" w:name="_Toc24250"/>
      <w:bookmarkStart w:id="321" w:name="_Toc18072"/>
      <w:r>
        <w:rPr>
          <w:rFonts w:hint="eastAsia" w:ascii="仿宋" w:hAnsi="仿宋" w:eastAsia="仿宋" w:cs="仿宋"/>
          <w:color w:val="auto"/>
          <w:sz w:val="28"/>
          <w:szCs w:val="28"/>
          <w:highlight w:val="none"/>
          <w:u w:val="none"/>
        </w:rPr>
        <w:t>2</w:t>
      </w:r>
      <w:r>
        <w:rPr>
          <w:rFonts w:hint="eastAsia" w:ascii="仿宋" w:hAnsi="仿宋" w:eastAsia="仿宋" w:cs="仿宋"/>
          <w:color w:val="auto"/>
          <w:sz w:val="28"/>
          <w:szCs w:val="28"/>
          <w:highlight w:val="none"/>
          <w:u w:val="none"/>
          <w:lang w:val="en-US" w:eastAsia="zh-CN"/>
        </w:rPr>
        <w:t>6</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中标通知书</w:t>
      </w:r>
      <w:bookmarkEnd w:id="315"/>
      <w:r>
        <w:rPr>
          <w:rFonts w:hint="eastAsia" w:ascii="仿宋" w:hAnsi="仿宋" w:eastAsia="仿宋" w:cs="仿宋"/>
          <w:color w:val="auto"/>
          <w:sz w:val="28"/>
          <w:szCs w:val="28"/>
          <w:highlight w:val="none"/>
          <w:u w:val="none"/>
        </w:rPr>
        <w:t>和招标结果通知书</w:t>
      </w:r>
      <w:bookmarkEnd w:id="316"/>
      <w:bookmarkEnd w:id="317"/>
      <w:bookmarkEnd w:id="318"/>
      <w:bookmarkEnd w:id="319"/>
      <w:bookmarkEnd w:id="320"/>
      <w:bookmarkEnd w:id="321"/>
    </w:p>
    <w:p w14:paraId="1C606DDB">
      <w:pPr>
        <w:pageBreakBefore w:val="0"/>
        <w:kinsoku/>
        <w:wordWrap/>
        <w:overflowPunct/>
        <w:topLinePunct w:val="0"/>
        <w:bidi w:val="0"/>
        <w:snapToGrid/>
        <w:spacing w:beforeAutospacing="0" w:line="480" w:lineRule="exact"/>
        <w:ind w:leftChars="0" w:firstLine="552" w:firstLineChars="200"/>
        <w:textAlignment w:val="auto"/>
        <w:rPr>
          <w:rFonts w:hint="eastAsia" w:ascii="仿宋" w:hAnsi="仿宋" w:eastAsia="仿宋" w:cs="仿宋"/>
          <w:color w:val="auto"/>
          <w:spacing w:val="-2"/>
          <w:sz w:val="28"/>
          <w:szCs w:val="28"/>
          <w:highlight w:val="none"/>
        </w:rPr>
      </w:pPr>
      <w:bookmarkStart w:id="322" w:name="_Toc518923096"/>
      <w:bookmarkStart w:id="323" w:name="_Toc16952"/>
      <w:bookmarkStart w:id="324" w:name="_Ref467307062"/>
      <w:bookmarkStart w:id="325" w:name="_Ref467306377"/>
      <w:bookmarkStart w:id="326" w:name="_Toc22453"/>
      <w:bookmarkStart w:id="327" w:name="_Toc3708"/>
      <w:bookmarkStart w:id="328" w:name="_Ref467307204"/>
      <w:bookmarkStart w:id="329" w:name="_Ref467306978"/>
      <w:bookmarkStart w:id="330" w:name="_Toc520356175"/>
      <w:r>
        <w:rPr>
          <w:rFonts w:hint="eastAsia" w:ascii="仿宋" w:hAnsi="仿宋" w:eastAsia="仿宋" w:cs="仿宋"/>
          <w:color w:val="auto"/>
          <w:spacing w:val="-2"/>
          <w:sz w:val="28"/>
          <w:szCs w:val="28"/>
          <w:highlight w:val="none"/>
        </w:rPr>
        <w:t>（1）招标结束后，</w:t>
      </w:r>
      <w:r>
        <w:rPr>
          <w:rFonts w:hint="eastAsia" w:ascii="仿宋" w:hAnsi="仿宋" w:eastAsia="仿宋" w:cs="仿宋"/>
          <w:color w:val="auto"/>
          <w:spacing w:val="-2"/>
          <w:sz w:val="28"/>
          <w:szCs w:val="28"/>
          <w:highlight w:val="none"/>
          <w:lang w:eastAsia="zh-CN"/>
        </w:rPr>
        <w:t>采购人</w:t>
      </w:r>
      <w:r>
        <w:rPr>
          <w:rFonts w:hint="eastAsia" w:ascii="仿宋" w:hAnsi="仿宋" w:eastAsia="仿宋" w:cs="仿宋"/>
          <w:color w:val="auto"/>
          <w:spacing w:val="-2"/>
          <w:sz w:val="28"/>
          <w:szCs w:val="28"/>
          <w:highlight w:val="none"/>
        </w:rPr>
        <w:t>将以书面形式发出《中标</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成交</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通知书》，《中标</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成交</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通知书》发出后因质疑或投诉引起的中标结果变更，发出的《中标</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成交</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通知书》将自动作废。</w:t>
      </w:r>
    </w:p>
    <w:p w14:paraId="59201CD9">
      <w:pPr>
        <w:pageBreakBefore w:val="0"/>
        <w:kinsoku/>
        <w:wordWrap/>
        <w:overflowPunct/>
        <w:topLinePunct w:val="0"/>
        <w:bidi w:val="0"/>
        <w:snapToGrid/>
        <w:spacing w:beforeAutospacing="0" w:line="480" w:lineRule="exact"/>
        <w:ind w:leftChars="0" w:firstLine="55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pacing w:val="-2"/>
          <w:sz w:val="28"/>
          <w:szCs w:val="28"/>
          <w:highlight w:val="none"/>
        </w:rPr>
        <w:t>（2）《中标</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成交</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通知书》将作为签订合同的依据，一经发出即发生法律效力。</w:t>
      </w:r>
    </w:p>
    <w:p w14:paraId="388C9000">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331" w:name="_Toc20963"/>
      <w:bookmarkStart w:id="332" w:name="_Toc20420"/>
      <w:r>
        <w:rPr>
          <w:rFonts w:hint="eastAsia" w:ascii="仿宋" w:hAnsi="仿宋" w:eastAsia="仿宋" w:cs="仿宋"/>
          <w:color w:val="auto"/>
          <w:sz w:val="28"/>
          <w:szCs w:val="28"/>
          <w:highlight w:val="none"/>
          <w:u w:val="none"/>
          <w:lang w:val="en-US" w:eastAsia="zh-CN"/>
        </w:rPr>
        <w:t>27</w:t>
      </w:r>
      <w:r>
        <w:rPr>
          <w:rFonts w:hint="eastAsia" w:ascii="仿宋" w:hAnsi="仿宋" w:eastAsia="仿宋" w:cs="仿宋"/>
          <w:color w:val="auto"/>
          <w:sz w:val="28"/>
          <w:szCs w:val="28"/>
          <w:highlight w:val="none"/>
          <w:u w:val="none"/>
        </w:rPr>
        <w:t>.签订合同</w:t>
      </w:r>
      <w:bookmarkEnd w:id="322"/>
      <w:bookmarkEnd w:id="323"/>
      <w:bookmarkEnd w:id="324"/>
      <w:bookmarkEnd w:id="325"/>
      <w:bookmarkEnd w:id="326"/>
      <w:bookmarkEnd w:id="327"/>
      <w:bookmarkEnd w:id="328"/>
      <w:bookmarkEnd w:id="329"/>
      <w:bookmarkEnd w:id="330"/>
      <w:bookmarkEnd w:id="331"/>
      <w:bookmarkEnd w:id="332"/>
    </w:p>
    <w:p w14:paraId="5B66F125">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27.1中标人应当自发出中标通知书之日起30日内，与采购人签订合同。</w:t>
      </w:r>
    </w:p>
    <w:p w14:paraId="5D24030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27.2</w:t>
      </w:r>
      <w:bookmarkStart w:id="333" w:name="_Ref467306425"/>
      <w:bookmarkStart w:id="334" w:name="_Toc520356176"/>
      <w:bookmarkStart w:id="335" w:name="_Ref467307090"/>
      <w:r>
        <w:rPr>
          <w:rFonts w:hint="eastAsia" w:ascii="仿宋" w:hAnsi="仿宋" w:eastAsia="仿宋" w:cs="仿宋"/>
          <w:color w:val="auto"/>
          <w:sz w:val="28"/>
          <w:szCs w:val="28"/>
          <w:highlight w:val="none"/>
        </w:rPr>
        <w:t>招标文件、中标人的投标文件及其澄清文件等，均为签订合同的依据。</w:t>
      </w:r>
    </w:p>
    <w:p w14:paraId="1025F514">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27.3中标人拒绝与采购人签订合同的，采购人可以按照评审报告推荐的中标候选人名单排序，确定下一中标候选人为中标人，也可以重新开展政府采购活动。</w:t>
      </w:r>
    </w:p>
    <w:p w14:paraId="485001CE">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27.4当出现法规规定的</w:t>
      </w:r>
      <w:r>
        <w:rPr>
          <w:rFonts w:hint="eastAsia" w:ascii="仿宋" w:hAnsi="仿宋" w:eastAsia="仿宋" w:cs="仿宋"/>
          <w:b/>
          <w:color w:val="auto"/>
          <w:sz w:val="28"/>
          <w:szCs w:val="28"/>
          <w:highlight w:val="none"/>
        </w:rPr>
        <w:t>中标无效或中标结果无效</w:t>
      </w:r>
      <w:r>
        <w:rPr>
          <w:rFonts w:hint="eastAsia" w:ascii="仿宋" w:hAnsi="仿宋" w:eastAsia="仿宋" w:cs="仿宋"/>
          <w:color w:val="auto"/>
          <w:sz w:val="28"/>
          <w:szCs w:val="28"/>
          <w:highlight w:val="none"/>
        </w:rPr>
        <w:t>情形时，采购人可与排名下一位的中标候选人另行签订合同，或依法重新开展采购活动。</w:t>
      </w:r>
    </w:p>
    <w:p w14:paraId="24CCC738">
      <w:pPr>
        <w:pStyle w:val="6"/>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336" w:name="_Toc9437"/>
      <w:bookmarkStart w:id="337" w:name="_Toc8902"/>
      <w:bookmarkStart w:id="338" w:name="_Toc518923097"/>
      <w:bookmarkStart w:id="339" w:name="_Toc4302"/>
      <w:bookmarkStart w:id="340" w:name="_Toc10873"/>
      <w:r>
        <w:rPr>
          <w:rFonts w:hint="eastAsia" w:ascii="仿宋" w:hAnsi="仿宋" w:eastAsia="仿宋" w:cs="仿宋"/>
          <w:color w:val="auto"/>
          <w:sz w:val="28"/>
          <w:szCs w:val="28"/>
          <w:highlight w:val="none"/>
          <w:u w:val="none"/>
        </w:rPr>
        <w:t>28.履约保证金</w:t>
      </w:r>
      <w:bookmarkEnd w:id="336"/>
      <w:bookmarkEnd w:id="337"/>
    </w:p>
    <w:p w14:paraId="452220F3">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28.1中标人应按照</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规定向采购人缴纳履约保证金。</w:t>
      </w:r>
    </w:p>
    <w:p w14:paraId="64637178">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28.2 如果中标人没有按照上述履约保证金的规定执行，将视为放弃中标资格。在此情况下，采购人可确定下一候选人为中标人，也可以重新开展采购活动。</w:t>
      </w:r>
    </w:p>
    <w:p w14:paraId="4D5BB5EF">
      <w:pPr>
        <w:pageBreakBefore w:val="0"/>
        <w:kinsoku/>
        <w:wordWrap/>
        <w:overflowPunct/>
        <w:topLinePunct w:val="0"/>
        <w:bidi w:val="0"/>
        <w:spacing w:beforeAutospacing="0" w:line="480" w:lineRule="exact"/>
        <w:textAlignment w:val="auto"/>
        <w:outlineLvl w:val="1"/>
        <w:rPr>
          <w:rFonts w:hint="eastAsia" w:ascii="仿宋" w:hAnsi="仿宋" w:eastAsia="仿宋" w:cs="仿宋"/>
          <w:b/>
          <w:color w:val="auto"/>
          <w:kern w:val="0"/>
          <w:sz w:val="28"/>
          <w:szCs w:val="28"/>
          <w:highlight w:val="none"/>
        </w:rPr>
      </w:pPr>
      <w:bookmarkStart w:id="341" w:name="_Toc30872"/>
      <w:r>
        <w:rPr>
          <w:rFonts w:hint="eastAsia" w:ascii="仿宋" w:hAnsi="仿宋" w:eastAsia="仿宋" w:cs="仿宋"/>
          <w:b/>
          <w:color w:val="auto"/>
          <w:kern w:val="0"/>
          <w:sz w:val="28"/>
          <w:szCs w:val="28"/>
          <w:highlight w:val="none"/>
        </w:rPr>
        <w:t>29.</w:t>
      </w:r>
      <w:bookmarkEnd w:id="333"/>
      <w:bookmarkEnd w:id="334"/>
      <w:bookmarkEnd w:id="335"/>
      <w:bookmarkEnd w:id="338"/>
      <w:bookmarkEnd w:id="339"/>
      <w:bookmarkEnd w:id="340"/>
      <w:bookmarkStart w:id="342" w:name="_Toc8476"/>
      <w:bookmarkStart w:id="343" w:name="_Toc518923098"/>
      <w:bookmarkStart w:id="344" w:name="_Toc25877"/>
      <w:r>
        <w:rPr>
          <w:rFonts w:hint="eastAsia" w:ascii="仿宋" w:hAnsi="仿宋" w:eastAsia="仿宋" w:cs="仿宋"/>
          <w:b/>
          <w:color w:val="auto"/>
          <w:kern w:val="0"/>
          <w:sz w:val="28"/>
          <w:szCs w:val="28"/>
          <w:highlight w:val="none"/>
        </w:rPr>
        <w:t>中标服务费</w:t>
      </w:r>
      <w:bookmarkEnd w:id="341"/>
      <w:bookmarkEnd w:id="342"/>
      <w:bookmarkEnd w:id="343"/>
      <w:bookmarkEnd w:id="344"/>
    </w:p>
    <w:p w14:paraId="04BC660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中标人领取中标通知书时须向采购代理机构支付中标服务费，按本表费率计算的收费为招标代理服务全过程的收费基准价格，招标代理服务收费按差额定率累进法计算。</w:t>
      </w:r>
    </w:p>
    <w:p w14:paraId="0E2C04FC">
      <w:pPr>
        <w:spacing w:line="240" w:lineRule="atLeast"/>
        <w:ind w:left="787" w:leftChars="200" w:hanging="367" w:hangingChars="175"/>
        <w:rPr>
          <w:rFonts w:hint="eastAsia" w:ascii="仿宋" w:hAnsi="仿宋" w:eastAsia="仿宋" w:cs="仿宋"/>
          <w:color w:val="auto"/>
          <w:sz w:val="28"/>
          <w:szCs w:val="28"/>
          <w:highlight w:val="none"/>
        </w:rPr>
      </w:pPr>
      <w:r>
        <w:rPr>
          <w:highlight w:val="none"/>
        </w:rPr>
        <w:drawing>
          <wp:inline distT="0" distB="0" distL="114300" distR="114300">
            <wp:extent cx="5391150" cy="42862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391150" cy="4286250"/>
                    </a:xfrm>
                    <a:prstGeom prst="rect">
                      <a:avLst/>
                    </a:prstGeom>
                    <a:noFill/>
                    <a:ln>
                      <a:noFill/>
                    </a:ln>
                  </pic:spPr>
                </pic:pic>
              </a:graphicData>
            </a:graphic>
          </wp:inline>
        </w:drawing>
      </w:r>
    </w:p>
    <w:p w14:paraId="13689458">
      <w:pPr>
        <w:pStyle w:val="6"/>
        <w:pageBreakBefore w:val="0"/>
        <w:widowControl w:val="0"/>
        <w:kinsoku/>
        <w:overflowPunct/>
        <w:autoSpaceDE/>
        <w:autoSpaceDN/>
        <w:bidi w:val="0"/>
        <w:adjustRightInd/>
        <w:spacing w:before="0" w:after="0" w:line="480" w:lineRule="exact"/>
        <w:textAlignment w:val="auto"/>
        <w:outlineLvl w:val="1"/>
        <w:rPr>
          <w:rFonts w:hint="eastAsia" w:ascii="仿宋" w:hAnsi="仿宋" w:eastAsia="仿宋" w:cs="仿宋"/>
          <w:color w:val="auto"/>
          <w:sz w:val="28"/>
          <w:szCs w:val="28"/>
          <w:highlight w:val="none"/>
          <w:u w:val="none"/>
        </w:rPr>
      </w:pPr>
      <w:bookmarkStart w:id="345" w:name="_Toc8861"/>
      <w:bookmarkStart w:id="346" w:name="_Toc30482"/>
      <w:bookmarkStart w:id="347" w:name="_Toc4701"/>
      <w:bookmarkStart w:id="348" w:name="_Toc14623"/>
      <w:bookmarkStart w:id="349" w:name="_Toc22204"/>
      <w:bookmarkStart w:id="350" w:name="_Toc518923100"/>
      <w:r>
        <w:rPr>
          <w:rFonts w:hint="eastAsia" w:ascii="仿宋" w:hAnsi="仿宋" w:eastAsia="仿宋" w:cs="仿宋"/>
          <w:color w:val="auto"/>
          <w:sz w:val="28"/>
          <w:szCs w:val="28"/>
          <w:highlight w:val="none"/>
          <w:u w:val="none"/>
          <w:lang w:val="en-US" w:eastAsia="zh-CN"/>
        </w:rPr>
        <w:t>30</w:t>
      </w:r>
      <w:r>
        <w:rPr>
          <w:rFonts w:hint="eastAsia" w:ascii="仿宋" w:hAnsi="仿宋" w:eastAsia="仿宋" w:cs="仿宋"/>
          <w:color w:val="auto"/>
          <w:sz w:val="28"/>
          <w:szCs w:val="28"/>
          <w:highlight w:val="none"/>
          <w:u w:val="none"/>
        </w:rPr>
        <w:t>.廉洁自律规定</w:t>
      </w:r>
      <w:bookmarkEnd w:id="345"/>
      <w:bookmarkEnd w:id="346"/>
      <w:bookmarkEnd w:id="347"/>
      <w:bookmarkEnd w:id="348"/>
      <w:bookmarkEnd w:id="349"/>
      <w:bookmarkEnd w:id="350"/>
    </w:p>
    <w:p w14:paraId="66C44B4C">
      <w:pPr>
        <w:pageBreakBefore w:val="0"/>
        <w:widowControl w:val="0"/>
        <w:kinsoku/>
        <w:overflowPunct/>
        <w:autoSpaceDE/>
        <w:autoSpaceDN/>
        <w:bidi w:val="0"/>
        <w:adjustRightIn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30.1采购代理机构工作人员不得以不正当手段获取政府采购代理业务，不得与采购人、供应商恶意串通操纵政府采购活动。</w:t>
      </w:r>
    </w:p>
    <w:p w14:paraId="19FA3E49">
      <w:pPr>
        <w:pageBreakBefore w:val="0"/>
        <w:widowControl w:val="0"/>
        <w:kinsoku/>
        <w:overflowPunct/>
        <w:autoSpaceDE/>
        <w:autoSpaceDN/>
        <w:bidi w:val="0"/>
        <w:adjustRightIn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30.2在本次采购活动中，采购人和采购服务代理机构保证不接受任何报价方送的礼金礼品、有价证券、购物券、回扣、佣金；不与报价方及其工作人员私下接触、参与宴请和娱乐活动；不向报价方及其工作人员索要好处费、赞助费和宣传费；不在报价方支付旅游费用、报销各种消费凭证。</w:t>
      </w:r>
    </w:p>
    <w:p w14:paraId="5173F1A7">
      <w:pPr>
        <w:pStyle w:val="6"/>
        <w:pageBreakBefore w:val="0"/>
        <w:widowControl w:val="0"/>
        <w:kinsoku/>
        <w:overflowPunct/>
        <w:autoSpaceDE/>
        <w:autoSpaceDN/>
        <w:bidi w:val="0"/>
        <w:adjustRightInd/>
        <w:spacing w:before="0" w:after="0" w:line="480" w:lineRule="exact"/>
        <w:textAlignment w:val="auto"/>
        <w:outlineLvl w:val="1"/>
        <w:rPr>
          <w:rFonts w:hint="eastAsia" w:ascii="仿宋" w:hAnsi="仿宋" w:eastAsia="仿宋" w:cs="仿宋"/>
          <w:color w:val="auto"/>
          <w:sz w:val="28"/>
          <w:szCs w:val="28"/>
          <w:highlight w:val="none"/>
          <w:u w:val="none"/>
        </w:rPr>
      </w:pPr>
      <w:bookmarkStart w:id="351" w:name="_Toc21344"/>
      <w:bookmarkStart w:id="352" w:name="_Toc30148"/>
      <w:bookmarkStart w:id="353" w:name="_Toc25124"/>
      <w:bookmarkStart w:id="354" w:name="_Toc23587"/>
      <w:bookmarkStart w:id="355" w:name="_Toc21055"/>
      <w:bookmarkStart w:id="356" w:name="_Toc518923101"/>
      <w:r>
        <w:rPr>
          <w:rFonts w:hint="eastAsia" w:ascii="仿宋" w:hAnsi="仿宋" w:eastAsia="仿宋" w:cs="仿宋"/>
          <w:color w:val="auto"/>
          <w:sz w:val="28"/>
          <w:szCs w:val="28"/>
          <w:highlight w:val="none"/>
          <w:u w:val="none"/>
        </w:rPr>
        <w:t>3</w:t>
      </w:r>
      <w:r>
        <w:rPr>
          <w:rFonts w:hint="eastAsia" w:ascii="仿宋" w:hAnsi="仿宋" w:eastAsia="仿宋" w:cs="仿宋"/>
          <w:color w:val="auto"/>
          <w:sz w:val="28"/>
          <w:szCs w:val="28"/>
          <w:highlight w:val="none"/>
          <w:u w:val="none"/>
          <w:lang w:val="en-US" w:eastAsia="zh-CN"/>
        </w:rPr>
        <w:t>1</w:t>
      </w:r>
      <w:r>
        <w:rPr>
          <w:rFonts w:hint="eastAsia" w:ascii="仿宋" w:hAnsi="仿宋" w:eastAsia="仿宋" w:cs="仿宋"/>
          <w:color w:val="auto"/>
          <w:sz w:val="28"/>
          <w:szCs w:val="28"/>
          <w:highlight w:val="none"/>
          <w:u w:val="none"/>
        </w:rPr>
        <w:t>.人员回避</w:t>
      </w:r>
      <w:bookmarkEnd w:id="351"/>
      <w:bookmarkEnd w:id="352"/>
      <w:bookmarkEnd w:id="353"/>
      <w:bookmarkEnd w:id="354"/>
      <w:bookmarkEnd w:id="355"/>
      <w:bookmarkEnd w:id="356"/>
    </w:p>
    <w:p w14:paraId="3412EA2E">
      <w:pPr>
        <w:pageBreakBefore w:val="0"/>
        <w:widowControl w:val="0"/>
        <w:kinsoku/>
        <w:overflowPunct/>
        <w:autoSpaceDE/>
        <w:autoSpaceDN/>
        <w:bidi w:val="0"/>
        <w:adjustRightIn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认为采购人员及其相关人员有法律法规所列与其他供应商有利害关系的，可以向采购人或采购代理机构书面提出回避申请，并说明理由。</w:t>
      </w:r>
      <w:bookmarkStart w:id="357" w:name="_Toc518923102"/>
      <w:bookmarkStart w:id="358" w:name="_Toc24931"/>
    </w:p>
    <w:p w14:paraId="027FEFE1">
      <w:pPr>
        <w:pageBreakBefore w:val="0"/>
        <w:widowControl w:val="0"/>
        <w:kinsoku/>
        <w:overflowPunct/>
        <w:autoSpaceDE/>
        <w:autoSpaceDN/>
        <w:bidi w:val="0"/>
        <w:adjustRightInd/>
        <w:spacing w:line="480" w:lineRule="exact"/>
        <w:textAlignment w:val="auto"/>
        <w:outlineLvl w:val="1"/>
        <w:rPr>
          <w:rFonts w:hint="eastAsia" w:ascii="仿宋" w:hAnsi="仿宋" w:eastAsia="仿宋" w:cs="仿宋"/>
          <w:b/>
          <w:color w:val="auto"/>
          <w:kern w:val="0"/>
          <w:sz w:val="28"/>
          <w:szCs w:val="28"/>
          <w:highlight w:val="none"/>
        </w:rPr>
      </w:pPr>
      <w:bookmarkStart w:id="359" w:name="_Toc6483"/>
      <w:r>
        <w:rPr>
          <w:rFonts w:hint="eastAsia" w:ascii="仿宋" w:hAnsi="仿宋" w:eastAsia="仿宋" w:cs="仿宋"/>
          <w:b/>
          <w:color w:val="auto"/>
          <w:kern w:val="0"/>
          <w:sz w:val="28"/>
          <w:szCs w:val="28"/>
          <w:highlight w:val="none"/>
        </w:rPr>
        <w:t>32.质疑与接收</w:t>
      </w:r>
      <w:bookmarkEnd w:id="357"/>
      <w:bookmarkEnd w:id="358"/>
      <w:bookmarkEnd w:id="359"/>
    </w:p>
    <w:p w14:paraId="041D79B1">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32.1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认为招标文件、招标过程和中标结果使自己的权益受到损害的，</w:t>
      </w:r>
      <w:r>
        <w:rPr>
          <w:rFonts w:hint="eastAsia" w:ascii="仿宋" w:hAnsi="仿宋" w:eastAsia="仿宋" w:cs="仿宋"/>
          <w:bCs/>
          <w:color w:val="auto"/>
          <w:sz w:val="28"/>
          <w:szCs w:val="28"/>
          <w:highlight w:val="none"/>
        </w:rPr>
        <w:t>当在知道或者应知其权益受到损害之日起七个工作日内</w:t>
      </w:r>
      <w:r>
        <w:rPr>
          <w:rFonts w:hint="eastAsia" w:ascii="仿宋" w:hAnsi="仿宋" w:eastAsia="仿宋" w:cs="仿宋"/>
          <w:color w:val="auto"/>
          <w:sz w:val="28"/>
          <w:szCs w:val="28"/>
          <w:highlight w:val="none"/>
        </w:rPr>
        <w:t>根据《中华人民共和国政府采购法》、《中华人民共和国政府采购法实施条例》和《政府采购质疑和投诉办法》的有关规定，依法向采购人或其委托的采购代理机构</w:t>
      </w:r>
      <w:r>
        <w:rPr>
          <w:rFonts w:hint="eastAsia" w:ascii="仿宋" w:hAnsi="仿宋" w:eastAsia="仿宋" w:cs="仿宋"/>
          <w:bCs/>
          <w:color w:val="auto"/>
          <w:sz w:val="28"/>
          <w:szCs w:val="28"/>
          <w:highlight w:val="none"/>
        </w:rPr>
        <w:t>一次性以书面形式提出质疑。</w:t>
      </w:r>
    </w:p>
    <w:p w14:paraId="42A183F4">
      <w:pPr>
        <w:pageBreakBefore w:val="0"/>
        <w:widowControl w:val="0"/>
        <w:kinsoku/>
        <w:overflowPunct/>
        <w:autoSpaceDE/>
        <w:autoSpaceDN/>
        <w:bidi w:val="0"/>
        <w:adjustRightIn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32.2质疑供应商应按照财政部制定的《政府采购质疑函范本》格式（可从新疆政府采购网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采购人或其委托的采购代理机构将不予受理，质疑供应商将依法承担不利后果。</w:t>
      </w:r>
    </w:p>
    <w:p w14:paraId="4C7625B8">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32.3供应商提出质疑应当提交质疑函和必要的证明材料。质疑函应当包括下列内容：</w:t>
      </w:r>
    </w:p>
    <w:p w14:paraId="7F79BE2E">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（一）供应商的姓名或者名称、地址、邮编、联系人及联系电话；</w:t>
      </w:r>
    </w:p>
    <w:p w14:paraId="2E6ED216">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（二）质疑项目的名称、编号；</w:t>
      </w:r>
    </w:p>
    <w:p w14:paraId="422F54B3">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（三）具体、明确的质疑事项和与质疑事项相关的请求；</w:t>
      </w:r>
    </w:p>
    <w:p w14:paraId="74EEBC47">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（四）事实依据；</w:t>
      </w:r>
    </w:p>
    <w:p w14:paraId="3CACF133">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（五）必要的法律依据；</w:t>
      </w:r>
    </w:p>
    <w:p w14:paraId="3C1F1D31">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（六）提出质疑的日期。</w:t>
      </w:r>
    </w:p>
    <w:p w14:paraId="1DC199B9">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质疑供应商为自然人的，质疑函应由本人签字或签章；质疑供应商为法人或者其他组织的，质疑函应由法定代表人、主要负责人，或者其授权代表签字或签章，并加盖公章。</w:t>
      </w:r>
    </w:p>
    <w:p w14:paraId="0AE98DFA">
      <w:pPr>
        <w:pageBreakBefore w:val="0"/>
        <w:widowControl w:val="0"/>
        <w:kinsoku/>
        <w:overflowPunct/>
        <w:autoSpaceDE/>
        <w:autoSpaceDN/>
        <w:bidi w:val="0"/>
        <w:adjustRightInd/>
        <w:snapToGrid w:val="0"/>
        <w:spacing w:line="480" w:lineRule="exact"/>
        <w:textAlignment w:val="auto"/>
        <w:outlineLvl w:val="1"/>
        <w:rPr>
          <w:rFonts w:hint="eastAsia" w:ascii="仿宋" w:hAnsi="仿宋" w:eastAsia="仿宋" w:cs="仿宋"/>
          <w:b/>
          <w:color w:val="auto"/>
          <w:sz w:val="28"/>
          <w:szCs w:val="28"/>
          <w:highlight w:val="none"/>
        </w:rPr>
      </w:pPr>
      <w:bookmarkStart w:id="360" w:name="_Toc20663"/>
      <w:r>
        <w:rPr>
          <w:rFonts w:hint="eastAsia" w:ascii="仿宋" w:hAnsi="仿宋" w:eastAsia="仿宋" w:cs="仿宋"/>
          <w:b/>
          <w:color w:val="auto"/>
          <w:sz w:val="28"/>
          <w:szCs w:val="28"/>
          <w:highlight w:val="none"/>
        </w:rPr>
        <w:t>33、质疑答复</w:t>
      </w:r>
      <w:bookmarkEnd w:id="360"/>
    </w:p>
    <w:p w14:paraId="294572BC">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33.1采购人或采购代理机构应当在收到质疑函后7个工作日内作出答复，并以书面形式通知质疑供应商。</w:t>
      </w:r>
    </w:p>
    <w:p w14:paraId="040DE397">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33.2对招标组织程序、招标过程有质疑的由采购代理机构负责答复，对采购需求、评标结果有质疑的由采购人负责答复。</w:t>
      </w:r>
    </w:p>
    <w:p w14:paraId="38D01214">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33.3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对采购人或</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未在规定时间内作出答复的或者对质疑答复不满意，可以在答复期满后十五个工作日内向同级采购监管部门投诉。</w:t>
      </w:r>
    </w:p>
    <w:p w14:paraId="50666943">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33.4质疑、投诉应当采用书面形式，质疑书、投诉书均应明确招标过程或中标结果中使自己合法权益受到损害的实质性内容，提供相关事实、依据和证据及其来源或线索，便于有关单位调查、答复和处理。</w:t>
      </w:r>
    </w:p>
    <w:p w14:paraId="21D6886A">
      <w:pPr>
        <w:pageBreakBefore w:val="0"/>
        <w:widowControl w:val="0"/>
        <w:kinsoku/>
        <w:overflowPunct/>
        <w:autoSpaceDE/>
        <w:autoSpaceDN/>
        <w:bidi w:val="0"/>
        <w:adjustRightInd/>
        <w:snapToGrid w:val="0"/>
        <w:spacing w:line="480" w:lineRule="exact"/>
        <w:textAlignment w:val="auto"/>
        <w:outlineLvl w:val="1"/>
        <w:rPr>
          <w:rFonts w:hint="eastAsia" w:ascii="仿宋" w:hAnsi="仿宋" w:eastAsia="仿宋" w:cs="仿宋"/>
          <w:b/>
          <w:bCs w:val="0"/>
          <w:color w:val="auto"/>
          <w:sz w:val="28"/>
          <w:szCs w:val="28"/>
          <w:highlight w:val="none"/>
        </w:rPr>
      </w:pPr>
      <w:bookmarkStart w:id="361" w:name="_Toc6403"/>
      <w:r>
        <w:rPr>
          <w:rFonts w:hint="eastAsia" w:ascii="仿宋" w:hAnsi="仿宋" w:eastAsia="仿宋" w:cs="仿宋"/>
          <w:b/>
          <w:bCs w:val="0"/>
          <w:color w:val="auto"/>
          <w:sz w:val="28"/>
          <w:szCs w:val="28"/>
          <w:highlight w:val="none"/>
        </w:rPr>
        <w:t>34.组织验收</w:t>
      </w:r>
      <w:bookmarkEnd w:id="361"/>
    </w:p>
    <w:p w14:paraId="17B4D98F">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34.1采购合同及投标承诺是采购项目验收的依据，是采购人和供应商之间的权利和义务。中标供应商、采购人应按照采购合同的约定，全面履行合同。任何一方当事人在履行合同过程中均不得擅自变更、中止或终止合同。 </w:t>
      </w:r>
    </w:p>
    <w:p w14:paraId="46BCE81E">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34.2采购人应当成立验收小组,按照采购合同的约定对供应商履约情况进行验收。验收时,应当按照采购合同的约定对每一项</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、安全标准的履约情况进行确认。</w:t>
      </w:r>
    </w:p>
    <w:p w14:paraId="075515B0">
      <w:pPr>
        <w:rPr>
          <w:rFonts w:hint="eastAsia" w:ascii="仿宋" w:hAnsi="仿宋" w:eastAsia="仿宋" w:cs="仿宋"/>
          <w:b/>
          <w:color w:val="auto"/>
          <w:kern w:val="44"/>
          <w:sz w:val="44"/>
          <w:szCs w:val="44"/>
          <w:highlight w:val="none"/>
          <w:lang w:val="en-US" w:eastAsia="zh-CN" w:bidi="ar-SA"/>
        </w:rPr>
      </w:pPr>
      <w:bookmarkStart w:id="362" w:name="_Toc217446093"/>
      <w:r>
        <w:rPr>
          <w:rFonts w:hint="eastAsia" w:ascii="仿宋" w:hAnsi="仿宋" w:eastAsia="仿宋" w:cs="仿宋"/>
          <w:b/>
          <w:color w:val="auto"/>
          <w:kern w:val="44"/>
          <w:sz w:val="44"/>
          <w:szCs w:val="44"/>
          <w:highlight w:val="none"/>
          <w:lang w:val="en-US" w:eastAsia="zh-CN" w:bidi="ar-SA"/>
        </w:rPr>
        <w:br w:type="page"/>
      </w:r>
    </w:p>
    <w:p w14:paraId="6DEBC69A">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center"/>
        <w:textAlignment w:val="auto"/>
        <w:outlineLvl w:val="0"/>
        <w:rPr>
          <w:rFonts w:hint="eastAsia" w:ascii="仿宋" w:hAnsi="仿宋" w:eastAsia="仿宋" w:cs="仿宋"/>
          <w:b/>
          <w:color w:val="auto"/>
          <w:kern w:val="44"/>
          <w:sz w:val="44"/>
          <w:szCs w:val="44"/>
          <w:highlight w:val="none"/>
          <w:lang w:val="en-US" w:eastAsia="zh-CN" w:bidi="ar-SA"/>
        </w:rPr>
      </w:pPr>
      <w:r>
        <w:rPr>
          <w:rFonts w:hint="eastAsia" w:ascii="仿宋" w:hAnsi="仿宋" w:eastAsia="仿宋" w:cs="仿宋"/>
          <w:b/>
          <w:color w:val="auto"/>
          <w:kern w:val="44"/>
          <w:sz w:val="44"/>
          <w:szCs w:val="44"/>
          <w:highlight w:val="none"/>
          <w:lang w:val="en-US" w:eastAsia="zh-CN" w:bidi="ar-SA"/>
        </w:rPr>
        <w:t xml:space="preserve"> </w:t>
      </w:r>
      <w:bookmarkEnd w:id="362"/>
      <w:bookmarkStart w:id="363" w:name="_Toc24805"/>
      <w:bookmarkStart w:id="364" w:name="_Toc5668"/>
      <w:r>
        <w:rPr>
          <w:rFonts w:hint="eastAsia" w:ascii="仿宋" w:hAnsi="仿宋" w:eastAsia="仿宋" w:cs="仿宋"/>
          <w:b/>
          <w:color w:val="auto"/>
          <w:kern w:val="44"/>
          <w:sz w:val="44"/>
          <w:szCs w:val="44"/>
          <w:highlight w:val="none"/>
          <w:lang w:val="en-US" w:eastAsia="zh-CN" w:bidi="ar-SA"/>
        </w:rPr>
        <w:t>第三章 评标方法和标准</w:t>
      </w:r>
      <w:bookmarkEnd w:id="363"/>
      <w:bookmarkEnd w:id="364"/>
    </w:p>
    <w:p w14:paraId="56AB4A89">
      <w:pPr>
        <w:pStyle w:val="4"/>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outlineLvl w:val="1"/>
        <w:rPr>
          <w:rFonts w:hint="eastAsia" w:ascii="仿宋" w:hAnsi="仿宋" w:eastAsia="仿宋" w:cs="仿宋"/>
          <w:b/>
          <w:bCs w:val="0"/>
          <w:color w:val="auto"/>
          <w:sz w:val="36"/>
          <w:szCs w:val="36"/>
          <w:highlight w:val="none"/>
          <w:lang w:val="en-US" w:eastAsia="zh-CN"/>
        </w:rPr>
      </w:pPr>
      <w:bookmarkStart w:id="365" w:name="_Toc12566"/>
      <w:bookmarkStart w:id="366" w:name="_Toc26751"/>
      <w:bookmarkStart w:id="367" w:name="_Toc1319"/>
      <w:bookmarkStart w:id="368" w:name="_Toc30824"/>
      <w:r>
        <w:rPr>
          <w:rFonts w:hint="eastAsia" w:ascii="仿宋" w:hAnsi="仿宋" w:eastAsia="仿宋" w:cs="仿宋"/>
          <w:b/>
          <w:bCs w:val="0"/>
          <w:color w:val="auto"/>
          <w:sz w:val="36"/>
          <w:szCs w:val="36"/>
          <w:highlight w:val="none"/>
          <w:lang w:val="en-US" w:eastAsia="zh-CN"/>
        </w:rPr>
        <w:t xml:space="preserve">第一部分 </w:t>
      </w:r>
      <w:bookmarkEnd w:id="365"/>
      <w:bookmarkEnd w:id="366"/>
      <w:bookmarkEnd w:id="367"/>
      <w:r>
        <w:rPr>
          <w:rFonts w:hint="eastAsia" w:ascii="仿宋" w:hAnsi="仿宋" w:eastAsia="仿宋" w:cs="仿宋"/>
          <w:b/>
          <w:bCs w:val="0"/>
          <w:color w:val="auto"/>
          <w:sz w:val="36"/>
          <w:szCs w:val="36"/>
          <w:highlight w:val="none"/>
          <w:lang w:val="en-US" w:eastAsia="zh-CN"/>
        </w:rPr>
        <w:t>投标文件响应程度初步审查表</w:t>
      </w:r>
      <w:bookmarkEnd w:id="368"/>
    </w:p>
    <w:p w14:paraId="43D1A6F0">
      <w:pPr>
        <w:keepNext w:val="0"/>
        <w:keepLines w:val="0"/>
        <w:pageBreakBefore w:val="0"/>
        <w:widowControl w:val="0"/>
        <w:kinsoku/>
        <w:wordWrap/>
        <w:overflowPunct/>
        <w:topLinePunct w:val="0"/>
        <w:autoSpaceDE/>
        <w:autoSpaceDN/>
        <w:bidi w:val="0"/>
        <w:adjustRightInd/>
        <w:snapToGrid w:val="0"/>
        <w:spacing w:line="480" w:lineRule="exact"/>
        <w:textAlignment w:val="auto"/>
        <w:outlineLvl w:val="0"/>
        <w:rPr>
          <w:rFonts w:ascii="仿宋" w:hAnsi="仿宋" w:eastAsia="仿宋" w:cs="仿宋"/>
          <w:b/>
          <w:bCs/>
          <w:color w:val="auto"/>
          <w:sz w:val="28"/>
          <w:szCs w:val="28"/>
          <w:highlight w:val="none"/>
        </w:rPr>
      </w:pPr>
      <w:bookmarkStart w:id="369" w:name="_Toc12187"/>
      <w:bookmarkStart w:id="370" w:name="_Toc24960"/>
      <w:bookmarkStart w:id="371" w:name="_Toc1659"/>
      <w:bookmarkStart w:id="372" w:name="_Toc29081"/>
      <w:bookmarkStart w:id="373" w:name="_Toc12121"/>
      <w:r>
        <w:rPr>
          <w:rFonts w:hint="eastAsia" w:ascii="仿宋" w:hAnsi="仿宋" w:eastAsia="仿宋" w:cs="仿宋"/>
          <w:b/>
          <w:bCs/>
          <w:color w:val="auto"/>
          <w:sz w:val="28"/>
          <w:szCs w:val="28"/>
          <w:highlight w:val="none"/>
        </w:rPr>
        <w:t>一、初步审查</w:t>
      </w:r>
      <w:bookmarkEnd w:id="369"/>
      <w:bookmarkEnd w:id="370"/>
      <w:bookmarkEnd w:id="371"/>
      <w:bookmarkEnd w:id="372"/>
      <w:bookmarkEnd w:id="373"/>
    </w:p>
    <w:p w14:paraId="589CB0B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《初步审查表-资格</w:t>
      </w:r>
      <w:r>
        <w:rPr>
          <w:rFonts w:hint="eastAsia" w:ascii="仿宋" w:hAnsi="仿宋" w:eastAsia="仿宋" w:cs="仿宋"/>
          <w:b/>
          <w:bCs/>
          <w:color w:val="auto"/>
          <w:sz w:val="28"/>
          <w:szCs w:val="28"/>
          <w:highlight w:val="none"/>
          <w:lang w:val="en-US" w:eastAsia="zh-CN"/>
        </w:rPr>
        <w:t>要求</w:t>
      </w:r>
      <w:r>
        <w:rPr>
          <w:rFonts w:hint="eastAsia" w:ascii="仿宋" w:hAnsi="仿宋" w:eastAsia="仿宋" w:cs="仿宋"/>
          <w:b/>
          <w:bCs/>
          <w:color w:val="auto"/>
          <w:sz w:val="28"/>
          <w:szCs w:val="28"/>
          <w:highlight w:val="none"/>
        </w:rPr>
        <w:t>审查》</w:t>
      </w:r>
    </w:p>
    <w:tbl>
      <w:tblPr>
        <w:tblStyle w:val="27"/>
        <w:tblW w:w="9025" w:type="dxa"/>
        <w:jc w:val="center"/>
        <w:tblLayout w:type="fixed"/>
        <w:tblCellMar>
          <w:top w:w="0" w:type="dxa"/>
          <w:left w:w="15" w:type="dxa"/>
          <w:bottom w:w="0" w:type="dxa"/>
          <w:right w:w="15" w:type="dxa"/>
        </w:tblCellMar>
      </w:tblPr>
      <w:tblGrid>
        <w:gridCol w:w="1257"/>
        <w:gridCol w:w="7768"/>
      </w:tblGrid>
      <w:tr w14:paraId="53DEBFE9">
        <w:tblPrEx>
          <w:tblCellMar>
            <w:top w:w="0" w:type="dxa"/>
            <w:left w:w="15" w:type="dxa"/>
            <w:bottom w:w="0" w:type="dxa"/>
            <w:right w:w="15" w:type="dxa"/>
          </w:tblCellMar>
        </w:tblPrEx>
        <w:trPr>
          <w:trHeight w:val="1053" w:hRule="atLeast"/>
          <w:jc w:val="center"/>
        </w:trPr>
        <w:tc>
          <w:tcPr>
            <w:tcW w:w="1257" w:type="dxa"/>
            <w:tcBorders>
              <w:top w:val="single" w:color="000000" w:sz="4" w:space="0"/>
              <w:left w:val="single" w:color="000000" w:sz="4" w:space="0"/>
              <w:bottom w:val="single" w:color="000000" w:sz="4" w:space="0"/>
              <w:right w:val="single" w:color="000000" w:sz="4" w:space="0"/>
            </w:tcBorders>
            <w:noWrap/>
            <w:vAlign w:val="center"/>
          </w:tcPr>
          <w:p w14:paraId="739A2770">
            <w:pPr>
              <w:autoSpaceDN w:val="0"/>
              <w:jc w:val="center"/>
              <w:textAlignment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资质审查</w:t>
            </w:r>
          </w:p>
        </w:tc>
        <w:tc>
          <w:tcPr>
            <w:tcW w:w="7768" w:type="dxa"/>
            <w:tcBorders>
              <w:top w:val="single" w:color="000000" w:sz="4" w:space="0"/>
              <w:left w:val="single" w:color="000000" w:sz="4" w:space="0"/>
              <w:bottom w:val="single" w:color="000000" w:sz="4" w:space="0"/>
              <w:right w:val="single" w:color="000000" w:sz="4" w:space="0"/>
            </w:tcBorders>
            <w:noWrap/>
            <w:vAlign w:val="center"/>
          </w:tcPr>
          <w:p w14:paraId="337678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仿宋"/>
                <w:color w:val="auto"/>
                <w:highlight w:val="none"/>
                <w:lang w:val="en-US" w:eastAsia="zh-CN"/>
              </w:rPr>
            </w:pPr>
            <w:r>
              <w:rPr>
                <w:rFonts w:hint="eastAsia" w:ascii="仿宋" w:hAnsi="仿宋" w:eastAsia="仿宋" w:cs="Times New Roman"/>
                <w:b/>
                <w:bCs/>
                <w:color w:val="auto"/>
                <w:sz w:val="28"/>
                <w:szCs w:val="28"/>
                <w:highlight w:val="none"/>
                <w:lang w:val="en-US" w:eastAsia="zh-CN"/>
              </w:rPr>
              <w:t>第一标段至第二标段：</w:t>
            </w:r>
            <w:r>
              <w:rPr>
                <w:rFonts w:hint="eastAsia" w:ascii="仿宋" w:hAnsi="仿宋" w:eastAsia="仿宋" w:cs="Times New Roman"/>
                <w:color w:val="auto"/>
                <w:sz w:val="28"/>
                <w:szCs w:val="28"/>
                <w:highlight w:val="none"/>
              </w:rPr>
              <w:t>详见</w:t>
            </w:r>
            <w:r>
              <w:rPr>
                <w:rFonts w:hint="eastAsia" w:ascii="仿宋" w:hAnsi="仿宋" w:eastAsia="仿宋" w:cs="Times New Roman"/>
                <w:color w:val="auto"/>
                <w:sz w:val="28"/>
                <w:szCs w:val="28"/>
                <w:highlight w:val="none"/>
                <w:lang w:val="en-US" w:eastAsia="zh-CN"/>
              </w:rPr>
              <w:t>招标</w:t>
            </w:r>
            <w:r>
              <w:rPr>
                <w:rFonts w:hint="eastAsia" w:ascii="仿宋" w:hAnsi="仿宋" w:eastAsia="仿宋" w:cs="Times New Roman"/>
                <w:color w:val="auto"/>
                <w:sz w:val="28"/>
                <w:szCs w:val="28"/>
                <w:highlight w:val="none"/>
              </w:rPr>
              <w:t>文件第</w:t>
            </w:r>
            <w:r>
              <w:rPr>
                <w:rFonts w:hint="eastAsia" w:ascii="仿宋" w:hAnsi="仿宋" w:eastAsia="仿宋" w:cs="Times New Roman"/>
                <w:color w:val="auto"/>
                <w:sz w:val="28"/>
                <w:szCs w:val="28"/>
                <w:highlight w:val="none"/>
                <w:lang w:val="en-US" w:eastAsia="zh-CN"/>
              </w:rPr>
              <w:t>二</w:t>
            </w:r>
            <w:r>
              <w:rPr>
                <w:rFonts w:hint="eastAsia" w:ascii="仿宋" w:hAnsi="仿宋" w:eastAsia="仿宋" w:cs="Times New Roman"/>
                <w:color w:val="auto"/>
                <w:sz w:val="28"/>
                <w:szCs w:val="28"/>
                <w:highlight w:val="none"/>
              </w:rPr>
              <w:t>章</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供应商须知资料表</w:t>
            </w:r>
            <w:r>
              <w:rPr>
                <w:rFonts w:hint="eastAsia" w:ascii="仿宋" w:hAnsi="仿宋" w:eastAsia="仿宋" w:cs="Times New Roman"/>
                <w:color w:val="auto"/>
                <w:sz w:val="28"/>
                <w:szCs w:val="28"/>
                <w:highlight w:val="none"/>
              </w:rPr>
              <w:t>中合格投标人的资格要求（1-</w:t>
            </w:r>
            <w:r>
              <w:rPr>
                <w:rFonts w:hint="eastAsia" w:ascii="仿宋" w:hAnsi="仿宋" w:eastAsia="仿宋" w:cs="Times New Roman"/>
                <w:color w:val="auto"/>
                <w:sz w:val="28"/>
                <w:szCs w:val="28"/>
                <w:highlight w:val="none"/>
                <w:lang w:val="en-US" w:eastAsia="zh-CN"/>
              </w:rPr>
              <w:t>8</w:t>
            </w:r>
            <w:r>
              <w:rPr>
                <w:rFonts w:hint="eastAsia" w:ascii="仿宋" w:hAnsi="仿宋" w:eastAsia="仿宋" w:cs="Times New Roman"/>
                <w:color w:val="auto"/>
                <w:sz w:val="28"/>
                <w:szCs w:val="28"/>
                <w:highlight w:val="none"/>
              </w:rPr>
              <w:t>）条资质要求。</w:t>
            </w:r>
          </w:p>
        </w:tc>
      </w:tr>
      <w:tr w14:paraId="74BFD815">
        <w:tblPrEx>
          <w:tblCellMar>
            <w:top w:w="0" w:type="dxa"/>
            <w:left w:w="15" w:type="dxa"/>
            <w:bottom w:w="0" w:type="dxa"/>
            <w:right w:w="15" w:type="dxa"/>
          </w:tblCellMar>
        </w:tblPrEx>
        <w:trPr>
          <w:trHeight w:val="1053" w:hRule="atLeast"/>
          <w:jc w:val="center"/>
        </w:trPr>
        <w:tc>
          <w:tcPr>
            <w:tcW w:w="9025" w:type="dxa"/>
            <w:gridSpan w:val="2"/>
            <w:tcBorders>
              <w:top w:val="single" w:color="000000" w:sz="4" w:space="0"/>
              <w:left w:val="single" w:color="000000" w:sz="4" w:space="0"/>
              <w:bottom w:val="single" w:color="000000" w:sz="4" w:space="0"/>
              <w:right w:val="single" w:color="000000" w:sz="4" w:space="0"/>
            </w:tcBorders>
            <w:noWrap/>
            <w:vAlign w:val="center"/>
          </w:tcPr>
          <w:p w14:paraId="345F28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说明：资格审查小组在开标时对供应商的资质要求进行审查，投标人若有1项不合格，即判定其资格要求审查结果为不合格，将不具备投标资格，按投标无效处理。未通过资格要求审查的投标文件，不得进入后续评标环节。</w:t>
            </w:r>
          </w:p>
        </w:tc>
      </w:tr>
    </w:tbl>
    <w:p w14:paraId="1917839D">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outlineLvl w:val="0"/>
        <w:rPr>
          <w:rFonts w:hint="eastAsia" w:ascii="仿宋" w:hAnsi="仿宋" w:eastAsia="仿宋" w:cs="仿宋"/>
          <w:b/>
          <w:bCs/>
          <w:color w:val="auto"/>
          <w:sz w:val="28"/>
          <w:szCs w:val="28"/>
          <w:highlight w:val="none"/>
        </w:rPr>
      </w:pPr>
      <w:bookmarkStart w:id="374" w:name="_Toc24384"/>
      <w:bookmarkStart w:id="375" w:name="_Toc5257"/>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《初步审查表-符合性审查》</w:t>
      </w:r>
      <w:bookmarkEnd w:id="374"/>
      <w:bookmarkEnd w:id="375"/>
    </w:p>
    <w:p w14:paraId="079650A5">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color w:val="auto"/>
          <w:highlight w:val="none"/>
        </w:rPr>
      </w:pPr>
      <w:r>
        <w:rPr>
          <w:rFonts w:hint="eastAsia" w:ascii="仿宋" w:hAnsi="仿宋" w:eastAsia="仿宋" w:cs="仿宋"/>
          <w:bCs/>
          <w:color w:val="auto"/>
          <w:sz w:val="28"/>
          <w:szCs w:val="28"/>
          <w:highlight w:val="none"/>
        </w:rPr>
        <w:t>评标委员会依法对符合资格</w:t>
      </w:r>
      <w:r>
        <w:rPr>
          <w:rFonts w:hint="eastAsia" w:ascii="仿宋" w:hAnsi="仿宋" w:eastAsia="仿宋" w:cs="仿宋"/>
          <w:bCs/>
          <w:color w:val="auto"/>
          <w:sz w:val="28"/>
          <w:szCs w:val="28"/>
          <w:highlight w:val="none"/>
          <w:lang w:val="en-US" w:eastAsia="zh-CN"/>
        </w:rPr>
        <w:t>要求</w:t>
      </w:r>
      <w:r>
        <w:rPr>
          <w:rFonts w:hint="eastAsia" w:ascii="仿宋" w:hAnsi="仿宋" w:eastAsia="仿宋" w:cs="仿宋"/>
          <w:bCs/>
          <w:color w:val="auto"/>
          <w:sz w:val="28"/>
          <w:szCs w:val="28"/>
          <w:highlight w:val="none"/>
        </w:rPr>
        <w:t>的投标人的投标文件进行符合性审查。评标委员会按下列评审标准进行符合性审查：</w:t>
      </w: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8341"/>
      </w:tblGrid>
      <w:tr w14:paraId="2A60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92" w:type="dxa"/>
            <w:noWrap w:val="0"/>
            <w:vAlign w:val="center"/>
          </w:tcPr>
          <w:p w14:paraId="338CDB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序号</w:t>
            </w:r>
          </w:p>
        </w:tc>
        <w:tc>
          <w:tcPr>
            <w:tcW w:w="8341" w:type="dxa"/>
            <w:noWrap w:val="0"/>
            <w:vAlign w:val="center"/>
          </w:tcPr>
          <w:p w14:paraId="438A95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符合性审查要求（</w:t>
            </w:r>
            <w:r>
              <w:rPr>
                <w:rFonts w:hint="eastAsia" w:ascii="仿宋" w:hAnsi="仿宋" w:eastAsia="仿宋" w:cs="Times New Roman"/>
                <w:b/>
                <w:bCs w:val="0"/>
                <w:color w:val="auto"/>
                <w:sz w:val="28"/>
                <w:szCs w:val="28"/>
                <w:highlight w:val="none"/>
                <w:lang w:val="en-US" w:eastAsia="zh-CN"/>
              </w:rPr>
              <w:t>第一标段至第二标段</w:t>
            </w:r>
            <w:r>
              <w:rPr>
                <w:rFonts w:hint="eastAsia" w:ascii="仿宋" w:hAnsi="仿宋" w:eastAsia="仿宋" w:cs="仿宋"/>
                <w:b/>
                <w:bCs w:val="0"/>
                <w:color w:val="auto"/>
                <w:kern w:val="2"/>
                <w:sz w:val="28"/>
                <w:szCs w:val="28"/>
                <w:highlight w:val="none"/>
                <w:lang w:val="en-US" w:eastAsia="zh-CN" w:bidi="ar-SA"/>
              </w:rPr>
              <w:t>）</w:t>
            </w:r>
          </w:p>
        </w:tc>
      </w:tr>
      <w:tr w14:paraId="41A6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92" w:type="dxa"/>
            <w:noWrap w:val="0"/>
            <w:vAlign w:val="center"/>
          </w:tcPr>
          <w:p w14:paraId="238009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1</w:t>
            </w:r>
          </w:p>
        </w:tc>
        <w:tc>
          <w:tcPr>
            <w:tcW w:w="8341" w:type="dxa"/>
            <w:noWrap w:val="0"/>
            <w:vAlign w:val="center"/>
          </w:tcPr>
          <w:p w14:paraId="74AB85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olor w:val="auto"/>
                <w:sz w:val="28"/>
                <w:szCs w:val="28"/>
                <w:highlight w:val="none"/>
              </w:rPr>
              <w:t>是否按</w:t>
            </w:r>
            <w:r>
              <w:rPr>
                <w:rFonts w:hint="eastAsia" w:ascii="仿宋" w:hAnsi="仿宋" w:eastAsia="仿宋" w:cs="仿宋"/>
                <w:color w:val="auto"/>
                <w:sz w:val="28"/>
                <w:szCs w:val="28"/>
                <w:highlight w:val="none"/>
                <w:lang w:val="en-US" w:eastAsia="zh-CN"/>
              </w:rPr>
              <w:t>招标</w:t>
            </w:r>
            <w:r>
              <w:rPr>
                <w:rFonts w:hint="eastAsia" w:ascii="仿宋" w:hAnsi="仿宋" w:eastAsia="仿宋"/>
                <w:color w:val="auto"/>
                <w:sz w:val="28"/>
                <w:szCs w:val="28"/>
                <w:highlight w:val="none"/>
              </w:rPr>
              <w:t>文件格式要求提供单位盖章及法定代表人或</w:t>
            </w:r>
            <w:r>
              <w:rPr>
                <w:rFonts w:hint="eastAsia" w:ascii="仿宋" w:hAnsi="仿宋" w:eastAsia="仿宋"/>
                <w:color w:val="auto"/>
                <w:sz w:val="28"/>
                <w:szCs w:val="28"/>
                <w:highlight w:val="none"/>
                <w:lang w:val="en-US" w:eastAsia="zh-CN"/>
              </w:rPr>
              <w:t>被授权人</w:t>
            </w:r>
            <w:r>
              <w:rPr>
                <w:rFonts w:hint="eastAsia" w:ascii="仿宋" w:hAnsi="仿宋" w:eastAsia="仿宋"/>
                <w:color w:val="auto"/>
                <w:sz w:val="28"/>
                <w:szCs w:val="28"/>
                <w:highlight w:val="none"/>
              </w:rPr>
              <w:t>签字（或签章）。</w:t>
            </w:r>
          </w:p>
        </w:tc>
      </w:tr>
      <w:tr w14:paraId="1573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2" w:type="dxa"/>
            <w:noWrap w:val="0"/>
            <w:vAlign w:val="center"/>
          </w:tcPr>
          <w:p w14:paraId="654F1D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2</w:t>
            </w:r>
          </w:p>
        </w:tc>
        <w:tc>
          <w:tcPr>
            <w:tcW w:w="8341" w:type="dxa"/>
            <w:noWrap w:val="0"/>
            <w:vAlign w:val="center"/>
          </w:tcPr>
          <w:p w14:paraId="275256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投标报价不符合报价要求的</w:t>
            </w:r>
            <w:r>
              <w:rPr>
                <w:rFonts w:hint="eastAsia" w:ascii="仿宋" w:hAnsi="仿宋" w:eastAsia="仿宋" w:cs="仿宋"/>
                <w:color w:val="auto"/>
                <w:sz w:val="28"/>
                <w:szCs w:val="28"/>
                <w:highlight w:val="none"/>
              </w:rPr>
              <w:t>，投标报价是否超过预算金额</w:t>
            </w:r>
            <w:r>
              <w:rPr>
                <w:rFonts w:hint="eastAsia" w:ascii="仿宋" w:hAnsi="仿宋" w:eastAsia="仿宋" w:cs="仿宋"/>
                <w:color w:val="auto"/>
                <w:sz w:val="28"/>
                <w:szCs w:val="28"/>
                <w:highlight w:val="none"/>
                <w:lang w:val="en-US" w:eastAsia="zh-CN"/>
              </w:rPr>
              <w:t>或最高限价或最高限价单价</w:t>
            </w:r>
            <w:r>
              <w:rPr>
                <w:rFonts w:hint="eastAsia" w:ascii="仿宋" w:hAnsi="仿宋" w:eastAsia="仿宋"/>
                <w:color w:val="auto"/>
                <w:sz w:val="28"/>
                <w:szCs w:val="28"/>
                <w:highlight w:val="none"/>
              </w:rPr>
              <w:t>。</w:t>
            </w:r>
          </w:p>
        </w:tc>
      </w:tr>
      <w:tr w14:paraId="5B01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2" w:type="dxa"/>
            <w:noWrap w:val="0"/>
            <w:vAlign w:val="center"/>
          </w:tcPr>
          <w:p w14:paraId="628C65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3</w:t>
            </w:r>
          </w:p>
        </w:tc>
        <w:tc>
          <w:tcPr>
            <w:tcW w:w="8341" w:type="dxa"/>
            <w:noWrap w:val="0"/>
            <w:vAlign w:val="center"/>
          </w:tcPr>
          <w:p w14:paraId="7FD15F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投标有效期（90日历日）是否满足</w:t>
            </w:r>
            <w:r>
              <w:rPr>
                <w:rFonts w:hint="eastAsia" w:ascii="仿宋" w:hAnsi="仿宋" w:eastAsia="仿宋" w:cs="仿宋"/>
                <w:color w:val="auto"/>
                <w:sz w:val="28"/>
                <w:szCs w:val="28"/>
                <w:highlight w:val="none"/>
                <w:lang w:val="en-US" w:eastAsia="zh-CN"/>
              </w:rPr>
              <w:t>招标</w:t>
            </w:r>
            <w:r>
              <w:rPr>
                <w:rFonts w:hint="eastAsia" w:ascii="仿宋" w:hAnsi="仿宋" w:eastAsia="仿宋" w:cs="仿宋"/>
                <w:b w:val="0"/>
                <w:bCs/>
                <w:color w:val="auto"/>
                <w:kern w:val="2"/>
                <w:sz w:val="28"/>
                <w:szCs w:val="28"/>
                <w:highlight w:val="none"/>
                <w:lang w:val="en-US" w:eastAsia="zh-CN" w:bidi="ar-SA"/>
              </w:rPr>
              <w:t>文件要求的。</w:t>
            </w:r>
          </w:p>
        </w:tc>
      </w:tr>
      <w:tr w14:paraId="5DAC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2" w:type="dxa"/>
            <w:noWrap w:val="0"/>
            <w:vAlign w:val="center"/>
          </w:tcPr>
          <w:p w14:paraId="11C8DF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4</w:t>
            </w:r>
          </w:p>
        </w:tc>
        <w:tc>
          <w:tcPr>
            <w:tcW w:w="8341" w:type="dxa"/>
            <w:noWrap w:val="0"/>
            <w:vAlign w:val="center"/>
          </w:tcPr>
          <w:p w14:paraId="1AA01B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投标人所报项目交货时间、合同期限、保质期限是否满足招标文件规定期限的。</w:t>
            </w:r>
          </w:p>
        </w:tc>
      </w:tr>
      <w:tr w14:paraId="2DD5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92" w:type="dxa"/>
            <w:noWrap w:val="0"/>
            <w:vAlign w:val="center"/>
          </w:tcPr>
          <w:p w14:paraId="274A23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5</w:t>
            </w:r>
          </w:p>
        </w:tc>
        <w:tc>
          <w:tcPr>
            <w:tcW w:w="8341" w:type="dxa"/>
            <w:noWrap w:val="0"/>
            <w:vAlign w:val="center"/>
          </w:tcPr>
          <w:p w14:paraId="26AEB6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Cs/>
                <w:color w:val="auto"/>
                <w:sz w:val="28"/>
                <w:szCs w:val="28"/>
                <w:highlight w:val="none"/>
                <w:lang w:val="en-US" w:eastAsia="zh-CN"/>
              </w:rPr>
              <w:t>投标人是否存在串通投标的行为。</w:t>
            </w:r>
          </w:p>
        </w:tc>
      </w:tr>
      <w:tr w14:paraId="5AAE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92" w:type="dxa"/>
            <w:noWrap w:val="0"/>
            <w:vAlign w:val="center"/>
          </w:tcPr>
          <w:p w14:paraId="792ED2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6</w:t>
            </w:r>
          </w:p>
        </w:tc>
        <w:tc>
          <w:tcPr>
            <w:tcW w:w="8341" w:type="dxa"/>
            <w:noWrap w:val="0"/>
            <w:vAlign w:val="center"/>
          </w:tcPr>
          <w:p w14:paraId="3EFA2D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投标文件是否存在其它不符合法律法规或招标文件规定的其它投标无效条款。</w:t>
            </w:r>
          </w:p>
        </w:tc>
      </w:tr>
      <w:tr w14:paraId="2E90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033" w:type="dxa"/>
            <w:gridSpan w:val="2"/>
            <w:noWrap w:val="0"/>
            <w:vAlign w:val="center"/>
          </w:tcPr>
          <w:p w14:paraId="30B17D2F">
            <w:pPr>
              <w:spacing w:line="440" w:lineRule="exact"/>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Times New Roman"/>
                <w:color w:val="auto"/>
                <w:sz w:val="28"/>
                <w:szCs w:val="28"/>
                <w:highlight w:val="none"/>
              </w:rPr>
              <w:t>说明：</w:t>
            </w:r>
            <w:r>
              <w:rPr>
                <w:rFonts w:hint="eastAsia" w:ascii="仿宋" w:hAnsi="仿宋" w:eastAsia="仿宋"/>
                <w:color w:val="auto"/>
                <w:sz w:val="28"/>
                <w:szCs w:val="28"/>
                <w:highlight w:val="none"/>
              </w:rPr>
              <w:t>评标</w:t>
            </w:r>
            <w:r>
              <w:rPr>
                <w:rFonts w:hint="eastAsia" w:ascii="仿宋" w:hAnsi="仿宋" w:eastAsia="仿宋"/>
                <w:color w:val="auto"/>
                <w:sz w:val="28"/>
                <w:szCs w:val="28"/>
                <w:highlight w:val="none"/>
                <w:lang w:val="en-US" w:eastAsia="zh-CN"/>
              </w:rPr>
              <w:t>委员会</w:t>
            </w:r>
            <w:r>
              <w:rPr>
                <w:rFonts w:ascii="仿宋" w:hAnsi="仿宋" w:eastAsia="仿宋"/>
                <w:color w:val="auto"/>
                <w:sz w:val="28"/>
                <w:szCs w:val="28"/>
                <w:highlight w:val="none"/>
              </w:rPr>
              <w:t>在开标时对供应商</w:t>
            </w:r>
            <w:r>
              <w:rPr>
                <w:rFonts w:hint="eastAsia" w:ascii="仿宋" w:hAnsi="仿宋" w:eastAsia="仿宋"/>
                <w:color w:val="auto"/>
                <w:sz w:val="28"/>
                <w:szCs w:val="28"/>
                <w:highlight w:val="none"/>
              </w:rPr>
              <w:t>在商务技术部分上传的投标响应文件</w:t>
            </w:r>
            <w:r>
              <w:rPr>
                <w:rFonts w:ascii="仿宋" w:hAnsi="仿宋" w:eastAsia="仿宋"/>
                <w:color w:val="auto"/>
                <w:sz w:val="28"/>
                <w:szCs w:val="28"/>
                <w:highlight w:val="none"/>
              </w:rPr>
              <w:t>进行审查，</w:t>
            </w:r>
            <w:r>
              <w:rPr>
                <w:rFonts w:hint="eastAsia" w:ascii="仿宋" w:hAnsi="仿宋" w:eastAsia="仿宋" w:cs="Times New Roman"/>
                <w:color w:val="auto"/>
                <w:sz w:val="28"/>
                <w:szCs w:val="28"/>
                <w:highlight w:val="none"/>
              </w:rPr>
              <w:t>以上各项有1项不合格，评审不予通过，作为</w:t>
            </w:r>
            <w:r>
              <w:rPr>
                <w:rFonts w:hint="eastAsia" w:ascii="仿宋" w:hAnsi="仿宋" w:eastAsia="仿宋" w:cs="仿宋"/>
                <w:b w:val="0"/>
                <w:bCs/>
                <w:color w:val="auto"/>
                <w:kern w:val="2"/>
                <w:sz w:val="28"/>
                <w:szCs w:val="28"/>
                <w:highlight w:val="none"/>
                <w:lang w:val="en-US" w:eastAsia="zh-CN" w:bidi="ar-SA"/>
              </w:rPr>
              <w:t>符合性审查</w:t>
            </w:r>
            <w:r>
              <w:rPr>
                <w:rFonts w:hint="eastAsia" w:ascii="仿宋" w:hAnsi="仿宋" w:eastAsia="仿宋" w:cs="Times New Roman"/>
                <w:color w:val="auto"/>
                <w:sz w:val="28"/>
                <w:szCs w:val="28"/>
                <w:highlight w:val="none"/>
              </w:rPr>
              <w:t>未</w:t>
            </w:r>
            <w:r>
              <w:rPr>
                <w:rFonts w:hint="eastAsia" w:ascii="仿宋" w:hAnsi="仿宋" w:eastAsia="仿宋" w:cs="Times New Roman"/>
                <w:color w:val="auto"/>
                <w:sz w:val="28"/>
                <w:szCs w:val="28"/>
                <w:highlight w:val="none"/>
                <w:lang w:val="en-US" w:eastAsia="zh-CN"/>
              </w:rPr>
              <w:t>通过</w:t>
            </w:r>
            <w:r>
              <w:rPr>
                <w:rFonts w:hint="eastAsia" w:ascii="仿宋" w:hAnsi="仿宋" w:eastAsia="仿宋" w:cs="Times New Roman"/>
                <w:color w:val="auto"/>
                <w:sz w:val="28"/>
                <w:szCs w:val="28"/>
                <w:highlight w:val="none"/>
              </w:rPr>
              <w:t>。未通过符合性检查的投标文件，不得进入后续评标环节。</w:t>
            </w:r>
          </w:p>
        </w:tc>
      </w:tr>
    </w:tbl>
    <w:p w14:paraId="0B7C0535">
      <w:pPr>
        <w:pStyle w:val="13"/>
        <w:spacing w:before="0" w:line="440" w:lineRule="exact"/>
        <w:jc w:val="center"/>
        <w:outlineLvl w:val="9"/>
        <w:rPr>
          <w:rFonts w:hint="eastAsia" w:ascii="仿宋" w:hAnsi="仿宋" w:eastAsia="仿宋" w:cs="仿宋"/>
          <w:b/>
          <w:bCs/>
          <w:color w:val="auto"/>
          <w:sz w:val="36"/>
          <w:szCs w:val="36"/>
          <w:highlight w:val="none"/>
        </w:rPr>
      </w:pPr>
      <w:bookmarkStart w:id="376" w:name="_Toc29159"/>
    </w:p>
    <w:p w14:paraId="601F7861">
      <w:pPr>
        <w:pStyle w:val="4"/>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outlineLvl w:val="1"/>
        <w:rPr>
          <w:rFonts w:hint="eastAsia" w:ascii="仿宋" w:hAnsi="仿宋" w:eastAsia="仿宋" w:cs="仿宋"/>
          <w:b/>
          <w:bCs w:val="0"/>
          <w:color w:val="auto"/>
          <w:sz w:val="36"/>
          <w:szCs w:val="36"/>
          <w:highlight w:val="none"/>
          <w:lang w:val="en-US" w:eastAsia="zh-CN"/>
        </w:rPr>
      </w:pPr>
      <w:bookmarkStart w:id="377" w:name="_Toc7946"/>
      <w:r>
        <w:rPr>
          <w:rFonts w:hint="eastAsia" w:ascii="仿宋" w:hAnsi="仿宋" w:eastAsia="仿宋" w:cs="仿宋"/>
          <w:b/>
          <w:bCs w:val="0"/>
          <w:color w:val="auto"/>
          <w:sz w:val="36"/>
          <w:szCs w:val="36"/>
          <w:highlight w:val="none"/>
          <w:lang w:val="en-US" w:eastAsia="zh-CN"/>
        </w:rPr>
        <w:t>第二部分 评标办法及评分标准</w:t>
      </w:r>
      <w:bookmarkEnd w:id="376"/>
      <w:bookmarkEnd w:id="377"/>
    </w:p>
    <w:p w14:paraId="273546D4">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bookmarkStart w:id="378" w:name="_Toc11057"/>
      <w:bookmarkStart w:id="379" w:name="_Toc15207"/>
      <w:bookmarkStart w:id="380" w:name="_Toc20129"/>
      <w:bookmarkStart w:id="381" w:name="_Toc10158"/>
      <w:bookmarkStart w:id="382" w:name="_Toc17126"/>
      <w:bookmarkStart w:id="383" w:name="_Toc6814"/>
      <w:r>
        <w:rPr>
          <w:rFonts w:hint="eastAsia" w:ascii="仿宋" w:hAnsi="仿宋" w:eastAsia="仿宋" w:cs="仿宋"/>
          <w:bCs/>
          <w:color w:val="auto"/>
          <w:sz w:val="28"/>
          <w:szCs w:val="28"/>
          <w:highlight w:val="none"/>
        </w:rPr>
        <w:t>根据《中华人民共和国政府采购法》及其实施条例和《政府采购货物和服务招标投标管理办法》（财政部87号令）等法律法规规定，结合采购项目特点，制定本</w:t>
      </w:r>
      <w:r>
        <w:rPr>
          <w:rFonts w:hint="eastAsia" w:ascii="仿宋" w:hAnsi="仿宋" w:eastAsia="仿宋" w:cs="仿宋"/>
          <w:bCs/>
          <w:color w:val="auto"/>
          <w:sz w:val="28"/>
          <w:szCs w:val="28"/>
          <w:highlight w:val="none"/>
          <w:lang w:val="en-US" w:eastAsia="zh-CN"/>
        </w:rPr>
        <w:t>项目</w:t>
      </w:r>
      <w:r>
        <w:rPr>
          <w:rFonts w:hint="eastAsia" w:ascii="仿宋" w:hAnsi="仿宋" w:eastAsia="仿宋" w:cs="仿宋"/>
          <w:bCs/>
          <w:color w:val="auto"/>
          <w:sz w:val="28"/>
          <w:szCs w:val="28"/>
          <w:highlight w:val="none"/>
        </w:rPr>
        <w:t>评标办法。</w:t>
      </w:r>
    </w:p>
    <w:p w14:paraId="5C5AF6AE">
      <w:pPr>
        <w:pageBreakBefore w:val="0"/>
        <w:widowControl w:val="0"/>
        <w:kinsoku/>
        <w:overflowPunct/>
        <w:autoSpaceDE/>
        <w:autoSpaceDN/>
        <w:bidi w:val="0"/>
        <w:adjustRightInd/>
        <w:snapToGrid w:val="0"/>
        <w:spacing w:line="480" w:lineRule="exact"/>
        <w:ind w:firstLine="562" w:firstLineChars="200"/>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一、评审办法</w:t>
      </w:r>
      <w:bookmarkEnd w:id="378"/>
      <w:bookmarkEnd w:id="379"/>
      <w:bookmarkEnd w:id="380"/>
      <w:bookmarkEnd w:id="381"/>
      <w:bookmarkEnd w:id="382"/>
      <w:bookmarkEnd w:id="383"/>
    </w:p>
    <w:p w14:paraId="73CD2BCA">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本项目采用</w:t>
      </w:r>
      <w:r>
        <w:rPr>
          <w:rFonts w:hint="eastAsia" w:ascii="仿宋" w:hAnsi="仿宋" w:eastAsia="仿宋" w:cs="仿宋"/>
          <w:bCs/>
          <w:color w:val="auto"/>
          <w:sz w:val="28"/>
          <w:szCs w:val="28"/>
          <w:highlight w:val="none"/>
          <w:u w:val="single"/>
        </w:rPr>
        <w:t>综合评分法</w:t>
      </w:r>
      <w:r>
        <w:rPr>
          <w:rFonts w:hint="eastAsia" w:ascii="仿宋" w:hAnsi="仿宋" w:eastAsia="仿宋" w:cs="仿宋"/>
          <w:bCs/>
          <w:color w:val="auto"/>
          <w:sz w:val="28"/>
          <w:szCs w:val="28"/>
          <w:highlight w:val="none"/>
        </w:rPr>
        <w:t>进行评审。</w:t>
      </w:r>
    </w:p>
    <w:p w14:paraId="1D29A7E7">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综合评分法，</w:t>
      </w:r>
      <w:r>
        <w:rPr>
          <w:rFonts w:hint="eastAsia" w:ascii="仿宋" w:hAnsi="仿宋" w:eastAsia="仿宋" w:cs="仿宋"/>
          <w:color w:val="auto"/>
          <w:kern w:val="0"/>
          <w:sz w:val="28"/>
          <w:szCs w:val="28"/>
          <w:highlight w:val="none"/>
          <w:lang w:val="zh-CN" w:eastAsia="zh-CN" w:bidi="ar-SA"/>
        </w:rPr>
        <w:t>是指投标文件满足招标文件全部实质性要求，且按照评审因素的量化指标评审得分最高的供应商为中标候选人的评标方法。</w:t>
      </w:r>
    </w:p>
    <w:p w14:paraId="0A98830A">
      <w:pPr>
        <w:pageBreakBefore w:val="0"/>
        <w:widowControl w:val="0"/>
        <w:kinsoku/>
        <w:overflowPunct/>
        <w:autoSpaceDE/>
        <w:autoSpaceDN/>
        <w:bidi w:val="0"/>
        <w:adjustRightInd/>
        <w:snapToGrid w:val="0"/>
        <w:spacing w:line="480" w:lineRule="exact"/>
        <w:ind w:firstLine="560" w:firstLineChars="200"/>
        <w:textAlignment w:val="auto"/>
        <w:rPr>
          <w:rFonts w:hint="default" w:ascii="仿宋" w:hAnsi="仿宋" w:eastAsia="仿宋" w:cs="仿宋"/>
          <w:b/>
          <w:bCs w:val="0"/>
          <w:color w:val="auto"/>
          <w:sz w:val="28"/>
          <w:szCs w:val="28"/>
          <w:highlight w:val="none"/>
          <w:lang w:val="en-US" w:eastAsia="zh-CN"/>
        </w:rPr>
      </w:pPr>
      <w:r>
        <w:rPr>
          <w:rFonts w:hint="eastAsia" w:ascii="仿宋" w:hAnsi="仿宋" w:eastAsia="仿宋" w:cs="仿宋"/>
          <w:bCs/>
          <w:color w:val="auto"/>
          <w:sz w:val="28"/>
          <w:szCs w:val="28"/>
          <w:highlight w:val="none"/>
        </w:rPr>
        <w:t>根据《政府采购促进中小企业发展管理办法》（财库﹝2020﹞46 号）、《财政部 司法部关于政府采购支持监狱企业发展有关问题的通知》（财库〔2014〕68号）、《关于落实好政府采购支持中小企业发展的通知(新财购 〔2022〕22号)》和《三部门联合发布关于促进残疾人就业政府采购政策的通知》（财库〔2017〕141号）的规定，对满足价格扣除条件且在投标响应文件中提交了《供应商企业类型声明函》符合规定的小微企业或省级以上监狱管理局、戒毒管理局（含新疆生产建设兵团）出具的属于监狱企业的证明文件的供应商，其投标报价扣除</w:t>
      </w:r>
      <w:r>
        <w:rPr>
          <w:rFonts w:hint="eastAsia" w:ascii="仿宋" w:hAnsi="仿宋" w:eastAsia="仿宋" w:cs="仿宋"/>
          <w:bCs/>
          <w:color w:val="auto"/>
          <w:sz w:val="28"/>
          <w:szCs w:val="28"/>
          <w:highlight w:val="none"/>
          <w:u w:val="single"/>
        </w:rPr>
        <w:t>10%</w:t>
      </w:r>
      <w:r>
        <w:rPr>
          <w:rFonts w:hint="eastAsia" w:ascii="仿宋" w:hAnsi="仿宋" w:eastAsia="仿宋" w:cs="仿宋"/>
          <w:bCs/>
          <w:color w:val="auto"/>
          <w:sz w:val="28"/>
          <w:szCs w:val="28"/>
          <w:highlight w:val="none"/>
        </w:rPr>
        <w:t>后参与评审。对于同时属于小微企业、监狱企业或残疾人福利性单位的，不重复进行投标报价扣除。</w:t>
      </w:r>
    </w:p>
    <w:p w14:paraId="7E24E09F">
      <w:pPr>
        <w:pageBreakBefore w:val="0"/>
        <w:widowControl w:val="0"/>
        <w:kinsoku/>
        <w:overflowPunct/>
        <w:autoSpaceDE/>
        <w:autoSpaceDN/>
        <w:bidi w:val="0"/>
        <w:adjustRightInd/>
        <w:snapToGrid w:val="0"/>
        <w:spacing w:line="480" w:lineRule="exact"/>
        <w:ind w:firstLine="562" w:firstLineChars="200"/>
        <w:textAlignment w:val="auto"/>
        <w:rPr>
          <w:rFonts w:hint="eastAsia" w:ascii="仿宋" w:hAnsi="仿宋" w:eastAsia="仿宋" w:cs="仿宋"/>
          <w:b/>
          <w:bCs w:val="0"/>
          <w:color w:val="auto"/>
          <w:sz w:val="28"/>
          <w:szCs w:val="28"/>
          <w:highlight w:val="none"/>
        </w:rPr>
      </w:pPr>
      <w:bookmarkStart w:id="384" w:name="_Toc22870"/>
      <w:bookmarkStart w:id="385" w:name="_Toc22882"/>
      <w:bookmarkStart w:id="386" w:name="_Toc3421"/>
      <w:r>
        <w:rPr>
          <w:rFonts w:hint="eastAsia" w:ascii="仿宋" w:hAnsi="仿宋" w:eastAsia="仿宋" w:cs="仿宋"/>
          <w:b/>
          <w:bCs w:val="0"/>
          <w:color w:val="auto"/>
          <w:sz w:val="28"/>
          <w:szCs w:val="28"/>
          <w:highlight w:val="none"/>
        </w:rPr>
        <w:t>二、评分因素</w:t>
      </w:r>
      <w:bookmarkEnd w:id="384"/>
      <w:bookmarkEnd w:id="385"/>
      <w:bookmarkEnd w:id="386"/>
    </w:p>
    <w:p w14:paraId="205A2925">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评分的主要因素分为价格因素、技术因素和商务因素。评分因素详见评分表。评标分值保留至两位小数。评标时，评标</w:t>
      </w:r>
      <w:r>
        <w:rPr>
          <w:rFonts w:hint="eastAsia" w:ascii="仿宋" w:hAnsi="仿宋" w:eastAsia="仿宋" w:cs="仿宋"/>
          <w:bCs/>
          <w:color w:val="auto"/>
          <w:sz w:val="28"/>
          <w:szCs w:val="28"/>
          <w:highlight w:val="none"/>
          <w:lang w:val="en-US" w:eastAsia="zh-CN"/>
        </w:rPr>
        <w:t>委员会</w:t>
      </w:r>
      <w:r>
        <w:rPr>
          <w:rFonts w:hint="eastAsia" w:ascii="仿宋" w:hAnsi="仿宋" w:eastAsia="仿宋" w:cs="仿宋"/>
          <w:bCs/>
          <w:color w:val="auto"/>
          <w:sz w:val="28"/>
          <w:szCs w:val="28"/>
          <w:highlight w:val="none"/>
        </w:rPr>
        <w:t>依照评分表对每个有效供应商的投标文件进行独立评审、打分。</w:t>
      </w:r>
    </w:p>
    <w:p w14:paraId="7476CE76">
      <w:pPr>
        <w:pageBreakBefore w:val="0"/>
        <w:widowControl w:val="0"/>
        <w:kinsoku/>
        <w:overflowPunct/>
        <w:autoSpaceDE/>
        <w:autoSpaceDN/>
        <w:bidi w:val="0"/>
        <w:adjustRightInd/>
        <w:snapToGrid w:val="0"/>
        <w:spacing w:line="480" w:lineRule="exact"/>
        <w:ind w:firstLine="562" w:firstLineChars="200"/>
        <w:textAlignment w:val="auto"/>
        <w:rPr>
          <w:rFonts w:hint="eastAsia" w:ascii="仿宋" w:hAnsi="仿宋" w:eastAsia="仿宋" w:cs="仿宋"/>
          <w:b/>
          <w:bCs w:val="0"/>
          <w:color w:val="auto"/>
          <w:sz w:val="28"/>
          <w:szCs w:val="28"/>
          <w:highlight w:val="none"/>
        </w:rPr>
      </w:pPr>
      <w:bookmarkStart w:id="387" w:name="_Toc5155"/>
      <w:bookmarkStart w:id="388" w:name="_Toc20686"/>
      <w:bookmarkStart w:id="389" w:name="_Toc2282"/>
      <w:bookmarkStart w:id="390" w:name="_Toc28115"/>
      <w:bookmarkStart w:id="391" w:name="_Toc16406"/>
      <w:bookmarkStart w:id="392" w:name="_Toc22"/>
      <w:r>
        <w:rPr>
          <w:rFonts w:hint="eastAsia" w:ascii="仿宋" w:hAnsi="仿宋" w:eastAsia="仿宋" w:cs="仿宋"/>
          <w:b/>
          <w:bCs w:val="0"/>
          <w:color w:val="auto"/>
          <w:sz w:val="28"/>
          <w:szCs w:val="28"/>
          <w:highlight w:val="none"/>
        </w:rPr>
        <w:t>三、评分标准</w:t>
      </w:r>
      <w:bookmarkEnd w:id="387"/>
      <w:bookmarkEnd w:id="388"/>
      <w:bookmarkEnd w:id="389"/>
      <w:bookmarkEnd w:id="390"/>
      <w:bookmarkEnd w:id="391"/>
      <w:bookmarkEnd w:id="392"/>
    </w:p>
    <w:p w14:paraId="3EDD3499">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1.评标委员会根据招标文件，在对供应商投标文件综合评审的基础上进行评估打分。打分采取百分制，其中商务、技术部分为70分，报价分30分。</w:t>
      </w:r>
    </w:p>
    <w:p w14:paraId="1CD3F9E0">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2.同品牌处理办法：</w:t>
      </w:r>
    </w:p>
    <w:p w14:paraId="12F4F18F">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用综合评标法，则：提供相同品牌产品且通过资格审查、符合性审查的不同供应商参加同一合同项下投标的，按一家供应商计算，评审后得分最高的同品牌供应商获得中标人推荐资格，评审得分相同的，按投标报价排列，报价最低的供应商获得中标人推荐资格；得分与投标报价均相同的，按技术指标优劣排列，技术得分最高的供应商获得中标人推荐资格。其他同品牌供应商不作为中标候选人。</w:t>
      </w:r>
    </w:p>
    <w:p w14:paraId="774B4E68">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bookmarkStart w:id="393" w:name="_Toc27113"/>
      <w:bookmarkStart w:id="394" w:name="_Toc18501"/>
      <w:bookmarkStart w:id="395" w:name="_Toc25392"/>
      <w:bookmarkStart w:id="396" w:name="_Toc21207"/>
      <w:bookmarkStart w:id="397" w:name="_Toc7938"/>
      <w:r>
        <w:rPr>
          <w:rFonts w:hint="eastAsia" w:ascii="仿宋" w:hAnsi="仿宋" w:eastAsia="仿宋" w:cs="仿宋"/>
          <w:bCs/>
          <w:color w:val="auto"/>
          <w:sz w:val="28"/>
          <w:szCs w:val="28"/>
          <w:highlight w:val="none"/>
        </w:rPr>
        <w:t>3.中标候选人并列式时的处理方式：</w:t>
      </w:r>
      <w:bookmarkEnd w:id="393"/>
      <w:bookmarkEnd w:id="394"/>
      <w:bookmarkEnd w:id="395"/>
      <w:r>
        <w:rPr>
          <w:rFonts w:hint="eastAsia" w:ascii="仿宋" w:hAnsi="仿宋" w:eastAsia="仿宋" w:cs="仿宋"/>
          <w:bCs/>
          <w:color w:val="auto"/>
          <w:sz w:val="28"/>
          <w:szCs w:val="28"/>
          <w:highlight w:val="none"/>
        </w:rPr>
        <w:t xml:space="preserve">   </w:t>
      </w:r>
    </w:p>
    <w:p w14:paraId="6FC0E727">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采用综合评标法，则：评审得分相同的，按投标报价排列，报价最低的供应商获得中标人推荐资格；得分与投标报价均相同的，按技术指标优劣排列，技术得分最高的供应商获得中标人推荐资格。</w:t>
      </w:r>
    </w:p>
    <w:p w14:paraId="0C8B9960">
      <w:pPr>
        <w:pageBreakBefore w:val="0"/>
        <w:widowControl w:val="0"/>
        <w:kinsoku/>
        <w:overflowPunct/>
        <w:autoSpaceDE/>
        <w:autoSpaceDN/>
        <w:bidi w:val="0"/>
        <w:adjustRightInd/>
        <w:snapToGrid w:val="0"/>
        <w:spacing w:line="480" w:lineRule="exact"/>
        <w:ind w:firstLine="562" w:firstLineChars="200"/>
        <w:jc w:val="center"/>
        <w:textAlignment w:val="auto"/>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rPr>
        <w:t>评分标准</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lang w:val="en-US" w:eastAsia="zh-CN"/>
        </w:rPr>
        <w:t>第一标段</w:t>
      </w:r>
      <w:r>
        <w:rPr>
          <w:rFonts w:hint="eastAsia" w:ascii="仿宋" w:hAnsi="仿宋" w:eastAsia="仿宋" w:cs="仿宋"/>
          <w:b/>
          <w:bCs w:val="0"/>
          <w:color w:val="auto"/>
          <w:sz w:val="28"/>
          <w:szCs w:val="28"/>
          <w:highlight w:val="none"/>
          <w:lang w:eastAsia="zh-CN"/>
        </w:rPr>
        <w:t>）</w:t>
      </w:r>
    </w:p>
    <w:tbl>
      <w:tblPr>
        <w:tblStyle w:val="27"/>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13"/>
        <w:gridCol w:w="931"/>
        <w:gridCol w:w="6025"/>
      </w:tblGrid>
      <w:tr w14:paraId="4A5C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 w:type="dxa"/>
            <w:noWrap w:val="0"/>
            <w:vAlign w:val="center"/>
          </w:tcPr>
          <w:p w14:paraId="3BE67269">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分项</w:t>
            </w:r>
          </w:p>
        </w:tc>
        <w:tc>
          <w:tcPr>
            <w:tcW w:w="1613" w:type="dxa"/>
            <w:noWrap w:val="0"/>
            <w:vAlign w:val="center"/>
          </w:tcPr>
          <w:p w14:paraId="5F66EA81">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评分内容</w:t>
            </w:r>
          </w:p>
        </w:tc>
        <w:tc>
          <w:tcPr>
            <w:tcW w:w="931" w:type="dxa"/>
            <w:noWrap w:val="0"/>
            <w:vAlign w:val="center"/>
          </w:tcPr>
          <w:p w14:paraId="65F4130A">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分值</w:t>
            </w:r>
          </w:p>
        </w:tc>
        <w:tc>
          <w:tcPr>
            <w:tcW w:w="6025" w:type="dxa"/>
            <w:noWrap w:val="0"/>
            <w:vAlign w:val="center"/>
          </w:tcPr>
          <w:p w14:paraId="5AD41AF5">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评分标准</w:t>
            </w:r>
          </w:p>
        </w:tc>
      </w:tr>
      <w:tr w14:paraId="080A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876" w:type="dxa"/>
            <w:noWrap w:val="0"/>
            <w:vAlign w:val="center"/>
          </w:tcPr>
          <w:p w14:paraId="48453E0B">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报价部分</w:t>
            </w:r>
          </w:p>
        </w:tc>
        <w:tc>
          <w:tcPr>
            <w:tcW w:w="1613" w:type="dxa"/>
            <w:noWrap w:val="0"/>
            <w:vAlign w:val="center"/>
          </w:tcPr>
          <w:p w14:paraId="68F09F9C">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报价分</w:t>
            </w:r>
          </w:p>
        </w:tc>
        <w:tc>
          <w:tcPr>
            <w:tcW w:w="931" w:type="dxa"/>
            <w:noWrap w:val="0"/>
            <w:vAlign w:val="center"/>
          </w:tcPr>
          <w:p w14:paraId="1B711D81">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w:t>
            </w:r>
          </w:p>
        </w:tc>
        <w:tc>
          <w:tcPr>
            <w:tcW w:w="6025" w:type="dxa"/>
            <w:noWrap w:val="0"/>
            <w:vAlign w:val="center"/>
          </w:tcPr>
          <w:p w14:paraId="2ECF703B">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有效的投标报价中的最低价为评标基准价，按照下列公式计算每个</w:t>
            </w:r>
            <w:r>
              <w:rPr>
                <w:rFonts w:hint="eastAsia" w:ascii="仿宋" w:hAnsi="仿宋" w:eastAsia="仿宋" w:cs="仿宋"/>
                <w:color w:val="auto"/>
                <w:kern w:val="0"/>
                <w:sz w:val="28"/>
                <w:szCs w:val="28"/>
                <w:highlight w:val="none"/>
                <w:lang w:val="en-US" w:eastAsia="zh-CN" w:bidi="ar"/>
              </w:rPr>
              <w:t>投标</w:t>
            </w:r>
            <w:r>
              <w:rPr>
                <w:rFonts w:hint="eastAsia" w:ascii="仿宋" w:hAnsi="仿宋" w:eastAsia="仿宋" w:cs="仿宋"/>
                <w:color w:val="auto"/>
                <w:kern w:val="0"/>
                <w:sz w:val="28"/>
                <w:szCs w:val="28"/>
                <w:highlight w:val="none"/>
                <w:lang w:bidi="ar"/>
              </w:rPr>
              <w:t>供应商的投标价格得分。投标报价得分＝（评标基准价/投标报价）×价格权重×100。</w:t>
            </w:r>
          </w:p>
        </w:tc>
      </w:tr>
      <w:tr w14:paraId="4AE6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76" w:type="dxa"/>
            <w:vMerge w:val="restart"/>
            <w:noWrap w:val="0"/>
            <w:vAlign w:val="center"/>
          </w:tcPr>
          <w:p w14:paraId="68BA6021">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技术部分</w:t>
            </w:r>
          </w:p>
        </w:tc>
        <w:tc>
          <w:tcPr>
            <w:tcW w:w="1613" w:type="dxa"/>
            <w:noWrap w:val="0"/>
            <w:vAlign w:val="center"/>
          </w:tcPr>
          <w:p w14:paraId="0D04C101">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产品技术规格及商务要求响应情况</w:t>
            </w:r>
          </w:p>
        </w:tc>
        <w:tc>
          <w:tcPr>
            <w:tcW w:w="931" w:type="dxa"/>
            <w:noWrap w:val="0"/>
            <w:vAlign w:val="center"/>
          </w:tcPr>
          <w:p w14:paraId="71C58FC9">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c>
          <w:tcPr>
            <w:tcW w:w="6025" w:type="dxa"/>
            <w:noWrap w:val="0"/>
            <w:vAlign w:val="center"/>
          </w:tcPr>
          <w:p w14:paraId="7683AC7A">
            <w:pPr>
              <w:keepNext w:val="0"/>
              <w:keepLines w:val="0"/>
              <w:pageBreakBefore w:val="0"/>
              <w:widowControl/>
              <w:suppressLineNumbers w:val="0"/>
              <w:kinsoku/>
              <w:wordWrap/>
              <w:overflowPunct/>
              <w:topLinePunct w:val="0"/>
              <w:autoSpaceDE/>
              <w:autoSpaceDN/>
              <w:bidi w:val="0"/>
              <w:adjustRightInd/>
              <w:snapToGrid/>
              <w:spacing w:after="0" w:line="44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投标人提供的产品技术规格及商务要求完全响应招标文件要求且没有负偏离的得20分</w:t>
            </w:r>
            <w:r>
              <w:rPr>
                <w:rFonts w:hint="eastAsia" w:ascii="仿宋" w:hAnsi="仿宋" w:eastAsia="仿宋" w:cs="仿宋"/>
                <w:i w:val="0"/>
                <w:color w:val="auto"/>
                <w:kern w:val="0"/>
                <w:sz w:val="28"/>
                <w:szCs w:val="28"/>
                <w:highlight w:val="none"/>
                <w:u w:val="none"/>
                <w:lang w:val="en-US" w:eastAsia="zh-CN" w:bidi="ar"/>
              </w:rPr>
              <w:t>，</w:t>
            </w:r>
            <w:r>
              <w:rPr>
                <w:rFonts w:hint="eastAsia" w:ascii="仿宋" w:hAnsi="仿宋" w:eastAsia="仿宋" w:cs="仿宋"/>
                <w:color w:val="auto"/>
                <w:sz w:val="28"/>
                <w:szCs w:val="28"/>
                <w:highlight w:val="none"/>
                <w:lang w:val="en-US" w:eastAsia="zh-CN"/>
              </w:rPr>
              <w:t>对产品技术规格及商务要求</w:t>
            </w:r>
            <w:r>
              <w:rPr>
                <w:rFonts w:hint="eastAsia" w:ascii="仿宋" w:hAnsi="仿宋" w:eastAsia="仿宋" w:cs="仿宋"/>
                <w:i w:val="0"/>
                <w:color w:val="auto"/>
                <w:kern w:val="0"/>
                <w:sz w:val="28"/>
                <w:szCs w:val="28"/>
                <w:highlight w:val="none"/>
                <w:u w:val="none"/>
                <w:lang w:val="en-US" w:eastAsia="zh-CN" w:bidi="ar"/>
              </w:rPr>
              <w:t>内</w:t>
            </w:r>
            <w:r>
              <w:rPr>
                <w:rFonts w:hint="eastAsia" w:ascii="仿宋" w:hAnsi="仿宋" w:eastAsia="仿宋" w:cs="仿宋"/>
                <w:color w:val="auto"/>
                <w:sz w:val="28"/>
                <w:szCs w:val="28"/>
                <w:highlight w:val="none"/>
                <w:lang w:val="en-US" w:eastAsia="zh-CN"/>
              </w:rPr>
              <w:t>的条款每出现一条负偏离，扣2分，扣完为止，满分20分</w:t>
            </w:r>
            <w:r>
              <w:rPr>
                <w:rFonts w:hint="eastAsia" w:ascii="仿宋" w:hAnsi="仿宋" w:eastAsia="仿宋" w:cs="仿宋"/>
                <w:i w:val="0"/>
                <w:color w:val="auto"/>
                <w:kern w:val="0"/>
                <w:sz w:val="28"/>
                <w:szCs w:val="28"/>
                <w:highlight w:val="none"/>
                <w:u w:val="none"/>
                <w:lang w:val="en-US" w:eastAsia="zh-CN" w:bidi="ar"/>
              </w:rPr>
              <w:t>。</w:t>
            </w:r>
          </w:p>
          <w:p w14:paraId="5897E1A0">
            <w:pPr>
              <w:spacing w:line="440" w:lineRule="exact"/>
              <w:jc w:val="left"/>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注：投标人须对本招标文件产品技术规格要求及商务要求结合所供产品的质量状况进行逐条逐项答复、说明和解释，未提供不得分。</w:t>
            </w:r>
          </w:p>
        </w:tc>
      </w:tr>
      <w:tr w14:paraId="0873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vMerge w:val="continue"/>
            <w:noWrap w:val="0"/>
            <w:vAlign w:val="center"/>
          </w:tcPr>
          <w:p w14:paraId="3D4297F8">
            <w:pPr>
              <w:spacing w:line="440" w:lineRule="exact"/>
              <w:jc w:val="center"/>
              <w:rPr>
                <w:rFonts w:hint="eastAsia" w:ascii="仿宋" w:hAnsi="仿宋" w:eastAsia="仿宋" w:cs="仿宋"/>
                <w:color w:val="auto"/>
                <w:sz w:val="28"/>
                <w:szCs w:val="28"/>
                <w:highlight w:val="none"/>
              </w:rPr>
            </w:pPr>
          </w:p>
        </w:tc>
        <w:tc>
          <w:tcPr>
            <w:tcW w:w="1613" w:type="dxa"/>
            <w:noWrap w:val="0"/>
            <w:vAlign w:val="center"/>
          </w:tcPr>
          <w:p w14:paraId="6F18219A">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项目整体实施方案</w:t>
            </w:r>
          </w:p>
        </w:tc>
        <w:tc>
          <w:tcPr>
            <w:tcW w:w="931" w:type="dxa"/>
            <w:noWrap w:val="0"/>
            <w:vAlign w:val="center"/>
          </w:tcPr>
          <w:p w14:paraId="16266923">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6025" w:type="dxa"/>
            <w:noWrap w:val="0"/>
            <w:vAlign w:val="center"/>
          </w:tcPr>
          <w:p w14:paraId="5AEFABBA">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评标委员会</w:t>
            </w:r>
            <w:r>
              <w:rPr>
                <w:rFonts w:hint="eastAsia" w:ascii="仿宋" w:hAnsi="仿宋" w:eastAsia="仿宋" w:cs="仿宋"/>
                <w:color w:val="auto"/>
                <w:sz w:val="28"/>
                <w:szCs w:val="28"/>
                <w:highlight w:val="none"/>
                <w:lang w:val="en-US" w:eastAsia="zh-CN"/>
              </w:rPr>
              <w:t>根据各</w:t>
            </w:r>
            <w:r>
              <w:rPr>
                <w:rFonts w:hint="eastAsia" w:ascii="仿宋" w:hAnsi="仿宋" w:eastAsia="仿宋" w:cs="仿宋"/>
                <w:color w:val="auto"/>
                <w:sz w:val="28"/>
                <w:szCs w:val="28"/>
                <w:highlight w:val="none"/>
              </w:rPr>
              <w:t>投标供应商</w:t>
            </w:r>
            <w:r>
              <w:rPr>
                <w:rFonts w:hint="eastAsia" w:ascii="仿宋" w:hAnsi="仿宋" w:eastAsia="仿宋" w:cs="仿宋"/>
                <w:color w:val="auto"/>
                <w:sz w:val="28"/>
                <w:szCs w:val="28"/>
                <w:highlight w:val="none"/>
                <w:lang w:val="en-US" w:eastAsia="zh-CN"/>
              </w:rPr>
              <w:t>提供的项目整体实施方案进行评审，包括但不限于以下内容：</w:t>
            </w:r>
          </w:p>
          <w:p w14:paraId="1F718E4C">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①项目产品采购流程方案；</w:t>
            </w:r>
          </w:p>
          <w:p w14:paraId="200FD75B">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②项目产品分拣设施流程方案；</w:t>
            </w:r>
          </w:p>
          <w:p w14:paraId="0E047DEC">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③项目产品储存流程方案；</w:t>
            </w:r>
          </w:p>
          <w:p w14:paraId="3FD94C3B">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④项目产品配送方案；</w:t>
            </w:r>
          </w:p>
          <w:p w14:paraId="48BF2DF8">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⑤项目产品</w:t>
            </w:r>
            <w:r>
              <w:rPr>
                <w:rFonts w:hint="eastAsia" w:ascii="仿宋" w:hAnsi="仿宋" w:eastAsia="仿宋" w:cs="仿宋"/>
                <w:color w:val="auto"/>
                <w:sz w:val="28"/>
                <w:szCs w:val="28"/>
                <w:highlight w:val="none"/>
              </w:rPr>
              <w:t>供货计划</w:t>
            </w:r>
            <w:r>
              <w:rPr>
                <w:rFonts w:hint="eastAsia" w:ascii="仿宋" w:hAnsi="仿宋" w:eastAsia="仿宋" w:cs="仿宋"/>
                <w:color w:val="auto"/>
                <w:sz w:val="28"/>
                <w:szCs w:val="28"/>
                <w:highlight w:val="none"/>
                <w:lang w:val="en-US" w:eastAsia="zh-CN"/>
              </w:rPr>
              <w:t>和退换货计划方案；</w:t>
            </w:r>
          </w:p>
          <w:p w14:paraId="0C0F645F">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⑥项目产品卫生保障方案；</w:t>
            </w:r>
          </w:p>
          <w:p w14:paraId="66E6D24E">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⑦项目产品时间保障方案；</w:t>
            </w:r>
          </w:p>
          <w:p w14:paraId="411EA4D5">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⑧项目产品车辆配备及有固定经营场所等方案。（提供配送车辆所有权证明或租赁期限满足项目需求的车辆租赁合同；生产或仓储面积产权证明、场所面积及生产环境，租赁场所租赁期限满足项目需求。未提供不得分。）</w:t>
            </w:r>
          </w:p>
          <w:p w14:paraId="5CCFCC6F">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以上方案内容完整清晰明确、科学合理，满足项目实际需求的，每项计1.5分，最高得12分，不提供不得分。每有一项内容不完整或每有一处不具有针对性或逻辑性错误或不满足项目实际需求的扣0.5分，扣完为止。</w:t>
            </w:r>
          </w:p>
        </w:tc>
      </w:tr>
      <w:tr w14:paraId="1244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noWrap w:val="0"/>
            <w:vAlign w:val="center"/>
          </w:tcPr>
          <w:p w14:paraId="34DAF84A">
            <w:pPr>
              <w:spacing w:line="440" w:lineRule="exact"/>
              <w:jc w:val="center"/>
              <w:rPr>
                <w:rFonts w:hint="eastAsia" w:ascii="仿宋" w:hAnsi="仿宋" w:eastAsia="仿宋" w:cs="仿宋"/>
                <w:color w:val="auto"/>
                <w:sz w:val="28"/>
                <w:szCs w:val="28"/>
                <w:highlight w:val="none"/>
              </w:rPr>
            </w:pPr>
          </w:p>
        </w:tc>
        <w:tc>
          <w:tcPr>
            <w:tcW w:w="1613" w:type="dxa"/>
            <w:noWrap w:val="0"/>
            <w:vAlign w:val="center"/>
          </w:tcPr>
          <w:p w14:paraId="25AC6BE2">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产品</w:t>
            </w:r>
            <w:r>
              <w:rPr>
                <w:rFonts w:hint="eastAsia" w:ascii="仿宋" w:hAnsi="仿宋" w:eastAsia="仿宋" w:cs="仿宋"/>
                <w:color w:val="auto"/>
                <w:sz w:val="28"/>
                <w:szCs w:val="28"/>
                <w:highlight w:val="none"/>
              </w:rPr>
              <w:t>质量保证措施</w:t>
            </w:r>
          </w:p>
        </w:tc>
        <w:tc>
          <w:tcPr>
            <w:tcW w:w="931" w:type="dxa"/>
            <w:noWrap w:val="0"/>
            <w:vAlign w:val="center"/>
          </w:tcPr>
          <w:p w14:paraId="00D5F118">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6025" w:type="dxa"/>
            <w:noWrap w:val="0"/>
            <w:vAlign w:val="center"/>
          </w:tcPr>
          <w:p w14:paraId="14710998">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评标委员会根据各投标供应商提供的</w:t>
            </w:r>
            <w:r>
              <w:rPr>
                <w:rFonts w:hint="eastAsia" w:ascii="仿宋" w:hAnsi="仿宋" w:eastAsia="仿宋" w:cs="仿宋"/>
                <w:color w:val="auto"/>
                <w:sz w:val="28"/>
                <w:szCs w:val="28"/>
                <w:highlight w:val="none"/>
                <w:lang w:val="en-US" w:eastAsia="zh-CN"/>
              </w:rPr>
              <w:t>产品</w:t>
            </w:r>
            <w:r>
              <w:rPr>
                <w:rFonts w:hint="eastAsia" w:ascii="仿宋" w:hAnsi="仿宋" w:eastAsia="仿宋" w:cs="仿宋"/>
                <w:color w:val="auto"/>
                <w:sz w:val="28"/>
                <w:szCs w:val="28"/>
                <w:highlight w:val="none"/>
              </w:rPr>
              <w:t>质量保证措施方案进行</w:t>
            </w:r>
            <w:r>
              <w:rPr>
                <w:rFonts w:hint="eastAsia" w:ascii="仿宋" w:hAnsi="仿宋" w:eastAsia="仿宋" w:cs="仿宋"/>
                <w:color w:val="auto"/>
                <w:sz w:val="28"/>
                <w:szCs w:val="28"/>
                <w:highlight w:val="none"/>
                <w:lang w:val="en-US" w:eastAsia="zh-CN"/>
              </w:rPr>
              <w:t>评审，包括但不限于以下内容：</w:t>
            </w:r>
          </w:p>
          <w:p w14:paraId="7C1CBB87">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①食品安全追溯证明（如检测报告等）</w:t>
            </w:r>
            <w:r>
              <w:rPr>
                <w:rFonts w:hint="eastAsia" w:ascii="仿宋" w:hAnsi="仿宋" w:eastAsia="仿宋" w:cs="仿宋"/>
                <w:color w:val="auto"/>
                <w:kern w:val="0"/>
                <w:sz w:val="28"/>
                <w:szCs w:val="28"/>
                <w:highlight w:val="none"/>
                <w:lang w:val="en-US" w:eastAsia="zh-CN" w:bidi="ar"/>
              </w:rPr>
              <w:t>和追溯方案</w:t>
            </w:r>
            <w:r>
              <w:rPr>
                <w:rFonts w:hint="eastAsia" w:ascii="仿宋" w:hAnsi="仿宋" w:eastAsia="仿宋" w:cs="仿宋"/>
                <w:color w:val="auto"/>
                <w:sz w:val="28"/>
                <w:szCs w:val="28"/>
                <w:highlight w:val="none"/>
                <w:lang w:val="en-US" w:eastAsia="zh-CN"/>
              </w:rPr>
              <w:t>；</w:t>
            </w:r>
          </w:p>
          <w:p w14:paraId="35D60C64">
            <w:pPr>
              <w:spacing w:line="440" w:lineRule="exact"/>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sz w:val="28"/>
                <w:szCs w:val="28"/>
                <w:highlight w:val="none"/>
                <w:lang w:val="en-US" w:eastAsia="zh-CN"/>
              </w:rPr>
              <w:t>②</w:t>
            </w:r>
            <w:r>
              <w:rPr>
                <w:rFonts w:hint="eastAsia" w:ascii="仿宋" w:hAnsi="仿宋" w:eastAsia="仿宋" w:cs="仿宋"/>
                <w:color w:val="auto"/>
                <w:kern w:val="0"/>
                <w:sz w:val="28"/>
                <w:szCs w:val="28"/>
                <w:highlight w:val="none"/>
                <w:lang w:val="en-US" w:eastAsia="zh-CN" w:bidi="ar"/>
              </w:rPr>
              <w:t>食材控制管理措施方案；</w:t>
            </w:r>
          </w:p>
          <w:p w14:paraId="39719F5E">
            <w:pPr>
              <w:spacing w:line="440" w:lineRule="exact"/>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③检验检疫措施方案；</w:t>
            </w:r>
          </w:p>
          <w:p w14:paraId="170A7BA2">
            <w:pPr>
              <w:spacing w:line="440" w:lineRule="exact"/>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④食材质量标准；</w:t>
            </w:r>
          </w:p>
          <w:p w14:paraId="181665BE">
            <w:pPr>
              <w:spacing w:line="440" w:lineRule="exact"/>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⑤质量安全承诺书；（格式自拟）；</w:t>
            </w:r>
          </w:p>
          <w:p w14:paraId="6F15C8CA">
            <w:pPr>
              <w:spacing w:line="440" w:lineRule="exact"/>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⑥针对本项目制定食品安全方案；</w:t>
            </w:r>
          </w:p>
          <w:p w14:paraId="24AAB43D">
            <w:pPr>
              <w:spacing w:line="440" w:lineRule="exact"/>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⑦食品安全责任事故分析方案及处置措施等；</w:t>
            </w:r>
          </w:p>
          <w:p w14:paraId="51F38C4B">
            <w:pPr>
              <w:spacing w:line="440" w:lineRule="exact"/>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⑧食品安全管理制度。</w:t>
            </w:r>
          </w:p>
          <w:p w14:paraId="32DB8016">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以上方案内容完整清晰明确、科学合理，满足项目实际需求的，每项计1.5分，最高得12分，不提供不得分。每有一项内容不完整或每有一处不具有针对性或逻辑性错误或不满足项目实际需求的扣0.5分，扣完为止。</w:t>
            </w:r>
          </w:p>
        </w:tc>
      </w:tr>
      <w:tr w14:paraId="054E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76" w:type="dxa"/>
            <w:vMerge w:val="continue"/>
            <w:noWrap w:val="0"/>
            <w:vAlign w:val="center"/>
          </w:tcPr>
          <w:p w14:paraId="254C02D0">
            <w:pPr>
              <w:spacing w:line="440" w:lineRule="exact"/>
              <w:jc w:val="center"/>
              <w:rPr>
                <w:rFonts w:hint="eastAsia" w:ascii="仿宋" w:hAnsi="仿宋" w:eastAsia="仿宋" w:cs="仿宋"/>
                <w:color w:val="auto"/>
                <w:sz w:val="28"/>
                <w:szCs w:val="28"/>
                <w:highlight w:val="none"/>
              </w:rPr>
            </w:pPr>
          </w:p>
        </w:tc>
        <w:tc>
          <w:tcPr>
            <w:tcW w:w="1613" w:type="dxa"/>
            <w:noWrap w:val="0"/>
            <w:vAlign w:val="center"/>
          </w:tcPr>
          <w:p w14:paraId="3E8A95D8">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bidi="ar-SA"/>
              </w:rPr>
              <w:t>应急处理方案</w:t>
            </w:r>
          </w:p>
        </w:tc>
        <w:tc>
          <w:tcPr>
            <w:tcW w:w="931" w:type="dxa"/>
            <w:noWrap w:val="0"/>
            <w:vAlign w:val="center"/>
          </w:tcPr>
          <w:p w14:paraId="13B768E5">
            <w:pPr>
              <w:spacing w:line="44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p>
        </w:tc>
        <w:tc>
          <w:tcPr>
            <w:tcW w:w="6025" w:type="dxa"/>
            <w:noWrap w:val="0"/>
            <w:vAlign w:val="center"/>
          </w:tcPr>
          <w:p w14:paraId="0B686D77">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评标委员会根据</w:t>
            </w:r>
            <w:r>
              <w:rPr>
                <w:rFonts w:hint="eastAsia" w:ascii="仿宋" w:hAnsi="仿宋" w:eastAsia="仿宋" w:cs="仿宋"/>
                <w:color w:val="auto"/>
                <w:sz w:val="28"/>
                <w:szCs w:val="28"/>
                <w:highlight w:val="none"/>
                <w:lang w:val="en-US" w:eastAsia="zh-CN"/>
              </w:rPr>
              <w:t>各</w:t>
            </w:r>
            <w:r>
              <w:rPr>
                <w:rFonts w:hint="eastAsia" w:ascii="仿宋" w:hAnsi="仿宋" w:eastAsia="仿宋" w:cs="仿宋"/>
                <w:color w:val="auto"/>
                <w:sz w:val="28"/>
                <w:szCs w:val="28"/>
                <w:highlight w:val="none"/>
              </w:rPr>
              <w:t>投标供应商提供的</w:t>
            </w:r>
            <w:r>
              <w:rPr>
                <w:rFonts w:hint="eastAsia" w:ascii="仿宋" w:hAnsi="仿宋" w:eastAsia="仿宋" w:cs="仿宋"/>
                <w:color w:val="auto"/>
                <w:sz w:val="28"/>
                <w:szCs w:val="28"/>
                <w:highlight w:val="none"/>
                <w:lang w:val="en-US" w:eastAsia="zh-CN" w:bidi="ar-SA"/>
              </w:rPr>
              <w:t>应急处理方案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包括但不限于包括临时性配送任务、食品安全事件、运输突发事件、恶劣天气影响等方面</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en-US" w:eastAsia="zh-CN"/>
              </w:rPr>
              <w:t>进行评审：</w:t>
            </w:r>
            <w:r>
              <w:rPr>
                <w:rFonts w:hint="eastAsia" w:ascii="仿宋" w:hAnsi="仿宋" w:eastAsia="仿宋" w:cs="仿宋"/>
                <w:color w:val="auto"/>
                <w:kern w:val="0"/>
                <w:sz w:val="28"/>
                <w:szCs w:val="28"/>
                <w:highlight w:val="none"/>
                <w:lang w:bidi="ar"/>
              </w:rPr>
              <w:t>方案工作内容全面、完整并优于其他</w:t>
            </w:r>
            <w:r>
              <w:rPr>
                <w:rFonts w:hint="eastAsia" w:ascii="仿宋" w:hAnsi="仿宋" w:eastAsia="仿宋" w:cs="仿宋"/>
                <w:color w:val="auto"/>
                <w:sz w:val="28"/>
                <w:szCs w:val="28"/>
                <w:highlight w:val="none"/>
              </w:rPr>
              <w:t>投标供应商</w:t>
            </w:r>
            <w:r>
              <w:rPr>
                <w:rFonts w:hint="eastAsia" w:ascii="仿宋" w:hAnsi="仿宋" w:eastAsia="仿宋" w:cs="仿宋"/>
                <w:color w:val="auto"/>
                <w:kern w:val="0"/>
                <w:sz w:val="28"/>
                <w:szCs w:val="28"/>
                <w:highlight w:val="none"/>
                <w:lang w:bidi="ar"/>
              </w:rPr>
              <w:t>方案得</w:t>
            </w:r>
            <w:r>
              <w:rPr>
                <w:rFonts w:hint="eastAsia" w:ascii="仿宋" w:hAnsi="仿宋" w:eastAsia="仿宋" w:cs="仿宋"/>
                <w:color w:val="auto"/>
                <w:kern w:val="0"/>
                <w:sz w:val="28"/>
                <w:szCs w:val="28"/>
                <w:highlight w:val="none"/>
                <w:lang w:val="en-US" w:eastAsia="zh-CN" w:bidi="ar"/>
              </w:rPr>
              <w:t>8</w:t>
            </w:r>
            <w:r>
              <w:rPr>
                <w:rFonts w:hint="eastAsia" w:ascii="仿宋" w:hAnsi="仿宋" w:eastAsia="仿宋" w:cs="仿宋"/>
                <w:color w:val="auto"/>
                <w:kern w:val="0"/>
                <w:sz w:val="28"/>
                <w:szCs w:val="28"/>
                <w:highlight w:val="none"/>
                <w:lang w:bidi="ar"/>
              </w:rPr>
              <w:t>分；方案工作内容全面、完整的得</w:t>
            </w:r>
            <w:r>
              <w:rPr>
                <w:rFonts w:hint="eastAsia" w:ascii="仿宋" w:hAnsi="仿宋" w:eastAsia="仿宋" w:cs="仿宋"/>
                <w:color w:val="auto"/>
                <w:kern w:val="0"/>
                <w:sz w:val="28"/>
                <w:szCs w:val="28"/>
                <w:highlight w:val="none"/>
                <w:lang w:val="en-US" w:eastAsia="zh-CN" w:bidi="ar"/>
              </w:rPr>
              <w:t>6</w:t>
            </w:r>
            <w:r>
              <w:rPr>
                <w:rFonts w:hint="eastAsia" w:ascii="仿宋" w:hAnsi="仿宋" w:eastAsia="仿宋" w:cs="仿宋"/>
                <w:color w:val="auto"/>
                <w:kern w:val="0"/>
                <w:sz w:val="28"/>
                <w:szCs w:val="28"/>
                <w:highlight w:val="none"/>
                <w:lang w:bidi="ar"/>
              </w:rPr>
              <w:t>分；方案工作内容基本全面、基本完整的得</w:t>
            </w:r>
            <w:r>
              <w:rPr>
                <w:rFonts w:hint="eastAsia" w:ascii="仿宋" w:hAnsi="仿宋" w:eastAsia="仿宋" w:cs="仿宋"/>
                <w:color w:val="auto"/>
                <w:kern w:val="0"/>
                <w:sz w:val="28"/>
                <w:szCs w:val="28"/>
                <w:highlight w:val="none"/>
                <w:lang w:val="en-US" w:eastAsia="zh-CN" w:bidi="ar"/>
              </w:rPr>
              <w:t>4</w:t>
            </w:r>
            <w:r>
              <w:rPr>
                <w:rFonts w:hint="eastAsia" w:ascii="仿宋" w:hAnsi="仿宋" w:eastAsia="仿宋" w:cs="仿宋"/>
                <w:color w:val="auto"/>
                <w:kern w:val="0"/>
                <w:sz w:val="28"/>
                <w:szCs w:val="28"/>
                <w:highlight w:val="none"/>
                <w:lang w:bidi="ar"/>
              </w:rPr>
              <w:t>分；方案工作内容较全面、较完整的得</w:t>
            </w:r>
            <w:r>
              <w:rPr>
                <w:rFonts w:hint="eastAsia" w:ascii="仿宋" w:hAnsi="仿宋" w:eastAsia="仿宋" w:cs="仿宋"/>
                <w:color w:val="auto"/>
                <w:kern w:val="0"/>
                <w:sz w:val="28"/>
                <w:szCs w:val="28"/>
                <w:highlight w:val="none"/>
                <w:lang w:val="en-US" w:eastAsia="zh-CN" w:bidi="ar"/>
              </w:rPr>
              <w:t>2</w:t>
            </w:r>
            <w:r>
              <w:rPr>
                <w:rFonts w:hint="eastAsia" w:ascii="仿宋" w:hAnsi="仿宋" w:eastAsia="仿宋" w:cs="仿宋"/>
                <w:color w:val="auto"/>
                <w:kern w:val="0"/>
                <w:sz w:val="28"/>
                <w:szCs w:val="28"/>
                <w:highlight w:val="none"/>
                <w:lang w:bidi="ar"/>
              </w:rPr>
              <w:t>分；不提供方案不得分。</w:t>
            </w:r>
          </w:p>
        </w:tc>
      </w:tr>
      <w:tr w14:paraId="51FA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restart"/>
            <w:noWrap w:val="0"/>
            <w:vAlign w:val="center"/>
          </w:tcPr>
          <w:p w14:paraId="3623EA60">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商务要求</w:t>
            </w:r>
          </w:p>
        </w:tc>
        <w:tc>
          <w:tcPr>
            <w:tcW w:w="1613" w:type="dxa"/>
            <w:noWrap w:val="0"/>
            <w:vAlign w:val="center"/>
          </w:tcPr>
          <w:p w14:paraId="6F5DB38A">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售后服务方案</w:t>
            </w:r>
          </w:p>
        </w:tc>
        <w:tc>
          <w:tcPr>
            <w:tcW w:w="931" w:type="dxa"/>
            <w:noWrap w:val="0"/>
            <w:vAlign w:val="center"/>
          </w:tcPr>
          <w:p w14:paraId="0925E049">
            <w:pPr>
              <w:spacing w:line="44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p>
        </w:tc>
        <w:tc>
          <w:tcPr>
            <w:tcW w:w="6025" w:type="dxa"/>
            <w:noWrap w:val="0"/>
            <w:vAlign w:val="center"/>
          </w:tcPr>
          <w:p w14:paraId="25D9B130">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评标委员会根据各投标供应商提供完善的售后服务方案进行综合比较打分（方案包含售前、售中和售后服务措施、响应时间、人员组织、交货验收、售后服务点的设置等内容）：</w:t>
            </w:r>
            <w:r>
              <w:rPr>
                <w:rFonts w:hint="eastAsia" w:ascii="仿宋" w:hAnsi="仿宋" w:eastAsia="仿宋" w:cs="仿宋"/>
                <w:color w:val="auto"/>
                <w:kern w:val="0"/>
                <w:sz w:val="28"/>
                <w:szCs w:val="28"/>
                <w:highlight w:val="none"/>
                <w:lang w:bidi="ar"/>
              </w:rPr>
              <w:t>方案工作内容全面、完整并优于其他</w:t>
            </w:r>
            <w:r>
              <w:rPr>
                <w:rFonts w:hint="eastAsia" w:ascii="仿宋" w:hAnsi="仿宋" w:eastAsia="仿宋" w:cs="仿宋"/>
                <w:color w:val="auto"/>
                <w:sz w:val="28"/>
                <w:szCs w:val="28"/>
                <w:highlight w:val="none"/>
              </w:rPr>
              <w:t>投标供应商</w:t>
            </w:r>
            <w:r>
              <w:rPr>
                <w:rFonts w:hint="eastAsia" w:ascii="仿宋" w:hAnsi="仿宋" w:eastAsia="仿宋" w:cs="仿宋"/>
                <w:color w:val="auto"/>
                <w:kern w:val="0"/>
                <w:sz w:val="28"/>
                <w:szCs w:val="28"/>
                <w:highlight w:val="none"/>
                <w:lang w:bidi="ar"/>
              </w:rPr>
              <w:t>方案</w:t>
            </w:r>
            <w:r>
              <w:rPr>
                <w:rFonts w:hint="eastAsia" w:ascii="仿宋" w:hAnsi="仿宋" w:eastAsia="仿宋" w:cs="仿宋"/>
                <w:color w:val="auto"/>
                <w:kern w:val="0"/>
                <w:sz w:val="28"/>
                <w:szCs w:val="28"/>
                <w:highlight w:val="none"/>
                <w:lang w:val="en-US" w:eastAsia="zh-CN" w:bidi="ar"/>
              </w:rPr>
              <w:t>的</w:t>
            </w:r>
            <w:r>
              <w:rPr>
                <w:rFonts w:hint="eastAsia" w:ascii="仿宋" w:hAnsi="仿宋" w:eastAsia="仿宋" w:cs="仿宋"/>
                <w:color w:val="auto"/>
                <w:kern w:val="0"/>
                <w:sz w:val="28"/>
                <w:szCs w:val="28"/>
                <w:highlight w:val="none"/>
                <w:lang w:bidi="ar"/>
              </w:rPr>
              <w:t>得</w:t>
            </w:r>
            <w:r>
              <w:rPr>
                <w:rFonts w:hint="eastAsia" w:ascii="仿宋" w:hAnsi="仿宋" w:eastAsia="仿宋" w:cs="仿宋"/>
                <w:color w:val="auto"/>
                <w:kern w:val="0"/>
                <w:sz w:val="28"/>
                <w:szCs w:val="28"/>
                <w:highlight w:val="none"/>
                <w:lang w:val="en-US" w:eastAsia="zh-CN" w:bidi="ar"/>
              </w:rPr>
              <w:t>8</w:t>
            </w:r>
            <w:r>
              <w:rPr>
                <w:rFonts w:hint="eastAsia" w:ascii="仿宋" w:hAnsi="仿宋" w:eastAsia="仿宋" w:cs="仿宋"/>
                <w:color w:val="auto"/>
                <w:kern w:val="0"/>
                <w:sz w:val="28"/>
                <w:szCs w:val="28"/>
                <w:highlight w:val="none"/>
                <w:lang w:bidi="ar"/>
              </w:rPr>
              <w:t>分；方案工作内容全面、完整的得</w:t>
            </w:r>
            <w:r>
              <w:rPr>
                <w:rFonts w:hint="eastAsia" w:ascii="仿宋" w:hAnsi="仿宋" w:eastAsia="仿宋" w:cs="仿宋"/>
                <w:color w:val="auto"/>
                <w:kern w:val="0"/>
                <w:sz w:val="28"/>
                <w:szCs w:val="28"/>
                <w:highlight w:val="none"/>
                <w:lang w:val="en-US" w:eastAsia="zh-CN" w:bidi="ar"/>
              </w:rPr>
              <w:t>6</w:t>
            </w:r>
            <w:r>
              <w:rPr>
                <w:rFonts w:hint="eastAsia" w:ascii="仿宋" w:hAnsi="仿宋" w:eastAsia="仿宋" w:cs="仿宋"/>
                <w:color w:val="auto"/>
                <w:kern w:val="0"/>
                <w:sz w:val="28"/>
                <w:szCs w:val="28"/>
                <w:highlight w:val="none"/>
                <w:lang w:bidi="ar"/>
              </w:rPr>
              <w:t>分；方案工作内容基本全面、基本完整的得</w:t>
            </w:r>
            <w:r>
              <w:rPr>
                <w:rFonts w:hint="eastAsia" w:ascii="仿宋" w:hAnsi="仿宋" w:eastAsia="仿宋" w:cs="仿宋"/>
                <w:color w:val="auto"/>
                <w:kern w:val="0"/>
                <w:sz w:val="28"/>
                <w:szCs w:val="28"/>
                <w:highlight w:val="none"/>
                <w:lang w:val="en-US" w:eastAsia="zh-CN" w:bidi="ar"/>
              </w:rPr>
              <w:t>4</w:t>
            </w:r>
            <w:r>
              <w:rPr>
                <w:rFonts w:hint="eastAsia" w:ascii="仿宋" w:hAnsi="仿宋" w:eastAsia="仿宋" w:cs="仿宋"/>
                <w:color w:val="auto"/>
                <w:kern w:val="0"/>
                <w:sz w:val="28"/>
                <w:szCs w:val="28"/>
                <w:highlight w:val="none"/>
                <w:lang w:bidi="ar"/>
              </w:rPr>
              <w:t>分；方案工作内容较全面、较完整的得</w:t>
            </w:r>
            <w:r>
              <w:rPr>
                <w:rFonts w:hint="eastAsia" w:ascii="仿宋" w:hAnsi="仿宋" w:eastAsia="仿宋" w:cs="仿宋"/>
                <w:color w:val="auto"/>
                <w:kern w:val="0"/>
                <w:sz w:val="28"/>
                <w:szCs w:val="28"/>
                <w:highlight w:val="none"/>
                <w:lang w:val="en-US" w:eastAsia="zh-CN" w:bidi="ar"/>
              </w:rPr>
              <w:t>2</w:t>
            </w:r>
            <w:r>
              <w:rPr>
                <w:rFonts w:hint="eastAsia" w:ascii="仿宋" w:hAnsi="仿宋" w:eastAsia="仿宋" w:cs="仿宋"/>
                <w:color w:val="auto"/>
                <w:kern w:val="0"/>
                <w:sz w:val="28"/>
                <w:szCs w:val="28"/>
                <w:highlight w:val="none"/>
                <w:lang w:bidi="ar"/>
              </w:rPr>
              <w:t>分；不提供方案不得分。</w:t>
            </w:r>
          </w:p>
        </w:tc>
      </w:tr>
      <w:tr w14:paraId="5D6A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76" w:type="dxa"/>
            <w:vMerge w:val="continue"/>
            <w:noWrap w:val="0"/>
            <w:vAlign w:val="center"/>
          </w:tcPr>
          <w:p w14:paraId="3A65C471">
            <w:pPr>
              <w:spacing w:line="440" w:lineRule="exact"/>
              <w:jc w:val="center"/>
              <w:rPr>
                <w:rFonts w:hint="eastAsia" w:ascii="仿宋" w:hAnsi="仿宋" w:eastAsia="仿宋" w:cs="仿宋"/>
                <w:color w:val="auto"/>
                <w:sz w:val="28"/>
                <w:szCs w:val="28"/>
                <w:highlight w:val="none"/>
              </w:rPr>
            </w:pPr>
          </w:p>
        </w:tc>
        <w:tc>
          <w:tcPr>
            <w:tcW w:w="1613" w:type="dxa"/>
            <w:tcBorders>
              <w:top w:val="single" w:color="auto" w:sz="4" w:space="0"/>
              <w:bottom w:val="single" w:color="auto" w:sz="4" w:space="0"/>
              <w:right w:val="single" w:color="auto" w:sz="4" w:space="0"/>
            </w:tcBorders>
            <w:noWrap w:val="0"/>
            <w:vAlign w:val="center"/>
          </w:tcPr>
          <w:p w14:paraId="045090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kern w:val="0"/>
                <w:sz w:val="28"/>
                <w:szCs w:val="28"/>
                <w:highlight w:val="none"/>
                <w:lang w:val="en-US" w:eastAsia="zh-CN" w:bidi="ar"/>
              </w:rPr>
              <w:t>服务人员的配备方案</w:t>
            </w:r>
          </w:p>
          <w:p w14:paraId="4AAC5522">
            <w:pPr>
              <w:spacing w:line="440" w:lineRule="exact"/>
              <w:jc w:val="center"/>
              <w:rPr>
                <w:rFonts w:hint="eastAsia" w:ascii="仿宋" w:hAnsi="仿宋" w:eastAsia="仿宋" w:cs="仿宋"/>
                <w:color w:val="auto"/>
                <w:kern w:val="2"/>
                <w:sz w:val="28"/>
                <w:szCs w:val="28"/>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17EAD02B">
            <w:pPr>
              <w:spacing w:line="440" w:lineRule="exact"/>
              <w:jc w:val="center"/>
              <w:rPr>
                <w:rFonts w:hint="eastAsia" w:ascii="仿宋" w:hAnsi="仿宋" w:eastAsia="仿宋" w:cs="仿宋"/>
                <w:color w:val="auto"/>
                <w:kern w:val="2"/>
                <w:sz w:val="28"/>
                <w:szCs w:val="28"/>
                <w:highlight w:val="none"/>
              </w:rPr>
            </w:pPr>
            <w:r>
              <w:rPr>
                <w:rFonts w:hint="eastAsia" w:ascii="仿宋" w:hAnsi="仿宋" w:eastAsia="仿宋" w:cs="仿宋"/>
                <w:color w:val="auto"/>
                <w:sz w:val="28"/>
                <w:szCs w:val="28"/>
                <w:highlight w:val="none"/>
              </w:rPr>
              <w:t>5</w:t>
            </w:r>
          </w:p>
        </w:tc>
        <w:tc>
          <w:tcPr>
            <w:tcW w:w="6025" w:type="dxa"/>
            <w:tcBorders>
              <w:top w:val="single" w:color="auto" w:sz="4" w:space="0"/>
              <w:left w:val="single" w:color="auto" w:sz="4" w:space="0"/>
              <w:bottom w:val="single" w:color="auto" w:sz="4" w:space="0"/>
              <w:right w:val="single" w:color="auto" w:sz="4" w:space="0"/>
            </w:tcBorders>
            <w:noWrap w:val="0"/>
            <w:vAlign w:val="center"/>
          </w:tcPr>
          <w:p w14:paraId="55B0769E">
            <w:pPr>
              <w:spacing w:line="440" w:lineRule="exact"/>
              <w:jc w:val="left"/>
              <w:rPr>
                <w:rFonts w:hint="eastAsia" w:ascii="仿宋" w:hAnsi="仿宋" w:eastAsia="仿宋" w:cs="仿宋"/>
                <w:color w:val="auto"/>
                <w:kern w:val="2"/>
                <w:sz w:val="28"/>
                <w:szCs w:val="28"/>
                <w:highlight w:val="none"/>
              </w:rPr>
            </w:pPr>
            <w:r>
              <w:rPr>
                <w:rFonts w:hint="eastAsia" w:ascii="仿宋" w:hAnsi="仿宋" w:eastAsia="仿宋" w:cs="仿宋"/>
                <w:color w:val="auto"/>
                <w:sz w:val="28"/>
                <w:szCs w:val="28"/>
                <w:highlight w:val="none"/>
              </w:rPr>
              <w:t>评标委员会</w:t>
            </w:r>
            <w:r>
              <w:rPr>
                <w:rFonts w:hint="eastAsia" w:ascii="仿宋" w:hAnsi="仿宋" w:eastAsia="仿宋" w:cs="仿宋"/>
                <w:color w:val="auto"/>
                <w:sz w:val="28"/>
                <w:szCs w:val="28"/>
                <w:highlight w:val="none"/>
                <w:lang w:val="en-US" w:eastAsia="zh-CN"/>
              </w:rPr>
              <w:t>根据各</w:t>
            </w:r>
            <w:r>
              <w:rPr>
                <w:rFonts w:hint="eastAsia" w:ascii="仿宋" w:hAnsi="仿宋" w:eastAsia="仿宋" w:cs="仿宋"/>
                <w:color w:val="auto"/>
                <w:sz w:val="28"/>
                <w:szCs w:val="28"/>
                <w:highlight w:val="none"/>
              </w:rPr>
              <w:t>投标供应商</w:t>
            </w:r>
            <w:r>
              <w:rPr>
                <w:rFonts w:hint="eastAsia" w:ascii="仿宋" w:hAnsi="仿宋" w:eastAsia="仿宋" w:cs="仿宋"/>
                <w:color w:val="auto"/>
                <w:sz w:val="28"/>
                <w:szCs w:val="28"/>
                <w:highlight w:val="none"/>
                <w:lang w:val="en-US" w:eastAsia="zh-CN"/>
              </w:rPr>
              <w:t>提供的服务人员的配备方案（包括但不限于采购、配送、管理人员等人员名单、身份证、驾驶证、健康</w:t>
            </w:r>
            <w:r>
              <w:rPr>
                <w:rFonts w:hint="eastAsia" w:ascii="仿宋" w:hAnsi="仿宋" w:eastAsia="仿宋" w:cs="仿宋"/>
                <w:color w:val="auto"/>
                <w:kern w:val="0"/>
                <w:sz w:val="28"/>
                <w:szCs w:val="28"/>
                <w:highlight w:val="none"/>
                <w:lang w:val="en-US" w:eastAsia="zh-CN" w:bidi="ar"/>
              </w:rPr>
              <w:t>证明、学历证明、执业证书、配送人员近三个月投标单位缴纳的社保缴费证明材料等相关内容）进行综合评审：</w:t>
            </w:r>
            <w:r>
              <w:rPr>
                <w:rFonts w:hint="eastAsia" w:ascii="仿宋" w:hAnsi="仿宋" w:eastAsia="仿宋" w:cs="仿宋"/>
                <w:color w:val="auto"/>
                <w:kern w:val="0"/>
                <w:sz w:val="28"/>
                <w:szCs w:val="28"/>
                <w:highlight w:val="none"/>
                <w:lang w:bidi="ar"/>
              </w:rPr>
              <w:t>方案工作内容全面、完整并优于其他</w:t>
            </w:r>
            <w:r>
              <w:rPr>
                <w:rFonts w:hint="eastAsia" w:ascii="仿宋" w:hAnsi="仿宋" w:eastAsia="仿宋" w:cs="仿宋"/>
                <w:color w:val="auto"/>
                <w:sz w:val="28"/>
                <w:szCs w:val="28"/>
                <w:highlight w:val="none"/>
              </w:rPr>
              <w:t>投标供应商</w:t>
            </w:r>
            <w:r>
              <w:rPr>
                <w:rFonts w:hint="eastAsia" w:ascii="仿宋" w:hAnsi="仿宋" w:eastAsia="仿宋" w:cs="仿宋"/>
                <w:color w:val="auto"/>
                <w:kern w:val="0"/>
                <w:sz w:val="28"/>
                <w:szCs w:val="28"/>
                <w:highlight w:val="none"/>
                <w:lang w:bidi="ar"/>
              </w:rPr>
              <w:t>方案得</w:t>
            </w:r>
            <w:r>
              <w:rPr>
                <w:rFonts w:hint="eastAsia" w:ascii="仿宋" w:hAnsi="仿宋" w:eastAsia="仿宋" w:cs="仿宋"/>
                <w:color w:val="auto"/>
                <w:kern w:val="0"/>
                <w:sz w:val="28"/>
                <w:szCs w:val="28"/>
                <w:highlight w:val="none"/>
                <w:lang w:val="en-US" w:eastAsia="zh-CN" w:bidi="ar"/>
              </w:rPr>
              <w:t>5</w:t>
            </w:r>
            <w:r>
              <w:rPr>
                <w:rFonts w:hint="eastAsia" w:ascii="仿宋" w:hAnsi="仿宋" w:eastAsia="仿宋" w:cs="仿宋"/>
                <w:color w:val="auto"/>
                <w:kern w:val="0"/>
                <w:sz w:val="28"/>
                <w:szCs w:val="28"/>
                <w:highlight w:val="none"/>
                <w:lang w:bidi="ar"/>
              </w:rPr>
              <w:t>分；方案工作内容全面、完整的得</w:t>
            </w:r>
            <w:r>
              <w:rPr>
                <w:rFonts w:hint="eastAsia" w:ascii="仿宋" w:hAnsi="仿宋" w:eastAsia="仿宋" w:cs="仿宋"/>
                <w:color w:val="auto"/>
                <w:kern w:val="0"/>
                <w:sz w:val="28"/>
                <w:szCs w:val="28"/>
                <w:highlight w:val="none"/>
                <w:lang w:val="en-US" w:eastAsia="zh-CN" w:bidi="ar"/>
              </w:rPr>
              <w:t>3</w:t>
            </w:r>
            <w:r>
              <w:rPr>
                <w:rFonts w:hint="eastAsia" w:ascii="仿宋" w:hAnsi="仿宋" w:eastAsia="仿宋" w:cs="仿宋"/>
                <w:color w:val="auto"/>
                <w:kern w:val="0"/>
                <w:sz w:val="28"/>
                <w:szCs w:val="28"/>
                <w:highlight w:val="none"/>
                <w:lang w:bidi="ar"/>
              </w:rPr>
              <w:t>分；方案工作内容基本全面、基本完整的得</w:t>
            </w:r>
            <w:r>
              <w:rPr>
                <w:rFonts w:hint="eastAsia" w:ascii="仿宋" w:hAnsi="仿宋" w:eastAsia="仿宋" w:cs="仿宋"/>
                <w:color w:val="auto"/>
                <w:kern w:val="0"/>
                <w:sz w:val="28"/>
                <w:szCs w:val="28"/>
                <w:highlight w:val="none"/>
                <w:lang w:val="en-US" w:eastAsia="zh-CN" w:bidi="ar"/>
              </w:rPr>
              <w:t>1</w:t>
            </w:r>
            <w:r>
              <w:rPr>
                <w:rFonts w:hint="eastAsia" w:ascii="仿宋" w:hAnsi="仿宋" w:eastAsia="仿宋" w:cs="仿宋"/>
                <w:color w:val="auto"/>
                <w:kern w:val="0"/>
                <w:sz w:val="28"/>
                <w:szCs w:val="28"/>
                <w:highlight w:val="none"/>
                <w:lang w:bidi="ar"/>
              </w:rPr>
              <w:t>分</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bidi="ar"/>
              </w:rPr>
              <w:t>不提供方案不得分。</w:t>
            </w:r>
          </w:p>
        </w:tc>
      </w:tr>
      <w:tr w14:paraId="10C0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76" w:type="dxa"/>
            <w:vMerge w:val="continue"/>
            <w:noWrap w:val="0"/>
            <w:vAlign w:val="center"/>
          </w:tcPr>
          <w:p w14:paraId="0665C10D">
            <w:pPr>
              <w:spacing w:line="440" w:lineRule="exact"/>
              <w:jc w:val="center"/>
              <w:rPr>
                <w:rFonts w:hint="eastAsia" w:ascii="仿宋" w:hAnsi="仿宋" w:eastAsia="仿宋" w:cs="仿宋"/>
                <w:color w:val="auto"/>
                <w:sz w:val="28"/>
                <w:szCs w:val="28"/>
                <w:highlight w:val="none"/>
              </w:rPr>
            </w:pPr>
          </w:p>
        </w:tc>
        <w:tc>
          <w:tcPr>
            <w:tcW w:w="1613" w:type="dxa"/>
            <w:tcBorders>
              <w:top w:val="single" w:color="auto" w:sz="4" w:space="0"/>
              <w:bottom w:val="single" w:color="auto" w:sz="4" w:space="0"/>
              <w:right w:val="single" w:color="auto" w:sz="4" w:space="0"/>
            </w:tcBorders>
            <w:noWrap w:val="0"/>
            <w:vAlign w:val="center"/>
          </w:tcPr>
          <w:p w14:paraId="342F6DBC">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类似业绩</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61E9084">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6025" w:type="dxa"/>
            <w:tcBorders>
              <w:top w:val="single" w:color="auto" w:sz="4" w:space="0"/>
              <w:left w:val="single" w:color="auto" w:sz="4" w:space="0"/>
              <w:bottom w:val="single" w:color="auto" w:sz="4" w:space="0"/>
              <w:right w:val="single" w:color="auto" w:sz="4" w:space="0"/>
            </w:tcBorders>
            <w:noWrap w:val="0"/>
            <w:vAlign w:val="center"/>
          </w:tcPr>
          <w:p w14:paraId="6EF8492A">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w:t>
            </w:r>
            <w:r>
              <w:rPr>
                <w:rFonts w:hint="eastAsia" w:ascii="仿宋" w:hAnsi="仿宋" w:eastAsia="仿宋" w:cs="仿宋"/>
                <w:color w:val="auto"/>
                <w:kern w:val="0"/>
                <w:sz w:val="28"/>
                <w:szCs w:val="28"/>
                <w:highlight w:val="none"/>
                <w:lang w:val="en-US" w:eastAsia="zh-CN" w:bidi="ar"/>
              </w:rPr>
              <w:t>根据各投标供应商提供的2021年1月1日至今类似业绩进行打分，每提供1项得1分，总分不超过5分（附合同或中标（或成交）通知书复印件加盖企业公章）。</w:t>
            </w:r>
          </w:p>
        </w:tc>
      </w:tr>
      <w:bookmarkEnd w:id="396"/>
      <w:bookmarkEnd w:id="397"/>
    </w:tbl>
    <w:p w14:paraId="7F467A21">
      <w:pPr>
        <w:pageBreakBefore w:val="0"/>
        <w:widowControl w:val="0"/>
        <w:kinsoku/>
        <w:overflowPunct/>
        <w:autoSpaceDE/>
        <w:autoSpaceDN/>
        <w:bidi w:val="0"/>
        <w:adjustRightInd/>
        <w:snapToGrid w:val="0"/>
        <w:spacing w:line="48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备注：评标委员会</w:t>
      </w:r>
      <w:r>
        <w:rPr>
          <w:rFonts w:hint="eastAsia" w:ascii="仿宋" w:hAnsi="仿宋" w:eastAsia="仿宋" w:cs="仿宋"/>
          <w:bCs/>
          <w:color w:val="auto"/>
          <w:sz w:val="28"/>
          <w:szCs w:val="28"/>
          <w:highlight w:val="none"/>
        </w:rPr>
        <w:t>需要严格按照以上方法赋分，不得超过分数界限赋分</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最低报价不是中标的唯一依据。</w:t>
      </w:r>
    </w:p>
    <w:p w14:paraId="1BDDB717">
      <w:pPr>
        <w:pStyle w:val="2"/>
        <w:spacing w:line="440" w:lineRule="exact"/>
        <w:ind w:firstLine="2209" w:firstLineChars="500"/>
        <w:jc w:val="both"/>
        <w:rPr>
          <w:rFonts w:hint="eastAsia" w:ascii="仿宋_GB2312" w:eastAsia="仿宋_GB2312"/>
          <w:b/>
          <w:bCs/>
          <w:color w:val="auto"/>
          <w:sz w:val="44"/>
          <w:szCs w:val="44"/>
          <w:highlight w:val="none"/>
        </w:rPr>
      </w:pPr>
    </w:p>
    <w:p w14:paraId="7D65E52C">
      <w:pPr>
        <w:pStyle w:val="3"/>
        <w:rPr>
          <w:rFonts w:hint="eastAsia"/>
          <w:color w:val="auto"/>
          <w:highlight w:val="none"/>
        </w:rPr>
      </w:pPr>
    </w:p>
    <w:p w14:paraId="2B7D084F">
      <w:pPr>
        <w:rPr>
          <w:rFonts w:hint="eastAsia"/>
          <w:color w:val="auto"/>
          <w:highlight w:val="none"/>
        </w:rPr>
      </w:pPr>
    </w:p>
    <w:p w14:paraId="2B2FB763">
      <w:pPr>
        <w:rPr>
          <w:rFonts w:hint="eastAsia"/>
          <w:highlight w:val="none"/>
        </w:rPr>
      </w:pPr>
      <w:r>
        <w:rPr>
          <w:rFonts w:hint="eastAsia"/>
          <w:highlight w:val="none"/>
        </w:rPr>
        <w:br w:type="page"/>
      </w:r>
    </w:p>
    <w:p w14:paraId="6F2EDF5E">
      <w:pPr>
        <w:pageBreakBefore w:val="0"/>
        <w:widowControl w:val="0"/>
        <w:kinsoku/>
        <w:overflowPunct/>
        <w:autoSpaceDE/>
        <w:autoSpaceDN/>
        <w:bidi w:val="0"/>
        <w:adjustRightInd/>
        <w:snapToGrid w:val="0"/>
        <w:spacing w:line="480" w:lineRule="exact"/>
        <w:ind w:firstLine="562" w:firstLineChars="200"/>
        <w:jc w:val="center"/>
        <w:textAlignment w:val="auto"/>
        <w:rPr>
          <w:rFonts w:hint="eastAsia" w:ascii="仿宋" w:hAnsi="仿宋" w:eastAsia="仿宋" w:cs="仿宋"/>
          <w:b/>
          <w:bCs w:val="0"/>
          <w:color w:val="auto"/>
          <w:sz w:val="28"/>
          <w:szCs w:val="28"/>
          <w:highlight w:val="none"/>
          <w:lang w:eastAsia="zh-CN"/>
        </w:rPr>
      </w:pPr>
      <w:bookmarkStart w:id="398" w:name="_Toc18456"/>
      <w:bookmarkStart w:id="399" w:name="_Toc12287"/>
      <w:bookmarkStart w:id="400" w:name="_Toc217446094"/>
      <w:r>
        <w:rPr>
          <w:rFonts w:hint="eastAsia" w:ascii="仿宋" w:hAnsi="仿宋" w:eastAsia="仿宋" w:cs="仿宋"/>
          <w:b/>
          <w:bCs w:val="0"/>
          <w:color w:val="auto"/>
          <w:sz w:val="28"/>
          <w:szCs w:val="28"/>
          <w:highlight w:val="none"/>
        </w:rPr>
        <w:t>评分标准</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lang w:val="en-US" w:eastAsia="zh-CN"/>
        </w:rPr>
        <w:t>第二标段</w:t>
      </w:r>
      <w:r>
        <w:rPr>
          <w:rFonts w:hint="eastAsia" w:ascii="仿宋" w:hAnsi="仿宋" w:eastAsia="仿宋" w:cs="仿宋"/>
          <w:b/>
          <w:bCs w:val="0"/>
          <w:color w:val="auto"/>
          <w:sz w:val="28"/>
          <w:szCs w:val="28"/>
          <w:highlight w:val="none"/>
          <w:lang w:eastAsia="zh-CN"/>
        </w:rPr>
        <w:t>）</w:t>
      </w:r>
    </w:p>
    <w:tbl>
      <w:tblPr>
        <w:tblStyle w:val="27"/>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13"/>
        <w:gridCol w:w="931"/>
        <w:gridCol w:w="6025"/>
      </w:tblGrid>
      <w:tr w14:paraId="1C83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 w:type="dxa"/>
            <w:noWrap w:val="0"/>
            <w:vAlign w:val="center"/>
          </w:tcPr>
          <w:p w14:paraId="502572B2">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分项</w:t>
            </w:r>
          </w:p>
        </w:tc>
        <w:tc>
          <w:tcPr>
            <w:tcW w:w="1613" w:type="dxa"/>
            <w:noWrap w:val="0"/>
            <w:vAlign w:val="center"/>
          </w:tcPr>
          <w:p w14:paraId="6D526F3D">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评分内容</w:t>
            </w:r>
          </w:p>
        </w:tc>
        <w:tc>
          <w:tcPr>
            <w:tcW w:w="931" w:type="dxa"/>
            <w:noWrap w:val="0"/>
            <w:vAlign w:val="center"/>
          </w:tcPr>
          <w:p w14:paraId="51E5FF3A">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分值</w:t>
            </w:r>
          </w:p>
        </w:tc>
        <w:tc>
          <w:tcPr>
            <w:tcW w:w="6025" w:type="dxa"/>
            <w:noWrap w:val="0"/>
            <w:vAlign w:val="center"/>
          </w:tcPr>
          <w:p w14:paraId="3916588B">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评分标准</w:t>
            </w:r>
          </w:p>
        </w:tc>
      </w:tr>
      <w:tr w14:paraId="1A2B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876" w:type="dxa"/>
            <w:noWrap w:val="0"/>
            <w:vAlign w:val="center"/>
          </w:tcPr>
          <w:p w14:paraId="2BAB0C25">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报价部分</w:t>
            </w:r>
          </w:p>
        </w:tc>
        <w:tc>
          <w:tcPr>
            <w:tcW w:w="1613" w:type="dxa"/>
            <w:noWrap w:val="0"/>
            <w:vAlign w:val="center"/>
          </w:tcPr>
          <w:p w14:paraId="5E281972">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报价分</w:t>
            </w:r>
          </w:p>
        </w:tc>
        <w:tc>
          <w:tcPr>
            <w:tcW w:w="931" w:type="dxa"/>
            <w:noWrap w:val="0"/>
            <w:vAlign w:val="center"/>
          </w:tcPr>
          <w:p w14:paraId="3AFFD100">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w:t>
            </w:r>
          </w:p>
        </w:tc>
        <w:tc>
          <w:tcPr>
            <w:tcW w:w="6025" w:type="dxa"/>
            <w:noWrap w:val="0"/>
            <w:vAlign w:val="center"/>
          </w:tcPr>
          <w:p w14:paraId="4B679442">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有效的投标报价中的最低价为评标基准价，按照下列公式计算每个</w:t>
            </w:r>
            <w:r>
              <w:rPr>
                <w:rFonts w:hint="eastAsia" w:ascii="仿宋" w:hAnsi="仿宋" w:eastAsia="仿宋" w:cs="仿宋"/>
                <w:color w:val="auto"/>
                <w:kern w:val="0"/>
                <w:sz w:val="28"/>
                <w:szCs w:val="28"/>
                <w:highlight w:val="none"/>
                <w:lang w:val="en-US" w:eastAsia="zh-CN" w:bidi="ar"/>
              </w:rPr>
              <w:t>投标</w:t>
            </w:r>
            <w:r>
              <w:rPr>
                <w:rFonts w:hint="eastAsia" w:ascii="仿宋" w:hAnsi="仿宋" w:eastAsia="仿宋" w:cs="仿宋"/>
                <w:color w:val="auto"/>
                <w:kern w:val="0"/>
                <w:sz w:val="28"/>
                <w:szCs w:val="28"/>
                <w:highlight w:val="none"/>
                <w:lang w:bidi="ar"/>
              </w:rPr>
              <w:t>供应商的投标价格得分。投标报价得分＝（评标基准价/投标报价）×价格权重×100。</w:t>
            </w:r>
          </w:p>
        </w:tc>
      </w:tr>
      <w:tr w14:paraId="7A1C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76" w:type="dxa"/>
            <w:vMerge w:val="restart"/>
            <w:noWrap w:val="0"/>
            <w:vAlign w:val="center"/>
          </w:tcPr>
          <w:p w14:paraId="42D0D358">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技术部分</w:t>
            </w:r>
          </w:p>
        </w:tc>
        <w:tc>
          <w:tcPr>
            <w:tcW w:w="1613" w:type="dxa"/>
            <w:noWrap w:val="0"/>
            <w:vAlign w:val="center"/>
          </w:tcPr>
          <w:p w14:paraId="66BF55B3">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规格技术指标及商务要求响应情况</w:t>
            </w:r>
          </w:p>
        </w:tc>
        <w:tc>
          <w:tcPr>
            <w:tcW w:w="931" w:type="dxa"/>
            <w:noWrap w:val="0"/>
            <w:vAlign w:val="center"/>
          </w:tcPr>
          <w:p w14:paraId="28DF9696">
            <w:pPr>
              <w:spacing w:line="44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w:t>
            </w:r>
          </w:p>
        </w:tc>
        <w:tc>
          <w:tcPr>
            <w:tcW w:w="6025" w:type="dxa"/>
            <w:noWrap w:val="0"/>
            <w:vAlign w:val="center"/>
          </w:tcPr>
          <w:p w14:paraId="7250202D">
            <w:pPr>
              <w:keepNext w:val="0"/>
              <w:keepLines w:val="0"/>
              <w:pageBreakBefore w:val="0"/>
              <w:widowControl/>
              <w:suppressLineNumbers w:val="0"/>
              <w:kinsoku/>
              <w:wordWrap/>
              <w:overflowPunct/>
              <w:topLinePunct w:val="0"/>
              <w:autoSpaceDE/>
              <w:autoSpaceDN/>
              <w:bidi w:val="0"/>
              <w:adjustRightInd/>
              <w:snapToGrid/>
              <w:spacing w:after="0" w:line="44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投标人提供的规格技术指标及商务要求完全响应招标文件要求且没有负偏离的得15分</w:t>
            </w:r>
            <w:r>
              <w:rPr>
                <w:rFonts w:hint="eastAsia" w:ascii="仿宋" w:hAnsi="仿宋" w:eastAsia="仿宋" w:cs="仿宋"/>
                <w:i w:val="0"/>
                <w:color w:val="auto"/>
                <w:kern w:val="0"/>
                <w:sz w:val="28"/>
                <w:szCs w:val="28"/>
                <w:highlight w:val="none"/>
                <w:u w:val="none"/>
                <w:lang w:val="en-US" w:eastAsia="zh-CN" w:bidi="ar"/>
              </w:rPr>
              <w:t>，</w:t>
            </w:r>
            <w:r>
              <w:rPr>
                <w:rFonts w:hint="eastAsia" w:ascii="仿宋" w:hAnsi="仿宋" w:eastAsia="仿宋" w:cs="仿宋"/>
                <w:color w:val="auto"/>
                <w:sz w:val="28"/>
                <w:szCs w:val="28"/>
                <w:highlight w:val="none"/>
                <w:lang w:val="en-US" w:eastAsia="zh-CN"/>
              </w:rPr>
              <w:t>对产产品技术规格及商务要求</w:t>
            </w:r>
            <w:r>
              <w:rPr>
                <w:rFonts w:hint="eastAsia" w:ascii="仿宋" w:hAnsi="仿宋" w:eastAsia="仿宋" w:cs="仿宋"/>
                <w:i w:val="0"/>
                <w:color w:val="auto"/>
                <w:kern w:val="0"/>
                <w:sz w:val="28"/>
                <w:szCs w:val="28"/>
                <w:highlight w:val="none"/>
                <w:u w:val="none"/>
                <w:lang w:val="en-US" w:eastAsia="zh-CN" w:bidi="ar"/>
              </w:rPr>
              <w:t>内</w:t>
            </w:r>
            <w:r>
              <w:rPr>
                <w:rFonts w:hint="eastAsia" w:ascii="仿宋" w:hAnsi="仿宋" w:eastAsia="仿宋" w:cs="仿宋"/>
                <w:color w:val="auto"/>
                <w:sz w:val="28"/>
                <w:szCs w:val="28"/>
                <w:highlight w:val="none"/>
                <w:lang w:val="en-US" w:eastAsia="zh-CN"/>
              </w:rPr>
              <w:t>的条款每出现一条负偏离，扣1.5分，扣完为止，满分15分</w:t>
            </w:r>
            <w:r>
              <w:rPr>
                <w:rFonts w:hint="eastAsia" w:ascii="仿宋" w:hAnsi="仿宋" w:eastAsia="仿宋" w:cs="仿宋"/>
                <w:i w:val="0"/>
                <w:color w:val="auto"/>
                <w:kern w:val="0"/>
                <w:sz w:val="28"/>
                <w:szCs w:val="28"/>
                <w:highlight w:val="none"/>
                <w:u w:val="none"/>
                <w:lang w:val="en-US" w:eastAsia="zh-CN" w:bidi="ar"/>
              </w:rPr>
              <w:t>。</w:t>
            </w:r>
          </w:p>
          <w:p w14:paraId="05F2A538">
            <w:pPr>
              <w:spacing w:line="440" w:lineRule="exact"/>
              <w:jc w:val="left"/>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注：投标人须对本招标文件产品技术规格要求及商务要求结合所供产品的质量状况进行逐条逐项答复、说明和解释，未提供不得分。</w:t>
            </w:r>
          </w:p>
        </w:tc>
      </w:tr>
      <w:tr w14:paraId="302D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vMerge w:val="continue"/>
            <w:noWrap w:val="0"/>
            <w:vAlign w:val="center"/>
          </w:tcPr>
          <w:p w14:paraId="6FF06340">
            <w:pPr>
              <w:spacing w:line="440" w:lineRule="exact"/>
              <w:jc w:val="center"/>
              <w:rPr>
                <w:rFonts w:hint="eastAsia" w:ascii="仿宋" w:hAnsi="仿宋" w:eastAsia="仿宋" w:cs="仿宋"/>
                <w:color w:val="auto"/>
                <w:sz w:val="28"/>
                <w:szCs w:val="28"/>
                <w:highlight w:val="none"/>
              </w:rPr>
            </w:pPr>
          </w:p>
        </w:tc>
        <w:tc>
          <w:tcPr>
            <w:tcW w:w="1613" w:type="dxa"/>
            <w:noWrap w:val="0"/>
            <w:vAlign w:val="center"/>
          </w:tcPr>
          <w:p w14:paraId="09F304A4">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项目整体实施方案</w:t>
            </w:r>
          </w:p>
        </w:tc>
        <w:tc>
          <w:tcPr>
            <w:tcW w:w="931" w:type="dxa"/>
            <w:noWrap w:val="0"/>
            <w:vAlign w:val="center"/>
          </w:tcPr>
          <w:p w14:paraId="34301912">
            <w:pPr>
              <w:spacing w:line="44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w:t>
            </w:r>
          </w:p>
        </w:tc>
        <w:tc>
          <w:tcPr>
            <w:tcW w:w="6025" w:type="dxa"/>
            <w:noWrap w:val="0"/>
            <w:vAlign w:val="center"/>
          </w:tcPr>
          <w:p w14:paraId="43490CA5">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评标委员会</w:t>
            </w:r>
            <w:r>
              <w:rPr>
                <w:rFonts w:hint="eastAsia" w:ascii="仿宋" w:hAnsi="仿宋" w:eastAsia="仿宋" w:cs="仿宋"/>
                <w:color w:val="auto"/>
                <w:sz w:val="28"/>
                <w:szCs w:val="28"/>
                <w:highlight w:val="none"/>
                <w:lang w:val="en-US" w:eastAsia="zh-CN"/>
              </w:rPr>
              <w:t>根据各</w:t>
            </w:r>
            <w:r>
              <w:rPr>
                <w:rFonts w:hint="eastAsia" w:ascii="仿宋" w:hAnsi="仿宋" w:eastAsia="仿宋" w:cs="仿宋"/>
                <w:color w:val="auto"/>
                <w:sz w:val="28"/>
                <w:szCs w:val="28"/>
                <w:highlight w:val="none"/>
              </w:rPr>
              <w:t>投标供应商</w:t>
            </w:r>
            <w:r>
              <w:rPr>
                <w:rFonts w:hint="eastAsia" w:ascii="仿宋" w:hAnsi="仿宋" w:eastAsia="仿宋" w:cs="仿宋"/>
                <w:color w:val="auto"/>
                <w:sz w:val="28"/>
                <w:szCs w:val="28"/>
                <w:highlight w:val="none"/>
                <w:lang w:val="en-US" w:eastAsia="zh-CN"/>
              </w:rPr>
              <w:t>提供的项目整体实施方案进行评审，包括但不限于以下内容：</w:t>
            </w:r>
          </w:p>
          <w:p w14:paraId="577C17E8">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①项目产品制作流程方案；</w:t>
            </w:r>
          </w:p>
          <w:p w14:paraId="5181DA55">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②项目产品原材料的采购方案；</w:t>
            </w:r>
          </w:p>
          <w:p w14:paraId="526DE2A3">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③项目产品营养搭配方案；</w:t>
            </w:r>
          </w:p>
          <w:p w14:paraId="4396CE8B">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④项目产品配送方案；</w:t>
            </w:r>
          </w:p>
          <w:p w14:paraId="0AC4C778">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⑤项目产品服务标准方案；</w:t>
            </w:r>
          </w:p>
          <w:p w14:paraId="79A68DD9">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⑥项目产品卫生保障方案；</w:t>
            </w:r>
          </w:p>
          <w:p w14:paraId="1FCCD818">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⑦项目产品时间保障方案；</w:t>
            </w:r>
          </w:p>
          <w:p w14:paraId="511BCFCE">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⑧项目产品车辆配备及有固定经营场所等方案。（提供配送车辆所有权证明或租赁期限满足项目需求的车辆租赁合同；经营面积产权证明、场所面积及生产环境，租赁场所租赁期限满足项目需求。未提供不得分。）</w:t>
            </w:r>
          </w:p>
          <w:p w14:paraId="25F93123">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以上方案内容完整清晰明确、科学合理，满足项目实际需求的，每项计2分，最高得16分，不提供不得分。每有一项内容不完整或每有一处不具有针对性或逻辑性错误或不满足项目实际需求的扣0.5分，扣完为止。</w:t>
            </w:r>
          </w:p>
        </w:tc>
      </w:tr>
      <w:tr w14:paraId="3507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noWrap w:val="0"/>
            <w:vAlign w:val="center"/>
          </w:tcPr>
          <w:p w14:paraId="56B91F9B">
            <w:pPr>
              <w:spacing w:line="440" w:lineRule="exact"/>
              <w:jc w:val="center"/>
              <w:rPr>
                <w:rFonts w:hint="eastAsia" w:ascii="仿宋" w:hAnsi="仿宋" w:eastAsia="仿宋" w:cs="仿宋"/>
                <w:color w:val="auto"/>
                <w:sz w:val="28"/>
                <w:szCs w:val="28"/>
                <w:highlight w:val="none"/>
              </w:rPr>
            </w:pPr>
          </w:p>
        </w:tc>
        <w:tc>
          <w:tcPr>
            <w:tcW w:w="1613" w:type="dxa"/>
            <w:noWrap w:val="0"/>
            <w:vAlign w:val="center"/>
          </w:tcPr>
          <w:p w14:paraId="43F39074">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产品</w:t>
            </w:r>
            <w:r>
              <w:rPr>
                <w:rFonts w:hint="eastAsia" w:ascii="仿宋" w:hAnsi="仿宋" w:eastAsia="仿宋" w:cs="仿宋"/>
                <w:color w:val="auto"/>
                <w:sz w:val="28"/>
                <w:szCs w:val="28"/>
                <w:highlight w:val="none"/>
              </w:rPr>
              <w:t>质量保证措施</w:t>
            </w:r>
          </w:p>
        </w:tc>
        <w:tc>
          <w:tcPr>
            <w:tcW w:w="931" w:type="dxa"/>
            <w:noWrap w:val="0"/>
            <w:vAlign w:val="center"/>
          </w:tcPr>
          <w:p w14:paraId="23D28374">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6025" w:type="dxa"/>
            <w:noWrap w:val="0"/>
            <w:vAlign w:val="center"/>
          </w:tcPr>
          <w:p w14:paraId="75ADBD20">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评标委员会根据各投标供应商提供的</w:t>
            </w:r>
            <w:r>
              <w:rPr>
                <w:rFonts w:hint="eastAsia" w:ascii="仿宋" w:hAnsi="仿宋" w:eastAsia="仿宋" w:cs="仿宋"/>
                <w:color w:val="auto"/>
                <w:sz w:val="28"/>
                <w:szCs w:val="28"/>
                <w:highlight w:val="none"/>
                <w:lang w:val="en-US" w:eastAsia="zh-CN"/>
              </w:rPr>
              <w:t>产品</w:t>
            </w:r>
            <w:r>
              <w:rPr>
                <w:rFonts w:hint="eastAsia" w:ascii="仿宋" w:hAnsi="仿宋" w:eastAsia="仿宋" w:cs="仿宋"/>
                <w:color w:val="auto"/>
                <w:sz w:val="28"/>
                <w:szCs w:val="28"/>
                <w:highlight w:val="none"/>
              </w:rPr>
              <w:t>质量保证措施方案进行</w:t>
            </w:r>
            <w:r>
              <w:rPr>
                <w:rFonts w:hint="eastAsia" w:ascii="仿宋" w:hAnsi="仿宋" w:eastAsia="仿宋" w:cs="仿宋"/>
                <w:color w:val="auto"/>
                <w:sz w:val="28"/>
                <w:szCs w:val="28"/>
                <w:highlight w:val="none"/>
                <w:lang w:val="en-US" w:eastAsia="zh-CN"/>
              </w:rPr>
              <w:t>评审，包括但不限于以下内容：</w:t>
            </w:r>
          </w:p>
          <w:p w14:paraId="2798D911">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①食品安全追溯证明（如检测报告等）</w:t>
            </w:r>
            <w:r>
              <w:rPr>
                <w:rFonts w:hint="eastAsia" w:ascii="仿宋" w:hAnsi="仿宋" w:eastAsia="仿宋" w:cs="仿宋"/>
                <w:color w:val="auto"/>
                <w:kern w:val="0"/>
                <w:sz w:val="28"/>
                <w:szCs w:val="28"/>
                <w:highlight w:val="none"/>
                <w:lang w:val="en-US" w:eastAsia="zh-CN" w:bidi="ar"/>
              </w:rPr>
              <w:t>和追溯方案</w:t>
            </w:r>
            <w:r>
              <w:rPr>
                <w:rFonts w:hint="eastAsia" w:ascii="仿宋" w:hAnsi="仿宋" w:eastAsia="仿宋" w:cs="仿宋"/>
                <w:color w:val="auto"/>
                <w:sz w:val="28"/>
                <w:szCs w:val="28"/>
                <w:highlight w:val="none"/>
                <w:lang w:val="en-US" w:eastAsia="zh-CN"/>
              </w:rPr>
              <w:t>；</w:t>
            </w:r>
          </w:p>
          <w:p w14:paraId="5775037D">
            <w:pPr>
              <w:spacing w:line="440" w:lineRule="exact"/>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sz w:val="28"/>
                <w:szCs w:val="28"/>
                <w:highlight w:val="none"/>
                <w:lang w:val="en-US" w:eastAsia="zh-CN"/>
              </w:rPr>
              <w:t>②</w:t>
            </w:r>
            <w:r>
              <w:rPr>
                <w:rFonts w:hint="eastAsia" w:ascii="仿宋" w:hAnsi="仿宋" w:eastAsia="仿宋" w:cs="仿宋"/>
                <w:color w:val="auto"/>
                <w:kern w:val="0"/>
                <w:sz w:val="28"/>
                <w:szCs w:val="28"/>
                <w:highlight w:val="none"/>
                <w:lang w:val="en-US" w:eastAsia="zh-CN" w:bidi="ar"/>
              </w:rPr>
              <w:t>食材控制管理措施方案；</w:t>
            </w:r>
          </w:p>
          <w:p w14:paraId="750EF6FF">
            <w:pPr>
              <w:spacing w:line="440" w:lineRule="exact"/>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③食材检验检疫措施方案；</w:t>
            </w:r>
          </w:p>
          <w:p w14:paraId="06AF9862">
            <w:pPr>
              <w:spacing w:line="440" w:lineRule="exact"/>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④食材质量标准；</w:t>
            </w:r>
          </w:p>
          <w:p w14:paraId="2D27DFD2">
            <w:pPr>
              <w:spacing w:line="440" w:lineRule="exact"/>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⑤质量安全承诺书；（格式自拟）；</w:t>
            </w:r>
          </w:p>
          <w:p w14:paraId="6C6AACF5">
            <w:pPr>
              <w:spacing w:line="440" w:lineRule="exact"/>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⑥针对本项目制定食品安全方案；</w:t>
            </w:r>
          </w:p>
          <w:p w14:paraId="27E44991">
            <w:pPr>
              <w:spacing w:line="440" w:lineRule="exact"/>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⑦食品安全责任事故分析方案及处置措施等；</w:t>
            </w:r>
          </w:p>
          <w:p w14:paraId="7A48DB80">
            <w:pPr>
              <w:spacing w:line="440" w:lineRule="exact"/>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⑧食品安全管理制度。</w:t>
            </w:r>
          </w:p>
          <w:p w14:paraId="45255E22">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以上方案内容完整清晰明确、科学合理，满足项目实际需求的，每项计1.5分，最高得12分，不提供不得分。每有一项内容不完整或每有一处不具有针对性或逻辑性错误或不满足项目实际需求的扣0.5分，扣完为止。</w:t>
            </w:r>
          </w:p>
        </w:tc>
      </w:tr>
      <w:tr w14:paraId="57D8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76" w:type="dxa"/>
            <w:vMerge w:val="continue"/>
            <w:noWrap w:val="0"/>
            <w:vAlign w:val="center"/>
          </w:tcPr>
          <w:p w14:paraId="330BF4DB">
            <w:pPr>
              <w:spacing w:line="440" w:lineRule="exact"/>
              <w:jc w:val="center"/>
              <w:rPr>
                <w:rFonts w:hint="eastAsia" w:ascii="仿宋" w:hAnsi="仿宋" w:eastAsia="仿宋" w:cs="仿宋"/>
                <w:color w:val="auto"/>
                <w:sz w:val="28"/>
                <w:szCs w:val="28"/>
                <w:highlight w:val="none"/>
              </w:rPr>
            </w:pPr>
          </w:p>
        </w:tc>
        <w:tc>
          <w:tcPr>
            <w:tcW w:w="1613" w:type="dxa"/>
            <w:noWrap w:val="0"/>
            <w:vAlign w:val="center"/>
          </w:tcPr>
          <w:p w14:paraId="1D5FAAA9">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bidi="ar-SA"/>
              </w:rPr>
              <w:t>应急处理方案</w:t>
            </w:r>
          </w:p>
        </w:tc>
        <w:tc>
          <w:tcPr>
            <w:tcW w:w="931" w:type="dxa"/>
            <w:noWrap w:val="0"/>
            <w:vAlign w:val="center"/>
          </w:tcPr>
          <w:p w14:paraId="4CD71E36">
            <w:pPr>
              <w:spacing w:line="44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p>
        </w:tc>
        <w:tc>
          <w:tcPr>
            <w:tcW w:w="6025" w:type="dxa"/>
            <w:noWrap w:val="0"/>
            <w:vAlign w:val="center"/>
          </w:tcPr>
          <w:p w14:paraId="73CBAB3B">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评标委员会根据</w:t>
            </w:r>
            <w:r>
              <w:rPr>
                <w:rFonts w:hint="eastAsia" w:ascii="仿宋" w:hAnsi="仿宋" w:eastAsia="仿宋" w:cs="仿宋"/>
                <w:color w:val="auto"/>
                <w:sz w:val="28"/>
                <w:szCs w:val="28"/>
                <w:highlight w:val="none"/>
                <w:lang w:val="en-US" w:eastAsia="zh-CN"/>
              </w:rPr>
              <w:t>各</w:t>
            </w:r>
            <w:r>
              <w:rPr>
                <w:rFonts w:hint="eastAsia" w:ascii="仿宋" w:hAnsi="仿宋" w:eastAsia="仿宋" w:cs="仿宋"/>
                <w:color w:val="auto"/>
                <w:sz w:val="28"/>
                <w:szCs w:val="28"/>
                <w:highlight w:val="none"/>
              </w:rPr>
              <w:t>投标供应商提供的</w:t>
            </w:r>
            <w:r>
              <w:rPr>
                <w:rFonts w:hint="eastAsia" w:ascii="仿宋" w:hAnsi="仿宋" w:eastAsia="仿宋" w:cs="仿宋"/>
                <w:color w:val="auto"/>
                <w:sz w:val="28"/>
                <w:szCs w:val="28"/>
                <w:highlight w:val="none"/>
                <w:lang w:val="en-US" w:eastAsia="zh-CN" w:bidi="ar-SA"/>
              </w:rPr>
              <w:t>应急处理方案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包括但不限于包括临时性配送任务、食品安全事件、运输突发事件、恶劣天气影响等方面</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en-US" w:eastAsia="zh-CN"/>
              </w:rPr>
              <w:t>进行评审：</w:t>
            </w:r>
            <w:r>
              <w:rPr>
                <w:rFonts w:hint="eastAsia" w:ascii="仿宋" w:hAnsi="仿宋" w:eastAsia="仿宋" w:cs="仿宋"/>
                <w:color w:val="auto"/>
                <w:kern w:val="0"/>
                <w:sz w:val="28"/>
                <w:szCs w:val="28"/>
                <w:highlight w:val="none"/>
                <w:lang w:bidi="ar"/>
              </w:rPr>
              <w:t>方案工作内容全面、完整并优于其他</w:t>
            </w:r>
            <w:r>
              <w:rPr>
                <w:rFonts w:hint="eastAsia" w:ascii="仿宋" w:hAnsi="仿宋" w:eastAsia="仿宋" w:cs="仿宋"/>
                <w:color w:val="auto"/>
                <w:sz w:val="28"/>
                <w:szCs w:val="28"/>
                <w:highlight w:val="none"/>
              </w:rPr>
              <w:t>投标供应商</w:t>
            </w:r>
            <w:r>
              <w:rPr>
                <w:rFonts w:hint="eastAsia" w:ascii="仿宋" w:hAnsi="仿宋" w:eastAsia="仿宋" w:cs="仿宋"/>
                <w:color w:val="auto"/>
                <w:kern w:val="0"/>
                <w:sz w:val="28"/>
                <w:szCs w:val="28"/>
                <w:highlight w:val="none"/>
                <w:lang w:bidi="ar"/>
              </w:rPr>
              <w:t>方案得</w:t>
            </w:r>
            <w:r>
              <w:rPr>
                <w:rFonts w:hint="eastAsia" w:ascii="仿宋" w:hAnsi="仿宋" w:eastAsia="仿宋" w:cs="仿宋"/>
                <w:color w:val="auto"/>
                <w:kern w:val="0"/>
                <w:sz w:val="28"/>
                <w:szCs w:val="28"/>
                <w:highlight w:val="none"/>
                <w:lang w:val="en-US" w:eastAsia="zh-CN" w:bidi="ar"/>
              </w:rPr>
              <w:t>8</w:t>
            </w:r>
            <w:r>
              <w:rPr>
                <w:rFonts w:hint="eastAsia" w:ascii="仿宋" w:hAnsi="仿宋" w:eastAsia="仿宋" w:cs="仿宋"/>
                <w:color w:val="auto"/>
                <w:kern w:val="0"/>
                <w:sz w:val="28"/>
                <w:szCs w:val="28"/>
                <w:highlight w:val="none"/>
                <w:lang w:bidi="ar"/>
              </w:rPr>
              <w:t>分；方案工作内容全面、完整的得</w:t>
            </w:r>
            <w:r>
              <w:rPr>
                <w:rFonts w:hint="eastAsia" w:ascii="仿宋" w:hAnsi="仿宋" w:eastAsia="仿宋" w:cs="仿宋"/>
                <w:color w:val="auto"/>
                <w:kern w:val="0"/>
                <w:sz w:val="28"/>
                <w:szCs w:val="28"/>
                <w:highlight w:val="none"/>
                <w:lang w:val="en-US" w:eastAsia="zh-CN" w:bidi="ar"/>
              </w:rPr>
              <w:t>6</w:t>
            </w:r>
            <w:r>
              <w:rPr>
                <w:rFonts w:hint="eastAsia" w:ascii="仿宋" w:hAnsi="仿宋" w:eastAsia="仿宋" w:cs="仿宋"/>
                <w:color w:val="auto"/>
                <w:kern w:val="0"/>
                <w:sz w:val="28"/>
                <w:szCs w:val="28"/>
                <w:highlight w:val="none"/>
                <w:lang w:bidi="ar"/>
              </w:rPr>
              <w:t>分；方案工作内容基本全面、基本完整的得</w:t>
            </w:r>
            <w:r>
              <w:rPr>
                <w:rFonts w:hint="eastAsia" w:ascii="仿宋" w:hAnsi="仿宋" w:eastAsia="仿宋" w:cs="仿宋"/>
                <w:color w:val="auto"/>
                <w:kern w:val="0"/>
                <w:sz w:val="28"/>
                <w:szCs w:val="28"/>
                <w:highlight w:val="none"/>
                <w:lang w:val="en-US" w:eastAsia="zh-CN" w:bidi="ar"/>
              </w:rPr>
              <w:t>4</w:t>
            </w:r>
            <w:r>
              <w:rPr>
                <w:rFonts w:hint="eastAsia" w:ascii="仿宋" w:hAnsi="仿宋" w:eastAsia="仿宋" w:cs="仿宋"/>
                <w:color w:val="auto"/>
                <w:kern w:val="0"/>
                <w:sz w:val="28"/>
                <w:szCs w:val="28"/>
                <w:highlight w:val="none"/>
                <w:lang w:bidi="ar"/>
              </w:rPr>
              <w:t>分；方案工作内容较全面、较完整的得</w:t>
            </w:r>
            <w:r>
              <w:rPr>
                <w:rFonts w:hint="eastAsia" w:ascii="仿宋" w:hAnsi="仿宋" w:eastAsia="仿宋" w:cs="仿宋"/>
                <w:color w:val="auto"/>
                <w:kern w:val="0"/>
                <w:sz w:val="28"/>
                <w:szCs w:val="28"/>
                <w:highlight w:val="none"/>
                <w:lang w:val="en-US" w:eastAsia="zh-CN" w:bidi="ar"/>
              </w:rPr>
              <w:t>2</w:t>
            </w:r>
            <w:r>
              <w:rPr>
                <w:rFonts w:hint="eastAsia" w:ascii="仿宋" w:hAnsi="仿宋" w:eastAsia="仿宋" w:cs="仿宋"/>
                <w:color w:val="auto"/>
                <w:kern w:val="0"/>
                <w:sz w:val="28"/>
                <w:szCs w:val="28"/>
                <w:highlight w:val="none"/>
                <w:lang w:bidi="ar"/>
              </w:rPr>
              <w:t>分；不提供方案不得分。</w:t>
            </w:r>
          </w:p>
        </w:tc>
      </w:tr>
      <w:tr w14:paraId="426C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restart"/>
            <w:noWrap w:val="0"/>
            <w:vAlign w:val="center"/>
          </w:tcPr>
          <w:p w14:paraId="2E1C5D43">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商务要求</w:t>
            </w:r>
          </w:p>
        </w:tc>
        <w:tc>
          <w:tcPr>
            <w:tcW w:w="1613" w:type="dxa"/>
            <w:noWrap w:val="0"/>
            <w:vAlign w:val="center"/>
          </w:tcPr>
          <w:p w14:paraId="4CB92688">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售后服务方案</w:t>
            </w:r>
          </w:p>
        </w:tc>
        <w:tc>
          <w:tcPr>
            <w:tcW w:w="931" w:type="dxa"/>
            <w:noWrap w:val="0"/>
            <w:vAlign w:val="center"/>
          </w:tcPr>
          <w:p w14:paraId="437BECC9">
            <w:pPr>
              <w:spacing w:line="44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p>
        </w:tc>
        <w:tc>
          <w:tcPr>
            <w:tcW w:w="6025" w:type="dxa"/>
            <w:noWrap w:val="0"/>
            <w:vAlign w:val="center"/>
          </w:tcPr>
          <w:p w14:paraId="3F53004C">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评标委员会根据各投标供应商提供完善的售后服务方案进行综合比较打分（方案包含售前、售中和售后服务措施、响应时间、人员组织、交货验收、售后服务点的设置等内容）：</w:t>
            </w:r>
            <w:r>
              <w:rPr>
                <w:rFonts w:hint="eastAsia" w:ascii="仿宋" w:hAnsi="仿宋" w:eastAsia="仿宋" w:cs="仿宋"/>
                <w:color w:val="auto"/>
                <w:kern w:val="0"/>
                <w:sz w:val="28"/>
                <w:szCs w:val="28"/>
                <w:highlight w:val="none"/>
                <w:lang w:bidi="ar"/>
              </w:rPr>
              <w:t>方案工作内容全面、完整并优于其他</w:t>
            </w:r>
            <w:r>
              <w:rPr>
                <w:rFonts w:hint="eastAsia" w:ascii="仿宋" w:hAnsi="仿宋" w:eastAsia="仿宋" w:cs="仿宋"/>
                <w:color w:val="auto"/>
                <w:sz w:val="28"/>
                <w:szCs w:val="28"/>
                <w:highlight w:val="none"/>
              </w:rPr>
              <w:t>投标供应商</w:t>
            </w:r>
            <w:r>
              <w:rPr>
                <w:rFonts w:hint="eastAsia" w:ascii="仿宋" w:hAnsi="仿宋" w:eastAsia="仿宋" w:cs="仿宋"/>
                <w:color w:val="auto"/>
                <w:kern w:val="0"/>
                <w:sz w:val="28"/>
                <w:szCs w:val="28"/>
                <w:highlight w:val="none"/>
                <w:lang w:bidi="ar"/>
              </w:rPr>
              <w:t>方案</w:t>
            </w:r>
            <w:r>
              <w:rPr>
                <w:rFonts w:hint="eastAsia" w:ascii="仿宋" w:hAnsi="仿宋" w:eastAsia="仿宋" w:cs="仿宋"/>
                <w:color w:val="auto"/>
                <w:kern w:val="0"/>
                <w:sz w:val="28"/>
                <w:szCs w:val="28"/>
                <w:highlight w:val="none"/>
                <w:lang w:val="en-US" w:eastAsia="zh-CN" w:bidi="ar"/>
              </w:rPr>
              <w:t>的</w:t>
            </w:r>
            <w:r>
              <w:rPr>
                <w:rFonts w:hint="eastAsia" w:ascii="仿宋" w:hAnsi="仿宋" w:eastAsia="仿宋" w:cs="仿宋"/>
                <w:color w:val="auto"/>
                <w:kern w:val="0"/>
                <w:sz w:val="28"/>
                <w:szCs w:val="28"/>
                <w:highlight w:val="none"/>
                <w:lang w:bidi="ar"/>
              </w:rPr>
              <w:t>得</w:t>
            </w:r>
            <w:r>
              <w:rPr>
                <w:rFonts w:hint="eastAsia" w:ascii="仿宋" w:hAnsi="仿宋" w:eastAsia="仿宋" w:cs="仿宋"/>
                <w:color w:val="auto"/>
                <w:kern w:val="0"/>
                <w:sz w:val="28"/>
                <w:szCs w:val="28"/>
                <w:highlight w:val="none"/>
                <w:lang w:val="en-US" w:eastAsia="zh-CN" w:bidi="ar"/>
              </w:rPr>
              <w:t>8</w:t>
            </w:r>
            <w:r>
              <w:rPr>
                <w:rFonts w:hint="eastAsia" w:ascii="仿宋" w:hAnsi="仿宋" w:eastAsia="仿宋" w:cs="仿宋"/>
                <w:color w:val="auto"/>
                <w:kern w:val="0"/>
                <w:sz w:val="28"/>
                <w:szCs w:val="28"/>
                <w:highlight w:val="none"/>
                <w:lang w:bidi="ar"/>
              </w:rPr>
              <w:t>分；方案工作内容全面、完整的得</w:t>
            </w:r>
            <w:r>
              <w:rPr>
                <w:rFonts w:hint="eastAsia" w:ascii="仿宋" w:hAnsi="仿宋" w:eastAsia="仿宋" w:cs="仿宋"/>
                <w:color w:val="auto"/>
                <w:kern w:val="0"/>
                <w:sz w:val="28"/>
                <w:szCs w:val="28"/>
                <w:highlight w:val="none"/>
                <w:lang w:val="en-US" w:eastAsia="zh-CN" w:bidi="ar"/>
              </w:rPr>
              <w:t>6</w:t>
            </w:r>
            <w:r>
              <w:rPr>
                <w:rFonts w:hint="eastAsia" w:ascii="仿宋" w:hAnsi="仿宋" w:eastAsia="仿宋" w:cs="仿宋"/>
                <w:color w:val="auto"/>
                <w:kern w:val="0"/>
                <w:sz w:val="28"/>
                <w:szCs w:val="28"/>
                <w:highlight w:val="none"/>
                <w:lang w:bidi="ar"/>
              </w:rPr>
              <w:t>分；方案工作内容基本全面、基本完整的得</w:t>
            </w:r>
            <w:r>
              <w:rPr>
                <w:rFonts w:hint="eastAsia" w:ascii="仿宋" w:hAnsi="仿宋" w:eastAsia="仿宋" w:cs="仿宋"/>
                <w:color w:val="auto"/>
                <w:kern w:val="0"/>
                <w:sz w:val="28"/>
                <w:szCs w:val="28"/>
                <w:highlight w:val="none"/>
                <w:lang w:val="en-US" w:eastAsia="zh-CN" w:bidi="ar"/>
              </w:rPr>
              <w:t>4</w:t>
            </w:r>
            <w:r>
              <w:rPr>
                <w:rFonts w:hint="eastAsia" w:ascii="仿宋" w:hAnsi="仿宋" w:eastAsia="仿宋" w:cs="仿宋"/>
                <w:color w:val="auto"/>
                <w:kern w:val="0"/>
                <w:sz w:val="28"/>
                <w:szCs w:val="28"/>
                <w:highlight w:val="none"/>
                <w:lang w:bidi="ar"/>
              </w:rPr>
              <w:t>分；方案工作内容较全面、较完整的得</w:t>
            </w:r>
            <w:r>
              <w:rPr>
                <w:rFonts w:hint="eastAsia" w:ascii="仿宋" w:hAnsi="仿宋" w:eastAsia="仿宋" w:cs="仿宋"/>
                <w:color w:val="auto"/>
                <w:kern w:val="0"/>
                <w:sz w:val="28"/>
                <w:szCs w:val="28"/>
                <w:highlight w:val="none"/>
                <w:lang w:val="en-US" w:eastAsia="zh-CN" w:bidi="ar"/>
              </w:rPr>
              <w:t>2</w:t>
            </w:r>
            <w:r>
              <w:rPr>
                <w:rFonts w:hint="eastAsia" w:ascii="仿宋" w:hAnsi="仿宋" w:eastAsia="仿宋" w:cs="仿宋"/>
                <w:color w:val="auto"/>
                <w:kern w:val="0"/>
                <w:sz w:val="28"/>
                <w:szCs w:val="28"/>
                <w:highlight w:val="none"/>
                <w:lang w:bidi="ar"/>
              </w:rPr>
              <w:t>分；不提供方案不得分。</w:t>
            </w:r>
          </w:p>
        </w:tc>
      </w:tr>
      <w:tr w14:paraId="2B98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76" w:type="dxa"/>
            <w:vMerge w:val="continue"/>
            <w:noWrap w:val="0"/>
            <w:vAlign w:val="center"/>
          </w:tcPr>
          <w:p w14:paraId="576807F0">
            <w:pPr>
              <w:spacing w:line="440" w:lineRule="exact"/>
              <w:jc w:val="center"/>
              <w:rPr>
                <w:rFonts w:hint="eastAsia" w:ascii="仿宋" w:hAnsi="仿宋" w:eastAsia="仿宋" w:cs="仿宋"/>
                <w:color w:val="auto"/>
                <w:sz w:val="28"/>
                <w:szCs w:val="28"/>
                <w:highlight w:val="none"/>
              </w:rPr>
            </w:pPr>
          </w:p>
        </w:tc>
        <w:tc>
          <w:tcPr>
            <w:tcW w:w="1613" w:type="dxa"/>
            <w:tcBorders>
              <w:top w:val="single" w:color="auto" w:sz="4" w:space="0"/>
              <w:bottom w:val="single" w:color="auto" w:sz="4" w:space="0"/>
              <w:right w:val="single" w:color="auto" w:sz="4" w:space="0"/>
            </w:tcBorders>
            <w:noWrap w:val="0"/>
            <w:vAlign w:val="center"/>
          </w:tcPr>
          <w:p w14:paraId="22A764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kern w:val="0"/>
                <w:sz w:val="28"/>
                <w:szCs w:val="28"/>
                <w:highlight w:val="none"/>
                <w:lang w:val="en-US" w:eastAsia="zh-CN" w:bidi="ar"/>
              </w:rPr>
              <w:t>服务人员的配备方案</w:t>
            </w:r>
          </w:p>
          <w:p w14:paraId="17F5C576">
            <w:pPr>
              <w:spacing w:line="440" w:lineRule="exact"/>
              <w:jc w:val="center"/>
              <w:rPr>
                <w:rFonts w:hint="eastAsia" w:ascii="仿宋" w:hAnsi="仿宋" w:eastAsia="仿宋" w:cs="仿宋"/>
                <w:color w:val="auto"/>
                <w:kern w:val="2"/>
                <w:sz w:val="28"/>
                <w:szCs w:val="28"/>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443DA08B">
            <w:pPr>
              <w:spacing w:line="440" w:lineRule="exact"/>
              <w:jc w:val="center"/>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sz w:val="28"/>
                <w:szCs w:val="28"/>
                <w:highlight w:val="none"/>
                <w:lang w:val="en-US" w:eastAsia="zh-CN"/>
              </w:rPr>
              <w:t>6</w:t>
            </w:r>
          </w:p>
        </w:tc>
        <w:tc>
          <w:tcPr>
            <w:tcW w:w="6025" w:type="dxa"/>
            <w:tcBorders>
              <w:top w:val="single" w:color="auto" w:sz="4" w:space="0"/>
              <w:left w:val="single" w:color="auto" w:sz="4" w:space="0"/>
              <w:bottom w:val="single" w:color="auto" w:sz="4" w:space="0"/>
              <w:right w:val="single" w:color="auto" w:sz="4" w:space="0"/>
            </w:tcBorders>
            <w:noWrap w:val="0"/>
            <w:vAlign w:val="center"/>
          </w:tcPr>
          <w:p w14:paraId="0188EB8E">
            <w:pPr>
              <w:spacing w:line="440" w:lineRule="exact"/>
              <w:jc w:val="left"/>
              <w:rPr>
                <w:rFonts w:hint="eastAsia" w:ascii="仿宋" w:hAnsi="仿宋" w:eastAsia="仿宋" w:cs="仿宋"/>
                <w:color w:val="auto"/>
                <w:kern w:val="2"/>
                <w:sz w:val="28"/>
                <w:szCs w:val="28"/>
                <w:highlight w:val="none"/>
              </w:rPr>
            </w:pPr>
            <w:r>
              <w:rPr>
                <w:rFonts w:hint="eastAsia" w:ascii="仿宋" w:hAnsi="仿宋" w:eastAsia="仿宋" w:cs="仿宋"/>
                <w:color w:val="auto"/>
                <w:sz w:val="28"/>
                <w:szCs w:val="28"/>
                <w:highlight w:val="none"/>
              </w:rPr>
              <w:t>评标委员会</w:t>
            </w:r>
            <w:r>
              <w:rPr>
                <w:rFonts w:hint="eastAsia" w:ascii="仿宋" w:hAnsi="仿宋" w:eastAsia="仿宋" w:cs="仿宋"/>
                <w:color w:val="auto"/>
                <w:sz w:val="28"/>
                <w:szCs w:val="28"/>
                <w:highlight w:val="none"/>
                <w:lang w:val="en-US" w:eastAsia="zh-CN"/>
              </w:rPr>
              <w:t>根据各</w:t>
            </w:r>
            <w:r>
              <w:rPr>
                <w:rFonts w:hint="eastAsia" w:ascii="仿宋" w:hAnsi="仿宋" w:eastAsia="仿宋" w:cs="仿宋"/>
                <w:color w:val="auto"/>
                <w:sz w:val="28"/>
                <w:szCs w:val="28"/>
                <w:highlight w:val="none"/>
              </w:rPr>
              <w:t>投标供应商</w:t>
            </w:r>
            <w:r>
              <w:rPr>
                <w:rFonts w:hint="eastAsia" w:ascii="仿宋" w:hAnsi="仿宋" w:eastAsia="仿宋" w:cs="仿宋"/>
                <w:color w:val="auto"/>
                <w:sz w:val="28"/>
                <w:szCs w:val="28"/>
                <w:highlight w:val="none"/>
                <w:lang w:val="en-US" w:eastAsia="zh-CN"/>
              </w:rPr>
              <w:t>提供的服务人员的配备方案（包括但不限于食材采购及盒饭制作、配送、管理人员等人员名单、身份证、厨师证、驾驶证、健康</w:t>
            </w:r>
            <w:r>
              <w:rPr>
                <w:rFonts w:hint="eastAsia" w:ascii="仿宋" w:hAnsi="仿宋" w:eastAsia="仿宋" w:cs="仿宋"/>
                <w:color w:val="auto"/>
                <w:kern w:val="0"/>
                <w:sz w:val="28"/>
                <w:szCs w:val="28"/>
                <w:highlight w:val="none"/>
                <w:lang w:val="en-US" w:eastAsia="zh-CN" w:bidi="ar"/>
              </w:rPr>
              <w:t>证明、学历证明、执业证书、配送人员近三个月投标单位缴纳的社保缴费证明材料等相关内容）进行综合评审：</w:t>
            </w:r>
            <w:r>
              <w:rPr>
                <w:rFonts w:hint="eastAsia" w:ascii="仿宋" w:hAnsi="仿宋" w:eastAsia="仿宋" w:cs="仿宋"/>
                <w:color w:val="auto"/>
                <w:kern w:val="0"/>
                <w:sz w:val="28"/>
                <w:szCs w:val="28"/>
                <w:highlight w:val="none"/>
                <w:lang w:bidi="ar"/>
              </w:rPr>
              <w:t>方案工作内容全面、完整并优于其他</w:t>
            </w:r>
            <w:r>
              <w:rPr>
                <w:rFonts w:hint="eastAsia" w:ascii="仿宋" w:hAnsi="仿宋" w:eastAsia="仿宋" w:cs="仿宋"/>
                <w:color w:val="auto"/>
                <w:sz w:val="28"/>
                <w:szCs w:val="28"/>
                <w:highlight w:val="none"/>
              </w:rPr>
              <w:t>投标供应商</w:t>
            </w:r>
            <w:r>
              <w:rPr>
                <w:rFonts w:hint="eastAsia" w:ascii="仿宋" w:hAnsi="仿宋" w:eastAsia="仿宋" w:cs="仿宋"/>
                <w:color w:val="auto"/>
                <w:kern w:val="0"/>
                <w:sz w:val="28"/>
                <w:szCs w:val="28"/>
                <w:highlight w:val="none"/>
                <w:lang w:bidi="ar"/>
              </w:rPr>
              <w:t>方案得</w:t>
            </w:r>
            <w:r>
              <w:rPr>
                <w:rFonts w:hint="eastAsia" w:ascii="仿宋" w:hAnsi="仿宋" w:eastAsia="仿宋" w:cs="仿宋"/>
                <w:color w:val="auto"/>
                <w:kern w:val="0"/>
                <w:sz w:val="28"/>
                <w:szCs w:val="28"/>
                <w:highlight w:val="none"/>
                <w:lang w:val="en-US" w:eastAsia="zh-CN" w:bidi="ar"/>
              </w:rPr>
              <w:t>6</w:t>
            </w:r>
            <w:r>
              <w:rPr>
                <w:rFonts w:hint="eastAsia" w:ascii="仿宋" w:hAnsi="仿宋" w:eastAsia="仿宋" w:cs="仿宋"/>
                <w:color w:val="auto"/>
                <w:kern w:val="0"/>
                <w:sz w:val="28"/>
                <w:szCs w:val="28"/>
                <w:highlight w:val="none"/>
                <w:lang w:bidi="ar"/>
              </w:rPr>
              <w:t>分；方案工作内容全面、完整的得</w:t>
            </w:r>
            <w:r>
              <w:rPr>
                <w:rFonts w:hint="eastAsia" w:ascii="仿宋" w:hAnsi="仿宋" w:eastAsia="仿宋" w:cs="仿宋"/>
                <w:color w:val="auto"/>
                <w:kern w:val="0"/>
                <w:sz w:val="28"/>
                <w:szCs w:val="28"/>
                <w:highlight w:val="none"/>
                <w:lang w:val="en-US" w:eastAsia="zh-CN" w:bidi="ar"/>
              </w:rPr>
              <w:t>3</w:t>
            </w:r>
            <w:r>
              <w:rPr>
                <w:rFonts w:hint="eastAsia" w:ascii="仿宋" w:hAnsi="仿宋" w:eastAsia="仿宋" w:cs="仿宋"/>
                <w:color w:val="auto"/>
                <w:kern w:val="0"/>
                <w:sz w:val="28"/>
                <w:szCs w:val="28"/>
                <w:highlight w:val="none"/>
                <w:lang w:bidi="ar"/>
              </w:rPr>
              <w:t>分；方案工作内容基本全面、基本完整的得</w:t>
            </w:r>
            <w:r>
              <w:rPr>
                <w:rFonts w:hint="eastAsia" w:ascii="仿宋" w:hAnsi="仿宋" w:eastAsia="仿宋" w:cs="仿宋"/>
                <w:color w:val="auto"/>
                <w:kern w:val="0"/>
                <w:sz w:val="28"/>
                <w:szCs w:val="28"/>
                <w:highlight w:val="none"/>
                <w:lang w:val="en-US" w:eastAsia="zh-CN" w:bidi="ar"/>
              </w:rPr>
              <w:t>1</w:t>
            </w:r>
            <w:r>
              <w:rPr>
                <w:rFonts w:hint="eastAsia" w:ascii="仿宋" w:hAnsi="仿宋" w:eastAsia="仿宋" w:cs="仿宋"/>
                <w:color w:val="auto"/>
                <w:kern w:val="0"/>
                <w:sz w:val="28"/>
                <w:szCs w:val="28"/>
                <w:highlight w:val="none"/>
                <w:lang w:bidi="ar"/>
              </w:rPr>
              <w:t>分</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bidi="ar"/>
              </w:rPr>
              <w:t>不提供方案不得分。</w:t>
            </w:r>
          </w:p>
        </w:tc>
      </w:tr>
      <w:tr w14:paraId="38ED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76" w:type="dxa"/>
            <w:vMerge w:val="continue"/>
            <w:noWrap w:val="0"/>
            <w:vAlign w:val="center"/>
          </w:tcPr>
          <w:p w14:paraId="5968F9BE">
            <w:pPr>
              <w:spacing w:line="440" w:lineRule="exact"/>
              <w:jc w:val="center"/>
              <w:rPr>
                <w:rFonts w:hint="eastAsia" w:ascii="仿宋" w:hAnsi="仿宋" w:eastAsia="仿宋" w:cs="仿宋"/>
                <w:color w:val="auto"/>
                <w:sz w:val="28"/>
                <w:szCs w:val="28"/>
                <w:highlight w:val="none"/>
              </w:rPr>
            </w:pPr>
          </w:p>
        </w:tc>
        <w:tc>
          <w:tcPr>
            <w:tcW w:w="1613" w:type="dxa"/>
            <w:tcBorders>
              <w:top w:val="single" w:color="auto" w:sz="4" w:space="0"/>
              <w:bottom w:val="single" w:color="auto" w:sz="4" w:space="0"/>
              <w:right w:val="single" w:color="auto" w:sz="4" w:space="0"/>
            </w:tcBorders>
            <w:noWrap w:val="0"/>
            <w:vAlign w:val="center"/>
          </w:tcPr>
          <w:p w14:paraId="36265060">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类似业绩</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6A3D35BD">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6025" w:type="dxa"/>
            <w:tcBorders>
              <w:top w:val="single" w:color="auto" w:sz="4" w:space="0"/>
              <w:left w:val="single" w:color="auto" w:sz="4" w:space="0"/>
              <w:bottom w:val="single" w:color="auto" w:sz="4" w:space="0"/>
              <w:right w:val="single" w:color="auto" w:sz="4" w:space="0"/>
            </w:tcBorders>
            <w:noWrap w:val="0"/>
            <w:vAlign w:val="center"/>
          </w:tcPr>
          <w:p w14:paraId="1DBC6B47">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w:t>
            </w:r>
            <w:r>
              <w:rPr>
                <w:rFonts w:hint="eastAsia" w:ascii="仿宋" w:hAnsi="仿宋" w:eastAsia="仿宋" w:cs="仿宋"/>
                <w:color w:val="auto"/>
                <w:kern w:val="0"/>
                <w:sz w:val="28"/>
                <w:szCs w:val="28"/>
                <w:highlight w:val="none"/>
                <w:lang w:val="en-US" w:eastAsia="zh-CN" w:bidi="ar"/>
              </w:rPr>
              <w:t>根据各投标供应商提供的2021年1月1日至今类似业绩进行打分，每提供1项得1分，总分不超过5分（附合同或中标（或成交）通知书复印件加盖企业公章）。</w:t>
            </w:r>
          </w:p>
        </w:tc>
      </w:tr>
    </w:tbl>
    <w:p w14:paraId="7531F603">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left"/>
        <w:textAlignment w:val="auto"/>
        <w:outlineLvl w:val="0"/>
        <w:rPr>
          <w:rFonts w:hint="eastAsia" w:ascii="仿宋" w:hAnsi="仿宋" w:eastAsia="仿宋" w:cs="仿宋"/>
          <w:b/>
          <w:color w:val="auto"/>
          <w:kern w:val="44"/>
          <w:sz w:val="44"/>
          <w:szCs w:val="44"/>
          <w:highlight w:val="none"/>
          <w:lang w:val="en-US" w:eastAsia="zh-CN" w:bidi="ar-SA"/>
        </w:rPr>
      </w:pPr>
      <w:r>
        <w:rPr>
          <w:rFonts w:hint="eastAsia" w:ascii="仿宋" w:hAnsi="仿宋" w:eastAsia="仿宋" w:cs="仿宋"/>
          <w:bCs/>
          <w:color w:val="auto"/>
          <w:sz w:val="28"/>
          <w:szCs w:val="28"/>
          <w:highlight w:val="none"/>
          <w:lang w:val="en-US" w:eastAsia="zh-CN"/>
        </w:rPr>
        <w:t>备注：评标委员会</w:t>
      </w:r>
      <w:r>
        <w:rPr>
          <w:rFonts w:hint="eastAsia" w:ascii="仿宋" w:hAnsi="仿宋" w:eastAsia="仿宋" w:cs="仿宋"/>
          <w:bCs/>
          <w:color w:val="auto"/>
          <w:sz w:val="28"/>
          <w:szCs w:val="28"/>
          <w:highlight w:val="none"/>
        </w:rPr>
        <w:t>需要严格按照以上方法赋分，不得超过分数界限赋分</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最低报价不是中标的唯一依据。</w:t>
      </w:r>
    </w:p>
    <w:p w14:paraId="6AB4691F">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center"/>
        <w:textAlignment w:val="auto"/>
        <w:outlineLvl w:val="0"/>
        <w:rPr>
          <w:rFonts w:hint="eastAsia" w:ascii="仿宋" w:hAnsi="仿宋" w:eastAsia="仿宋" w:cs="仿宋"/>
          <w:b/>
          <w:color w:val="auto"/>
          <w:kern w:val="44"/>
          <w:sz w:val="44"/>
          <w:szCs w:val="44"/>
          <w:highlight w:val="none"/>
          <w:lang w:val="en-US" w:eastAsia="zh-CN" w:bidi="ar-SA"/>
        </w:rPr>
      </w:pPr>
    </w:p>
    <w:p w14:paraId="63E0A7B0">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center"/>
        <w:textAlignment w:val="auto"/>
        <w:outlineLvl w:val="0"/>
        <w:rPr>
          <w:rFonts w:hint="eastAsia" w:ascii="仿宋" w:hAnsi="仿宋" w:eastAsia="仿宋" w:cs="仿宋"/>
          <w:b/>
          <w:color w:val="auto"/>
          <w:kern w:val="44"/>
          <w:sz w:val="44"/>
          <w:szCs w:val="44"/>
          <w:highlight w:val="none"/>
          <w:lang w:val="en-US" w:eastAsia="zh-CN" w:bidi="ar-SA"/>
        </w:rPr>
      </w:pPr>
    </w:p>
    <w:p w14:paraId="6034BA95">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center"/>
        <w:textAlignment w:val="auto"/>
        <w:outlineLvl w:val="0"/>
        <w:rPr>
          <w:rFonts w:hint="eastAsia" w:ascii="仿宋" w:hAnsi="仿宋" w:eastAsia="仿宋" w:cs="仿宋"/>
          <w:b/>
          <w:color w:val="auto"/>
          <w:kern w:val="44"/>
          <w:sz w:val="44"/>
          <w:szCs w:val="44"/>
          <w:highlight w:val="none"/>
          <w:lang w:val="en-US" w:eastAsia="zh-CN" w:bidi="ar-SA"/>
        </w:rPr>
      </w:pPr>
    </w:p>
    <w:p w14:paraId="07F38D98">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center"/>
        <w:textAlignment w:val="auto"/>
        <w:outlineLvl w:val="0"/>
        <w:rPr>
          <w:rFonts w:hint="eastAsia" w:ascii="仿宋" w:hAnsi="仿宋" w:eastAsia="仿宋" w:cs="仿宋"/>
          <w:b/>
          <w:color w:val="auto"/>
          <w:kern w:val="44"/>
          <w:sz w:val="44"/>
          <w:szCs w:val="44"/>
          <w:highlight w:val="none"/>
          <w:lang w:val="en-US" w:eastAsia="zh-CN" w:bidi="ar-SA"/>
        </w:rPr>
      </w:pPr>
    </w:p>
    <w:p w14:paraId="626E524A">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center"/>
        <w:textAlignment w:val="auto"/>
        <w:outlineLvl w:val="0"/>
        <w:rPr>
          <w:rFonts w:hint="eastAsia" w:ascii="仿宋" w:hAnsi="仿宋" w:eastAsia="仿宋" w:cs="仿宋"/>
          <w:b/>
          <w:color w:val="auto"/>
          <w:kern w:val="44"/>
          <w:sz w:val="44"/>
          <w:szCs w:val="44"/>
          <w:highlight w:val="none"/>
          <w:lang w:val="en-US" w:eastAsia="zh-CN" w:bidi="ar-SA"/>
        </w:rPr>
      </w:pPr>
    </w:p>
    <w:p w14:paraId="11E5458E">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center"/>
        <w:textAlignment w:val="auto"/>
        <w:outlineLvl w:val="0"/>
        <w:rPr>
          <w:rFonts w:hint="eastAsia" w:ascii="仿宋" w:hAnsi="仿宋" w:eastAsia="仿宋" w:cs="仿宋"/>
          <w:b/>
          <w:color w:val="auto"/>
          <w:kern w:val="44"/>
          <w:sz w:val="44"/>
          <w:szCs w:val="44"/>
          <w:highlight w:val="none"/>
          <w:lang w:val="en-US" w:eastAsia="zh-CN" w:bidi="ar-SA"/>
        </w:rPr>
      </w:pPr>
    </w:p>
    <w:p w14:paraId="53527689">
      <w:pPr>
        <w:pStyle w:val="2"/>
        <w:rPr>
          <w:rFonts w:hint="eastAsia" w:ascii="仿宋" w:hAnsi="仿宋" w:eastAsia="仿宋" w:cs="仿宋"/>
          <w:b/>
          <w:color w:val="auto"/>
          <w:kern w:val="44"/>
          <w:sz w:val="44"/>
          <w:szCs w:val="44"/>
          <w:highlight w:val="none"/>
          <w:lang w:val="en-US" w:eastAsia="zh-CN" w:bidi="ar-SA"/>
        </w:rPr>
      </w:pPr>
    </w:p>
    <w:p w14:paraId="73645A6B">
      <w:pPr>
        <w:pStyle w:val="3"/>
        <w:rPr>
          <w:rFonts w:hint="eastAsia"/>
          <w:color w:val="auto"/>
          <w:highlight w:val="none"/>
          <w:lang w:val="en-US" w:eastAsia="zh-CN"/>
        </w:rPr>
      </w:pPr>
    </w:p>
    <w:p w14:paraId="0BD715F7">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center"/>
        <w:textAlignment w:val="auto"/>
        <w:outlineLvl w:val="0"/>
        <w:rPr>
          <w:rFonts w:hint="eastAsia" w:ascii="仿宋" w:hAnsi="仿宋" w:eastAsia="仿宋" w:cs="仿宋"/>
          <w:b/>
          <w:color w:val="auto"/>
          <w:kern w:val="44"/>
          <w:sz w:val="44"/>
          <w:szCs w:val="44"/>
          <w:highlight w:val="none"/>
          <w:lang w:val="en-US" w:eastAsia="zh-CN" w:bidi="ar-SA"/>
        </w:rPr>
      </w:pPr>
    </w:p>
    <w:bookmarkEnd w:id="398"/>
    <w:bookmarkEnd w:id="399"/>
    <w:bookmarkEnd w:id="400"/>
    <w:p w14:paraId="058D56FE">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center"/>
        <w:textAlignment w:val="auto"/>
        <w:outlineLvl w:val="0"/>
        <w:rPr>
          <w:rFonts w:hint="default" w:ascii="仿宋" w:hAnsi="仿宋" w:eastAsia="仿宋" w:cs="仿宋"/>
          <w:b/>
          <w:color w:val="auto"/>
          <w:kern w:val="44"/>
          <w:sz w:val="44"/>
          <w:szCs w:val="44"/>
          <w:highlight w:val="none"/>
          <w:lang w:val="en-US" w:eastAsia="zh-CN" w:bidi="ar-SA"/>
        </w:rPr>
      </w:pPr>
      <w:bookmarkStart w:id="401" w:name="_Toc30823"/>
      <w:bookmarkStart w:id="402" w:name="_Toc18480"/>
      <w:r>
        <w:rPr>
          <w:rFonts w:hint="eastAsia" w:ascii="仿宋" w:hAnsi="仿宋" w:eastAsia="仿宋" w:cs="仿宋"/>
          <w:b/>
          <w:color w:val="auto"/>
          <w:kern w:val="44"/>
          <w:sz w:val="44"/>
          <w:szCs w:val="44"/>
          <w:highlight w:val="none"/>
          <w:lang w:val="en-US" w:eastAsia="zh-CN" w:bidi="ar-SA"/>
        </w:rPr>
        <w:t>第四章 采购需求及商务要求</w:t>
      </w:r>
    </w:p>
    <w:p w14:paraId="360A4CB1">
      <w:pPr>
        <w:pStyle w:val="4"/>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outlineLvl w:val="1"/>
        <w:rPr>
          <w:rFonts w:hint="eastAsia" w:ascii="仿宋" w:hAnsi="仿宋" w:eastAsia="仿宋" w:cs="仿宋"/>
          <w:b/>
          <w:bCs w:val="0"/>
          <w:color w:val="auto"/>
          <w:sz w:val="36"/>
          <w:szCs w:val="36"/>
          <w:highlight w:val="none"/>
          <w:lang w:val="en-US" w:eastAsia="zh-CN"/>
        </w:rPr>
      </w:pPr>
      <w:bookmarkStart w:id="403" w:name="_Toc19351"/>
      <w:r>
        <w:rPr>
          <w:rFonts w:hint="eastAsia" w:ascii="仿宋" w:hAnsi="仿宋" w:eastAsia="仿宋" w:cs="仿宋"/>
          <w:b/>
          <w:bCs w:val="0"/>
          <w:color w:val="auto"/>
          <w:sz w:val="36"/>
          <w:szCs w:val="36"/>
          <w:highlight w:val="none"/>
          <w:lang w:val="en-US" w:eastAsia="zh-CN"/>
        </w:rPr>
        <w:t>第一部分 采购需求</w:t>
      </w:r>
      <w:bookmarkEnd w:id="403"/>
    </w:p>
    <w:p w14:paraId="3B993270">
      <w:pPr>
        <w:keepNext w:val="0"/>
        <w:keepLines w:val="0"/>
        <w:pageBreakBefore w:val="0"/>
        <w:widowControl w:val="0"/>
        <w:kinsoku/>
        <w:wordWrap/>
        <w:overflowPunct/>
        <w:topLinePunct w:val="0"/>
        <w:autoSpaceDE/>
        <w:autoSpaceDN/>
        <w:bidi w:val="0"/>
        <w:adjustRightInd/>
        <w:spacing w:line="480" w:lineRule="exact"/>
        <w:jc w:val="both"/>
        <w:textAlignment w:val="auto"/>
        <w:rPr>
          <w:rFonts w:hint="eastAsia" w:ascii="仿宋" w:hAnsi="仿宋" w:eastAsia="仿宋" w:cs="仿宋"/>
          <w:b/>
          <w:bCs/>
          <w:color w:val="auto"/>
          <w:spacing w:val="-7"/>
          <w:sz w:val="32"/>
          <w:szCs w:val="32"/>
          <w:highlight w:val="none"/>
          <w:lang w:val="en-US" w:eastAsia="zh-CN"/>
        </w:rPr>
      </w:pPr>
      <w:r>
        <w:rPr>
          <w:rFonts w:hint="eastAsia" w:ascii="仿宋" w:hAnsi="仿宋" w:eastAsia="仿宋" w:cs="仿宋"/>
          <w:b/>
          <w:bCs w:val="0"/>
          <w:color w:val="auto"/>
          <w:sz w:val="32"/>
          <w:szCs w:val="32"/>
          <w:highlight w:val="none"/>
          <w:lang w:val="en-US" w:eastAsia="zh-CN"/>
        </w:rPr>
        <w:t>一、第一标段：米、面、油等食材采购</w:t>
      </w:r>
    </w:p>
    <w:p w14:paraId="7502500D">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pacing w:val="-7"/>
          <w:sz w:val="30"/>
          <w:szCs w:val="30"/>
          <w:highlight w:val="none"/>
          <w:lang w:val="en-US" w:eastAsia="zh-CN"/>
        </w:rPr>
        <w:t>（一）</w:t>
      </w:r>
      <w:r>
        <w:rPr>
          <w:rFonts w:hint="eastAsia" w:ascii="仿宋" w:hAnsi="仿宋" w:eastAsia="仿宋" w:cs="仿宋"/>
          <w:b/>
          <w:bCs/>
          <w:color w:val="auto"/>
          <w:spacing w:val="-7"/>
          <w:sz w:val="30"/>
          <w:szCs w:val="30"/>
          <w:highlight w:val="none"/>
        </w:rPr>
        <w:t>总体要求</w:t>
      </w:r>
    </w:p>
    <w:p w14:paraId="10E7A3D8">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1.所购入的</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必须符合《中华人民共和国食品卫生法》、《中华人民共和国食品安全法》要求。</w:t>
      </w:r>
    </w:p>
    <w:p w14:paraId="0E06661D">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2.所供</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必须符合国家行业生产及经营标准，货真价实，均能提供相应批次的合格检验证明；</w:t>
      </w:r>
    </w:p>
    <w:p w14:paraId="724821B0">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3.所供</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必须各项技术指标完全符合国家有关质量检测、环保标准及产品出厂标准。</w:t>
      </w:r>
    </w:p>
    <w:p w14:paraId="4A544020">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4.所有</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指标要符合国家强制性标准要求。</w:t>
      </w:r>
    </w:p>
    <w:p w14:paraId="0E82C2E3">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5.中标</w:t>
      </w:r>
      <w:r>
        <w:rPr>
          <w:rFonts w:hint="eastAsia" w:ascii="仿宋" w:hAnsi="仿宋" w:eastAsia="仿宋" w:cs="仿宋"/>
          <w:bCs/>
          <w:color w:val="auto"/>
          <w:sz w:val="28"/>
          <w:szCs w:val="28"/>
          <w:highlight w:val="none"/>
        </w:rPr>
        <w:t>人必须负责采购</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的运输、质量检测等工作，所产生的费用由</w:t>
      </w:r>
      <w:r>
        <w:rPr>
          <w:rFonts w:hint="eastAsia" w:ascii="仿宋" w:hAnsi="仿宋" w:eastAsia="仿宋" w:cs="仿宋"/>
          <w:bCs/>
          <w:color w:val="auto"/>
          <w:sz w:val="28"/>
          <w:szCs w:val="28"/>
          <w:highlight w:val="none"/>
          <w:lang w:val="en-US" w:eastAsia="zh-CN"/>
        </w:rPr>
        <w:t>中标</w:t>
      </w:r>
      <w:r>
        <w:rPr>
          <w:rFonts w:hint="eastAsia" w:ascii="仿宋" w:hAnsi="仿宋" w:eastAsia="仿宋" w:cs="仿宋"/>
          <w:bCs/>
          <w:color w:val="auto"/>
          <w:sz w:val="28"/>
          <w:szCs w:val="28"/>
          <w:highlight w:val="none"/>
        </w:rPr>
        <w:t>人负责。</w:t>
      </w:r>
    </w:p>
    <w:p w14:paraId="2504E0A4">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.所供</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必须符合国家有关标准，保证无异味、无霉烂变质。</w:t>
      </w:r>
    </w:p>
    <w:p w14:paraId="6224AC88">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.所有</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指标要符合国家强制性标准要求，包装容器(框、箱、袋)要求清洁、干燥、牢固、透气，无污染、无异味、无霉变现象。严禁采购有害、有毒、腐烂变质、酸败、霉变、生虫、污垢不洁、混有异物或其他感官性状异常的食品。禁</w:t>
      </w:r>
      <w:r>
        <w:rPr>
          <w:rFonts w:hint="eastAsia" w:ascii="仿宋" w:hAnsi="仿宋" w:eastAsia="仿宋" w:cs="仿宋"/>
          <w:color w:val="auto"/>
          <w:sz w:val="28"/>
          <w:szCs w:val="28"/>
          <w:highlight w:val="none"/>
        </w:rPr>
        <w:t>止采购超过保质期限的食品。</w:t>
      </w:r>
    </w:p>
    <w:p w14:paraId="45F08EFA">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所供</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color w:val="auto"/>
          <w:sz w:val="28"/>
          <w:szCs w:val="28"/>
          <w:highlight w:val="none"/>
        </w:rPr>
        <w:t>必须是优质货品，</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人必须保证所供应的</w:t>
      </w:r>
      <w:r>
        <w:rPr>
          <w:rFonts w:hint="eastAsia" w:ascii="仿宋" w:hAnsi="仿宋" w:eastAsia="仿宋" w:cs="仿宋"/>
          <w:color w:val="auto"/>
          <w:sz w:val="28"/>
          <w:szCs w:val="28"/>
          <w:highlight w:val="none"/>
          <w:lang w:val="en-US" w:eastAsia="zh-CN"/>
        </w:rPr>
        <w:t>产品</w:t>
      </w:r>
      <w:r>
        <w:rPr>
          <w:rFonts w:hint="eastAsia" w:ascii="仿宋" w:hAnsi="仿宋" w:eastAsia="仿宋" w:cs="仿宋"/>
          <w:color w:val="auto"/>
          <w:sz w:val="28"/>
          <w:szCs w:val="28"/>
          <w:highlight w:val="none"/>
        </w:rPr>
        <w:t>符合卫生标准，同时承担因所供</w:t>
      </w:r>
      <w:r>
        <w:rPr>
          <w:rFonts w:hint="eastAsia" w:ascii="仿宋" w:hAnsi="仿宋" w:eastAsia="仿宋" w:cs="仿宋"/>
          <w:color w:val="auto"/>
          <w:sz w:val="28"/>
          <w:szCs w:val="28"/>
          <w:highlight w:val="none"/>
          <w:lang w:val="en-US" w:eastAsia="zh-CN"/>
        </w:rPr>
        <w:t>产品</w:t>
      </w:r>
      <w:r>
        <w:rPr>
          <w:rFonts w:hint="eastAsia" w:ascii="仿宋" w:hAnsi="仿宋" w:eastAsia="仿宋" w:cs="仿宋"/>
          <w:color w:val="auto"/>
          <w:sz w:val="28"/>
          <w:szCs w:val="28"/>
          <w:highlight w:val="none"/>
        </w:rPr>
        <w:t>问题引起的一切事故后果。</w:t>
      </w:r>
    </w:p>
    <w:p w14:paraId="52F750C9">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color w:val="auto"/>
          <w:sz w:val="28"/>
          <w:szCs w:val="28"/>
          <w:highlight w:val="none"/>
        </w:rPr>
        <w:t>有包装的，包装必须完整清洁(无损、无污、无皱),招标人有权拒收包装不整齐、已拆封的商品。采购的食品不得存放在有害、有毒的容器内。</w:t>
      </w:r>
    </w:p>
    <w:p w14:paraId="47014A89">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auto"/>
          <w:spacing w:val="-7"/>
          <w:sz w:val="30"/>
          <w:szCs w:val="30"/>
          <w:highlight w:val="none"/>
          <w:lang w:val="en-US" w:eastAsia="zh-CN"/>
        </w:rPr>
      </w:pPr>
      <w:r>
        <w:rPr>
          <w:rFonts w:hint="eastAsia" w:ascii="仿宋" w:hAnsi="仿宋" w:eastAsia="仿宋" w:cs="仿宋"/>
          <w:b/>
          <w:bCs/>
          <w:color w:val="auto"/>
          <w:spacing w:val="-7"/>
          <w:sz w:val="30"/>
          <w:szCs w:val="30"/>
          <w:highlight w:val="none"/>
          <w:lang w:val="en-US" w:eastAsia="zh-CN"/>
        </w:rPr>
        <w:t>（二）采购需求具体内容如下</w:t>
      </w:r>
    </w:p>
    <w:p w14:paraId="413565FD">
      <w:pPr>
        <w:pageBreakBefore w:val="0"/>
        <w:kinsoku/>
        <w:overflowPunct/>
        <w:bidi w:val="0"/>
        <w:spacing w:beforeAutospacing="0" w:afterAutospacing="0" w:line="440" w:lineRule="exact"/>
        <w:ind w:right="0" w:right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1.米、面、油等食材采购清单（此表仅供参考，包括但不仅限于以下品种，可根据需求增减品种，并非固定类目，以实际发生为准。）</w:t>
      </w:r>
    </w:p>
    <w:tbl>
      <w:tblPr>
        <w:tblStyle w:val="27"/>
        <w:tblW w:w="8930" w:type="dxa"/>
        <w:jc w:val="center"/>
        <w:tblLayout w:type="fixed"/>
        <w:tblCellMar>
          <w:top w:w="0" w:type="dxa"/>
          <w:left w:w="0" w:type="dxa"/>
          <w:bottom w:w="0" w:type="dxa"/>
          <w:right w:w="0" w:type="dxa"/>
        </w:tblCellMar>
      </w:tblPr>
      <w:tblGrid>
        <w:gridCol w:w="800"/>
        <w:gridCol w:w="1962"/>
        <w:gridCol w:w="1135"/>
        <w:gridCol w:w="1311"/>
        <w:gridCol w:w="1375"/>
        <w:gridCol w:w="2347"/>
      </w:tblGrid>
      <w:tr w14:paraId="0AC2C007">
        <w:tblPrEx>
          <w:tblCellMar>
            <w:top w:w="0" w:type="dxa"/>
            <w:left w:w="0" w:type="dxa"/>
            <w:bottom w:w="0" w:type="dxa"/>
            <w:right w:w="0" w:type="dxa"/>
          </w:tblCellMar>
        </w:tblPrEx>
        <w:trPr>
          <w:trHeight w:val="916" w:hRule="exact"/>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103D722C">
            <w:pPr>
              <w:pageBreakBefore w:val="0"/>
              <w:kinsoku/>
              <w:overflowPunct/>
              <w:bidi w:val="0"/>
              <w:spacing w:beforeAutospacing="0" w:afterAutospacing="0" w:line="440" w:lineRule="exact"/>
              <w:ind w:right="0" w:rightChars="0"/>
              <w:jc w:val="center"/>
              <w:rPr>
                <w:rFonts w:hint="eastAsia" w:ascii="仿宋" w:hAnsi="仿宋" w:eastAsia="仿宋" w:cs="仿宋"/>
                <w:b/>
                <w:bCs/>
                <w:color w:val="auto"/>
                <w:sz w:val="24"/>
                <w:szCs w:val="24"/>
                <w:highlight w:val="none"/>
              </w:rPr>
            </w:pPr>
            <w:bookmarkStart w:id="404" w:name="_Toc14205"/>
            <w:bookmarkStart w:id="405" w:name="_Toc21532"/>
            <w:r>
              <w:rPr>
                <w:rFonts w:hint="eastAsia" w:ascii="仿宋" w:hAnsi="仿宋" w:eastAsia="仿宋" w:cs="仿宋"/>
                <w:b/>
                <w:bCs/>
                <w:color w:val="auto"/>
                <w:sz w:val="24"/>
                <w:szCs w:val="24"/>
                <w:highlight w:val="none"/>
              </w:rPr>
              <w:t>序 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658754A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产品名称</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E4DBE06">
            <w:pPr>
              <w:pageBreakBefore w:val="0"/>
              <w:kinsoku/>
              <w:overflowPunct/>
              <w:bidi w:val="0"/>
              <w:spacing w:beforeAutospacing="0" w:afterAutospacing="0" w:line="440" w:lineRule="exact"/>
              <w:ind w:right="0" w:right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产品规格</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6962236">
            <w:pPr>
              <w:pageBreakBefore w:val="0"/>
              <w:kinsoku/>
              <w:overflowPunct/>
              <w:bidi w:val="0"/>
              <w:spacing w:beforeAutospacing="0" w:afterAutospacing="0" w:line="440" w:lineRule="exact"/>
              <w:ind w:right="0" w:right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重量</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19B8E387">
            <w:pPr>
              <w:pageBreakBefore w:val="0"/>
              <w:kinsoku/>
              <w:overflowPunct/>
              <w:bidi w:val="0"/>
              <w:spacing w:beforeAutospacing="0" w:afterAutospacing="0" w:line="440" w:lineRule="exact"/>
              <w:ind w:right="0" w:right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储存要求</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6F21F87D">
            <w:pPr>
              <w:pageBreakBefore w:val="0"/>
              <w:kinsoku/>
              <w:overflowPunct/>
              <w:bidi w:val="0"/>
              <w:spacing w:beforeAutospacing="0" w:afterAutospacing="0" w:line="440" w:lineRule="exact"/>
              <w:ind w:right="0" w:right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采购标准</w:t>
            </w:r>
          </w:p>
        </w:tc>
      </w:tr>
      <w:tr w14:paraId="5CEC1428">
        <w:tblPrEx>
          <w:tblCellMar>
            <w:top w:w="0" w:type="dxa"/>
            <w:left w:w="0" w:type="dxa"/>
            <w:bottom w:w="0" w:type="dxa"/>
            <w:right w:w="0" w:type="dxa"/>
          </w:tblCellMar>
        </w:tblPrEx>
        <w:trPr>
          <w:trHeight w:val="2195" w:hRule="exact"/>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3A14796B">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6DCB4D3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二级精米</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635787D">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袋装</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AC866DC">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5、10、</w:t>
            </w:r>
            <w:r>
              <w:rPr>
                <w:rFonts w:hint="eastAsia" w:ascii="仿宋" w:hAnsi="仿宋" w:eastAsia="仿宋" w:cs="仿宋"/>
                <w:color w:val="auto"/>
                <w:sz w:val="24"/>
                <w:szCs w:val="24"/>
                <w:highlight w:val="none"/>
              </w:rPr>
              <w:t>25kg</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2F20ADA1">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常温</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445C14F6">
            <w:pPr>
              <w:pageBreakBefore w:val="0"/>
              <w:kinsoku/>
              <w:overflowPunct/>
              <w:bidi w:val="0"/>
              <w:spacing w:beforeAutospacing="0" w:afterAutospacing="0" w:line="440" w:lineRule="exact"/>
              <w:ind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符合应有品种的色泽，呈透明、半透明或白色，有光泽，具有新鲜米的特有香气，无异味。</w:t>
            </w:r>
          </w:p>
        </w:tc>
      </w:tr>
      <w:tr w14:paraId="7A370543">
        <w:tblPrEx>
          <w:tblCellMar>
            <w:top w:w="0" w:type="dxa"/>
            <w:left w:w="0" w:type="dxa"/>
            <w:bottom w:w="0" w:type="dxa"/>
            <w:right w:w="0" w:type="dxa"/>
          </w:tblCellMar>
        </w:tblPrEx>
        <w:trPr>
          <w:trHeight w:val="1504" w:hRule="exact"/>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76236495">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2A4F750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三级精米</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3C90E5E">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袋装</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3D06B6D">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5、10、</w:t>
            </w:r>
            <w:r>
              <w:rPr>
                <w:rFonts w:hint="eastAsia" w:ascii="仿宋" w:hAnsi="仿宋" w:eastAsia="仿宋" w:cs="仿宋"/>
                <w:color w:val="auto"/>
                <w:sz w:val="24"/>
                <w:szCs w:val="24"/>
                <w:highlight w:val="none"/>
              </w:rPr>
              <w:t>25kg</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4398049D">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常温</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0134C1F1">
            <w:pPr>
              <w:pageBreakBefore w:val="0"/>
              <w:kinsoku/>
              <w:overflowPunct/>
              <w:bidi w:val="0"/>
              <w:spacing w:beforeAutospacing="0" w:afterAutospacing="0" w:line="440" w:lineRule="exact"/>
              <w:ind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符合应有品种的色泽，呈透明、半透明或白色，无异味。</w:t>
            </w:r>
          </w:p>
        </w:tc>
      </w:tr>
      <w:tr w14:paraId="6C1A2648">
        <w:tblPrEx>
          <w:tblCellMar>
            <w:top w:w="0" w:type="dxa"/>
            <w:left w:w="0" w:type="dxa"/>
            <w:bottom w:w="0" w:type="dxa"/>
            <w:right w:w="0" w:type="dxa"/>
          </w:tblCellMar>
        </w:tblPrEx>
        <w:trPr>
          <w:trHeight w:val="1601" w:hRule="exact"/>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53894FE0">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025DB7D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特一面粉</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061AB91">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袋装</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9F87390">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5、10、</w:t>
            </w:r>
            <w:r>
              <w:rPr>
                <w:rFonts w:hint="eastAsia" w:ascii="仿宋" w:hAnsi="仿宋" w:eastAsia="仿宋" w:cs="仿宋"/>
                <w:color w:val="auto"/>
                <w:sz w:val="24"/>
                <w:szCs w:val="24"/>
                <w:highlight w:val="none"/>
              </w:rPr>
              <w:t>25kg</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6B0DA9D4">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常温</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74B2BBF4">
            <w:pPr>
              <w:pageBreakBefore w:val="0"/>
              <w:kinsoku/>
              <w:overflowPunct/>
              <w:bidi w:val="0"/>
              <w:spacing w:beforeAutospacing="0" w:afterAutospacing="0" w:line="440" w:lineRule="exact"/>
              <w:ind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面粉呈白色或微黄色，不发暗、无杂色，具有面粉固有的清香味。</w:t>
            </w:r>
          </w:p>
        </w:tc>
      </w:tr>
      <w:tr w14:paraId="7BBDCD57">
        <w:tblPrEx>
          <w:tblCellMar>
            <w:top w:w="0" w:type="dxa"/>
            <w:left w:w="0" w:type="dxa"/>
            <w:bottom w:w="0" w:type="dxa"/>
            <w:right w:w="0" w:type="dxa"/>
          </w:tblCellMar>
        </w:tblPrEx>
        <w:trPr>
          <w:trHeight w:val="1655" w:hRule="exact"/>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1C89C11D">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3A4F0B4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特二面粉</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DD79E3E">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袋装</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EAB80EC">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5、10、</w:t>
            </w:r>
            <w:r>
              <w:rPr>
                <w:rFonts w:hint="eastAsia" w:ascii="仿宋" w:hAnsi="仿宋" w:eastAsia="仿宋" w:cs="仿宋"/>
                <w:color w:val="auto"/>
                <w:sz w:val="24"/>
                <w:szCs w:val="24"/>
                <w:highlight w:val="none"/>
              </w:rPr>
              <w:t>25kg</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3DC22E7A">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常温</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71D78615">
            <w:pPr>
              <w:pageBreakBefore w:val="0"/>
              <w:kinsoku/>
              <w:overflowPunct/>
              <w:bidi w:val="0"/>
              <w:spacing w:beforeAutospacing="0" w:afterAutospacing="0" w:line="440" w:lineRule="exact"/>
              <w:ind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面粉呈白色或微黄色，不发暗、无杂色，具有面粉固有的清香味。</w:t>
            </w:r>
          </w:p>
        </w:tc>
      </w:tr>
      <w:tr w14:paraId="7EBB80AB">
        <w:tblPrEx>
          <w:tblCellMar>
            <w:top w:w="0" w:type="dxa"/>
            <w:left w:w="0" w:type="dxa"/>
            <w:bottom w:w="0" w:type="dxa"/>
            <w:right w:w="0" w:type="dxa"/>
          </w:tblCellMar>
        </w:tblPrEx>
        <w:trPr>
          <w:trHeight w:val="1607" w:hRule="exact"/>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79434F84">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0F799F1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标准面粉</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0EDB967">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袋装</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6073368">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5、10、</w:t>
            </w:r>
            <w:r>
              <w:rPr>
                <w:rFonts w:hint="eastAsia" w:ascii="仿宋" w:hAnsi="仿宋" w:eastAsia="仿宋" w:cs="仿宋"/>
                <w:color w:val="auto"/>
                <w:sz w:val="24"/>
                <w:szCs w:val="24"/>
                <w:highlight w:val="none"/>
              </w:rPr>
              <w:t>25kg</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29CC1A3C">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常温</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4ACA1331">
            <w:pPr>
              <w:pageBreakBefore w:val="0"/>
              <w:kinsoku/>
              <w:overflowPunct/>
              <w:bidi w:val="0"/>
              <w:spacing w:beforeAutospacing="0" w:afterAutospacing="0" w:line="440" w:lineRule="exact"/>
              <w:ind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面粉呈白色或微黄色，不发暗、无杂色，具有面粉固有的清香味。</w:t>
            </w:r>
          </w:p>
        </w:tc>
      </w:tr>
      <w:tr w14:paraId="01968E46">
        <w:tblPrEx>
          <w:tblCellMar>
            <w:top w:w="0" w:type="dxa"/>
            <w:left w:w="0" w:type="dxa"/>
            <w:bottom w:w="0" w:type="dxa"/>
            <w:right w:w="0" w:type="dxa"/>
          </w:tblCellMar>
        </w:tblPrEx>
        <w:trPr>
          <w:trHeight w:val="1824" w:hRule="exact"/>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1AAF1408">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B4FD0F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菜籽油</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8235C7E">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桶装</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EBA2ABE">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5L</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3FBFA047">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常温</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14:paraId="7C5D0D14">
            <w:pPr>
              <w:pageBreakBefore w:val="0"/>
              <w:kinsoku/>
              <w:overflowPunct/>
              <w:bidi w:val="0"/>
              <w:spacing w:beforeAutospacing="0" w:afterAutospacing="0" w:line="440" w:lineRule="exact"/>
              <w:ind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呈黄色至棕色，清澈透明，无沉淀物或有微量沉淀物。</w:t>
            </w:r>
          </w:p>
        </w:tc>
      </w:tr>
    </w:tbl>
    <w:p w14:paraId="225E6DB9">
      <w:pPr>
        <w:pStyle w:val="46"/>
        <w:keepNext w:val="0"/>
        <w:keepLines w:val="0"/>
        <w:pageBreakBefore w:val="0"/>
        <w:kinsoku/>
        <w:wordWrap/>
        <w:overflowPunct/>
        <w:topLinePunct w:val="0"/>
        <w:bidi w:val="0"/>
        <w:snapToGrid/>
        <w:spacing w:line="480" w:lineRule="exact"/>
        <w:textAlignment w:val="auto"/>
        <w:outlineLvl w:val="2"/>
        <w:rPr>
          <w:rFonts w:hint="eastAsia" w:ascii="仿宋" w:hAnsi="仿宋" w:eastAsia="仿宋" w:cs="仿宋"/>
          <w:b/>
          <w:color w:val="auto"/>
          <w:kern w:val="44"/>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 xml:space="preserve">2.技术规格要求： </w:t>
      </w:r>
      <w:r>
        <w:rPr>
          <w:rFonts w:hint="eastAsia" w:ascii="仿宋" w:hAnsi="仿宋" w:eastAsia="仿宋" w:cs="仿宋"/>
          <w:b/>
          <w:color w:val="auto"/>
          <w:kern w:val="44"/>
          <w:sz w:val="28"/>
          <w:szCs w:val="28"/>
          <w:highlight w:val="none"/>
          <w:lang w:val="en-US" w:eastAsia="zh-CN" w:bidi="ar-SA"/>
        </w:rPr>
        <w:t xml:space="preserve"> </w:t>
      </w:r>
    </w:p>
    <w:p w14:paraId="0F7B6198">
      <w:pPr>
        <w:keepNext w:val="0"/>
        <w:keepLines w:val="0"/>
        <w:pageBreakBefore w:val="0"/>
        <w:numPr>
          <w:ilvl w:val="0"/>
          <w:numId w:val="0"/>
        </w:numPr>
        <w:kinsoku/>
        <w:wordWrap/>
        <w:overflowPunct/>
        <w:topLinePunct w:val="0"/>
        <w:bidi w:val="0"/>
        <w:snapToGrid/>
        <w:spacing w:line="48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2.1</w:t>
      </w:r>
      <w:r>
        <w:rPr>
          <w:rFonts w:hint="eastAsia" w:ascii="仿宋" w:hAnsi="仿宋" w:eastAsia="仿宋" w:cs="仿宋"/>
          <w:b/>
          <w:bCs/>
          <w:color w:val="auto"/>
          <w:sz w:val="28"/>
          <w:szCs w:val="28"/>
          <w:highlight w:val="none"/>
        </w:rPr>
        <w:t>大米(不含转基因成分的大米)</w:t>
      </w:r>
    </w:p>
    <w:p w14:paraId="1DF0A26E">
      <w:pPr>
        <w:keepNext w:val="0"/>
        <w:keepLines w:val="0"/>
        <w:pageBreakBefore w:val="0"/>
        <w:numPr>
          <w:ilvl w:val="0"/>
          <w:numId w:val="0"/>
        </w:numPr>
        <w:kinsoku/>
        <w:wordWrap/>
        <w:overflowPunct/>
        <w:topLinePunct w:val="0"/>
        <w:bidi w:val="0"/>
        <w:snapToGrid/>
        <w:spacing w:line="48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大米品种要求：</w:t>
      </w:r>
    </w:p>
    <w:tbl>
      <w:tblPr>
        <w:tblStyle w:val="58"/>
        <w:tblW w:w="89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2618"/>
        <w:gridCol w:w="1241"/>
        <w:gridCol w:w="1254"/>
        <w:gridCol w:w="1241"/>
        <w:gridCol w:w="1813"/>
      </w:tblGrid>
      <w:tr w14:paraId="06A9D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 w:hRule="atLeast"/>
          <w:jc w:val="center"/>
        </w:trPr>
        <w:tc>
          <w:tcPr>
            <w:tcW w:w="3401" w:type="dxa"/>
            <w:gridSpan w:val="2"/>
            <w:noWrap w:val="0"/>
            <w:vAlign w:val="center"/>
          </w:tcPr>
          <w:p w14:paraId="0333B077">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49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品种</w:t>
            </w:r>
          </w:p>
        </w:tc>
        <w:tc>
          <w:tcPr>
            <w:tcW w:w="5549" w:type="dxa"/>
            <w:gridSpan w:val="4"/>
            <w:noWrap w:val="0"/>
            <w:vAlign w:val="center"/>
          </w:tcPr>
          <w:p w14:paraId="3EC3374A">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1888" w:firstLineChars="8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粳米</w:t>
            </w:r>
          </w:p>
        </w:tc>
      </w:tr>
      <w:tr w14:paraId="6AECA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jc w:val="center"/>
        </w:trPr>
        <w:tc>
          <w:tcPr>
            <w:tcW w:w="3401" w:type="dxa"/>
            <w:gridSpan w:val="2"/>
            <w:noWrap w:val="0"/>
            <w:vAlign w:val="center"/>
          </w:tcPr>
          <w:p w14:paraId="770577EE">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47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等级</w:t>
            </w:r>
          </w:p>
        </w:tc>
        <w:tc>
          <w:tcPr>
            <w:tcW w:w="1241" w:type="dxa"/>
            <w:noWrap w:val="0"/>
            <w:vAlign w:val="center"/>
          </w:tcPr>
          <w:p w14:paraId="7CFE4997">
            <w:pPr>
              <w:keepNext w:val="0"/>
              <w:keepLines w:val="0"/>
              <w:pageBreakBefore w:val="0"/>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w:t>
            </w:r>
          </w:p>
        </w:tc>
        <w:tc>
          <w:tcPr>
            <w:tcW w:w="1254" w:type="dxa"/>
            <w:noWrap w:val="0"/>
            <w:vAlign w:val="center"/>
          </w:tcPr>
          <w:p w14:paraId="6755FDAF">
            <w:pPr>
              <w:keepNext w:val="0"/>
              <w:keepLines w:val="0"/>
              <w:pageBreakBefore w:val="0"/>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二级</w:t>
            </w:r>
          </w:p>
        </w:tc>
        <w:tc>
          <w:tcPr>
            <w:tcW w:w="1241" w:type="dxa"/>
            <w:noWrap w:val="0"/>
            <w:vAlign w:val="center"/>
          </w:tcPr>
          <w:p w14:paraId="353F10B5">
            <w:pPr>
              <w:keepNext w:val="0"/>
              <w:keepLines w:val="0"/>
              <w:pageBreakBefore w:val="0"/>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三级</w:t>
            </w:r>
          </w:p>
        </w:tc>
        <w:tc>
          <w:tcPr>
            <w:tcW w:w="1813" w:type="dxa"/>
            <w:noWrap w:val="0"/>
            <w:vAlign w:val="center"/>
          </w:tcPr>
          <w:p w14:paraId="7F0ABC3C">
            <w:pPr>
              <w:keepNext w:val="0"/>
              <w:keepLines w:val="0"/>
              <w:pageBreakBefore w:val="0"/>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四级</w:t>
            </w:r>
          </w:p>
        </w:tc>
      </w:tr>
      <w:tr w14:paraId="2A7F2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jc w:val="center"/>
        </w:trPr>
        <w:tc>
          <w:tcPr>
            <w:tcW w:w="3401" w:type="dxa"/>
            <w:gridSpan w:val="2"/>
            <w:noWrap w:val="0"/>
            <w:vAlign w:val="center"/>
          </w:tcPr>
          <w:p w14:paraId="280B5EBA">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47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加工精度</w:t>
            </w:r>
          </w:p>
        </w:tc>
        <w:tc>
          <w:tcPr>
            <w:tcW w:w="5549" w:type="dxa"/>
            <w:gridSpan w:val="4"/>
            <w:noWrap w:val="0"/>
            <w:vAlign w:val="center"/>
          </w:tcPr>
          <w:p w14:paraId="7FA4DDAB">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9"/>
                <w:sz w:val="24"/>
                <w:szCs w:val="24"/>
                <w:highlight w:val="none"/>
              </w:rPr>
              <w:t>背沟无皮，或有皮不成线，米胚和粒面皮层去净的占90%以上</w:t>
            </w:r>
            <w:r>
              <w:rPr>
                <w:rFonts w:hint="eastAsia" w:ascii="仿宋" w:hAnsi="仿宋" w:eastAsia="仿宋" w:cs="仿宋"/>
                <w:color w:val="auto"/>
                <w:spacing w:val="9"/>
                <w:sz w:val="24"/>
                <w:szCs w:val="24"/>
                <w:highlight w:val="none"/>
                <w:lang w:eastAsia="zh-CN"/>
              </w:rPr>
              <w:t>。</w:t>
            </w:r>
          </w:p>
        </w:tc>
      </w:tr>
      <w:tr w14:paraId="5FE24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783" w:type="dxa"/>
            <w:vMerge w:val="restart"/>
            <w:tcBorders>
              <w:bottom w:val="nil"/>
            </w:tcBorders>
            <w:noWrap w:val="0"/>
            <w:vAlign w:val="center"/>
          </w:tcPr>
          <w:p w14:paraId="2D0A8DFA">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碎米</w:t>
            </w:r>
          </w:p>
        </w:tc>
        <w:tc>
          <w:tcPr>
            <w:tcW w:w="2618" w:type="dxa"/>
            <w:noWrap w:val="0"/>
            <w:vAlign w:val="center"/>
          </w:tcPr>
          <w:p w14:paraId="75A829A0">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总量%≤</w:t>
            </w:r>
          </w:p>
        </w:tc>
        <w:tc>
          <w:tcPr>
            <w:tcW w:w="1241" w:type="dxa"/>
            <w:noWrap w:val="0"/>
            <w:vAlign w:val="center"/>
          </w:tcPr>
          <w:p w14:paraId="7BB22ED5">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7.5</w:t>
            </w:r>
          </w:p>
        </w:tc>
        <w:tc>
          <w:tcPr>
            <w:tcW w:w="1254" w:type="dxa"/>
            <w:noWrap w:val="0"/>
            <w:vAlign w:val="center"/>
          </w:tcPr>
          <w:p w14:paraId="4B888098">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10.0</w:t>
            </w:r>
          </w:p>
        </w:tc>
        <w:tc>
          <w:tcPr>
            <w:tcW w:w="1241" w:type="dxa"/>
            <w:noWrap w:val="0"/>
            <w:vAlign w:val="center"/>
          </w:tcPr>
          <w:p w14:paraId="3336334F">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12.5</w:t>
            </w:r>
          </w:p>
        </w:tc>
        <w:tc>
          <w:tcPr>
            <w:tcW w:w="1813" w:type="dxa"/>
            <w:noWrap w:val="0"/>
            <w:vAlign w:val="center"/>
          </w:tcPr>
          <w:p w14:paraId="0F4F5898">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15.0</w:t>
            </w:r>
          </w:p>
        </w:tc>
      </w:tr>
      <w:tr w14:paraId="5312C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jc w:val="center"/>
        </w:trPr>
        <w:tc>
          <w:tcPr>
            <w:tcW w:w="783" w:type="dxa"/>
            <w:vMerge w:val="continue"/>
            <w:tcBorders>
              <w:top w:val="nil"/>
            </w:tcBorders>
            <w:noWrap w:val="0"/>
            <w:vAlign w:val="center"/>
          </w:tcPr>
          <w:p w14:paraId="6E256B14">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480" w:firstLineChars="200"/>
              <w:jc w:val="both"/>
              <w:textAlignment w:val="auto"/>
              <w:rPr>
                <w:rFonts w:hint="eastAsia" w:ascii="仿宋" w:hAnsi="仿宋" w:eastAsia="仿宋" w:cs="仿宋"/>
                <w:color w:val="auto"/>
                <w:sz w:val="24"/>
                <w:szCs w:val="24"/>
                <w:highlight w:val="none"/>
              </w:rPr>
            </w:pPr>
          </w:p>
        </w:tc>
        <w:tc>
          <w:tcPr>
            <w:tcW w:w="2618" w:type="dxa"/>
            <w:noWrap w:val="0"/>
            <w:vAlign w:val="center"/>
          </w:tcPr>
          <w:p w14:paraId="664D4449">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其中小碎米/%</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15"/>
                <w:position w:val="-2"/>
                <w:sz w:val="24"/>
                <w:szCs w:val="24"/>
                <w:highlight w:val="none"/>
              </w:rPr>
              <w:t>≤</w:t>
            </w:r>
          </w:p>
        </w:tc>
        <w:tc>
          <w:tcPr>
            <w:tcW w:w="1241" w:type="dxa"/>
            <w:noWrap w:val="0"/>
            <w:vAlign w:val="center"/>
          </w:tcPr>
          <w:p w14:paraId="76441112">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0.5</w:t>
            </w:r>
          </w:p>
        </w:tc>
        <w:tc>
          <w:tcPr>
            <w:tcW w:w="1254" w:type="dxa"/>
            <w:noWrap w:val="0"/>
            <w:vAlign w:val="center"/>
          </w:tcPr>
          <w:p w14:paraId="664407A2">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1.0</w:t>
            </w:r>
          </w:p>
        </w:tc>
        <w:tc>
          <w:tcPr>
            <w:tcW w:w="1241" w:type="dxa"/>
            <w:noWrap w:val="0"/>
            <w:vAlign w:val="center"/>
          </w:tcPr>
          <w:p w14:paraId="1171A27F">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1.5</w:t>
            </w:r>
          </w:p>
        </w:tc>
        <w:tc>
          <w:tcPr>
            <w:tcW w:w="1813" w:type="dxa"/>
            <w:noWrap w:val="0"/>
            <w:vAlign w:val="center"/>
          </w:tcPr>
          <w:p w14:paraId="2DF5744B">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2.0</w:t>
            </w:r>
          </w:p>
        </w:tc>
      </w:tr>
      <w:tr w14:paraId="6EAA6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jc w:val="center"/>
        </w:trPr>
        <w:tc>
          <w:tcPr>
            <w:tcW w:w="3401" w:type="dxa"/>
            <w:gridSpan w:val="2"/>
            <w:noWrap w:val="0"/>
            <w:vAlign w:val="center"/>
          </w:tcPr>
          <w:p w14:paraId="78D10D02">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768" w:firstLineChars="3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不完善粒/%</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8"/>
                <w:sz w:val="24"/>
                <w:szCs w:val="24"/>
                <w:highlight w:val="none"/>
              </w:rPr>
              <w:t>≤</w:t>
            </w:r>
          </w:p>
        </w:tc>
        <w:tc>
          <w:tcPr>
            <w:tcW w:w="2495" w:type="dxa"/>
            <w:gridSpan w:val="2"/>
            <w:noWrap w:val="0"/>
            <w:vAlign w:val="center"/>
          </w:tcPr>
          <w:p w14:paraId="7F80DB59">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3.0</w:t>
            </w:r>
          </w:p>
        </w:tc>
        <w:tc>
          <w:tcPr>
            <w:tcW w:w="1241" w:type="dxa"/>
            <w:noWrap w:val="0"/>
            <w:vAlign w:val="center"/>
          </w:tcPr>
          <w:p w14:paraId="084E3DFF">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4.0</w:t>
            </w:r>
          </w:p>
        </w:tc>
        <w:tc>
          <w:tcPr>
            <w:tcW w:w="1813" w:type="dxa"/>
            <w:noWrap w:val="0"/>
            <w:vAlign w:val="center"/>
          </w:tcPr>
          <w:p w14:paraId="23F687D2">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6.0</w:t>
            </w:r>
          </w:p>
        </w:tc>
      </w:tr>
      <w:tr w14:paraId="1B130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783" w:type="dxa"/>
            <w:vMerge w:val="restart"/>
            <w:tcBorders>
              <w:bottom w:val="nil"/>
            </w:tcBorders>
            <w:noWrap w:val="0"/>
            <w:vAlign w:val="center"/>
          </w:tcPr>
          <w:p w14:paraId="128ABBE4">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page">
                        <wp:posOffset>-81280</wp:posOffset>
                      </wp:positionH>
                      <wp:positionV relativeFrom="page">
                        <wp:posOffset>53975</wp:posOffset>
                      </wp:positionV>
                      <wp:extent cx="76200" cy="71691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6200" cy="716915"/>
                              </a:xfrm>
                              <a:prstGeom prst="rect">
                                <a:avLst/>
                              </a:prstGeom>
                              <a:noFill/>
                              <a:ln>
                                <a:noFill/>
                              </a:ln>
                            </wps:spPr>
                            <wps:txbx>
                              <w:txbxContent>
                                <w:p w14:paraId="4F0C5EC4">
                                  <w:pPr>
                                    <w:spacing w:before="20" w:line="216" w:lineRule="auto"/>
                                    <w:rPr>
                                      <w:rFonts w:ascii="宋体" w:hAnsi="宋体" w:eastAsia="宋体" w:cs="宋体"/>
                                      <w:sz w:val="13"/>
                                      <w:szCs w:val="13"/>
                                    </w:rPr>
                                  </w:pPr>
                                </w:p>
                              </w:txbxContent>
                            </wps:txbx>
                            <wps:bodyPr vert="eaVert" lIns="0" tIns="0" rIns="0" bIns="0" upright="1"/>
                          </wps:wsp>
                        </a:graphicData>
                      </a:graphic>
                    </wp:anchor>
                  </w:drawing>
                </mc:Choice>
                <mc:Fallback>
                  <w:pict>
                    <v:shape id="_x0000_s1026" o:spid="_x0000_s1026" o:spt="202" type="#_x0000_t202" style="position:absolute;left:0pt;margin-left:-6.4pt;margin-top:4.25pt;height:56.45pt;width:6pt;mso-position-horizontal-relative:page;mso-position-vertical-relative:page;z-index:251659264;mso-width-relative:page;mso-height-relative:page;" filled="f" stroked="f" coordsize="21600,21600" o:gfxdata="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W9LwbUAAAABwEAAA8AAAAAAAAAAQAgAAAAIgAAAGRycy9kb3ducmV2LnhtbFBL&#10;AQIUABQAAAAIAIdO4kBXhhUHwQEAAIADAAAOAAAAAAAAAAEAIAAAACMBAABkcnMvZTJvRG9jLnht&#10;bFBLBQYAAAAABgAGAFkBAABWBQAAAAA=&#10;">
                      <v:fill on="f" focussize="0,0"/>
                      <v:stroke on="f"/>
                      <v:imagedata o:title=""/>
                      <o:lock v:ext="edit" aspectratio="f"/>
                      <v:textbox inset="0mm,0mm,0mm,0mm" style="layout-flow:vertical-ideographic;">
                        <w:txbxContent>
                          <w:p w14:paraId="4F0C5EC4">
                            <w:pPr>
                              <w:spacing w:before="20" w:line="216" w:lineRule="auto"/>
                              <w:rPr>
                                <w:rFonts w:ascii="宋体" w:hAnsi="宋体" w:eastAsia="宋体" w:cs="宋体"/>
                                <w:sz w:val="13"/>
                                <w:szCs w:val="13"/>
                              </w:rPr>
                            </w:pPr>
                          </w:p>
                        </w:txbxContent>
                      </v:textbox>
                    </v:shape>
                  </w:pict>
                </mc:Fallback>
              </mc:AlternateContent>
            </w:r>
          </w:p>
          <w:p w14:paraId="4FA06983">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color w:val="auto"/>
                <w:spacing w:val="-2"/>
                <w:sz w:val="24"/>
                <w:szCs w:val="24"/>
                <w:highlight w:val="none"/>
              </w:rPr>
            </w:pPr>
          </w:p>
          <w:p w14:paraId="7B34AE08">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杂质最</w:t>
            </w:r>
            <w:r>
              <w:rPr>
                <w:rFonts w:hint="eastAsia" w:ascii="仿宋" w:hAnsi="仿宋" w:eastAsia="仿宋" w:cs="仿宋"/>
                <w:color w:val="auto"/>
                <w:spacing w:val="-2"/>
                <w:sz w:val="24"/>
                <w:szCs w:val="24"/>
                <w:highlight w:val="none"/>
              </w:rPr>
              <w:t>大限量</w:t>
            </w:r>
          </w:p>
        </w:tc>
        <w:tc>
          <w:tcPr>
            <w:tcW w:w="2618" w:type="dxa"/>
            <w:noWrap w:val="0"/>
            <w:vAlign w:val="center"/>
          </w:tcPr>
          <w:p w14:paraId="47C09B37">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总量/%≤</w:t>
            </w:r>
          </w:p>
        </w:tc>
        <w:tc>
          <w:tcPr>
            <w:tcW w:w="2495" w:type="dxa"/>
            <w:gridSpan w:val="2"/>
            <w:noWrap w:val="0"/>
            <w:vAlign w:val="center"/>
          </w:tcPr>
          <w:p w14:paraId="235669F3">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0.25</w:t>
            </w:r>
          </w:p>
        </w:tc>
        <w:tc>
          <w:tcPr>
            <w:tcW w:w="1241" w:type="dxa"/>
            <w:noWrap w:val="0"/>
            <w:vAlign w:val="center"/>
          </w:tcPr>
          <w:p w14:paraId="2490ACE6">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0.3</w:t>
            </w:r>
          </w:p>
        </w:tc>
        <w:tc>
          <w:tcPr>
            <w:tcW w:w="1813" w:type="dxa"/>
            <w:noWrap w:val="0"/>
            <w:vAlign w:val="center"/>
          </w:tcPr>
          <w:p w14:paraId="5CDAA94A">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0.4</w:t>
            </w:r>
          </w:p>
        </w:tc>
      </w:tr>
      <w:tr w14:paraId="2E6AC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jc w:val="center"/>
        </w:trPr>
        <w:tc>
          <w:tcPr>
            <w:tcW w:w="783" w:type="dxa"/>
            <w:vMerge w:val="continue"/>
            <w:tcBorders>
              <w:top w:val="nil"/>
              <w:bottom w:val="nil"/>
            </w:tcBorders>
            <w:noWrap w:val="0"/>
            <w:vAlign w:val="center"/>
          </w:tcPr>
          <w:p w14:paraId="13AEDC81">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480" w:firstLineChars="200"/>
              <w:jc w:val="both"/>
              <w:textAlignment w:val="auto"/>
              <w:rPr>
                <w:rFonts w:hint="eastAsia" w:ascii="仿宋" w:hAnsi="仿宋" w:eastAsia="仿宋" w:cs="仿宋"/>
                <w:color w:val="auto"/>
                <w:sz w:val="24"/>
                <w:szCs w:val="24"/>
                <w:highlight w:val="none"/>
              </w:rPr>
            </w:pPr>
          </w:p>
        </w:tc>
        <w:tc>
          <w:tcPr>
            <w:tcW w:w="2618" w:type="dxa"/>
            <w:noWrap w:val="0"/>
            <w:vAlign w:val="center"/>
          </w:tcPr>
          <w:p w14:paraId="30607789">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糠粉/%≤</w:t>
            </w:r>
          </w:p>
        </w:tc>
        <w:tc>
          <w:tcPr>
            <w:tcW w:w="2495" w:type="dxa"/>
            <w:gridSpan w:val="2"/>
            <w:noWrap w:val="0"/>
            <w:vAlign w:val="center"/>
          </w:tcPr>
          <w:p w14:paraId="219F8D17">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0.15</w:t>
            </w:r>
          </w:p>
        </w:tc>
        <w:tc>
          <w:tcPr>
            <w:tcW w:w="3054" w:type="dxa"/>
            <w:gridSpan w:val="2"/>
            <w:noWrap w:val="0"/>
            <w:vAlign w:val="center"/>
          </w:tcPr>
          <w:p w14:paraId="4F7F6231">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0.2</w:t>
            </w:r>
          </w:p>
        </w:tc>
      </w:tr>
      <w:tr w14:paraId="78176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jc w:val="center"/>
        </w:trPr>
        <w:tc>
          <w:tcPr>
            <w:tcW w:w="783" w:type="dxa"/>
            <w:vMerge w:val="continue"/>
            <w:tcBorders>
              <w:top w:val="nil"/>
              <w:bottom w:val="nil"/>
            </w:tcBorders>
            <w:noWrap w:val="0"/>
            <w:vAlign w:val="center"/>
          </w:tcPr>
          <w:p w14:paraId="63DB046E">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480" w:firstLineChars="200"/>
              <w:jc w:val="both"/>
              <w:textAlignment w:val="auto"/>
              <w:rPr>
                <w:rFonts w:hint="eastAsia" w:ascii="仿宋" w:hAnsi="仿宋" w:eastAsia="仿宋" w:cs="仿宋"/>
                <w:color w:val="auto"/>
                <w:sz w:val="24"/>
                <w:szCs w:val="24"/>
                <w:highlight w:val="none"/>
              </w:rPr>
            </w:pPr>
          </w:p>
        </w:tc>
        <w:tc>
          <w:tcPr>
            <w:tcW w:w="2618" w:type="dxa"/>
            <w:noWrap w:val="0"/>
            <w:vAlign w:val="center"/>
          </w:tcPr>
          <w:p w14:paraId="249F7545">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矿物质/%≤</w:t>
            </w:r>
          </w:p>
        </w:tc>
        <w:tc>
          <w:tcPr>
            <w:tcW w:w="5549" w:type="dxa"/>
            <w:gridSpan w:val="4"/>
            <w:noWrap w:val="0"/>
            <w:vAlign w:val="center"/>
          </w:tcPr>
          <w:p w14:paraId="28FE4C35">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position w:val="-1"/>
                <w:sz w:val="24"/>
                <w:szCs w:val="24"/>
                <w:highlight w:val="none"/>
              </w:rPr>
            </w:pPr>
            <w:r>
              <w:rPr>
                <w:rFonts w:hint="eastAsia" w:ascii="仿宋" w:hAnsi="仿宋" w:eastAsia="仿宋" w:cs="仿宋"/>
                <w:color w:val="auto"/>
                <w:position w:val="-1"/>
                <w:sz w:val="24"/>
                <w:szCs w:val="24"/>
                <w:highlight w:val="none"/>
              </w:rPr>
              <w:t>0.02</w:t>
            </w:r>
          </w:p>
        </w:tc>
      </w:tr>
      <w:tr w14:paraId="4F7FD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jc w:val="center"/>
        </w:trPr>
        <w:tc>
          <w:tcPr>
            <w:tcW w:w="783" w:type="dxa"/>
            <w:vMerge w:val="continue"/>
            <w:tcBorders>
              <w:top w:val="nil"/>
              <w:bottom w:val="nil"/>
            </w:tcBorders>
            <w:noWrap w:val="0"/>
            <w:vAlign w:val="center"/>
          </w:tcPr>
          <w:p w14:paraId="09BEEBD3">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480" w:firstLineChars="200"/>
              <w:jc w:val="both"/>
              <w:textAlignment w:val="auto"/>
              <w:rPr>
                <w:rFonts w:hint="eastAsia" w:ascii="仿宋" w:hAnsi="仿宋" w:eastAsia="仿宋" w:cs="仿宋"/>
                <w:color w:val="auto"/>
                <w:sz w:val="24"/>
                <w:szCs w:val="24"/>
                <w:highlight w:val="none"/>
              </w:rPr>
            </w:pPr>
          </w:p>
        </w:tc>
        <w:tc>
          <w:tcPr>
            <w:tcW w:w="2618" w:type="dxa"/>
            <w:noWrap w:val="0"/>
            <w:vAlign w:val="center"/>
          </w:tcPr>
          <w:p w14:paraId="437869D5">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带壳稗粒/(粒/</w:t>
            </w:r>
            <w:r>
              <w:rPr>
                <w:rFonts w:hint="eastAsia" w:ascii="仿宋" w:hAnsi="仿宋" w:eastAsia="仿宋" w:cs="仿宋"/>
                <w:color w:val="auto"/>
                <w:sz w:val="24"/>
                <w:szCs w:val="24"/>
                <w:highlight w:val="none"/>
              </w:rPr>
              <w:t>kg</w:t>
            </w:r>
            <w:r>
              <w:rPr>
                <w:rFonts w:hint="eastAsia" w:ascii="仿宋" w:hAnsi="仿宋" w:eastAsia="仿宋" w:cs="仿宋"/>
                <w:color w:val="auto"/>
                <w:spacing w:val="1"/>
                <w:sz w:val="24"/>
                <w:szCs w:val="24"/>
                <w:highlight w:val="none"/>
              </w:rPr>
              <w:t>)≤</w:t>
            </w:r>
          </w:p>
        </w:tc>
        <w:tc>
          <w:tcPr>
            <w:tcW w:w="2495" w:type="dxa"/>
            <w:gridSpan w:val="2"/>
            <w:noWrap w:val="0"/>
            <w:vAlign w:val="center"/>
          </w:tcPr>
          <w:p w14:paraId="79024E3D">
            <w:pPr>
              <w:keepNext w:val="0"/>
              <w:keepLines w:val="0"/>
              <w:pageBreakBefore w:val="0"/>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3</w:t>
            </w:r>
          </w:p>
        </w:tc>
        <w:tc>
          <w:tcPr>
            <w:tcW w:w="1241" w:type="dxa"/>
            <w:noWrap w:val="0"/>
            <w:vAlign w:val="center"/>
          </w:tcPr>
          <w:p w14:paraId="7555F357">
            <w:pPr>
              <w:keepNext w:val="0"/>
              <w:keepLines w:val="0"/>
              <w:pageBreakBefore w:val="0"/>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13" w:type="dxa"/>
            <w:noWrap w:val="0"/>
            <w:vAlign w:val="center"/>
          </w:tcPr>
          <w:p w14:paraId="3111EE8B">
            <w:pPr>
              <w:keepNext w:val="0"/>
              <w:keepLines w:val="0"/>
              <w:pageBreakBefore w:val="0"/>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7</w:t>
            </w:r>
          </w:p>
        </w:tc>
      </w:tr>
      <w:tr w14:paraId="1EE06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783" w:type="dxa"/>
            <w:vMerge w:val="continue"/>
            <w:tcBorders>
              <w:top w:val="nil"/>
            </w:tcBorders>
            <w:noWrap w:val="0"/>
            <w:vAlign w:val="center"/>
          </w:tcPr>
          <w:p w14:paraId="585DA8C4">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480" w:firstLineChars="200"/>
              <w:jc w:val="both"/>
              <w:textAlignment w:val="auto"/>
              <w:rPr>
                <w:rFonts w:hint="eastAsia" w:ascii="仿宋" w:hAnsi="仿宋" w:eastAsia="仿宋" w:cs="仿宋"/>
                <w:color w:val="auto"/>
                <w:sz w:val="24"/>
                <w:szCs w:val="24"/>
                <w:highlight w:val="none"/>
              </w:rPr>
            </w:pPr>
          </w:p>
        </w:tc>
        <w:tc>
          <w:tcPr>
            <w:tcW w:w="2618" w:type="dxa"/>
            <w:noWrap w:val="0"/>
            <w:vAlign w:val="center"/>
          </w:tcPr>
          <w:p w14:paraId="79179853">
            <w:pPr>
              <w:keepNext w:val="0"/>
              <w:keepLines w:val="0"/>
              <w:pageBreakBefore w:val="0"/>
              <w:kinsoku/>
              <w:wordWrap/>
              <w:overflowPunct/>
              <w:topLinePunct w:val="0"/>
              <w:bidi w:val="0"/>
              <w:adjustRightInd/>
              <w:snapToGrid/>
              <w:spacing w:beforeAutospacing="0" w:afterAutospacing="0" w:line="440" w:lineRule="exact"/>
              <w:ind w:right="0" w:righ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稻谷粒</w:t>
            </w:r>
            <w:r>
              <w:rPr>
                <w:rFonts w:hint="eastAsia" w:ascii="仿宋" w:hAnsi="仿宋" w:eastAsia="仿宋" w:cs="仿宋"/>
                <w:color w:val="auto"/>
                <w:spacing w:val="10"/>
                <w:sz w:val="24"/>
                <w:szCs w:val="24"/>
                <w:highlight w:val="none"/>
              </w:rPr>
              <w:t>(粒/</w:t>
            </w:r>
            <w:r>
              <w:rPr>
                <w:rFonts w:hint="eastAsia" w:ascii="仿宋" w:hAnsi="仿宋" w:eastAsia="仿宋" w:cs="仿宋"/>
                <w:color w:val="auto"/>
                <w:sz w:val="24"/>
                <w:szCs w:val="24"/>
                <w:highlight w:val="none"/>
              </w:rPr>
              <w:t>kg</w:t>
            </w:r>
            <w:r>
              <w:rPr>
                <w:rFonts w:hint="eastAsia" w:ascii="仿宋" w:hAnsi="仿宋" w:eastAsia="仿宋" w:cs="仿宋"/>
                <w:color w:val="auto"/>
                <w:spacing w:val="10"/>
                <w:sz w:val="24"/>
                <w:szCs w:val="24"/>
                <w:highlight w:val="none"/>
              </w:rPr>
              <w:t>)≤</w:t>
            </w:r>
          </w:p>
        </w:tc>
        <w:tc>
          <w:tcPr>
            <w:tcW w:w="2495" w:type="dxa"/>
            <w:gridSpan w:val="2"/>
            <w:noWrap w:val="0"/>
            <w:vAlign w:val="center"/>
          </w:tcPr>
          <w:p w14:paraId="69E9D425">
            <w:pPr>
              <w:keepNext w:val="0"/>
              <w:keepLines w:val="0"/>
              <w:pageBreakBefore w:val="0"/>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41" w:type="dxa"/>
            <w:noWrap w:val="0"/>
            <w:vAlign w:val="center"/>
          </w:tcPr>
          <w:p w14:paraId="73699599">
            <w:pPr>
              <w:keepNext w:val="0"/>
              <w:keepLines w:val="0"/>
              <w:pageBreakBefore w:val="0"/>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13" w:type="dxa"/>
            <w:noWrap w:val="0"/>
            <w:vAlign w:val="center"/>
          </w:tcPr>
          <w:p w14:paraId="13008374">
            <w:pPr>
              <w:keepNext w:val="0"/>
              <w:keepLines w:val="0"/>
              <w:pageBreakBefore w:val="0"/>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r>
      <w:tr w14:paraId="3D30E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jc w:val="center"/>
        </w:trPr>
        <w:tc>
          <w:tcPr>
            <w:tcW w:w="3401" w:type="dxa"/>
            <w:gridSpan w:val="2"/>
            <w:noWrap w:val="0"/>
            <w:vAlign w:val="center"/>
          </w:tcPr>
          <w:p w14:paraId="1471309F">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24"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水分/%</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1"/>
                <w:position w:val="-2"/>
                <w:sz w:val="24"/>
                <w:szCs w:val="24"/>
                <w:highlight w:val="none"/>
              </w:rPr>
              <w:t>≤</w:t>
            </w:r>
          </w:p>
        </w:tc>
        <w:tc>
          <w:tcPr>
            <w:tcW w:w="5549" w:type="dxa"/>
            <w:gridSpan w:val="4"/>
            <w:noWrap w:val="0"/>
            <w:vAlign w:val="center"/>
          </w:tcPr>
          <w:p w14:paraId="491B337D">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spacing w:val="-3"/>
                <w:position w:val="-1"/>
                <w:sz w:val="24"/>
                <w:szCs w:val="24"/>
                <w:highlight w:val="none"/>
              </w:rPr>
            </w:pPr>
            <w:r>
              <w:rPr>
                <w:rFonts w:hint="eastAsia" w:ascii="仿宋" w:hAnsi="仿宋" w:eastAsia="仿宋" w:cs="仿宋"/>
                <w:color w:val="auto"/>
                <w:spacing w:val="-3"/>
                <w:position w:val="-1"/>
                <w:sz w:val="24"/>
                <w:szCs w:val="24"/>
                <w:highlight w:val="none"/>
              </w:rPr>
              <w:t>15.1</w:t>
            </w:r>
          </w:p>
        </w:tc>
      </w:tr>
      <w:tr w14:paraId="0801D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jc w:val="center"/>
        </w:trPr>
        <w:tc>
          <w:tcPr>
            <w:tcW w:w="3401" w:type="dxa"/>
            <w:gridSpan w:val="2"/>
            <w:noWrap w:val="0"/>
            <w:vAlign w:val="center"/>
          </w:tcPr>
          <w:p w14:paraId="4908C877">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3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黄粒米/%</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3"/>
                <w:position w:val="-2"/>
                <w:sz w:val="24"/>
                <w:szCs w:val="24"/>
                <w:highlight w:val="none"/>
              </w:rPr>
              <w:t>≤</w:t>
            </w:r>
          </w:p>
        </w:tc>
        <w:tc>
          <w:tcPr>
            <w:tcW w:w="5549" w:type="dxa"/>
            <w:gridSpan w:val="4"/>
            <w:noWrap w:val="0"/>
            <w:vAlign w:val="center"/>
          </w:tcPr>
          <w:p w14:paraId="45C5143A">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spacing w:val="-3"/>
                <w:position w:val="-1"/>
                <w:sz w:val="24"/>
                <w:szCs w:val="24"/>
                <w:highlight w:val="none"/>
              </w:rPr>
            </w:pPr>
            <w:r>
              <w:rPr>
                <w:rFonts w:hint="eastAsia" w:ascii="仿宋" w:hAnsi="仿宋" w:eastAsia="仿宋" w:cs="仿宋"/>
                <w:color w:val="auto"/>
                <w:spacing w:val="-3"/>
                <w:position w:val="-1"/>
                <w:sz w:val="24"/>
                <w:szCs w:val="24"/>
                <w:highlight w:val="none"/>
              </w:rPr>
              <w:t>1.0</w:t>
            </w:r>
          </w:p>
        </w:tc>
      </w:tr>
      <w:tr w14:paraId="66EAA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jc w:val="center"/>
        </w:trPr>
        <w:tc>
          <w:tcPr>
            <w:tcW w:w="3401" w:type="dxa"/>
            <w:gridSpan w:val="2"/>
            <w:noWrap w:val="0"/>
            <w:vAlign w:val="center"/>
          </w:tcPr>
          <w:p w14:paraId="59B06FFE">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556"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互混/%</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9"/>
                <w:sz w:val="24"/>
                <w:szCs w:val="24"/>
                <w:highlight w:val="none"/>
              </w:rPr>
              <w:t>≤</w:t>
            </w:r>
          </w:p>
        </w:tc>
        <w:tc>
          <w:tcPr>
            <w:tcW w:w="5549" w:type="dxa"/>
            <w:gridSpan w:val="4"/>
            <w:noWrap w:val="0"/>
            <w:vAlign w:val="center"/>
          </w:tcPr>
          <w:p w14:paraId="620DFDE8">
            <w:pPr>
              <w:keepNext w:val="0"/>
              <w:keepLines w:val="0"/>
              <w:pageBreakBefore w:val="0"/>
              <w:shd w:val="clear" w:color="auto" w:fill="auto"/>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spacing w:val="-3"/>
                <w:position w:val="-1"/>
                <w:sz w:val="24"/>
                <w:szCs w:val="24"/>
                <w:highlight w:val="none"/>
              </w:rPr>
            </w:pPr>
            <w:r>
              <w:rPr>
                <w:rFonts w:hint="eastAsia" w:ascii="仿宋" w:hAnsi="仿宋" w:eastAsia="仿宋" w:cs="仿宋"/>
                <w:color w:val="auto"/>
                <w:spacing w:val="-3"/>
                <w:position w:val="-1"/>
                <w:sz w:val="24"/>
                <w:szCs w:val="24"/>
                <w:highlight w:val="none"/>
              </w:rPr>
              <w:t>5.0</w:t>
            </w:r>
          </w:p>
        </w:tc>
      </w:tr>
      <w:tr w14:paraId="4244D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3401" w:type="dxa"/>
            <w:gridSpan w:val="2"/>
            <w:noWrap w:val="0"/>
            <w:vAlign w:val="center"/>
          </w:tcPr>
          <w:p w14:paraId="7A8428CD">
            <w:pPr>
              <w:keepNext w:val="0"/>
              <w:keepLines w:val="0"/>
              <w:pageBreakBefore w:val="0"/>
              <w:kinsoku/>
              <w:wordWrap/>
              <w:overflowPunct/>
              <w:topLinePunct w:val="0"/>
              <w:bidi w:val="0"/>
              <w:adjustRightInd/>
              <w:snapToGrid/>
              <w:spacing w:beforeAutospacing="0" w:afterAutospacing="0" w:line="440" w:lineRule="exact"/>
              <w:ind w:left="0" w:leftChars="0" w:right="0" w:rightChars="0" w:firstLine="47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色泽、气味</w:t>
            </w:r>
          </w:p>
        </w:tc>
        <w:tc>
          <w:tcPr>
            <w:tcW w:w="5549" w:type="dxa"/>
            <w:gridSpan w:val="4"/>
            <w:noWrap w:val="0"/>
            <w:vAlign w:val="center"/>
          </w:tcPr>
          <w:p w14:paraId="36C8B648">
            <w:pPr>
              <w:keepNext w:val="0"/>
              <w:keepLines w:val="0"/>
              <w:pageBreakBefore w:val="0"/>
              <w:kinsoku/>
              <w:wordWrap/>
              <w:overflowPunct/>
              <w:topLinePunct w:val="0"/>
              <w:bidi w:val="0"/>
              <w:adjustRightInd/>
              <w:snapToGrid/>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无异常色泽和气味</w:t>
            </w:r>
          </w:p>
        </w:tc>
      </w:tr>
    </w:tbl>
    <w:p w14:paraId="256C81BB">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left"/>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大米质量标准</w:t>
      </w:r>
      <w:r>
        <w:rPr>
          <w:rFonts w:hint="eastAsia" w:ascii="仿宋" w:hAnsi="仿宋" w:eastAsia="仿宋" w:cs="仿宋"/>
          <w:b/>
          <w:bCs/>
          <w:color w:val="auto"/>
          <w:sz w:val="28"/>
          <w:szCs w:val="28"/>
          <w:highlight w:val="none"/>
          <w:lang w:eastAsia="zh-CN"/>
        </w:rPr>
        <w:t>：</w:t>
      </w:r>
    </w:p>
    <w:p w14:paraId="1B510FA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1)米类执行标准：GB 1354-2009 (本标准中的真菌毒素限量指标被GB2761-2011食品安全国家标准食品中真菌毒素限量中的相应指标代替。本标准中的农药最大残留限量部分被GB2763-2012食品安全国家标准食品中农药最大残留限量中相应指标替代)标准一等</w:t>
      </w:r>
      <w:r>
        <w:rPr>
          <w:rFonts w:hint="eastAsia" w:ascii="仿宋" w:hAnsi="仿宋" w:eastAsia="仿宋" w:cs="仿宋"/>
          <w:color w:val="auto"/>
          <w:sz w:val="28"/>
          <w:szCs w:val="28"/>
          <w:highlight w:val="none"/>
          <w:lang w:val="en-US" w:eastAsia="zh-CN"/>
        </w:rPr>
        <w:t>粳</w:t>
      </w:r>
      <w:r>
        <w:rPr>
          <w:rFonts w:hint="eastAsia" w:ascii="仿宋" w:hAnsi="仿宋" w:eastAsia="仿宋" w:cs="仿宋"/>
          <w:color w:val="auto"/>
          <w:sz w:val="28"/>
          <w:szCs w:val="28"/>
          <w:highlight w:val="none"/>
        </w:rPr>
        <w:t>米，不含添加剂。</w:t>
      </w:r>
    </w:p>
    <w:p w14:paraId="3CB49A91">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 有“QS”标志，标明加工厂名称、品名、生产日期、</w:t>
      </w:r>
      <w:r>
        <w:rPr>
          <w:rFonts w:hint="eastAsia" w:ascii="仿宋" w:hAnsi="仿宋" w:eastAsia="仿宋" w:cs="仿宋"/>
          <w:color w:val="auto"/>
          <w:sz w:val="28"/>
          <w:szCs w:val="28"/>
          <w:highlight w:val="none"/>
        </w:rPr>
        <w:t>保</w:t>
      </w:r>
      <w:r>
        <w:rPr>
          <w:rFonts w:hint="eastAsia" w:ascii="仿宋" w:hAnsi="仿宋" w:eastAsia="仿宋" w:cs="仿宋"/>
          <w:color w:val="auto"/>
          <w:sz w:val="28"/>
          <w:szCs w:val="28"/>
          <w:highlight w:val="none"/>
          <w:lang w:val="en-US" w:eastAsia="zh-CN"/>
        </w:rPr>
        <w:t>质</w:t>
      </w:r>
      <w:r>
        <w:rPr>
          <w:rFonts w:hint="eastAsia" w:ascii="仿宋" w:hAnsi="仿宋" w:eastAsia="仿宋" w:cs="仿宋"/>
          <w:color w:val="auto"/>
          <w:sz w:val="28"/>
          <w:szCs w:val="28"/>
          <w:highlight w:val="none"/>
        </w:rPr>
        <w:t>期</w:t>
      </w:r>
      <w:r>
        <w:rPr>
          <w:rFonts w:hint="eastAsia" w:ascii="仿宋" w:hAnsi="仿宋" w:eastAsia="仿宋" w:cs="仿宋"/>
          <w:color w:val="auto"/>
          <w:sz w:val="28"/>
          <w:szCs w:val="28"/>
          <w:highlight w:val="none"/>
        </w:rPr>
        <w:t>或保存期，供货时的剩余保质期不少于三分之二，质量等级、产品标准号、产品合格证，质量符合米类执行标准。</w:t>
      </w:r>
    </w:p>
    <w:p w14:paraId="5E745F2F">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3)具有固有色泽和香味</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无污染、无虫害，色泽、气味、口味正常</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无异味或霉味(霉变)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无虫蛀结块挂丝或杂质异等，符合国家粮食卫生标准。</w:t>
      </w:r>
    </w:p>
    <w:p w14:paraId="397B56C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包装</w:t>
      </w:r>
    </w:p>
    <w:p w14:paraId="04197C7D">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包装应符合GB/T 17109的规定和卫生要求则包装袋应坚固结实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封口或者缝口应严密。</w:t>
      </w:r>
    </w:p>
    <w:p w14:paraId="0F5D05D1">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标签</w:t>
      </w:r>
    </w:p>
    <w:p w14:paraId="7F2DDA1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1)包装大米的标签标识应符合GB 7718-2011的规定。</w:t>
      </w:r>
    </w:p>
    <w:p w14:paraId="2E91733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2)标注的净含量应为产品最大允许水分状况下的质量。</w:t>
      </w:r>
    </w:p>
    <w:p w14:paraId="3009F813">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3)应按规定的名称和等级标注。</w:t>
      </w:r>
    </w:p>
    <w:p w14:paraId="1A33D58A">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储存</w:t>
      </w:r>
    </w:p>
    <w:p w14:paraId="469C72D6">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袋装产品应储存在清洁、干燥、防雨、防潮、防虫、防鼠、无异味的合格仓库内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不得与有毒有害物质或水分较高的物质混存。</w:t>
      </w:r>
    </w:p>
    <w:p w14:paraId="57299F5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运输</w:t>
      </w:r>
    </w:p>
    <w:p w14:paraId="587982EE">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应使用符合卫生要求的运输工具和容器运送大米产品，运输过程中应注意防止雨淋和被污染。</w:t>
      </w:r>
    </w:p>
    <w:p w14:paraId="7BE63FA5">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面粉</w:t>
      </w:r>
    </w:p>
    <w:p w14:paraId="77F108DD">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80" w:lineRule="exact"/>
        <w:ind w:right="0" w:rightChars="0"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质量标准：</w:t>
      </w:r>
    </w:p>
    <w:p w14:paraId="37F5C5B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卫生指标应符合GB2715《粮食卫生标准》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添加剂和营养强化剂小麦粉中不得添加过氧化苯甲酰、溴酸钾；添加营养强化剂应符合GB14880《食品营养强化剂使用卫生标准》。凡是采用本标准的小麦粉，应按本标准的质量等级名称标注，并应符合GB 7718-2011的规定。</w:t>
      </w:r>
    </w:p>
    <w:p w14:paraId="5B2CDB56">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包装</w:t>
      </w:r>
    </w:p>
    <w:p w14:paraId="11287F2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包装应符合LS/T3702和 GB/T17109的规定要求。标注的净含量应为最大允许水分状况下的质量。包装环境应清洁。包装材料应符合包装技术要求，不应与内装物发生物理和化学作用，应符合食品卫生法规定。封口应牢固、不得破损泄漏。袋面须有企业标准、生产日期和产地等信息。</w:t>
      </w:r>
    </w:p>
    <w:p w14:paraId="290C1A9A">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运输</w:t>
      </w:r>
    </w:p>
    <w:p w14:paraId="7F538FBD">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运输器具应清洁干燥、无污染，并有防尘、防雨雪设施。</w:t>
      </w:r>
    </w:p>
    <w:p w14:paraId="365E658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贮存</w:t>
      </w:r>
    </w:p>
    <w:p w14:paraId="70723564">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袋装产品应放在清洁、干燥、通风、无污染的专用库房中。</w:t>
      </w:r>
    </w:p>
    <w:p w14:paraId="553C8E4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包装物件应码放距地面、墙壁20cm以上，注意防虫、防鼠、防潮。</w:t>
      </w:r>
    </w:p>
    <w:p w14:paraId="17FB7BE1">
      <w:pPr>
        <w:pageBreakBefore w:val="0"/>
        <w:kinsoku/>
        <w:overflowPunct/>
        <w:bidi w:val="0"/>
        <w:spacing w:beforeAutospacing="0" w:afterAutospacing="0" w:line="440" w:lineRule="exact"/>
        <w:ind w:right="0" w:rightChars="0"/>
        <w:jc w:val="left"/>
        <w:outlineLvl w:val="0"/>
        <w:rPr>
          <w:rFonts w:hint="eastAsia" w:ascii="仿宋" w:hAnsi="仿宋" w:eastAsia="仿宋" w:cs="仿宋"/>
          <w:color w:val="auto"/>
          <w:sz w:val="28"/>
          <w:szCs w:val="28"/>
          <w:highlight w:val="none"/>
        </w:rPr>
      </w:pPr>
      <w:bookmarkStart w:id="406" w:name="_Toc1681"/>
      <w:bookmarkStart w:id="407" w:name="_Toc23892"/>
      <w:bookmarkStart w:id="408" w:name="_Toc6734"/>
      <w:r>
        <w:rPr>
          <w:rFonts w:hint="eastAsia" w:ascii="仿宋" w:hAnsi="仿宋" w:eastAsia="仿宋" w:cs="仿宋"/>
          <w:b/>
          <w:bCs/>
          <w:color w:val="auto"/>
          <w:spacing w:val="-5"/>
          <w:sz w:val="28"/>
          <w:szCs w:val="28"/>
          <w:highlight w:val="none"/>
          <w:lang w:val="en-US" w:eastAsia="zh-CN"/>
        </w:rPr>
        <w:t>2.3</w:t>
      </w:r>
      <w:r>
        <w:rPr>
          <w:rFonts w:hint="eastAsia" w:ascii="仿宋" w:hAnsi="仿宋" w:eastAsia="仿宋" w:cs="仿宋"/>
          <w:b/>
          <w:bCs/>
          <w:color w:val="auto"/>
          <w:spacing w:val="-5"/>
          <w:sz w:val="28"/>
          <w:szCs w:val="28"/>
          <w:highlight w:val="none"/>
        </w:rPr>
        <w:t>食用油</w:t>
      </w:r>
      <w:bookmarkEnd w:id="406"/>
      <w:bookmarkEnd w:id="407"/>
      <w:bookmarkEnd w:id="408"/>
    </w:p>
    <w:p w14:paraId="37975BC1">
      <w:pPr>
        <w:pageBreakBefore w:val="0"/>
        <w:numPr>
          <w:ilvl w:val="0"/>
          <w:numId w:val="3"/>
        </w:numPr>
        <w:kinsoku/>
        <w:overflowPunct/>
        <w:bidi w:val="0"/>
        <w:spacing w:beforeAutospacing="0" w:afterAutospacing="0" w:line="440" w:lineRule="exact"/>
        <w:ind w:left="0" w:leftChars="0" w:right="0" w:rightChars="0" w:firstLine="522" w:firstLineChars="200"/>
        <w:jc w:val="left"/>
        <w:rPr>
          <w:rFonts w:hint="eastAsia" w:ascii="仿宋" w:hAnsi="仿宋" w:eastAsia="仿宋" w:cs="仿宋"/>
          <w:color w:val="auto"/>
          <w:sz w:val="28"/>
          <w:szCs w:val="28"/>
          <w:highlight w:val="none"/>
        </w:rPr>
      </w:pPr>
      <w:r>
        <w:rPr>
          <w:rFonts w:hint="eastAsia" w:ascii="仿宋" w:hAnsi="仿宋" w:eastAsia="仿宋" w:cs="仿宋"/>
          <w:b/>
          <w:bCs/>
          <w:color w:val="auto"/>
          <w:spacing w:val="-10"/>
          <w:sz w:val="28"/>
          <w:szCs w:val="28"/>
          <w:highlight w:val="none"/>
        </w:rPr>
        <w:t>基本要求：</w:t>
      </w:r>
    </w:p>
    <w:p w14:paraId="72A8D64A">
      <w:pPr>
        <w:pageBreakBefore w:val="0"/>
        <w:numPr>
          <w:ilvl w:val="0"/>
          <w:numId w:val="0"/>
        </w:numPr>
        <w:kinsoku/>
        <w:overflowPunct/>
        <w:bidi w:val="0"/>
        <w:spacing w:beforeAutospacing="0" w:afterAutospacing="0" w:line="440" w:lineRule="exact"/>
        <w:ind w:right="0" w:rightChars="0" w:firstLine="52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rPr>
        <w:t>外包装完好，有QS</w:t>
      </w:r>
      <w:r>
        <w:rPr>
          <w:rFonts w:hint="eastAsia" w:ascii="仿宋" w:hAnsi="仿宋" w:eastAsia="仿宋" w:cs="仿宋"/>
          <w:color w:val="auto"/>
          <w:spacing w:val="-46"/>
          <w:sz w:val="28"/>
          <w:szCs w:val="28"/>
          <w:highlight w:val="none"/>
        </w:rPr>
        <w:t xml:space="preserve"> </w:t>
      </w:r>
      <w:r>
        <w:rPr>
          <w:rFonts w:hint="eastAsia" w:ascii="仿宋" w:hAnsi="仿宋" w:eastAsia="仿宋" w:cs="仿宋"/>
          <w:color w:val="auto"/>
          <w:spacing w:val="-10"/>
          <w:sz w:val="28"/>
          <w:szCs w:val="28"/>
          <w:highlight w:val="none"/>
        </w:rPr>
        <w:t>标志，标明品名、厂名、重量、生产日期、保质期或保</w:t>
      </w:r>
      <w:r>
        <w:rPr>
          <w:rFonts w:hint="eastAsia" w:ascii="仿宋" w:hAnsi="仿宋" w:eastAsia="仿宋" w:cs="仿宋"/>
          <w:color w:val="auto"/>
          <w:spacing w:val="-11"/>
          <w:sz w:val="28"/>
          <w:szCs w:val="28"/>
          <w:highlight w:val="none"/>
        </w:rPr>
        <w:t>存期、执行标准，具有产品合格证。具有正常植物油的色泽、</w:t>
      </w:r>
      <w:r>
        <w:rPr>
          <w:rFonts w:hint="eastAsia" w:ascii="仿宋" w:hAnsi="仿宋" w:eastAsia="仿宋" w:cs="仿宋"/>
          <w:color w:val="auto"/>
          <w:spacing w:val="-12"/>
          <w:sz w:val="28"/>
          <w:szCs w:val="28"/>
          <w:highlight w:val="none"/>
        </w:rPr>
        <w:t>透明度、气味和滋味，无焦臭、</w:t>
      </w:r>
      <w:r>
        <w:rPr>
          <w:rFonts w:hint="eastAsia" w:ascii="仿宋" w:hAnsi="仿宋" w:eastAsia="仿宋" w:cs="仿宋"/>
          <w:color w:val="auto"/>
          <w:spacing w:val="-17"/>
          <w:sz w:val="28"/>
          <w:szCs w:val="28"/>
          <w:highlight w:val="none"/>
        </w:rPr>
        <w:t>酸败及其他异味；</w:t>
      </w:r>
    </w:p>
    <w:p w14:paraId="1EC52464">
      <w:pPr>
        <w:pageBreakBefore w:val="0"/>
        <w:numPr>
          <w:ilvl w:val="0"/>
          <w:numId w:val="3"/>
        </w:numPr>
        <w:kinsoku/>
        <w:overflowPunct/>
        <w:bidi w:val="0"/>
        <w:spacing w:beforeAutospacing="0" w:afterAutospacing="0" w:line="440" w:lineRule="exact"/>
        <w:ind w:left="0" w:leftChars="0" w:right="0" w:rightChars="0" w:firstLine="520" w:firstLineChars="200"/>
        <w:jc w:val="left"/>
        <w:rPr>
          <w:rFonts w:hint="eastAsia" w:ascii="仿宋" w:hAnsi="仿宋" w:eastAsia="仿宋" w:cs="仿宋"/>
          <w:color w:val="auto"/>
          <w:sz w:val="28"/>
          <w:szCs w:val="28"/>
          <w:highlight w:val="none"/>
        </w:rPr>
      </w:pPr>
      <w:r>
        <w:rPr>
          <w:rFonts w:hint="eastAsia" w:ascii="仿宋" w:hAnsi="仿宋" w:eastAsia="仿宋" w:cs="仿宋"/>
          <w:b w:val="0"/>
          <w:bCs w:val="0"/>
          <w:color w:val="auto"/>
          <w:spacing w:val="-10"/>
          <w:sz w:val="28"/>
          <w:szCs w:val="28"/>
          <w:highlight w:val="none"/>
        </w:rPr>
        <w:t>气味、滋味：</w:t>
      </w:r>
      <w:r>
        <w:rPr>
          <w:rFonts w:hint="eastAsia" w:ascii="仿宋" w:hAnsi="仿宋" w:eastAsia="仿宋" w:cs="仿宋"/>
          <w:color w:val="auto"/>
          <w:spacing w:val="-10"/>
          <w:sz w:val="28"/>
          <w:szCs w:val="28"/>
          <w:highlight w:val="none"/>
        </w:rPr>
        <w:t>具有固有的气味和滋味，无异味；</w:t>
      </w:r>
    </w:p>
    <w:p w14:paraId="2E2EE2B6">
      <w:pPr>
        <w:pageBreakBefore w:val="0"/>
        <w:numPr>
          <w:ilvl w:val="0"/>
          <w:numId w:val="0"/>
        </w:numPr>
        <w:kinsoku/>
        <w:overflowPunct/>
        <w:bidi w:val="0"/>
        <w:spacing w:beforeAutospacing="0" w:afterAutospacing="0" w:line="440" w:lineRule="exact"/>
        <w:ind w:right="0" w:rightChars="0" w:firstLine="516" w:firstLineChars="200"/>
        <w:jc w:val="left"/>
        <w:rPr>
          <w:rFonts w:hint="eastAsia" w:ascii="仿宋" w:hAnsi="仿宋" w:eastAsia="仿宋" w:cs="仿宋"/>
          <w:color w:val="auto"/>
          <w:spacing w:val="-11"/>
          <w:sz w:val="28"/>
          <w:szCs w:val="28"/>
          <w:highlight w:val="none"/>
        </w:rPr>
      </w:pPr>
      <w:r>
        <w:rPr>
          <w:rFonts w:hint="eastAsia" w:ascii="仿宋" w:hAnsi="仿宋" w:eastAsia="仿宋" w:cs="仿宋"/>
          <w:color w:val="auto"/>
          <w:spacing w:val="-11"/>
          <w:sz w:val="28"/>
          <w:szCs w:val="28"/>
          <w:highlight w:val="none"/>
          <w:lang w:val="en-US" w:eastAsia="zh-CN"/>
        </w:rPr>
        <w:t>（3）</w:t>
      </w:r>
      <w:r>
        <w:rPr>
          <w:rFonts w:hint="eastAsia" w:ascii="仿宋" w:hAnsi="仿宋" w:eastAsia="仿宋" w:cs="仿宋"/>
          <w:color w:val="auto"/>
          <w:spacing w:val="-11"/>
          <w:sz w:val="28"/>
          <w:szCs w:val="28"/>
          <w:highlight w:val="none"/>
        </w:rPr>
        <w:t>加热试验(280℃)油色不得变深，无析出物；</w:t>
      </w:r>
    </w:p>
    <w:p w14:paraId="4DAD071B">
      <w:pPr>
        <w:pageBreakBefore w:val="0"/>
        <w:numPr>
          <w:ilvl w:val="0"/>
          <w:numId w:val="0"/>
        </w:numPr>
        <w:kinsoku/>
        <w:overflowPunct/>
        <w:bidi w:val="0"/>
        <w:spacing w:beforeAutospacing="0" w:afterAutospacing="0" w:line="440" w:lineRule="exact"/>
        <w:ind w:right="0" w:rightChars="0" w:firstLine="516" w:firstLineChars="200"/>
        <w:jc w:val="left"/>
        <w:rPr>
          <w:rFonts w:hint="eastAsia" w:ascii="仿宋" w:hAnsi="仿宋" w:eastAsia="仿宋" w:cs="仿宋"/>
          <w:color w:val="auto"/>
          <w:spacing w:val="-11"/>
          <w:sz w:val="28"/>
          <w:szCs w:val="28"/>
          <w:highlight w:val="none"/>
        </w:rPr>
      </w:pPr>
      <w:r>
        <w:rPr>
          <w:rFonts w:hint="eastAsia" w:ascii="仿宋" w:hAnsi="仿宋" w:eastAsia="仿宋" w:cs="仿宋"/>
          <w:color w:val="auto"/>
          <w:spacing w:val="-11"/>
          <w:sz w:val="28"/>
          <w:szCs w:val="28"/>
          <w:highlight w:val="none"/>
          <w:lang w:val="en-US" w:eastAsia="zh-CN"/>
        </w:rPr>
        <w:t>（4）</w:t>
      </w:r>
      <w:r>
        <w:rPr>
          <w:rFonts w:hint="eastAsia" w:ascii="仿宋" w:hAnsi="仿宋" w:eastAsia="仿宋" w:cs="仿宋"/>
          <w:color w:val="auto"/>
          <w:spacing w:val="-11"/>
          <w:sz w:val="28"/>
          <w:szCs w:val="28"/>
          <w:highlight w:val="none"/>
        </w:rPr>
        <w:t>不得混有其他食用油或非食用油；</w:t>
      </w:r>
    </w:p>
    <w:p w14:paraId="2E7BC32C">
      <w:pPr>
        <w:pageBreakBefore w:val="0"/>
        <w:numPr>
          <w:ilvl w:val="0"/>
          <w:numId w:val="0"/>
        </w:numPr>
        <w:kinsoku/>
        <w:overflowPunct/>
        <w:bidi w:val="0"/>
        <w:spacing w:beforeAutospacing="0" w:afterAutospacing="0" w:line="440" w:lineRule="exact"/>
        <w:ind w:right="0" w:rightChars="0" w:firstLine="516" w:firstLineChars="200"/>
        <w:jc w:val="left"/>
        <w:rPr>
          <w:rFonts w:hint="eastAsia" w:ascii="仿宋" w:hAnsi="仿宋" w:eastAsia="仿宋" w:cs="仿宋"/>
          <w:color w:val="auto"/>
          <w:spacing w:val="-11"/>
          <w:sz w:val="28"/>
          <w:szCs w:val="28"/>
          <w:highlight w:val="none"/>
        </w:rPr>
      </w:pPr>
      <w:r>
        <w:rPr>
          <w:rFonts w:hint="eastAsia" w:ascii="仿宋" w:hAnsi="仿宋" w:eastAsia="仿宋" w:cs="仿宋"/>
          <w:color w:val="auto"/>
          <w:spacing w:val="-11"/>
          <w:sz w:val="28"/>
          <w:szCs w:val="28"/>
          <w:highlight w:val="none"/>
          <w:lang w:val="en-US" w:eastAsia="zh-CN"/>
        </w:rPr>
        <w:t>（5）</w:t>
      </w:r>
      <w:r>
        <w:rPr>
          <w:rFonts w:hint="eastAsia" w:ascii="仿宋" w:hAnsi="仿宋" w:eastAsia="仿宋" w:cs="仿宋"/>
          <w:color w:val="auto"/>
          <w:spacing w:val="-11"/>
          <w:sz w:val="28"/>
          <w:szCs w:val="28"/>
          <w:highlight w:val="none"/>
        </w:rPr>
        <w:t>卫生标准和动植物检疫项目，按照国家规定执行；</w:t>
      </w:r>
    </w:p>
    <w:p w14:paraId="4EEFCDCC">
      <w:pPr>
        <w:pageBreakBefore w:val="0"/>
        <w:numPr>
          <w:ilvl w:val="0"/>
          <w:numId w:val="0"/>
        </w:numPr>
        <w:kinsoku/>
        <w:overflowPunct/>
        <w:bidi w:val="0"/>
        <w:spacing w:beforeAutospacing="0" w:afterAutospacing="0" w:line="440" w:lineRule="exact"/>
        <w:ind w:right="0" w:rightChars="0" w:firstLine="516" w:firstLineChars="200"/>
        <w:jc w:val="left"/>
        <w:rPr>
          <w:rFonts w:hint="eastAsia" w:ascii="仿宋" w:hAnsi="仿宋" w:eastAsia="仿宋" w:cs="仿宋"/>
          <w:color w:val="auto"/>
          <w:spacing w:val="-11"/>
          <w:sz w:val="28"/>
          <w:szCs w:val="28"/>
          <w:highlight w:val="none"/>
          <w:lang w:eastAsia="zh-CN"/>
        </w:rPr>
      </w:pPr>
      <w:r>
        <w:rPr>
          <w:rFonts w:hint="eastAsia" w:ascii="仿宋" w:hAnsi="仿宋" w:eastAsia="仿宋" w:cs="仿宋"/>
          <w:color w:val="auto"/>
          <w:spacing w:val="-11"/>
          <w:sz w:val="28"/>
          <w:szCs w:val="28"/>
          <w:highlight w:val="none"/>
          <w:lang w:val="en-US" w:eastAsia="zh-CN"/>
        </w:rPr>
        <w:t>（6）</w:t>
      </w:r>
      <w:r>
        <w:rPr>
          <w:rFonts w:hint="eastAsia" w:ascii="仿宋" w:hAnsi="仿宋" w:eastAsia="仿宋" w:cs="仿宋"/>
          <w:color w:val="auto"/>
          <w:spacing w:val="-11"/>
          <w:sz w:val="28"/>
          <w:szCs w:val="28"/>
          <w:highlight w:val="none"/>
        </w:rPr>
        <w:t>执行标准</w:t>
      </w:r>
      <w:r>
        <w:rPr>
          <w:rFonts w:hint="eastAsia" w:ascii="仿宋" w:hAnsi="仿宋" w:eastAsia="仿宋" w:cs="仿宋"/>
          <w:color w:val="auto"/>
          <w:spacing w:val="-11"/>
          <w:sz w:val="28"/>
          <w:szCs w:val="28"/>
          <w:highlight w:val="none"/>
          <w:lang w:eastAsia="zh-CN"/>
        </w:rPr>
        <w:t>：</w:t>
      </w:r>
    </w:p>
    <w:p w14:paraId="6561316E">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油类执行标准：</w:t>
      </w:r>
    </w:p>
    <w:p w14:paraId="44F3E203">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)卫生指标按 GB2716</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GB2760和国家有关标准规定执行</w:t>
      </w:r>
      <w:r>
        <w:rPr>
          <w:rFonts w:hint="eastAsia" w:ascii="仿宋" w:hAnsi="仿宋" w:eastAsia="仿宋" w:cs="仿宋"/>
          <w:bCs/>
          <w:color w:val="auto"/>
          <w:sz w:val="28"/>
          <w:szCs w:val="28"/>
          <w:highlight w:val="none"/>
          <w:lang w:eastAsia="zh-CN"/>
        </w:rPr>
        <w:t>；</w:t>
      </w:r>
    </w:p>
    <w:p w14:paraId="1B304D16">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2)油类质量要求：</w:t>
      </w:r>
    </w:p>
    <w:p w14:paraId="483F2C22">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食用油品种必须色泽好</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透明度高</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无浑浊</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无沉淀和悬浮物</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粘度小</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无分层现象</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气味正常</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无酸臭异味</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严格执行国家质量标准及卫生安全标准，色泽、气味、霉变、真菌毒素、重金属污染物、农药等严格控制在国家标准范围内(原粮及成品粮色泽、气味必须正常。霉变粒不得超过2%。真菌毒素：黄曲霉毒素Bl(5μg/kg～20μg/kg)、脱氧雪腐镰刀菌烯醇(≤1000μg/kg)、玉米赤霉烯酮(≤60μg/kg)、赭曲霉毒素A(5μg/kg)。重金属污染物：铅 (≤0.2mg/kg)、镉(0.1mg/kg～0.2mg/kg)、汞(0.02mg/kg)、无机砷(0.1 mg/kg~0.2mg/kg)。农药：对磷化物、马拉硫磷等140余种农药规定了最大残留限量。</w:t>
      </w:r>
    </w:p>
    <w:p w14:paraId="4A547834">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w:t>
      </w:r>
      <w:r>
        <w:rPr>
          <w:rFonts w:hint="eastAsia" w:ascii="仿宋" w:hAnsi="仿宋" w:eastAsia="仿宋" w:cs="仿宋"/>
          <w:bCs/>
          <w:color w:val="auto"/>
          <w:sz w:val="28"/>
          <w:szCs w:val="28"/>
          <w:highlight w:val="none"/>
          <w:lang w:val="en-US" w:eastAsia="zh-CN"/>
        </w:rPr>
        <w:t>入</w:t>
      </w:r>
      <w:r>
        <w:rPr>
          <w:rFonts w:hint="eastAsia" w:ascii="仿宋" w:hAnsi="仿宋" w:eastAsia="仿宋" w:cs="仿宋"/>
          <w:bCs/>
          <w:color w:val="auto"/>
          <w:sz w:val="28"/>
          <w:szCs w:val="28"/>
          <w:highlight w:val="none"/>
        </w:rPr>
        <w:t>高价位植物油中进行销售，牟取暴利，一经查处，中标人将承担全部责任。</w:t>
      </w:r>
    </w:p>
    <w:p w14:paraId="784582F3">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运输</w:t>
      </w:r>
    </w:p>
    <w:p w14:paraId="66FC4356">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运输器具应清洁干燥、无污染，并有防尘、防雨雪设施。</w:t>
      </w:r>
    </w:p>
    <w:p w14:paraId="195C5306">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贮存</w:t>
      </w:r>
    </w:p>
    <w:p w14:paraId="6EDF6136">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产品应放在清洁、干燥、通风、无污染的专用库房中。</w:t>
      </w:r>
    </w:p>
    <w:p w14:paraId="1B23B20E">
      <w:pPr>
        <w:keepNext w:val="0"/>
        <w:keepLines w:val="0"/>
        <w:pageBreakBefore w:val="0"/>
        <w:widowControl w:val="0"/>
        <w:kinsoku/>
        <w:wordWrap/>
        <w:overflowPunct/>
        <w:topLinePunct w:val="0"/>
        <w:autoSpaceDE/>
        <w:autoSpaceDN/>
        <w:bidi w:val="0"/>
        <w:adjustRightInd/>
        <w:spacing w:line="480" w:lineRule="exact"/>
        <w:jc w:val="both"/>
        <w:textAlignment w:val="auto"/>
        <w:rPr>
          <w:rFonts w:hint="eastAsia" w:ascii="仿宋" w:hAnsi="仿宋" w:eastAsia="仿宋" w:cs="仿宋"/>
          <w:b/>
          <w:bCs/>
          <w:color w:val="auto"/>
          <w:spacing w:val="-7"/>
          <w:sz w:val="32"/>
          <w:szCs w:val="32"/>
          <w:highlight w:val="none"/>
          <w:lang w:val="en-US" w:eastAsia="zh-CN"/>
        </w:rPr>
      </w:pPr>
      <w:r>
        <w:rPr>
          <w:rFonts w:hint="eastAsia" w:ascii="仿宋" w:hAnsi="仿宋" w:eastAsia="仿宋" w:cs="仿宋"/>
          <w:b/>
          <w:bCs w:val="0"/>
          <w:color w:val="auto"/>
          <w:sz w:val="32"/>
          <w:szCs w:val="32"/>
          <w:highlight w:val="none"/>
          <w:lang w:val="en-US" w:eastAsia="zh-CN"/>
        </w:rPr>
        <w:t>二、蔬果副食品食材及肉类采购</w:t>
      </w:r>
    </w:p>
    <w:p w14:paraId="2084AD4A">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pacing w:val="-7"/>
          <w:sz w:val="30"/>
          <w:szCs w:val="30"/>
          <w:highlight w:val="none"/>
          <w:lang w:val="en-US" w:eastAsia="zh-CN"/>
        </w:rPr>
        <w:t>（一）</w:t>
      </w:r>
      <w:r>
        <w:rPr>
          <w:rFonts w:hint="eastAsia" w:ascii="仿宋" w:hAnsi="仿宋" w:eastAsia="仿宋" w:cs="仿宋"/>
          <w:b/>
          <w:bCs/>
          <w:color w:val="auto"/>
          <w:spacing w:val="-7"/>
          <w:sz w:val="30"/>
          <w:szCs w:val="30"/>
          <w:highlight w:val="none"/>
        </w:rPr>
        <w:t>总体要求</w:t>
      </w:r>
    </w:p>
    <w:p w14:paraId="15DB6758">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1.所购入的</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必须符合《中华人民共和国食品卫生法》、《中华人民共和国食品安全法》要求。</w:t>
      </w:r>
    </w:p>
    <w:p w14:paraId="577D5684">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2.所供</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必须符合国家行业生产及经营标准，货真价实，均能提供相应批次的合格检验证明；</w:t>
      </w:r>
    </w:p>
    <w:p w14:paraId="5EA5781D">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3.所供</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必须各项技术指标完全符合国家有关质量检测、环保标准及产品出厂标准。</w:t>
      </w:r>
    </w:p>
    <w:p w14:paraId="11A18219">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4.所有</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指标要符合国家强制性标准要求。</w:t>
      </w:r>
    </w:p>
    <w:p w14:paraId="079B98D9">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5.中标</w:t>
      </w:r>
      <w:r>
        <w:rPr>
          <w:rFonts w:hint="eastAsia" w:ascii="仿宋" w:hAnsi="仿宋" w:eastAsia="仿宋" w:cs="仿宋"/>
          <w:bCs/>
          <w:color w:val="auto"/>
          <w:sz w:val="28"/>
          <w:szCs w:val="28"/>
          <w:highlight w:val="none"/>
        </w:rPr>
        <w:t>人必须负责采购</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的运输、质量检测等工作，所产生的费用由</w:t>
      </w:r>
      <w:r>
        <w:rPr>
          <w:rFonts w:hint="eastAsia" w:ascii="仿宋" w:hAnsi="仿宋" w:eastAsia="仿宋" w:cs="仿宋"/>
          <w:bCs/>
          <w:color w:val="auto"/>
          <w:sz w:val="28"/>
          <w:szCs w:val="28"/>
          <w:highlight w:val="none"/>
          <w:lang w:val="en-US" w:eastAsia="zh-CN"/>
        </w:rPr>
        <w:t>中标</w:t>
      </w:r>
      <w:r>
        <w:rPr>
          <w:rFonts w:hint="eastAsia" w:ascii="仿宋" w:hAnsi="仿宋" w:eastAsia="仿宋" w:cs="仿宋"/>
          <w:bCs/>
          <w:color w:val="auto"/>
          <w:sz w:val="28"/>
          <w:szCs w:val="28"/>
          <w:highlight w:val="none"/>
        </w:rPr>
        <w:t>人负责。</w:t>
      </w:r>
    </w:p>
    <w:p w14:paraId="5AC1CC0C">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.所供</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必须符合国家有关标准，保证无异味、无霉烂变质。</w:t>
      </w:r>
    </w:p>
    <w:p w14:paraId="7F91706F">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.所有</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指标要符合国家强制性标准要求，包装容器(框、箱、袋)要求清洁、干燥、牢固、透气，无污染、无异味、无霉变现象。严禁采购有害、有毒、腐烂变质、酸败、霉变、生虫、污垢不洁、混有异物或其他感官性状异常的食品。禁</w:t>
      </w:r>
      <w:r>
        <w:rPr>
          <w:rFonts w:hint="eastAsia" w:ascii="仿宋" w:hAnsi="仿宋" w:eastAsia="仿宋" w:cs="仿宋"/>
          <w:color w:val="auto"/>
          <w:sz w:val="28"/>
          <w:szCs w:val="28"/>
          <w:highlight w:val="none"/>
        </w:rPr>
        <w:t>止采购超过保质期限的食品。</w:t>
      </w:r>
    </w:p>
    <w:p w14:paraId="2571D3C4">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所供</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color w:val="auto"/>
          <w:sz w:val="28"/>
          <w:szCs w:val="28"/>
          <w:highlight w:val="none"/>
        </w:rPr>
        <w:t>必须是优质货品，</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人必须保证所供应的</w:t>
      </w:r>
      <w:r>
        <w:rPr>
          <w:rFonts w:hint="eastAsia" w:ascii="仿宋" w:hAnsi="仿宋" w:eastAsia="仿宋" w:cs="仿宋"/>
          <w:color w:val="auto"/>
          <w:sz w:val="28"/>
          <w:szCs w:val="28"/>
          <w:highlight w:val="none"/>
          <w:lang w:val="en-US" w:eastAsia="zh-CN"/>
        </w:rPr>
        <w:t>产品</w:t>
      </w:r>
      <w:r>
        <w:rPr>
          <w:rFonts w:hint="eastAsia" w:ascii="仿宋" w:hAnsi="仿宋" w:eastAsia="仿宋" w:cs="仿宋"/>
          <w:color w:val="auto"/>
          <w:sz w:val="28"/>
          <w:szCs w:val="28"/>
          <w:highlight w:val="none"/>
        </w:rPr>
        <w:t>符合卫生标准，同时承担因所供</w:t>
      </w:r>
      <w:r>
        <w:rPr>
          <w:rFonts w:hint="eastAsia" w:ascii="仿宋" w:hAnsi="仿宋" w:eastAsia="仿宋" w:cs="仿宋"/>
          <w:color w:val="auto"/>
          <w:sz w:val="28"/>
          <w:szCs w:val="28"/>
          <w:highlight w:val="none"/>
          <w:lang w:val="en-US" w:eastAsia="zh-CN"/>
        </w:rPr>
        <w:t>产品</w:t>
      </w:r>
      <w:r>
        <w:rPr>
          <w:rFonts w:hint="eastAsia" w:ascii="仿宋" w:hAnsi="仿宋" w:eastAsia="仿宋" w:cs="仿宋"/>
          <w:color w:val="auto"/>
          <w:sz w:val="28"/>
          <w:szCs w:val="28"/>
          <w:highlight w:val="none"/>
        </w:rPr>
        <w:t>问题引起的一切事故后果。</w:t>
      </w:r>
    </w:p>
    <w:p w14:paraId="7A93AC24">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color w:val="auto"/>
          <w:sz w:val="28"/>
          <w:szCs w:val="28"/>
          <w:highlight w:val="none"/>
        </w:rPr>
        <w:t>有包装的，包装必须完整清洁(无损、无污、无皱),招标人有权拒收包装不整齐、已拆封的商品。采购的食品不得存放在有害、有毒的容器内。</w:t>
      </w:r>
    </w:p>
    <w:p w14:paraId="78C91A7C">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auto"/>
          <w:spacing w:val="-7"/>
          <w:sz w:val="30"/>
          <w:szCs w:val="30"/>
          <w:highlight w:val="none"/>
          <w:lang w:val="en-US" w:eastAsia="zh-CN"/>
        </w:rPr>
      </w:pPr>
      <w:r>
        <w:rPr>
          <w:rFonts w:hint="eastAsia" w:ascii="仿宋" w:hAnsi="仿宋" w:eastAsia="仿宋" w:cs="仿宋"/>
          <w:b/>
          <w:bCs/>
          <w:color w:val="auto"/>
          <w:spacing w:val="-7"/>
          <w:sz w:val="30"/>
          <w:szCs w:val="30"/>
          <w:highlight w:val="none"/>
          <w:lang w:val="en-US" w:eastAsia="zh-CN"/>
        </w:rPr>
        <w:t>（二）采购需求具体内容如下</w:t>
      </w:r>
    </w:p>
    <w:p w14:paraId="56DE8896">
      <w:pPr>
        <w:pageBreakBefore w:val="0"/>
        <w:kinsoku/>
        <w:overflowPunct/>
        <w:bidi w:val="0"/>
        <w:spacing w:beforeAutospacing="0" w:afterAutospacing="0" w:line="440" w:lineRule="exact"/>
        <w:ind w:right="0" w:right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1.蔬菜类</w:t>
      </w:r>
    </w:p>
    <w:p w14:paraId="04912BA8">
      <w:pPr>
        <w:pageBreakBefore w:val="0"/>
        <w:kinsoku/>
        <w:overflowPunct/>
        <w:bidi w:val="0"/>
        <w:spacing w:beforeAutospacing="0" w:afterAutospacing="0" w:line="440" w:lineRule="exact"/>
        <w:ind w:right="0" w:right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（1）蔬菜采购清单（此表仅供参考，包括但不仅限于以下品种，可根据需求增减品种，并非固定类目，以实际发生为准。）</w:t>
      </w:r>
    </w:p>
    <w:tbl>
      <w:tblPr>
        <w:tblStyle w:val="27"/>
        <w:tblpPr w:leftFromText="180" w:rightFromText="180" w:vertAnchor="text" w:horzAnchor="page" w:tblpX="1611" w:tblpY="443"/>
        <w:tblOverlap w:val="never"/>
        <w:tblW w:w="88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3585"/>
        <w:gridCol w:w="2586"/>
        <w:gridCol w:w="1432"/>
      </w:tblGrid>
      <w:tr w14:paraId="44A6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A5F04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0F64E3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品名</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A917D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78672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2F09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3D46C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50001876">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生姜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9FC22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5BB54D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B053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79CCE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172869B8">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大蒜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05EFA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5A5A08B">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69A9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56CEC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D0C0BEA">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小葱</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7F19C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0C9AF8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672A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709BD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FD2CB81">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香菜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F5633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04AF2BB">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A8E5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6E963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E1BC3AC">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沙葱</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83D25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D016857">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E710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68D2E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262FDA4D">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洋姜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56B846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F1D696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EC9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C6AC4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6BB14B6">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鱼腥草</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DAA23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5FA8F7E">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004E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3F9B57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74908D8">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萝卜苗</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87134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EA5E23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584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27D8C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C720D52">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红心萝卜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549028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C9191DD">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EE8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C9A1B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10</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25679147">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1紫甘蓝</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4BBC7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BE4D15E">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C581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F3D3D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11</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B09F548">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黄瓜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99687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468326C">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FD3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764BF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12</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6BDCD40">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水果黄瓜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5480E5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11141B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8631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714FE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5ECB67A8">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蒜苗</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D2CE5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3EF188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B91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78740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14</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F76AF01">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大葱</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0B0D0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F8BC7B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94C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C83BE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15</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53FDFF20">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皮牙子</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0B6B1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5CE2A2CC">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53D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66411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16</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050B85A">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胡萝卜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CD952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24799A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C03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11271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17</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CEA1B0E">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冬瓜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1FBA1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A212AE6">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534B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267F6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18</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DA4BCC5">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红薯</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5E81A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673E4F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8AA1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476FF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19</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6148F317">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青萝ト</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1F607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E748D08">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E0A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FDCC5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20</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D03176E">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红辣子</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83776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3C0966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48B8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E4E26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21</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5FEC6F58">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红彩椒</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E2AA6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CC636AB">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E03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3704F4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22</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F931106">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青辣子</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BD861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DAF872C">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DA1B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701AB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23</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58CAE334">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韭菜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669EA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AE26E35">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0A66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E6681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24</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8770128">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蒜薹</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98972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5AA3AFD">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F7F0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24EBD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25</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7CE5D70">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南瓜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53190F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E7A7915">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009C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93EE5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26</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AD7F174">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丑瓜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29C2F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96C749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45C92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66A3A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27</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5994E815">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板栗瓜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4B911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2F7ADA3">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FC4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83696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28</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082BA03">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荆芥</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582466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5C244D29">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7BB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6E213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29</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5224853E">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马齿笕</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503108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1A5A08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3DCC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428CA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30</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2AC667DE">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铁棍山药</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A7E61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4044399">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6DE9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8E185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31</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11DD8CEB">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山药</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0D03C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654FBA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4B7A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DE683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32</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2A3E3BE">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西红柿</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0180A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0176FA3">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450A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44F8D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33</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BF7ECCE">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鲜春笋</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725B4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620A189">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61F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8D44C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34</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FB3E59C">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鲜冬笋</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603C1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F10F57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BD0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4F4D0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35</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A9108B0">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芋头</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431FE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57FC10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72E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F1998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36</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C0C055C">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有机花菜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797C2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B35C149">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B049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9D802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37</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4E7A1F2">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白菜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28CE2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A6B826C">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105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C8493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38</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57308466">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莲花白</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31614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5B711618">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6F78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F6040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39</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05B6B61">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丝瓜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9F6B71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071E9A5">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086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18793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40</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572C1B3">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毛芹</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93956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8C00FAB">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B89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7073E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41</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7C90B23">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芹菜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461EE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504C9CEE">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79E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B1916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42</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1E42C4CD">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水芹</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50FF8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5104C873">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D6F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4D178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43</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26092CDC">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芦蒿</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E0647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8FEDD50">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0160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E182F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44</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627D954">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荷兰豆</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52494B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5311169">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2CD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5C294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45</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2F65AD4">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芥兰</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38419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DF40FC3">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843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C404C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46</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932C161">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青笋</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63678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618330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BA0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D858F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47</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530F7CE">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香笋</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EC885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7E88D8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69A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AA142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48</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AB3A670">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小米辣</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376A3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19DA7C7">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49E9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61156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49</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52B0747A">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杭椒</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59995F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259988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AC3B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B8D2F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50</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018D88F">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葫芦瓜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F8DAC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36A20F6">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B60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707CD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51</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D7DA42C">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佛手瓜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F48BA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95EF8B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D7D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2E1A8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52</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9C5BA07">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白萝卜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3AD01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4EAD660">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B7B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3FDA8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53</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61145A4A">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恰玛古</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15B4F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30A74D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E14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706E7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54</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F8D6686">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西芹</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ACE65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B6211C6">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4F0A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A8B93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55</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F0FB3AB">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百合</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55082A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37209E3">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768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5178F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56</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1DF693B7">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儿菜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DB6D1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73D48E7">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A4D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FBEC1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57</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085BC95">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棒菜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CEF25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222520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41AB9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94ECC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58</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1DDBAC3D">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无筋豆角</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DA15E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E2473B1">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AF3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387FD5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59</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164C237A">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白豆角</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E389A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E188F87">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A901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D8EC5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60</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CF78A74">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豇豆</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57AE2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E528108">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115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6C88F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61</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156B2041">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苦瓜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F0D81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572D7BBE">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E047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314218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62</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2B1AB40">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西蓝花</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760BB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ED0A11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E255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D6B06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63</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28216B84">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豆腐</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4B518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D657E1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987D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08675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64</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5A160CCC">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嫩豆腐</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5D52AE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63D5BA6">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826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38DD8F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65</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41C0BE7">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豆腐皮</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08C52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C04FFE0">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3CD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B105F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66</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75E5469">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豆腐干</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DD049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A81ECC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95F9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5C776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67</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29BAB4F">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豆泡</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DC155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6540F3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F37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CFA85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68</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69A6B65">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瓠子瓜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A2E8D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7C588B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FCF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2E4D6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69</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246161A">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紫薯</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D4A21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B7E05D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5DC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8AD15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70</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2A5EA47C">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金瓜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D6838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4B9A87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65D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6DE69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71</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60F05DFC">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 xml:space="preserve">毛豆 </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21BD9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D93C028">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155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08260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72</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9C011B0">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鲜花生</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65E4B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F9E445E">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4A0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113C3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73</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2855431">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 xml:space="preserve">鲜豌豆 </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DCC25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12BB14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8C8E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04010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74</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5B13F51C">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鲜蚕豆</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EEB80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EA69948">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40A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10220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75</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6A49106C">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黄豆芽</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5E5A7C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8C760A6">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7E9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79709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76</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22E7D58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绿豆芽</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F3925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BA5453C">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49BC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8A896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77</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F34AFF7">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豌豆尖</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BA44B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BD6DE91">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8BB7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CBF07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78</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1514AD0B">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豌豆苗</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A6DE5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B598D7E">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4276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AFCB7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79</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6158D725">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花生苗</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944DC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6D1F4B9">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48BA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8A9AC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80</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27A34020">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茼蒿</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562AB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6B1A587">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CE8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31297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81</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1D030A9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毛白菜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913A9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AFB1DB0">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FAB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60C68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82</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25B3569A">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雪皮菜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392DB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32BC7F7">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0CB0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342180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83</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57EE5446">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油白菜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CF8B3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30AD2A5">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DAF7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BA0C4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84</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2ABEFAB6">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油麦菜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4F2AE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08D4AB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031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45181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85</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DE09F7A">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生菜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6A2B6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7BB22D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B4A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31C22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86</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9BFD828">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酸白菜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C2225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29F96BB">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F95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DE692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87</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6C0834EC">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菊花菜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AD361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C2A7E15">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126B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BC60C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88</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694E79D8">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上海青</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5D92D7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4AA5AE6">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9F1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D5CEC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89</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904AB68">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木耳菜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80CDE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75A764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48A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48E49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90</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3C7E57D">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空心菜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DE264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21A0D4D">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D3BC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E3463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91</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D30A7FE">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广东菜心</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2D2FC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851A0D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44F4E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C724D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92</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65A043C">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1田七苗</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53619E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AC4854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E12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7771C2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93</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5D96D45">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红菜心</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65EB9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8EDD9D7">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3EDC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DCF0B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94</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74C4CCD">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韭黄</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2AC53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8AD765E">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8ED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0A996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95</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1E46468">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韭苔</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8D118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D1AF45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C827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AEA87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96</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66D4C4F9">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凉粉</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9087E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DA29A8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A33E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EC500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97</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E5F496A">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荠荠菜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2A836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DAEB9C7">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1EB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3C5A6A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98</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2AFC6730">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苜蓿</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4D886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5203753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F16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2A9BE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99</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14F544CB">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菠菜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8359C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46B890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F564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6F42E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100</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3E8D0FD">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西生菜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831FD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D47644E">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817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1DB13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101</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2EF7D436">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娃娃菜</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3A7F7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D53CE53">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B19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4413C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102</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6B18F95">
            <w:pPr>
              <w:keepNext w:val="0"/>
              <w:keepLines w:val="0"/>
              <w:widowControl/>
              <w:suppressLineNumbers w:val="0"/>
              <w:jc w:val="center"/>
              <w:textAlignment w:val="bottom"/>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苦菊</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93B42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445624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E368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A0745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103</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11492530">
            <w:pPr>
              <w:keepNext w:val="0"/>
              <w:keepLines w:val="0"/>
              <w:widowControl/>
              <w:suppressLineNumbers w:val="0"/>
              <w:jc w:val="center"/>
              <w:textAlignment w:val="bottom"/>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其它蔬菜类</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D58EC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7657B78">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bl>
    <w:p w14:paraId="06F547AB">
      <w:pPr>
        <w:pStyle w:val="69"/>
        <w:numPr>
          <w:ilvl w:val="0"/>
          <w:numId w:val="0"/>
        </w:numPr>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（2）食用菌</w:t>
      </w:r>
    </w:p>
    <w:tbl>
      <w:tblPr>
        <w:tblStyle w:val="27"/>
        <w:tblW w:w="88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3585"/>
        <w:gridCol w:w="2586"/>
        <w:gridCol w:w="1432"/>
      </w:tblGrid>
      <w:tr w14:paraId="3166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8A681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5412B6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品名</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014C0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E0EC2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5158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EBB79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44B621A">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虫草菇</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A6576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5B760F91">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CA0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E1E44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33414DE">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鲜香菇</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D2603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B5BECD7">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42F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45055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11161F31">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蘑菇</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3DCB7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0F8141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A3F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4D21A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18DDBCAB">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人生菇</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D8D05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D7FE77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C90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B5E3A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643A499">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圆菇</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72974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5A60D310">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DCE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AFF11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5E2CC89">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鸡腿菇</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D130D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5E826F95">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7C1B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BE96E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619D36EF">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茶树菇</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B8CB6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5E3CFC5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32B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31A17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2B81454F">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蟹味菇</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196A2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9448098">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C44B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7B989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6D2DF61">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白玉菇</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3B900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8EE030E">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181C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A1D9C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11</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6851E44">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金针菇</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2578F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9637716">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27BB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6C139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11</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6C1C4C8B">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茨菇</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4025A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13D6691">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FFA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48C6F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12</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5483846">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杏鲍菇</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883D3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C27E397">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1B9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5DC5F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60CA2C83">
            <w:pPr>
              <w:keepNext w:val="0"/>
              <w:keepLines w:val="0"/>
              <w:widowControl/>
              <w:suppressLineNumbers w:val="0"/>
              <w:jc w:val="center"/>
              <w:textAlignment w:val="bottom"/>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其它菌类</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DC022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9D307CD">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bl>
    <w:p w14:paraId="36F42081">
      <w:pPr>
        <w:pStyle w:val="69"/>
        <w:numPr>
          <w:ilvl w:val="0"/>
          <w:numId w:val="0"/>
        </w:numPr>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（3）禽蛋</w:t>
      </w:r>
    </w:p>
    <w:tbl>
      <w:tblPr>
        <w:tblStyle w:val="27"/>
        <w:tblW w:w="88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3585"/>
        <w:gridCol w:w="2586"/>
        <w:gridCol w:w="1432"/>
      </w:tblGrid>
      <w:tr w14:paraId="1C78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42807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1BB99E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品名</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9FAD3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534D9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0F0B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FF53A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27250690">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鸡蛋</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51797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B7444D6">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1263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665DC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028DCA4">
            <w:pPr>
              <w:keepNext w:val="0"/>
              <w:keepLines w:val="0"/>
              <w:widowControl/>
              <w:suppressLineNumbers w:val="0"/>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咸鸭蛋</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BD086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506AB5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bl>
    <w:p w14:paraId="43B6FDF4">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left"/>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 xml:space="preserve">（2）技术规格要求： </w:t>
      </w:r>
    </w:p>
    <w:p w14:paraId="7025F758">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left"/>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2.1蔬菜类要求</w:t>
      </w:r>
    </w:p>
    <w:p w14:paraId="53F9E011">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1）属季节问题，若出现品种不能满足招标人需求的情况，可与招标人协商调换相应类别的品种。</w:t>
      </w:r>
    </w:p>
    <w:p w14:paraId="49AFC50B">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 xml:space="preserve">2）蔬菜类等应保持较好的色泽和新鲜度，利用率达到95%。严禁采购有害、有毒、腐烂变质、酸败、霉变、生虫、污垢不洁、混有异物或其他感官性状异常的食品。蔬菜应无损伤、腐烂现象，无寄生虫或已受虫害现象。禁止采购超过保质期限的食品。(附《蔬菜感官质量要求》) </w:t>
      </w:r>
    </w:p>
    <w:tbl>
      <w:tblPr>
        <w:tblStyle w:val="58"/>
        <w:tblW w:w="90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9"/>
        <w:gridCol w:w="1700"/>
        <w:gridCol w:w="6538"/>
      </w:tblGrid>
      <w:tr w14:paraId="6B680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99" w:type="dxa"/>
            <w:noWrap w:val="0"/>
            <w:vAlign w:val="top"/>
          </w:tcPr>
          <w:p w14:paraId="7253EA03">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类别</w:t>
            </w:r>
          </w:p>
        </w:tc>
        <w:tc>
          <w:tcPr>
            <w:tcW w:w="1700" w:type="dxa"/>
            <w:noWrap w:val="0"/>
            <w:vAlign w:val="top"/>
          </w:tcPr>
          <w:p w14:paraId="66324AC2">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包含品种</w:t>
            </w:r>
          </w:p>
        </w:tc>
        <w:tc>
          <w:tcPr>
            <w:tcW w:w="6538" w:type="dxa"/>
            <w:noWrap w:val="0"/>
            <w:vAlign w:val="top"/>
          </w:tcPr>
          <w:p w14:paraId="7600888A">
            <w:pPr>
              <w:pageBreakBefore w:val="0"/>
              <w:kinsoku/>
              <w:overflowPunct/>
              <w:bidi w:val="0"/>
              <w:spacing w:beforeAutospacing="0" w:afterAutospacing="0" w:line="440" w:lineRule="exact"/>
              <w:ind w:left="0" w:leftChars="0" w:right="0" w:rightChars="0" w:firstLine="472"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质量要求</w:t>
            </w:r>
          </w:p>
        </w:tc>
      </w:tr>
      <w:tr w14:paraId="23778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799" w:type="dxa"/>
            <w:noWrap w:val="0"/>
            <w:vAlign w:val="center"/>
          </w:tcPr>
          <w:p w14:paraId="6F67F58A">
            <w:pPr>
              <w:pageBreakBefore w:val="0"/>
              <w:kinsoku/>
              <w:overflowPunct/>
              <w:bidi w:val="0"/>
              <w:spacing w:beforeAutospacing="0" w:afterAutospacing="0" w:line="440" w:lineRule="exact"/>
              <w:ind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叶菜类</w:t>
            </w:r>
          </w:p>
        </w:tc>
        <w:tc>
          <w:tcPr>
            <w:tcW w:w="1700" w:type="dxa"/>
            <w:noWrap w:val="0"/>
            <w:vAlign w:val="center"/>
          </w:tcPr>
          <w:p w14:paraId="6B0BED9F">
            <w:pPr>
              <w:pageBreakBefore w:val="0"/>
              <w:kinsoku/>
              <w:overflowPunct/>
              <w:bidi w:val="0"/>
              <w:spacing w:beforeAutospacing="0" w:afterAutospacing="0" w:line="440" w:lineRule="exact"/>
              <w:ind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白菜类、甘蓝类和绿叶菜类</w:t>
            </w:r>
            <w:r>
              <w:rPr>
                <w:rFonts w:hint="eastAsia" w:ascii="仿宋" w:hAnsi="仿宋" w:eastAsia="仿宋" w:cs="仿宋"/>
                <w:color w:val="auto"/>
                <w:spacing w:val="9"/>
                <w:sz w:val="24"/>
                <w:szCs w:val="24"/>
                <w:highlight w:val="none"/>
                <w:lang w:val="en-US" w:eastAsia="zh-CN"/>
              </w:rPr>
              <w:t>等</w:t>
            </w:r>
            <w:r>
              <w:rPr>
                <w:rFonts w:hint="eastAsia" w:ascii="仿宋" w:hAnsi="仿宋" w:eastAsia="仿宋" w:cs="仿宋"/>
                <w:color w:val="auto"/>
                <w:spacing w:val="11"/>
                <w:sz w:val="24"/>
                <w:szCs w:val="24"/>
                <w:highlight w:val="none"/>
              </w:rPr>
              <w:t>的各种蔬菜。</w:t>
            </w:r>
          </w:p>
        </w:tc>
        <w:tc>
          <w:tcPr>
            <w:tcW w:w="6538" w:type="dxa"/>
            <w:noWrap w:val="0"/>
            <w:vAlign w:val="top"/>
          </w:tcPr>
          <w:p w14:paraId="1FC1F8BA">
            <w:pPr>
              <w:pageBreakBefore w:val="0"/>
              <w:kinsoku/>
              <w:overflowPunct/>
              <w:bidi w:val="0"/>
              <w:spacing w:beforeAutospacing="0" w:afterAutospacing="0" w:line="440" w:lineRule="exact"/>
              <w:ind w:right="0" w:rightChars="0" w:firstLine="52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肉质鲜嫩，形态好，色泽正常；茎基部削平，无枯黄叶、病叶</w:t>
            </w:r>
            <w:r>
              <w:rPr>
                <w:rFonts w:hint="eastAsia" w:ascii="仿宋" w:hAnsi="仿宋" w:eastAsia="仿宋" w:cs="仿宋"/>
                <w:color w:val="auto"/>
                <w:spacing w:val="9"/>
                <w:sz w:val="24"/>
                <w:szCs w:val="24"/>
                <w:highlight w:val="none"/>
              </w:rPr>
              <w:t>泥土、明显机械伤和病虫害伤；无烧心、焦边、腐烂等现象</w:t>
            </w:r>
            <w:r>
              <w:rPr>
                <w:rFonts w:hint="eastAsia" w:ascii="仿宋" w:hAnsi="仿宋" w:eastAsia="仿宋" w:cs="仿宋"/>
                <w:color w:val="auto"/>
                <w:spacing w:val="9"/>
                <w:sz w:val="24"/>
                <w:szCs w:val="24"/>
                <w:highlight w:val="none"/>
                <w:lang w:eastAsia="zh-CN"/>
              </w:rPr>
              <w:t>；</w:t>
            </w:r>
            <w:r>
              <w:rPr>
                <w:rFonts w:hint="eastAsia" w:ascii="仿宋" w:hAnsi="仿宋" w:eastAsia="仿宋" w:cs="仿宋"/>
                <w:color w:val="auto"/>
                <w:spacing w:val="10"/>
                <w:sz w:val="24"/>
                <w:szCs w:val="24"/>
                <w:highlight w:val="none"/>
              </w:rPr>
              <w:t>无抽薹(菜心除外)</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10"/>
                <w:sz w:val="24"/>
                <w:szCs w:val="24"/>
                <w:highlight w:val="none"/>
              </w:rPr>
              <w:t>结球的叶菜应结球紧实</w:t>
            </w:r>
            <w:r>
              <w:rPr>
                <w:rFonts w:hint="eastAsia" w:ascii="仿宋" w:hAnsi="仿宋" w:eastAsia="仿宋" w:cs="仿宋"/>
                <w:color w:val="auto"/>
                <w:spacing w:val="13"/>
                <w:sz w:val="24"/>
                <w:szCs w:val="24"/>
                <w:highlight w:val="none"/>
              </w:rPr>
              <w:t>。</w:t>
            </w:r>
          </w:p>
        </w:tc>
      </w:tr>
      <w:tr w14:paraId="658C3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99" w:type="dxa"/>
            <w:noWrap w:val="0"/>
            <w:vAlign w:val="center"/>
          </w:tcPr>
          <w:p w14:paraId="304891DB">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茄果类</w:t>
            </w:r>
          </w:p>
        </w:tc>
        <w:tc>
          <w:tcPr>
            <w:tcW w:w="1700" w:type="dxa"/>
            <w:noWrap w:val="0"/>
            <w:vAlign w:val="center"/>
          </w:tcPr>
          <w:p w14:paraId="160FAC7A">
            <w:pPr>
              <w:pageBreakBefore w:val="0"/>
              <w:kinsoku/>
              <w:overflowPunct/>
              <w:bidi w:val="0"/>
              <w:spacing w:beforeAutospacing="0" w:afterAutospacing="0" w:line="440" w:lineRule="exact"/>
              <w:ind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8"/>
                <w:sz w:val="24"/>
                <w:szCs w:val="24"/>
                <w:highlight w:val="none"/>
                <w:lang w:val="en-US" w:eastAsia="zh-CN"/>
              </w:rPr>
              <w:t>西红柿</w:t>
            </w:r>
            <w:r>
              <w:rPr>
                <w:rFonts w:hint="eastAsia" w:ascii="仿宋" w:hAnsi="仿宋" w:eastAsia="仿宋" w:cs="仿宋"/>
                <w:color w:val="auto"/>
                <w:spacing w:val="8"/>
                <w:sz w:val="24"/>
                <w:szCs w:val="24"/>
                <w:highlight w:val="none"/>
              </w:rPr>
              <w:t>、茄子、甜椒、辣椒等</w:t>
            </w:r>
            <w:r>
              <w:rPr>
                <w:rFonts w:hint="eastAsia" w:ascii="仿宋" w:hAnsi="仿宋" w:eastAsia="仿宋" w:cs="仿宋"/>
                <w:color w:val="auto"/>
                <w:spacing w:val="8"/>
                <w:sz w:val="24"/>
                <w:szCs w:val="24"/>
                <w:highlight w:val="none"/>
                <w:lang w:eastAsia="zh-CN"/>
              </w:rPr>
              <w:t>。</w:t>
            </w:r>
          </w:p>
        </w:tc>
        <w:tc>
          <w:tcPr>
            <w:tcW w:w="6538" w:type="dxa"/>
            <w:noWrap w:val="0"/>
            <w:vAlign w:val="top"/>
          </w:tcPr>
          <w:p w14:paraId="33DFCA99">
            <w:pPr>
              <w:pageBreakBefore w:val="0"/>
              <w:kinsoku/>
              <w:overflowPunct/>
              <w:bidi w:val="0"/>
              <w:spacing w:beforeAutospacing="0" w:afterAutospacing="0" w:line="440" w:lineRule="exact"/>
              <w:ind w:left="0" w:leftChars="0" w:right="0" w:rightChars="0" w:firstLine="476"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色鲜，果实圆整、光洁，成熟度适中，整齐，无烂果、异味</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6"/>
                <w:sz w:val="24"/>
                <w:szCs w:val="24"/>
                <w:highlight w:val="none"/>
              </w:rPr>
              <w:t>病虫害和明显机械损伤。</w:t>
            </w:r>
          </w:p>
        </w:tc>
      </w:tr>
      <w:tr w14:paraId="56E34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99" w:type="dxa"/>
            <w:noWrap w:val="0"/>
            <w:vAlign w:val="center"/>
          </w:tcPr>
          <w:p w14:paraId="5DA4B3A2">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瓜类</w:t>
            </w:r>
          </w:p>
        </w:tc>
        <w:tc>
          <w:tcPr>
            <w:tcW w:w="1700" w:type="dxa"/>
            <w:noWrap w:val="0"/>
            <w:vAlign w:val="center"/>
          </w:tcPr>
          <w:p w14:paraId="1CC7997E">
            <w:pPr>
              <w:pageBreakBefore w:val="0"/>
              <w:kinsoku/>
              <w:overflowPunct/>
              <w:bidi w:val="0"/>
              <w:spacing w:beforeAutospacing="0" w:afterAutospacing="0" w:line="440" w:lineRule="exact"/>
              <w:ind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黄瓜、瓠瓜、越瓜、丝瓜、</w:t>
            </w:r>
            <w:r>
              <w:rPr>
                <w:rFonts w:hint="eastAsia" w:ascii="仿宋" w:hAnsi="仿宋" w:eastAsia="仿宋" w:cs="仿宋"/>
                <w:color w:val="auto"/>
                <w:spacing w:val="-1"/>
                <w:sz w:val="24"/>
                <w:szCs w:val="24"/>
                <w:highlight w:val="none"/>
              </w:rPr>
              <w:t>苦瓜、冬瓜、毛节瓜、南瓜</w:t>
            </w:r>
            <w:r>
              <w:rPr>
                <w:rFonts w:hint="eastAsia" w:ascii="仿宋" w:hAnsi="仿宋" w:eastAsia="仿宋" w:cs="仿宋"/>
                <w:color w:val="auto"/>
                <w:spacing w:val="14"/>
                <w:sz w:val="24"/>
                <w:szCs w:val="24"/>
                <w:highlight w:val="none"/>
              </w:rPr>
              <w:t>佛手瓜等。</w:t>
            </w:r>
          </w:p>
        </w:tc>
        <w:tc>
          <w:tcPr>
            <w:tcW w:w="6538" w:type="dxa"/>
            <w:noWrap w:val="0"/>
            <w:vAlign w:val="top"/>
          </w:tcPr>
          <w:p w14:paraId="1C6917BE">
            <w:pPr>
              <w:pageBreakBefore w:val="0"/>
              <w:kinsoku/>
              <w:overflowPunct/>
              <w:bidi w:val="0"/>
              <w:spacing w:beforeAutospacing="0" w:afterAutospacing="0" w:line="440" w:lineRule="exact"/>
              <w:ind w:left="0" w:leftChars="0" w:right="0" w:rightChars="0" w:firstLine="476"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形状、色泽一致，瓜条均匀，无疤点，无断裂，不带泥土，无</w:t>
            </w:r>
            <w:r>
              <w:rPr>
                <w:rFonts w:hint="eastAsia" w:ascii="仿宋" w:hAnsi="仿宋" w:eastAsia="仿宋" w:cs="仿宋"/>
                <w:color w:val="auto"/>
                <w:spacing w:val="3"/>
                <w:sz w:val="24"/>
                <w:szCs w:val="24"/>
                <w:highlight w:val="none"/>
              </w:rPr>
              <w:t>畸形瓜、病虫害瓜、烂瓜，无明显机械伤。</w:t>
            </w:r>
          </w:p>
        </w:tc>
      </w:tr>
      <w:tr w14:paraId="7C65B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99" w:type="dxa"/>
            <w:noWrap w:val="0"/>
            <w:vAlign w:val="center"/>
          </w:tcPr>
          <w:p w14:paraId="6589F78C">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根菜类</w:t>
            </w:r>
          </w:p>
        </w:tc>
        <w:tc>
          <w:tcPr>
            <w:tcW w:w="1700" w:type="dxa"/>
            <w:noWrap w:val="0"/>
            <w:vAlign w:val="center"/>
          </w:tcPr>
          <w:p w14:paraId="52586DDA">
            <w:pPr>
              <w:pageBreakBefore w:val="0"/>
              <w:kinsoku/>
              <w:overflowPunct/>
              <w:bidi w:val="0"/>
              <w:spacing w:beforeAutospacing="0" w:afterAutospacing="0" w:line="440" w:lineRule="exact"/>
              <w:ind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萝卜、胡萝卜、</w:t>
            </w:r>
            <w:r>
              <w:rPr>
                <w:rFonts w:hint="eastAsia" w:ascii="仿宋" w:hAnsi="仿宋" w:eastAsia="仿宋" w:cs="仿宋"/>
                <w:color w:val="auto"/>
                <w:spacing w:val="14"/>
                <w:sz w:val="24"/>
                <w:szCs w:val="24"/>
                <w:highlight w:val="none"/>
              </w:rPr>
              <w:t>甘蓝等。</w:t>
            </w:r>
          </w:p>
        </w:tc>
        <w:tc>
          <w:tcPr>
            <w:tcW w:w="6538" w:type="dxa"/>
            <w:noWrap w:val="0"/>
            <w:vAlign w:val="top"/>
          </w:tcPr>
          <w:p w14:paraId="57D93C23">
            <w:pPr>
              <w:pageBreakBefore w:val="0"/>
              <w:kinsoku/>
              <w:overflowPunct/>
              <w:bidi w:val="0"/>
              <w:spacing w:beforeAutospacing="0" w:afterAutospacing="0" w:line="440" w:lineRule="exact"/>
              <w:ind w:left="0" w:leftChars="0" w:right="0" w:rightChars="0" w:firstLine="52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皮细光滑，色泽良好，大小均匀，肉质脆嫩致密。新鲜，无畸</w:t>
            </w:r>
            <w:r>
              <w:rPr>
                <w:rFonts w:hint="eastAsia" w:ascii="仿宋" w:hAnsi="仿宋" w:eastAsia="仿宋" w:cs="仿宋"/>
                <w:color w:val="auto"/>
                <w:spacing w:val="12"/>
                <w:sz w:val="24"/>
                <w:szCs w:val="24"/>
                <w:highlight w:val="none"/>
              </w:rPr>
              <w:t>形、裂痕、糠心、病虫害斑，不带泥沙，不带茎叶、须根。</w:t>
            </w:r>
          </w:p>
        </w:tc>
      </w:tr>
      <w:tr w14:paraId="45AB5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99" w:type="dxa"/>
            <w:noWrap w:val="0"/>
            <w:vAlign w:val="center"/>
          </w:tcPr>
          <w:p w14:paraId="688C9437">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薯芋类</w:t>
            </w:r>
          </w:p>
        </w:tc>
        <w:tc>
          <w:tcPr>
            <w:tcW w:w="1700" w:type="dxa"/>
            <w:noWrap w:val="0"/>
            <w:vAlign w:val="center"/>
          </w:tcPr>
          <w:p w14:paraId="79BDA5D7">
            <w:pPr>
              <w:pageBreakBefore w:val="0"/>
              <w:kinsoku/>
              <w:overflowPunct/>
              <w:bidi w:val="0"/>
              <w:spacing w:beforeAutospacing="0" w:afterAutospacing="0" w:line="440" w:lineRule="exact"/>
              <w:ind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红</w:t>
            </w:r>
            <w:r>
              <w:rPr>
                <w:rFonts w:hint="eastAsia" w:ascii="仿宋" w:hAnsi="仿宋" w:eastAsia="仿宋" w:cs="仿宋"/>
                <w:color w:val="auto"/>
                <w:spacing w:val="-1"/>
                <w:sz w:val="24"/>
                <w:szCs w:val="24"/>
                <w:highlight w:val="none"/>
              </w:rPr>
              <w:t>薯、</w:t>
            </w:r>
            <w:r>
              <w:rPr>
                <w:rFonts w:hint="eastAsia" w:ascii="仿宋" w:hAnsi="仿宋" w:eastAsia="仿宋" w:cs="仿宋"/>
                <w:color w:val="auto"/>
                <w:spacing w:val="-1"/>
                <w:sz w:val="24"/>
                <w:szCs w:val="24"/>
                <w:highlight w:val="none"/>
                <w:lang w:val="en-US" w:eastAsia="zh-CN"/>
              </w:rPr>
              <w:t>紫</w:t>
            </w:r>
            <w:r>
              <w:rPr>
                <w:rFonts w:hint="eastAsia" w:ascii="仿宋" w:hAnsi="仿宋" w:eastAsia="仿宋" w:cs="仿宋"/>
                <w:color w:val="auto"/>
                <w:spacing w:val="-1"/>
                <w:sz w:val="24"/>
                <w:szCs w:val="24"/>
                <w:highlight w:val="none"/>
              </w:rPr>
              <w:t>薯、姜</w:t>
            </w:r>
            <w:r>
              <w:rPr>
                <w:rFonts w:hint="eastAsia" w:ascii="仿宋" w:hAnsi="仿宋" w:eastAsia="仿宋" w:cs="仿宋"/>
                <w:color w:val="auto"/>
                <w:spacing w:val="-5"/>
                <w:sz w:val="24"/>
                <w:szCs w:val="24"/>
                <w:highlight w:val="none"/>
              </w:rPr>
              <w:t>等</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5"/>
                <w:sz w:val="24"/>
                <w:szCs w:val="24"/>
                <w:highlight w:val="none"/>
              </w:rPr>
              <w:t>。</w:t>
            </w:r>
          </w:p>
        </w:tc>
        <w:tc>
          <w:tcPr>
            <w:tcW w:w="6538" w:type="dxa"/>
            <w:noWrap w:val="0"/>
            <w:vAlign w:val="top"/>
          </w:tcPr>
          <w:p w14:paraId="5089B0CF">
            <w:pPr>
              <w:pageBreakBefore w:val="0"/>
              <w:kinsoku/>
              <w:overflowPunct/>
              <w:bidi w:val="0"/>
              <w:spacing w:beforeAutospacing="0" w:afterAutospacing="0" w:line="440" w:lineRule="exact"/>
              <w:ind w:left="0" w:leftChars="0" w:right="0" w:rightChars="0" w:firstLine="52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色泽一致，不带泥沙，不带茎叶、须根，无机械和病虫害斑，</w:t>
            </w:r>
            <w:r>
              <w:rPr>
                <w:rFonts w:hint="eastAsia" w:ascii="仿宋" w:hAnsi="仿宋" w:eastAsia="仿宋" w:cs="仿宋"/>
                <w:color w:val="auto"/>
                <w:spacing w:val="11"/>
                <w:sz w:val="24"/>
                <w:szCs w:val="24"/>
                <w:highlight w:val="none"/>
              </w:rPr>
              <w:t>无腐烂、干瘪。</w:t>
            </w:r>
          </w:p>
        </w:tc>
      </w:tr>
      <w:tr w14:paraId="667B1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99" w:type="dxa"/>
            <w:noWrap w:val="0"/>
            <w:vAlign w:val="center"/>
          </w:tcPr>
          <w:p w14:paraId="24C491AF">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color w:val="auto"/>
                <w:sz w:val="24"/>
                <w:szCs w:val="24"/>
                <w:highlight w:val="none"/>
              </w:rPr>
            </w:pPr>
          </w:p>
          <w:p w14:paraId="4F3751C2">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葱蒜类</w:t>
            </w:r>
          </w:p>
        </w:tc>
        <w:tc>
          <w:tcPr>
            <w:tcW w:w="1700" w:type="dxa"/>
            <w:noWrap w:val="0"/>
            <w:vAlign w:val="center"/>
          </w:tcPr>
          <w:p w14:paraId="109C955C">
            <w:pPr>
              <w:pageBreakBefore w:val="0"/>
              <w:kinsoku/>
              <w:overflowPunct/>
              <w:bidi w:val="0"/>
              <w:spacing w:beforeAutospacing="0" w:afterAutospacing="0" w:line="440" w:lineRule="exact"/>
              <w:ind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大葱、分葱、四季葱等</w:t>
            </w:r>
            <w:r>
              <w:rPr>
                <w:rFonts w:hint="eastAsia" w:ascii="仿宋" w:hAnsi="仿宋" w:eastAsia="仿宋" w:cs="仿宋"/>
                <w:color w:val="auto"/>
                <w:spacing w:val="4"/>
                <w:sz w:val="24"/>
                <w:szCs w:val="24"/>
                <w:highlight w:val="none"/>
                <w:lang w:eastAsia="zh-CN"/>
              </w:rPr>
              <w:t>。</w:t>
            </w:r>
          </w:p>
        </w:tc>
        <w:tc>
          <w:tcPr>
            <w:tcW w:w="6538" w:type="dxa"/>
            <w:noWrap w:val="0"/>
            <w:vAlign w:val="top"/>
          </w:tcPr>
          <w:p w14:paraId="6C39E6C6">
            <w:pPr>
              <w:pageBreakBefore w:val="0"/>
              <w:kinsoku/>
              <w:overflowPunct/>
              <w:bidi w:val="0"/>
              <w:spacing w:beforeAutospacing="0" w:afterAutospacing="0" w:line="440" w:lineRule="exact"/>
              <w:ind w:left="0" w:leftChars="0" w:right="0" w:rightChars="0" w:firstLine="50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允许葱和大蒜的青蒜保留干净须根，去老叶，韭菜去根去老叶，</w:t>
            </w:r>
            <w:r>
              <w:rPr>
                <w:rFonts w:hint="eastAsia" w:ascii="仿宋" w:hAnsi="仿宋" w:eastAsia="仿宋" w:cs="仿宋"/>
                <w:color w:val="auto"/>
                <w:spacing w:val="7"/>
                <w:sz w:val="24"/>
                <w:szCs w:val="24"/>
                <w:highlight w:val="none"/>
              </w:rPr>
              <w:t>蒜头、洋葱要去枯叶；可食部分质地细嫩，不带泥沙杂质，无</w:t>
            </w:r>
            <w:r>
              <w:rPr>
                <w:rFonts w:hint="eastAsia" w:ascii="仿宋" w:hAnsi="仿宋" w:eastAsia="仿宋" w:cs="仿宋"/>
                <w:color w:val="auto"/>
                <w:spacing w:val="20"/>
                <w:sz w:val="24"/>
                <w:szCs w:val="24"/>
                <w:highlight w:val="none"/>
              </w:rPr>
              <w:t>病虫害斑。</w:t>
            </w:r>
          </w:p>
        </w:tc>
      </w:tr>
      <w:tr w14:paraId="3CA5D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99" w:type="dxa"/>
            <w:noWrap w:val="0"/>
            <w:vAlign w:val="center"/>
          </w:tcPr>
          <w:p w14:paraId="1A916678">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豆类</w:t>
            </w:r>
          </w:p>
        </w:tc>
        <w:tc>
          <w:tcPr>
            <w:tcW w:w="1700" w:type="dxa"/>
            <w:noWrap w:val="0"/>
            <w:vAlign w:val="center"/>
          </w:tcPr>
          <w:p w14:paraId="4072E599">
            <w:pPr>
              <w:pageBreakBefore w:val="0"/>
              <w:kinsoku/>
              <w:overflowPunct/>
              <w:bidi w:val="0"/>
              <w:spacing w:beforeAutospacing="0" w:afterAutospacing="0" w:line="440" w:lineRule="exact"/>
              <w:ind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豇豆、豌豆、蚕豆</w:t>
            </w:r>
            <w:r>
              <w:rPr>
                <w:rFonts w:hint="eastAsia" w:ascii="仿宋" w:hAnsi="仿宋" w:eastAsia="仿宋" w:cs="仿宋"/>
                <w:color w:val="auto"/>
                <w:spacing w:val="10"/>
                <w:sz w:val="24"/>
                <w:szCs w:val="24"/>
                <w:highlight w:val="none"/>
              </w:rPr>
              <w:t>等。</w:t>
            </w:r>
          </w:p>
        </w:tc>
        <w:tc>
          <w:tcPr>
            <w:tcW w:w="6538" w:type="dxa"/>
            <w:noWrap w:val="0"/>
            <w:vAlign w:val="top"/>
          </w:tcPr>
          <w:p w14:paraId="74528861">
            <w:pPr>
              <w:pageBreakBefore w:val="0"/>
              <w:kinsoku/>
              <w:overflowPunct/>
              <w:bidi w:val="0"/>
              <w:spacing w:beforeAutospacing="0" w:afterAutospacing="0" w:line="440" w:lineRule="exact"/>
              <w:ind w:left="0" w:leftChars="0" w:right="0" w:rightChars="0" w:firstLine="496"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形态完整，成熟度适中，无病虫害斑。食荚类：豆荚新鲜幼嫩，</w:t>
            </w:r>
            <w:r>
              <w:rPr>
                <w:rFonts w:hint="eastAsia" w:ascii="仿宋" w:hAnsi="仿宋" w:eastAsia="仿宋" w:cs="仿宋"/>
                <w:color w:val="auto"/>
                <w:spacing w:val="5"/>
                <w:sz w:val="24"/>
                <w:szCs w:val="24"/>
                <w:highlight w:val="none"/>
              </w:rPr>
              <w:t>均匀。食豆仁类：籽粒饱满较均匀，无发芽。不带泥土、杂质。</w:t>
            </w:r>
          </w:p>
        </w:tc>
      </w:tr>
      <w:tr w14:paraId="4FADA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99" w:type="dxa"/>
            <w:noWrap w:val="0"/>
            <w:vAlign w:val="center"/>
          </w:tcPr>
          <w:p w14:paraId="4DE3C11D">
            <w:pPr>
              <w:pageBreakBefore w:val="0"/>
              <w:kinsoku/>
              <w:overflowPunct/>
              <w:bidi w:val="0"/>
              <w:spacing w:beforeAutospacing="0" w:afterAutospacing="0" w:line="440" w:lineRule="exact"/>
              <w:ind w:right="0" w:rightChars="0"/>
              <w:jc w:val="center"/>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芽苗类</w:t>
            </w:r>
          </w:p>
        </w:tc>
        <w:tc>
          <w:tcPr>
            <w:tcW w:w="1700" w:type="dxa"/>
            <w:noWrap w:val="0"/>
            <w:vAlign w:val="top"/>
          </w:tcPr>
          <w:p w14:paraId="26F4C268">
            <w:pPr>
              <w:pageBreakBefore w:val="0"/>
              <w:kinsoku/>
              <w:overflowPunct/>
              <w:bidi w:val="0"/>
              <w:spacing w:beforeAutospacing="0" w:afterAutospacing="0" w:line="440" w:lineRule="exact"/>
              <w:ind w:right="0" w:rightChars="0"/>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绿豆芽、黄豆芽等。</w:t>
            </w:r>
          </w:p>
        </w:tc>
        <w:tc>
          <w:tcPr>
            <w:tcW w:w="6538" w:type="dxa"/>
            <w:noWrap w:val="0"/>
            <w:vAlign w:val="top"/>
          </w:tcPr>
          <w:p w14:paraId="085A6085">
            <w:pPr>
              <w:pageBreakBefore w:val="0"/>
              <w:kinsoku/>
              <w:overflowPunct/>
              <w:bidi w:val="0"/>
              <w:spacing w:beforeAutospacing="0" w:afterAutospacing="0" w:line="440" w:lineRule="exact"/>
              <w:ind w:left="0" w:leftChars="0" w:right="0" w:rightChars="0" w:firstLine="472" w:firstLineChars="200"/>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芽苗幼嫩，不带豆壳杂质，新鲜，不浸水。</w:t>
            </w:r>
          </w:p>
        </w:tc>
      </w:tr>
    </w:tbl>
    <w:p w14:paraId="1C296F76">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552" w:firstLineChars="200"/>
        <w:jc w:val="left"/>
        <w:textAlignment w:val="auto"/>
        <w:rPr>
          <w:rFonts w:hint="eastAsia" w:ascii="仿宋" w:hAnsi="仿宋" w:eastAsia="仿宋" w:cs="仿宋"/>
          <w:b w:val="0"/>
          <w:bCs w:val="0"/>
          <w:color w:val="auto"/>
          <w:spacing w:val="-2"/>
          <w:sz w:val="28"/>
          <w:szCs w:val="28"/>
          <w:highlight w:val="none"/>
        </w:rPr>
      </w:pPr>
      <w:r>
        <w:rPr>
          <w:rFonts w:hint="eastAsia" w:ascii="仿宋" w:hAnsi="仿宋" w:eastAsia="仿宋" w:cs="仿宋"/>
          <w:b w:val="0"/>
          <w:bCs w:val="0"/>
          <w:color w:val="auto"/>
          <w:spacing w:val="-2"/>
          <w:sz w:val="28"/>
          <w:szCs w:val="28"/>
          <w:highlight w:val="none"/>
          <w:lang w:val="en-US" w:eastAsia="zh-CN"/>
        </w:rPr>
        <w:t>3）</w:t>
      </w:r>
      <w:r>
        <w:rPr>
          <w:rFonts w:hint="eastAsia" w:ascii="仿宋" w:hAnsi="仿宋" w:eastAsia="仿宋" w:cs="仿宋"/>
          <w:b w:val="0"/>
          <w:bCs w:val="0"/>
          <w:color w:val="auto"/>
          <w:spacing w:val="-2"/>
          <w:sz w:val="28"/>
          <w:szCs w:val="28"/>
          <w:highlight w:val="none"/>
        </w:rPr>
        <w:t>对蔬菜生产商的管理要求：</w:t>
      </w:r>
    </w:p>
    <w:p w14:paraId="79A404BF">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52" w:firstLineChars="200"/>
        <w:jc w:val="left"/>
        <w:textAlignment w:val="auto"/>
        <w:rPr>
          <w:rFonts w:hint="eastAsia" w:ascii="仿宋" w:hAnsi="仿宋" w:eastAsia="仿宋" w:cs="仿宋"/>
          <w:b w:val="0"/>
          <w:bCs w:val="0"/>
          <w:color w:val="auto"/>
          <w:spacing w:val="-2"/>
          <w:sz w:val="28"/>
          <w:szCs w:val="28"/>
          <w:highlight w:val="none"/>
        </w:rPr>
      </w:pPr>
      <w:r>
        <w:rPr>
          <w:rFonts w:hint="eastAsia" w:ascii="仿宋" w:hAnsi="仿宋" w:eastAsia="仿宋" w:cs="仿宋"/>
          <w:b w:val="0"/>
          <w:bCs w:val="0"/>
          <w:color w:val="auto"/>
          <w:spacing w:val="-2"/>
          <w:sz w:val="28"/>
          <w:szCs w:val="28"/>
          <w:highlight w:val="none"/>
        </w:rPr>
        <w:t>菜地配有专用的农药喷洒用具及其他农用器具；蔬菜采收后需用清洁、无污染的运输工具运抵加工地点。</w:t>
      </w:r>
    </w:p>
    <w:p w14:paraId="6C973F7A">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52" w:firstLineChars="200"/>
        <w:jc w:val="left"/>
        <w:textAlignment w:val="auto"/>
        <w:rPr>
          <w:rFonts w:hint="eastAsia" w:ascii="仿宋" w:hAnsi="仿宋" w:eastAsia="仿宋" w:cs="仿宋"/>
          <w:b w:val="0"/>
          <w:bCs w:val="0"/>
          <w:color w:val="auto"/>
          <w:spacing w:val="-2"/>
          <w:sz w:val="28"/>
          <w:szCs w:val="28"/>
          <w:highlight w:val="none"/>
        </w:rPr>
      </w:pPr>
      <w:r>
        <w:rPr>
          <w:rFonts w:hint="eastAsia" w:ascii="仿宋" w:hAnsi="仿宋" w:eastAsia="仿宋" w:cs="仿宋"/>
          <w:b w:val="0"/>
          <w:bCs w:val="0"/>
          <w:color w:val="auto"/>
          <w:spacing w:val="-2"/>
          <w:sz w:val="28"/>
          <w:szCs w:val="28"/>
          <w:highlight w:val="none"/>
          <w:lang w:val="en-US" w:eastAsia="zh-CN"/>
        </w:rPr>
        <w:t>4）</w:t>
      </w:r>
      <w:r>
        <w:rPr>
          <w:rFonts w:hint="eastAsia" w:ascii="仿宋" w:hAnsi="仿宋" w:eastAsia="仿宋" w:cs="仿宋"/>
          <w:b w:val="0"/>
          <w:bCs w:val="0"/>
          <w:color w:val="auto"/>
          <w:spacing w:val="-2"/>
          <w:sz w:val="28"/>
          <w:szCs w:val="28"/>
          <w:highlight w:val="none"/>
        </w:rPr>
        <w:t>对蔬菜生产商环境要求：</w:t>
      </w:r>
    </w:p>
    <w:p w14:paraId="512C662A">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52" w:firstLineChars="200"/>
        <w:jc w:val="left"/>
        <w:textAlignment w:val="auto"/>
        <w:rPr>
          <w:rFonts w:hint="eastAsia" w:ascii="仿宋" w:hAnsi="仿宋" w:eastAsia="仿宋" w:cs="仿宋"/>
          <w:b w:val="0"/>
          <w:bCs w:val="0"/>
          <w:color w:val="auto"/>
          <w:spacing w:val="-2"/>
          <w:sz w:val="28"/>
          <w:szCs w:val="28"/>
          <w:highlight w:val="none"/>
        </w:rPr>
      </w:pPr>
      <w:r>
        <w:rPr>
          <w:rFonts w:hint="eastAsia" w:ascii="仿宋" w:hAnsi="仿宋" w:eastAsia="仿宋" w:cs="仿宋"/>
          <w:b w:val="0"/>
          <w:bCs w:val="0"/>
          <w:color w:val="auto"/>
          <w:spacing w:val="-2"/>
          <w:sz w:val="28"/>
          <w:szCs w:val="28"/>
          <w:highlight w:val="none"/>
        </w:rPr>
        <w:t>菜地周围需设有隔离网、隔离带或其他有效的隔离措施，确保不受临近农田施肥和用药污染；菜地周围无养殖场、化工厂、垃圾处理场、医院以及污水排放管道等污染源。</w:t>
      </w:r>
    </w:p>
    <w:p w14:paraId="4096B25B">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52" w:firstLineChars="200"/>
        <w:jc w:val="left"/>
        <w:textAlignment w:val="auto"/>
        <w:rPr>
          <w:rFonts w:hint="eastAsia" w:ascii="仿宋" w:hAnsi="仿宋" w:eastAsia="仿宋" w:cs="仿宋"/>
          <w:b w:val="0"/>
          <w:bCs w:val="0"/>
          <w:color w:val="auto"/>
          <w:spacing w:val="-2"/>
          <w:sz w:val="28"/>
          <w:szCs w:val="28"/>
          <w:highlight w:val="none"/>
        </w:rPr>
      </w:pPr>
      <w:r>
        <w:rPr>
          <w:rFonts w:hint="eastAsia" w:ascii="仿宋" w:hAnsi="仿宋" w:eastAsia="仿宋" w:cs="仿宋"/>
          <w:b w:val="0"/>
          <w:bCs w:val="0"/>
          <w:color w:val="auto"/>
          <w:spacing w:val="-2"/>
          <w:sz w:val="28"/>
          <w:szCs w:val="28"/>
          <w:highlight w:val="none"/>
          <w:lang w:val="en-US" w:eastAsia="zh-CN"/>
        </w:rPr>
        <w:t>5）</w:t>
      </w:r>
      <w:r>
        <w:rPr>
          <w:rFonts w:hint="eastAsia" w:ascii="仿宋" w:hAnsi="仿宋" w:eastAsia="仿宋" w:cs="仿宋"/>
          <w:b w:val="0"/>
          <w:bCs w:val="0"/>
          <w:color w:val="auto"/>
          <w:spacing w:val="-2"/>
          <w:sz w:val="28"/>
          <w:szCs w:val="28"/>
          <w:highlight w:val="none"/>
        </w:rPr>
        <w:t>对蔬菜生产商水源要求：</w:t>
      </w:r>
    </w:p>
    <w:p w14:paraId="0DD56D65">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52" w:firstLineChars="200"/>
        <w:jc w:val="left"/>
        <w:textAlignment w:val="auto"/>
        <w:rPr>
          <w:rFonts w:hint="eastAsia" w:ascii="仿宋" w:hAnsi="仿宋" w:eastAsia="仿宋" w:cs="仿宋"/>
          <w:b w:val="0"/>
          <w:bCs w:val="0"/>
          <w:color w:val="auto"/>
          <w:spacing w:val="-2"/>
          <w:sz w:val="28"/>
          <w:szCs w:val="28"/>
          <w:highlight w:val="none"/>
        </w:rPr>
      </w:pPr>
      <w:r>
        <w:rPr>
          <w:rFonts w:hint="eastAsia" w:ascii="仿宋" w:hAnsi="仿宋" w:eastAsia="仿宋" w:cs="仿宋"/>
          <w:b w:val="0"/>
          <w:bCs w:val="0"/>
          <w:color w:val="auto"/>
          <w:spacing w:val="-2"/>
          <w:sz w:val="28"/>
          <w:szCs w:val="28"/>
          <w:highlight w:val="none"/>
        </w:rPr>
        <w:t>菜地应有清洁无污染的灌溉水源；灌溉水井设有防护设施。灌溉水源需经检测验证符合规定要求，并一年内在蔬菜种植过程对水源进行2次监测。</w:t>
      </w:r>
    </w:p>
    <w:p w14:paraId="5C74BED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52" w:firstLineChars="200"/>
        <w:jc w:val="left"/>
        <w:textAlignment w:val="auto"/>
        <w:rPr>
          <w:rFonts w:hint="eastAsia" w:ascii="仿宋" w:hAnsi="仿宋" w:eastAsia="仿宋" w:cs="仿宋"/>
          <w:b w:val="0"/>
          <w:bCs w:val="0"/>
          <w:color w:val="auto"/>
          <w:spacing w:val="-2"/>
          <w:sz w:val="28"/>
          <w:szCs w:val="28"/>
          <w:highlight w:val="none"/>
        </w:rPr>
      </w:pPr>
      <w:r>
        <w:rPr>
          <w:rFonts w:hint="eastAsia" w:ascii="仿宋" w:hAnsi="仿宋" w:eastAsia="仿宋" w:cs="仿宋"/>
          <w:b w:val="0"/>
          <w:bCs w:val="0"/>
          <w:color w:val="auto"/>
          <w:spacing w:val="-2"/>
          <w:sz w:val="28"/>
          <w:szCs w:val="28"/>
          <w:highlight w:val="none"/>
          <w:lang w:val="en-US" w:eastAsia="zh-CN"/>
        </w:rPr>
        <w:t>6）</w:t>
      </w:r>
      <w:r>
        <w:rPr>
          <w:rFonts w:hint="eastAsia" w:ascii="仿宋" w:hAnsi="仿宋" w:eastAsia="仿宋" w:cs="仿宋"/>
          <w:b w:val="0"/>
          <w:bCs w:val="0"/>
          <w:color w:val="auto"/>
          <w:spacing w:val="-2"/>
          <w:sz w:val="28"/>
          <w:szCs w:val="28"/>
          <w:highlight w:val="none"/>
        </w:rPr>
        <w:t>农药要求：</w:t>
      </w:r>
    </w:p>
    <w:p w14:paraId="2DDBF58C">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52" w:firstLineChars="200"/>
        <w:jc w:val="left"/>
        <w:textAlignment w:val="auto"/>
        <w:rPr>
          <w:rFonts w:hint="eastAsia" w:ascii="仿宋" w:hAnsi="仿宋" w:eastAsia="仿宋" w:cs="仿宋"/>
          <w:b w:val="0"/>
          <w:bCs w:val="0"/>
          <w:color w:val="auto"/>
          <w:spacing w:val="-2"/>
          <w:sz w:val="28"/>
          <w:szCs w:val="28"/>
          <w:highlight w:val="none"/>
        </w:rPr>
      </w:pPr>
      <w:r>
        <w:rPr>
          <w:rFonts w:hint="eastAsia" w:ascii="仿宋" w:hAnsi="仿宋" w:eastAsia="仿宋" w:cs="仿宋"/>
          <w:b w:val="0"/>
          <w:bCs w:val="0"/>
          <w:color w:val="auto"/>
          <w:spacing w:val="-2"/>
          <w:sz w:val="28"/>
          <w:szCs w:val="28"/>
          <w:highlight w:val="none"/>
        </w:rPr>
        <w:t>种植使用的农药必须符合食品安全管理部门的规定，严禁使用违禁药物；农药的采购、保管、发放、使用必须建立记录；蔬菜生产使用农药的间隔期必须符合行业规定，并且采收前供应商应从种植地取样检测农残项目，合格后方可供应。</w:t>
      </w:r>
    </w:p>
    <w:p w14:paraId="07C6477E">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52" w:firstLineChars="200"/>
        <w:jc w:val="left"/>
        <w:textAlignment w:val="auto"/>
        <w:rPr>
          <w:rFonts w:hint="eastAsia" w:ascii="仿宋" w:hAnsi="仿宋" w:eastAsia="仿宋" w:cs="仿宋"/>
          <w:b w:val="0"/>
          <w:bCs w:val="0"/>
          <w:color w:val="auto"/>
          <w:spacing w:val="-2"/>
          <w:sz w:val="28"/>
          <w:szCs w:val="28"/>
          <w:highlight w:val="none"/>
        </w:rPr>
      </w:pPr>
      <w:r>
        <w:rPr>
          <w:rFonts w:hint="eastAsia" w:ascii="仿宋" w:hAnsi="仿宋" w:eastAsia="仿宋" w:cs="仿宋"/>
          <w:b w:val="0"/>
          <w:bCs w:val="0"/>
          <w:color w:val="auto"/>
          <w:spacing w:val="-2"/>
          <w:sz w:val="28"/>
          <w:szCs w:val="28"/>
          <w:highlight w:val="none"/>
          <w:lang w:val="en-US" w:eastAsia="zh-CN"/>
        </w:rPr>
        <w:t>7）</w:t>
      </w:r>
      <w:r>
        <w:rPr>
          <w:rFonts w:hint="eastAsia" w:ascii="仿宋" w:hAnsi="仿宋" w:eastAsia="仿宋" w:cs="仿宋"/>
          <w:b w:val="0"/>
          <w:bCs w:val="0"/>
          <w:color w:val="auto"/>
          <w:spacing w:val="-2"/>
          <w:sz w:val="28"/>
          <w:szCs w:val="28"/>
          <w:highlight w:val="none"/>
        </w:rPr>
        <w:t>蔬菜卫生质量要求：</w:t>
      </w:r>
    </w:p>
    <w:p w14:paraId="43AB20A8">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52" w:firstLineChars="200"/>
        <w:jc w:val="left"/>
        <w:textAlignment w:val="auto"/>
        <w:rPr>
          <w:rFonts w:hint="eastAsia" w:ascii="仿宋" w:hAnsi="仿宋" w:eastAsia="仿宋" w:cs="仿宋"/>
          <w:b w:val="0"/>
          <w:bCs w:val="0"/>
          <w:color w:val="auto"/>
          <w:spacing w:val="-2"/>
          <w:sz w:val="28"/>
          <w:szCs w:val="28"/>
          <w:highlight w:val="none"/>
        </w:rPr>
      </w:pPr>
      <w:r>
        <w:rPr>
          <w:rFonts w:hint="eastAsia" w:ascii="仿宋" w:hAnsi="仿宋" w:eastAsia="仿宋" w:cs="仿宋"/>
          <w:b w:val="0"/>
          <w:bCs w:val="0"/>
          <w:color w:val="auto"/>
          <w:spacing w:val="-2"/>
          <w:sz w:val="28"/>
          <w:szCs w:val="28"/>
          <w:highlight w:val="none"/>
        </w:rPr>
        <w:t>卫生质量指标，应符合我国无公害蔬菜上的卫生指标规定。</w:t>
      </w:r>
    </w:p>
    <w:p w14:paraId="71AB8DE3">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52" w:firstLineChars="200"/>
        <w:jc w:val="left"/>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pacing w:val="-2"/>
          <w:sz w:val="28"/>
          <w:szCs w:val="28"/>
          <w:highlight w:val="none"/>
          <w:lang w:val="en-US" w:eastAsia="zh-CN"/>
        </w:rPr>
        <w:t>8）</w:t>
      </w:r>
      <w:r>
        <w:rPr>
          <w:rFonts w:hint="eastAsia" w:ascii="仿宋" w:hAnsi="仿宋" w:eastAsia="仿宋" w:cs="仿宋"/>
          <w:b w:val="0"/>
          <w:bCs w:val="0"/>
          <w:color w:val="auto"/>
          <w:spacing w:val="-2"/>
          <w:sz w:val="28"/>
          <w:szCs w:val="28"/>
          <w:highlight w:val="none"/>
        </w:rPr>
        <w:t>投标人需承诺所供蔬菜符合上述质量要求及农药残留不超过国家限量标准，若不符合，愿意接受退货处理并承担违约责任。</w:t>
      </w:r>
      <w:r>
        <w:rPr>
          <w:rFonts w:hint="eastAsia" w:ascii="仿宋" w:hAnsi="仿宋" w:eastAsia="仿宋" w:cs="仿宋"/>
          <w:b w:val="0"/>
          <w:bCs w:val="0"/>
          <w:color w:val="auto"/>
          <w:spacing w:val="-2"/>
          <w:sz w:val="28"/>
          <w:szCs w:val="28"/>
          <w:highlight w:val="none"/>
          <w:lang w:eastAsia="zh-CN"/>
        </w:rPr>
        <w:t>（</w:t>
      </w:r>
      <w:r>
        <w:rPr>
          <w:rFonts w:hint="eastAsia" w:ascii="仿宋" w:hAnsi="仿宋" w:eastAsia="仿宋" w:cs="仿宋"/>
          <w:b w:val="0"/>
          <w:bCs w:val="0"/>
          <w:color w:val="auto"/>
          <w:spacing w:val="-2"/>
          <w:sz w:val="28"/>
          <w:szCs w:val="28"/>
          <w:highlight w:val="none"/>
          <w:lang w:val="en-US" w:eastAsia="zh-CN"/>
        </w:rPr>
        <w:t>提供承诺函，格式自拟</w:t>
      </w:r>
      <w:r>
        <w:rPr>
          <w:rFonts w:hint="eastAsia" w:ascii="仿宋" w:hAnsi="仿宋" w:eastAsia="仿宋" w:cs="仿宋"/>
          <w:b w:val="0"/>
          <w:bCs w:val="0"/>
          <w:color w:val="auto"/>
          <w:spacing w:val="-2"/>
          <w:sz w:val="28"/>
          <w:szCs w:val="28"/>
          <w:highlight w:val="none"/>
          <w:lang w:eastAsia="zh-CN"/>
        </w:rPr>
        <w:t>）</w:t>
      </w:r>
    </w:p>
    <w:tbl>
      <w:tblPr>
        <w:tblStyle w:val="58"/>
        <w:tblW w:w="89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6"/>
        <w:gridCol w:w="2422"/>
        <w:gridCol w:w="1964"/>
        <w:gridCol w:w="1751"/>
      </w:tblGrid>
      <w:tr w14:paraId="1869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806" w:type="dxa"/>
            <w:noWrap w:val="0"/>
            <w:vAlign w:val="top"/>
          </w:tcPr>
          <w:p w14:paraId="6531999F">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项</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5"/>
                <w:sz w:val="24"/>
                <w:szCs w:val="24"/>
                <w:highlight w:val="none"/>
              </w:rPr>
              <w:t>目</w:t>
            </w:r>
          </w:p>
        </w:tc>
        <w:tc>
          <w:tcPr>
            <w:tcW w:w="2422" w:type="dxa"/>
            <w:noWrap w:val="0"/>
            <w:vAlign w:val="top"/>
          </w:tcPr>
          <w:p w14:paraId="04C0062D">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指标(</w:t>
            </w:r>
            <w:r>
              <w:rPr>
                <w:rFonts w:hint="eastAsia" w:ascii="仿宋" w:hAnsi="仿宋" w:eastAsia="仿宋" w:cs="仿宋"/>
                <w:color w:val="auto"/>
                <w:sz w:val="24"/>
                <w:szCs w:val="24"/>
                <w:highlight w:val="none"/>
              </w:rPr>
              <w:t>mg</w:t>
            </w:r>
            <w:r>
              <w:rPr>
                <w:rFonts w:hint="eastAsia" w:ascii="仿宋" w:hAnsi="仿宋" w:eastAsia="仿宋" w:cs="仿宋"/>
                <w:color w:val="auto"/>
                <w:spacing w:val="7"/>
                <w:sz w:val="24"/>
                <w:szCs w:val="24"/>
                <w:highlight w:val="none"/>
              </w:rPr>
              <w:t>/</w:t>
            </w:r>
            <w:r>
              <w:rPr>
                <w:rFonts w:hint="eastAsia" w:ascii="仿宋" w:hAnsi="仿宋" w:eastAsia="仿宋" w:cs="仿宋"/>
                <w:color w:val="auto"/>
                <w:sz w:val="24"/>
                <w:szCs w:val="24"/>
                <w:highlight w:val="none"/>
              </w:rPr>
              <w:t>kg</w:t>
            </w:r>
            <w:r>
              <w:rPr>
                <w:rFonts w:hint="eastAsia" w:ascii="仿宋" w:hAnsi="仿宋" w:eastAsia="仿宋" w:cs="仿宋"/>
                <w:color w:val="auto"/>
                <w:spacing w:val="7"/>
                <w:sz w:val="24"/>
                <w:szCs w:val="24"/>
                <w:highlight w:val="none"/>
              </w:rPr>
              <w:t>)</w:t>
            </w:r>
          </w:p>
        </w:tc>
        <w:tc>
          <w:tcPr>
            <w:tcW w:w="1964" w:type="dxa"/>
            <w:noWrap w:val="0"/>
            <w:vAlign w:val="top"/>
          </w:tcPr>
          <w:p w14:paraId="59D2DF56">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项</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5"/>
                <w:sz w:val="24"/>
                <w:szCs w:val="24"/>
                <w:highlight w:val="none"/>
              </w:rPr>
              <w:t>目</w:t>
            </w:r>
          </w:p>
        </w:tc>
        <w:tc>
          <w:tcPr>
            <w:tcW w:w="1751" w:type="dxa"/>
            <w:noWrap w:val="0"/>
            <w:vAlign w:val="top"/>
          </w:tcPr>
          <w:p w14:paraId="0EFB8350">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指标(</w:t>
            </w:r>
            <w:r>
              <w:rPr>
                <w:rFonts w:hint="eastAsia" w:ascii="仿宋" w:hAnsi="仿宋" w:eastAsia="仿宋" w:cs="仿宋"/>
                <w:color w:val="auto"/>
                <w:sz w:val="24"/>
                <w:szCs w:val="24"/>
                <w:highlight w:val="none"/>
              </w:rPr>
              <w:t>mg</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kg</w:t>
            </w:r>
            <w:r>
              <w:rPr>
                <w:rFonts w:hint="eastAsia" w:ascii="仿宋" w:hAnsi="仿宋" w:eastAsia="仿宋" w:cs="仿宋"/>
                <w:color w:val="auto"/>
                <w:spacing w:val="5"/>
                <w:sz w:val="24"/>
                <w:szCs w:val="24"/>
                <w:highlight w:val="none"/>
              </w:rPr>
              <w:t>)</w:t>
            </w:r>
          </w:p>
        </w:tc>
      </w:tr>
      <w:tr w14:paraId="0CF45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806" w:type="dxa"/>
            <w:noWrap w:val="0"/>
            <w:vAlign w:val="top"/>
          </w:tcPr>
          <w:p w14:paraId="77C37F07">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甲胺磷</w:t>
            </w:r>
          </w:p>
        </w:tc>
        <w:tc>
          <w:tcPr>
            <w:tcW w:w="2422" w:type="dxa"/>
            <w:noWrap w:val="0"/>
            <w:vAlign w:val="top"/>
          </w:tcPr>
          <w:p w14:paraId="00E48D80">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不得检出</w:t>
            </w:r>
          </w:p>
        </w:tc>
        <w:tc>
          <w:tcPr>
            <w:tcW w:w="1964" w:type="dxa"/>
            <w:noWrap w:val="0"/>
            <w:vAlign w:val="top"/>
          </w:tcPr>
          <w:p w14:paraId="666915CC">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汞(以</w:t>
            </w:r>
            <w:r>
              <w:rPr>
                <w:rFonts w:hint="eastAsia" w:ascii="仿宋" w:hAnsi="仿宋" w:eastAsia="仿宋" w:cs="仿宋"/>
                <w:color w:val="auto"/>
                <w:sz w:val="24"/>
                <w:szCs w:val="24"/>
                <w:highlight w:val="none"/>
              </w:rPr>
              <w:t>Hg</w:t>
            </w:r>
            <w:r>
              <w:rPr>
                <w:rFonts w:hint="eastAsia" w:ascii="仿宋" w:hAnsi="仿宋" w:eastAsia="仿宋" w:cs="仿宋"/>
                <w:color w:val="auto"/>
                <w:spacing w:val="6"/>
                <w:sz w:val="24"/>
                <w:szCs w:val="24"/>
                <w:highlight w:val="none"/>
              </w:rPr>
              <w:t>计)</w:t>
            </w:r>
          </w:p>
        </w:tc>
        <w:tc>
          <w:tcPr>
            <w:tcW w:w="1751" w:type="dxa"/>
            <w:noWrap w:val="0"/>
            <w:vAlign w:val="top"/>
          </w:tcPr>
          <w:p w14:paraId="1EB522B4">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≤0.01</w:t>
            </w:r>
          </w:p>
        </w:tc>
      </w:tr>
      <w:tr w14:paraId="50C47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2806" w:type="dxa"/>
            <w:noWrap w:val="0"/>
            <w:vAlign w:val="top"/>
          </w:tcPr>
          <w:p w14:paraId="717C79B8">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甲拌磷</w:t>
            </w:r>
          </w:p>
        </w:tc>
        <w:tc>
          <w:tcPr>
            <w:tcW w:w="2422" w:type="dxa"/>
            <w:noWrap w:val="0"/>
            <w:vAlign w:val="top"/>
          </w:tcPr>
          <w:p w14:paraId="0EEBAF8E">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不得检出</w:t>
            </w:r>
          </w:p>
        </w:tc>
        <w:tc>
          <w:tcPr>
            <w:tcW w:w="1964" w:type="dxa"/>
            <w:noWrap w:val="0"/>
            <w:vAlign w:val="top"/>
          </w:tcPr>
          <w:p w14:paraId="3CC99C93">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铅(以</w:t>
            </w:r>
            <w:r>
              <w:rPr>
                <w:rFonts w:hint="eastAsia" w:ascii="仿宋" w:hAnsi="仿宋" w:eastAsia="仿宋" w:cs="仿宋"/>
                <w:color w:val="auto"/>
                <w:sz w:val="24"/>
                <w:szCs w:val="24"/>
                <w:highlight w:val="none"/>
              </w:rPr>
              <w:t>Pb</w:t>
            </w:r>
            <w:r>
              <w:rPr>
                <w:rFonts w:hint="eastAsia" w:ascii="仿宋" w:hAnsi="仿宋" w:eastAsia="仿宋" w:cs="仿宋"/>
                <w:color w:val="auto"/>
                <w:spacing w:val="6"/>
                <w:sz w:val="24"/>
                <w:szCs w:val="24"/>
                <w:highlight w:val="none"/>
              </w:rPr>
              <w:t>计)</w:t>
            </w:r>
          </w:p>
        </w:tc>
        <w:tc>
          <w:tcPr>
            <w:tcW w:w="1751" w:type="dxa"/>
            <w:noWrap w:val="0"/>
            <w:vAlign w:val="top"/>
          </w:tcPr>
          <w:p w14:paraId="778EDF54">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≤0.2</w:t>
            </w:r>
          </w:p>
        </w:tc>
      </w:tr>
      <w:tr w14:paraId="6B4A0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2806" w:type="dxa"/>
            <w:noWrap w:val="0"/>
            <w:vAlign w:val="top"/>
          </w:tcPr>
          <w:p w14:paraId="51A8AC4D">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氧化乐果</w:t>
            </w:r>
          </w:p>
        </w:tc>
        <w:tc>
          <w:tcPr>
            <w:tcW w:w="2422" w:type="dxa"/>
            <w:noWrap w:val="0"/>
            <w:vAlign w:val="top"/>
          </w:tcPr>
          <w:p w14:paraId="37AD9C2C">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不得检出</w:t>
            </w:r>
          </w:p>
        </w:tc>
        <w:tc>
          <w:tcPr>
            <w:tcW w:w="1964" w:type="dxa"/>
            <w:noWrap w:val="0"/>
            <w:vAlign w:val="top"/>
          </w:tcPr>
          <w:p w14:paraId="6B158970">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砷(以</w:t>
            </w:r>
            <w:r>
              <w:rPr>
                <w:rFonts w:hint="eastAsia" w:ascii="仿宋" w:hAnsi="仿宋" w:eastAsia="仿宋" w:cs="仿宋"/>
                <w:color w:val="auto"/>
                <w:sz w:val="24"/>
                <w:szCs w:val="24"/>
                <w:highlight w:val="none"/>
              </w:rPr>
              <w:t>As</w:t>
            </w:r>
            <w:r>
              <w:rPr>
                <w:rFonts w:hint="eastAsia" w:ascii="仿宋" w:hAnsi="仿宋" w:eastAsia="仿宋" w:cs="仿宋"/>
                <w:color w:val="auto"/>
                <w:spacing w:val="6"/>
                <w:sz w:val="24"/>
                <w:szCs w:val="24"/>
                <w:highlight w:val="none"/>
              </w:rPr>
              <w:t>计)</w:t>
            </w:r>
          </w:p>
        </w:tc>
        <w:tc>
          <w:tcPr>
            <w:tcW w:w="1751" w:type="dxa"/>
            <w:noWrap w:val="0"/>
            <w:vAlign w:val="top"/>
          </w:tcPr>
          <w:p w14:paraId="6E83A9E6">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≤0.5</w:t>
            </w:r>
          </w:p>
        </w:tc>
      </w:tr>
      <w:tr w14:paraId="202F2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2806" w:type="dxa"/>
            <w:noWrap w:val="0"/>
            <w:vAlign w:val="top"/>
          </w:tcPr>
          <w:p w14:paraId="2C48B674">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甲基对硫磷</w:t>
            </w:r>
          </w:p>
        </w:tc>
        <w:tc>
          <w:tcPr>
            <w:tcW w:w="2422" w:type="dxa"/>
            <w:noWrap w:val="0"/>
            <w:vAlign w:val="top"/>
          </w:tcPr>
          <w:p w14:paraId="686824BE">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不得检出</w:t>
            </w:r>
          </w:p>
        </w:tc>
        <w:tc>
          <w:tcPr>
            <w:tcW w:w="1964" w:type="dxa"/>
            <w:noWrap w:val="0"/>
            <w:vAlign w:val="top"/>
          </w:tcPr>
          <w:p w14:paraId="524C719B">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氟(以F计)</w:t>
            </w:r>
          </w:p>
        </w:tc>
        <w:tc>
          <w:tcPr>
            <w:tcW w:w="1751" w:type="dxa"/>
            <w:noWrap w:val="0"/>
            <w:vAlign w:val="top"/>
          </w:tcPr>
          <w:p w14:paraId="7FD9AA02">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≤0.5</w:t>
            </w:r>
          </w:p>
        </w:tc>
      </w:tr>
      <w:tr w14:paraId="65E59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2806" w:type="dxa"/>
            <w:noWrap w:val="0"/>
            <w:vAlign w:val="top"/>
          </w:tcPr>
          <w:p w14:paraId="4CEC86E7">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呋喃丹</w:t>
            </w:r>
          </w:p>
        </w:tc>
        <w:tc>
          <w:tcPr>
            <w:tcW w:w="2422" w:type="dxa"/>
            <w:noWrap w:val="0"/>
            <w:vAlign w:val="top"/>
          </w:tcPr>
          <w:p w14:paraId="0E0A2BDA">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不得检出</w:t>
            </w:r>
          </w:p>
        </w:tc>
        <w:tc>
          <w:tcPr>
            <w:tcW w:w="1964" w:type="dxa"/>
            <w:noWrap w:val="0"/>
            <w:vAlign w:val="top"/>
          </w:tcPr>
          <w:p w14:paraId="1BC17EEC">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百菌清</w:t>
            </w:r>
          </w:p>
        </w:tc>
        <w:tc>
          <w:tcPr>
            <w:tcW w:w="1751" w:type="dxa"/>
            <w:noWrap w:val="0"/>
            <w:vAlign w:val="top"/>
          </w:tcPr>
          <w:p w14:paraId="1C16EA4B">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≤1.0</w:t>
            </w:r>
          </w:p>
        </w:tc>
      </w:tr>
      <w:tr w14:paraId="3BED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806" w:type="dxa"/>
            <w:noWrap w:val="0"/>
            <w:vAlign w:val="top"/>
          </w:tcPr>
          <w:p w14:paraId="62C90E36">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亚硝酸盐(以</w:t>
            </w:r>
            <w:r>
              <w:rPr>
                <w:rFonts w:hint="eastAsia" w:ascii="仿宋" w:hAnsi="仿宋" w:eastAsia="仿宋" w:cs="仿宋"/>
                <w:color w:val="auto"/>
                <w:sz w:val="24"/>
                <w:szCs w:val="24"/>
                <w:highlight w:val="none"/>
              </w:rPr>
              <w:t>NaNO</w:t>
            </w:r>
            <w:r>
              <w:rPr>
                <w:rFonts w:hint="eastAsia" w:ascii="仿宋" w:hAnsi="仿宋" w:eastAsia="仿宋" w:cs="仿宋"/>
                <w:color w:val="auto"/>
                <w:spacing w:val="3"/>
                <w:sz w:val="24"/>
                <w:szCs w:val="24"/>
                <w:highlight w:val="none"/>
              </w:rPr>
              <w:t>.计)</w:t>
            </w:r>
          </w:p>
        </w:tc>
        <w:tc>
          <w:tcPr>
            <w:tcW w:w="2422" w:type="dxa"/>
            <w:noWrap w:val="0"/>
            <w:vAlign w:val="top"/>
          </w:tcPr>
          <w:p w14:paraId="0FE6DA32">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w:t>
            </w:r>
          </w:p>
        </w:tc>
        <w:tc>
          <w:tcPr>
            <w:tcW w:w="1964" w:type="dxa"/>
            <w:noWrap w:val="0"/>
            <w:vAlign w:val="top"/>
          </w:tcPr>
          <w:p w14:paraId="6388DBE1">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多菌灵</w:t>
            </w:r>
          </w:p>
        </w:tc>
        <w:tc>
          <w:tcPr>
            <w:tcW w:w="1751" w:type="dxa"/>
            <w:noWrap w:val="0"/>
            <w:vAlign w:val="top"/>
          </w:tcPr>
          <w:p w14:paraId="76C1032F">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≤0.5</w:t>
            </w:r>
          </w:p>
        </w:tc>
      </w:tr>
      <w:tr w14:paraId="5D0A6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2806" w:type="dxa"/>
            <w:noWrap w:val="0"/>
            <w:vAlign w:val="top"/>
          </w:tcPr>
          <w:p w14:paraId="4B83B90C">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硝酸盐(以</w:t>
            </w:r>
            <w:r>
              <w:rPr>
                <w:rFonts w:hint="eastAsia" w:ascii="仿宋" w:hAnsi="仿宋" w:eastAsia="仿宋" w:cs="仿宋"/>
                <w:color w:val="auto"/>
                <w:sz w:val="24"/>
                <w:szCs w:val="24"/>
                <w:highlight w:val="none"/>
              </w:rPr>
              <w:t>NaNO</w:t>
            </w:r>
            <w:r>
              <w:rPr>
                <w:rFonts w:hint="eastAsia" w:ascii="仿宋" w:hAnsi="仿宋" w:eastAsia="仿宋" w:cs="仿宋"/>
                <w:color w:val="auto"/>
                <w:spacing w:val="4"/>
                <w:sz w:val="24"/>
                <w:szCs w:val="24"/>
                <w:highlight w:val="none"/>
              </w:rPr>
              <w:t>,计)</w:t>
            </w:r>
          </w:p>
        </w:tc>
        <w:tc>
          <w:tcPr>
            <w:tcW w:w="2422" w:type="dxa"/>
            <w:noWrap w:val="0"/>
            <w:vAlign w:val="top"/>
          </w:tcPr>
          <w:p w14:paraId="0F27CD16">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 xml:space="preserve">瓜果类≤600; </w:t>
            </w:r>
            <w:r>
              <w:rPr>
                <w:rFonts w:hint="eastAsia" w:ascii="仿宋" w:hAnsi="仿宋" w:eastAsia="仿宋" w:cs="仿宋"/>
                <w:color w:val="auto"/>
                <w:sz w:val="24"/>
                <w:szCs w:val="24"/>
                <w:highlight w:val="none"/>
              </w:rPr>
              <w:t>叶菜根茎类≤1200</w:t>
            </w:r>
          </w:p>
        </w:tc>
        <w:tc>
          <w:tcPr>
            <w:tcW w:w="1964" w:type="dxa"/>
            <w:noWrap w:val="0"/>
            <w:vAlign w:val="top"/>
          </w:tcPr>
          <w:p w14:paraId="67A0881C">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color w:val="auto"/>
                <w:sz w:val="24"/>
                <w:szCs w:val="24"/>
                <w:highlight w:val="none"/>
              </w:rPr>
            </w:pPr>
          </w:p>
        </w:tc>
        <w:tc>
          <w:tcPr>
            <w:tcW w:w="1751" w:type="dxa"/>
            <w:noWrap w:val="0"/>
            <w:vAlign w:val="top"/>
          </w:tcPr>
          <w:p w14:paraId="7D993D37">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color w:val="auto"/>
                <w:sz w:val="24"/>
                <w:szCs w:val="24"/>
                <w:highlight w:val="none"/>
              </w:rPr>
            </w:pPr>
          </w:p>
        </w:tc>
      </w:tr>
    </w:tbl>
    <w:p w14:paraId="4E1834CE">
      <w:pPr>
        <w:pStyle w:val="65"/>
        <w:keepNext w:val="0"/>
        <w:keepLines w:val="0"/>
        <w:pageBreakBefore w:val="0"/>
        <w:numPr>
          <w:ilvl w:val="0"/>
          <w:numId w:val="0"/>
        </w:numPr>
        <w:tabs>
          <w:tab w:val="center" w:pos="4201"/>
          <w:tab w:val="right" w:leader="dot" w:pos="9298"/>
        </w:tabs>
        <w:kinsoku/>
        <w:wordWrap/>
        <w:overflowPunct/>
        <w:topLinePunct w:val="0"/>
        <w:bidi w:val="0"/>
        <w:adjustRightInd/>
        <w:spacing w:beforeAutospacing="0" w:afterAutospacing="0" w:line="480" w:lineRule="exact"/>
        <w:ind w:leftChars="0" w:right="0" w:rightChars="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2.2食用菌采购要求：</w:t>
      </w:r>
    </w:p>
    <w:p w14:paraId="11824484">
      <w:pPr>
        <w:keepNext w:val="0"/>
        <w:keepLines w:val="0"/>
        <w:pageBreakBefore w:val="0"/>
        <w:numPr>
          <w:ilvl w:val="0"/>
          <w:numId w:val="0"/>
        </w:numPr>
        <w:kinsoku/>
        <w:wordWrap/>
        <w:overflowPunct/>
        <w:topLinePunct w:val="0"/>
        <w:bidi w:val="0"/>
        <w:adjustRightInd/>
        <w:spacing w:beforeAutospacing="0" w:afterAutospacing="0" w:line="480" w:lineRule="exact"/>
        <w:ind w:right="0" w:rightChars="0" w:firstLine="552" w:firstLineChars="200"/>
        <w:jc w:val="left"/>
        <w:textAlignment w:val="auto"/>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1）形状整齐，颜色正常，质地肥厚，无杂味。</w:t>
      </w:r>
    </w:p>
    <w:p w14:paraId="38DD523B">
      <w:pPr>
        <w:keepNext w:val="0"/>
        <w:keepLines w:val="0"/>
        <w:pageBreakBefore w:val="0"/>
        <w:numPr>
          <w:ilvl w:val="0"/>
          <w:numId w:val="0"/>
        </w:numPr>
        <w:kinsoku/>
        <w:wordWrap/>
        <w:overflowPunct/>
        <w:topLinePunct w:val="0"/>
        <w:bidi w:val="0"/>
        <w:adjustRightInd/>
        <w:spacing w:beforeAutospacing="0" w:afterAutospacing="0" w:line="480" w:lineRule="exact"/>
        <w:ind w:right="0" w:rightChars="0" w:firstLine="552" w:firstLineChars="200"/>
        <w:jc w:val="left"/>
        <w:textAlignment w:val="auto"/>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2）不能形体不完整，无光泽，菌肉无黑斑点，用手捏，发黏，无弹性不可。</w:t>
      </w:r>
    </w:p>
    <w:p w14:paraId="1543E5C5">
      <w:pPr>
        <w:keepNext w:val="0"/>
        <w:keepLines w:val="0"/>
        <w:pageBreakBefore w:val="0"/>
        <w:numPr>
          <w:ilvl w:val="0"/>
          <w:numId w:val="0"/>
        </w:numPr>
        <w:kinsoku/>
        <w:wordWrap/>
        <w:overflowPunct/>
        <w:topLinePunct w:val="0"/>
        <w:bidi w:val="0"/>
        <w:adjustRightInd/>
        <w:spacing w:beforeAutospacing="0" w:afterAutospacing="0" w:line="480" w:lineRule="exact"/>
        <w:ind w:right="0" w:rightChars="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pacing w:val="-2"/>
          <w:sz w:val="28"/>
          <w:szCs w:val="28"/>
          <w:highlight w:val="none"/>
          <w:lang w:val="en-US" w:eastAsia="zh-CN"/>
        </w:rPr>
        <w:t>2.3</w:t>
      </w:r>
      <w:r>
        <w:rPr>
          <w:rFonts w:hint="eastAsia" w:ascii="仿宋" w:hAnsi="仿宋" w:eastAsia="仿宋" w:cs="仿宋"/>
          <w:b/>
          <w:bCs/>
          <w:color w:val="auto"/>
          <w:sz w:val="28"/>
          <w:szCs w:val="28"/>
          <w:highlight w:val="none"/>
          <w:lang w:val="en-US" w:eastAsia="zh-CN"/>
        </w:rPr>
        <w:t>蛋类采购要求：</w:t>
      </w:r>
    </w:p>
    <w:p w14:paraId="69FD58AA">
      <w:pPr>
        <w:keepNext w:val="0"/>
        <w:keepLines w:val="0"/>
        <w:pageBreakBefore w:val="0"/>
        <w:numPr>
          <w:ilvl w:val="0"/>
          <w:numId w:val="0"/>
        </w:numPr>
        <w:kinsoku/>
        <w:wordWrap/>
        <w:overflowPunct/>
        <w:topLinePunct w:val="0"/>
        <w:bidi w:val="0"/>
        <w:adjustRightInd/>
        <w:spacing w:beforeAutospacing="0" w:afterAutospacing="0" w:line="480" w:lineRule="exact"/>
        <w:ind w:right="0" w:rightChars="0" w:firstLine="552" w:firstLineChars="200"/>
        <w:jc w:val="left"/>
        <w:textAlignment w:val="auto"/>
        <w:rPr>
          <w:rFonts w:hint="eastAsia" w:ascii="仿宋" w:hAnsi="仿宋" w:eastAsia="仿宋" w:cs="仿宋"/>
          <w:color w:val="auto"/>
          <w:spacing w:val="-2"/>
          <w:sz w:val="28"/>
          <w:szCs w:val="28"/>
          <w:highlight w:val="none"/>
          <w:lang w:eastAsia="zh-CN"/>
        </w:rPr>
      </w:pPr>
      <w:r>
        <w:rPr>
          <w:rFonts w:hint="eastAsia" w:ascii="仿宋" w:hAnsi="仿宋" w:eastAsia="仿宋" w:cs="仿宋"/>
          <w:color w:val="auto"/>
          <w:spacing w:val="-2"/>
          <w:sz w:val="28"/>
          <w:szCs w:val="28"/>
          <w:highlight w:val="none"/>
          <w:lang w:val="en-US" w:eastAsia="zh-CN"/>
        </w:rPr>
        <w:t>1）</w:t>
      </w:r>
      <w:r>
        <w:rPr>
          <w:rFonts w:hint="eastAsia" w:ascii="仿宋" w:hAnsi="仿宋" w:eastAsia="仿宋" w:cs="仿宋"/>
          <w:color w:val="auto"/>
          <w:spacing w:val="-2"/>
          <w:sz w:val="28"/>
          <w:szCs w:val="28"/>
          <w:highlight w:val="none"/>
        </w:rPr>
        <w:t>色泽</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具有禽蛋固有的色泽</w:t>
      </w:r>
      <w:r>
        <w:rPr>
          <w:rFonts w:hint="eastAsia" w:ascii="仿宋" w:hAnsi="仿宋" w:eastAsia="仿宋" w:cs="仿宋"/>
          <w:color w:val="auto"/>
          <w:spacing w:val="-2"/>
          <w:sz w:val="28"/>
          <w:szCs w:val="28"/>
          <w:highlight w:val="none"/>
          <w:lang w:eastAsia="zh-CN"/>
        </w:rPr>
        <w:t>。</w:t>
      </w:r>
    </w:p>
    <w:p w14:paraId="2652008E">
      <w:pPr>
        <w:keepNext w:val="0"/>
        <w:keepLines w:val="0"/>
        <w:pageBreakBefore w:val="0"/>
        <w:numPr>
          <w:ilvl w:val="0"/>
          <w:numId w:val="0"/>
        </w:numPr>
        <w:kinsoku/>
        <w:wordWrap/>
        <w:overflowPunct/>
        <w:topLinePunct w:val="0"/>
        <w:bidi w:val="0"/>
        <w:adjustRightInd/>
        <w:spacing w:beforeAutospacing="0" w:afterAutospacing="0" w:line="480" w:lineRule="exact"/>
        <w:ind w:right="0" w:rightChars="0" w:firstLine="552" w:firstLineChars="200"/>
        <w:jc w:val="left"/>
        <w:textAlignment w:val="auto"/>
        <w:rPr>
          <w:rFonts w:hint="eastAsia" w:ascii="仿宋" w:hAnsi="仿宋" w:eastAsia="仿宋" w:cs="仿宋"/>
          <w:color w:val="auto"/>
          <w:spacing w:val="-2"/>
          <w:sz w:val="28"/>
          <w:szCs w:val="28"/>
          <w:highlight w:val="none"/>
          <w:lang w:eastAsia="zh-CN"/>
        </w:rPr>
      </w:pPr>
      <w:r>
        <w:rPr>
          <w:rFonts w:hint="eastAsia" w:ascii="仿宋" w:hAnsi="仿宋" w:eastAsia="仿宋" w:cs="仿宋"/>
          <w:color w:val="auto"/>
          <w:spacing w:val="-2"/>
          <w:sz w:val="28"/>
          <w:szCs w:val="28"/>
          <w:highlight w:val="none"/>
          <w:lang w:val="en-US" w:eastAsia="zh-CN"/>
        </w:rPr>
        <w:t>2）</w:t>
      </w:r>
      <w:r>
        <w:rPr>
          <w:rFonts w:hint="eastAsia" w:ascii="仿宋" w:hAnsi="仿宋" w:eastAsia="仿宋" w:cs="仿宋"/>
          <w:color w:val="auto"/>
          <w:spacing w:val="-2"/>
          <w:sz w:val="28"/>
          <w:szCs w:val="28"/>
          <w:highlight w:val="none"/>
        </w:rPr>
        <w:t>气味</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具有产品固有的气味，无异味</w:t>
      </w:r>
      <w:r>
        <w:rPr>
          <w:rFonts w:hint="eastAsia" w:ascii="仿宋" w:hAnsi="仿宋" w:eastAsia="仿宋" w:cs="仿宋"/>
          <w:color w:val="auto"/>
          <w:spacing w:val="-2"/>
          <w:sz w:val="28"/>
          <w:szCs w:val="28"/>
          <w:highlight w:val="none"/>
          <w:lang w:eastAsia="zh-CN"/>
        </w:rPr>
        <w:t>。</w:t>
      </w:r>
    </w:p>
    <w:p w14:paraId="55F68896">
      <w:pPr>
        <w:keepNext w:val="0"/>
        <w:keepLines w:val="0"/>
        <w:pageBreakBefore w:val="0"/>
        <w:numPr>
          <w:ilvl w:val="0"/>
          <w:numId w:val="0"/>
        </w:numPr>
        <w:kinsoku/>
        <w:wordWrap/>
        <w:overflowPunct/>
        <w:topLinePunct w:val="0"/>
        <w:bidi w:val="0"/>
        <w:adjustRightInd/>
        <w:spacing w:beforeAutospacing="0" w:afterAutospacing="0" w:line="480" w:lineRule="exact"/>
        <w:ind w:right="0" w:rightChars="0" w:firstLine="552" w:firstLineChars="200"/>
        <w:jc w:val="left"/>
        <w:textAlignment w:val="auto"/>
        <w:rPr>
          <w:rFonts w:hint="eastAsia" w:ascii="仿宋" w:hAnsi="仿宋" w:eastAsia="仿宋" w:cs="仿宋"/>
          <w:color w:val="auto"/>
          <w:spacing w:val="-2"/>
          <w:sz w:val="28"/>
          <w:szCs w:val="28"/>
          <w:highlight w:val="none"/>
          <w:lang w:eastAsia="zh-CN"/>
        </w:rPr>
      </w:pPr>
      <w:r>
        <w:rPr>
          <w:rFonts w:hint="eastAsia" w:ascii="仿宋" w:hAnsi="仿宋" w:eastAsia="仿宋" w:cs="仿宋"/>
          <w:color w:val="auto"/>
          <w:spacing w:val="-2"/>
          <w:sz w:val="28"/>
          <w:szCs w:val="28"/>
          <w:highlight w:val="none"/>
          <w:lang w:val="en-US" w:eastAsia="zh-CN"/>
        </w:rPr>
        <w:t>3）</w:t>
      </w:r>
      <w:r>
        <w:rPr>
          <w:rFonts w:hint="eastAsia" w:ascii="仿宋" w:hAnsi="仿宋" w:eastAsia="仿宋" w:cs="仿宋"/>
          <w:color w:val="auto"/>
          <w:spacing w:val="-2"/>
          <w:sz w:val="28"/>
          <w:szCs w:val="28"/>
          <w:highlight w:val="none"/>
        </w:rPr>
        <w:t>组织形态</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蛋壳清洁、无破裂、打开后蛋壳凸起、完整、有韧性，蛋白澄清透明，稀稠分明</w:t>
      </w:r>
      <w:r>
        <w:rPr>
          <w:rFonts w:hint="eastAsia" w:ascii="仿宋" w:hAnsi="仿宋" w:eastAsia="仿宋" w:cs="仿宋"/>
          <w:color w:val="auto"/>
          <w:spacing w:val="-2"/>
          <w:sz w:val="28"/>
          <w:szCs w:val="28"/>
          <w:highlight w:val="none"/>
          <w:lang w:eastAsia="zh-CN"/>
        </w:rPr>
        <w:t>。</w:t>
      </w:r>
    </w:p>
    <w:p w14:paraId="456EF99E">
      <w:pPr>
        <w:keepNext w:val="0"/>
        <w:keepLines w:val="0"/>
        <w:pageBreakBefore w:val="0"/>
        <w:numPr>
          <w:ilvl w:val="0"/>
          <w:numId w:val="0"/>
        </w:numPr>
        <w:kinsoku/>
        <w:wordWrap/>
        <w:overflowPunct/>
        <w:topLinePunct w:val="0"/>
        <w:bidi w:val="0"/>
        <w:adjustRightInd/>
        <w:spacing w:beforeAutospacing="0" w:afterAutospacing="0" w:line="480" w:lineRule="exact"/>
        <w:ind w:right="0" w:rightChars="0" w:firstLine="552" w:firstLineChars="200"/>
        <w:jc w:val="left"/>
        <w:textAlignment w:val="auto"/>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4）</w:t>
      </w:r>
      <w:r>
        <w:rPr>
          <w:rFonts w:hint="eastAsia" w:ascii="仿宋" w:hAnsi="仿宋" w:eastAsia="仿宋" w:cs="仿宋"/>
          <w:color w:val="auto"/>
          <w:spacing w:val="-2"/>
          <w:sz w:val="28"/>
          <w:szCs w:val="28"/>
          <w:highlight w:val="none"/>
        </w:rPr>
        <w:t>杂质</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无杂质，内容不得有血块及其他鸡组织异物</w:t>
      </w:r>
      <w:r>
        <w:rPr>
          <w:rFonts w:hint="eastAsia" w:ascii="仿宋" w:hAnsi="仿宋" w:eastAsia="仿宋" w:cs="仿宋"/>
          <w:color w:val="auto"/>
          <w:spacing w:val="-2"/>
          <w:sz w:val="28"/>
          <w:szCs w:val="28"/>
          <w:highlight w:val="none"/>
          <w:lang w:eastAsia="zh-CN"/>
        </w:rPr>
        <w:t>。</w:t>
      </w:r>
    </w:p>
    <w:p w14:paraId="24B2188A">
      <w:pPr>
        <w:keepNext w:val="0"/>
        <w:keepLines w:val="0"/>
        <w:pageBreakBefore w:val="0"/>
        <w:kinsoku/>
        <w:wordWrap/>
        <w:overflowPunct/>
        <w:topLinePunct w:val="0"/>
        <w:bidi w:val="0"/>
        <w:adjustRightInd/>
        <w:spacing w:beforeAutospacing="0" w:afterAutospacing="0" w:line="480" w:lineRule="exact"/>
        <w:ind w:right="0" w:rightChars="0"/>
        <w:jc w:val="left"/>
        <w:textAlignment w:val="auto"/>
        <w:rPr>
          <w:rFonts w:hint="eastAsia" w:ascii="仿宋" w:hAnsi="仿宋" w:eastAsia="仿宋" w:cs="仿宋"/>
          <w:b/>
          <w:bCs/>
          <w:color w:val="auto"/>
          <w:spacing w:val="-2"/>
          <w:sz w:val="28"/>
          <w:szCs w:val="28"/>
          <w:highlight w:val="none"/>
        </w:rPr>
      </w:pPr>
      <w:r>
        <w:rPr>
          <w:rFonts w:hint="eastAsia" w:ascii="仿宋" w:hAnsi="仿宋" w:eastAsia="仿宋" w:cs="仿宋"/>
          <w:b/>
          <w:bCs/>
          <w:color w:val="auto"/>
          <w:spacing w:val="-2"/>
          <w:sz w:val="28"/>
          <w:szCs w:val="28"/>
          <w:highlight w:val="none"/>
          <w:lang w:val="en-US" w:eastAsia="zh-CN"/>
        </w:rPr>
        <w:t>（3）产品</w:t>
      </w:r>
      <w:r>
        <w:rPr>
          <w:rFonts w:hint="eastAsia" w:ascii="仿宋" w:hAnsi="仿宋" w:eastAsia="仿宋" w:cs="仿宋"/>
          <w:b/>
          <w:bCs/>
          <w:color w:val="auto"/>
          <w:spacing w:val="-2"/>
          <w:sz w:val="28"/>
          <w:szCs w:val="28"/>
          <w:highlight w:val="none"/>
        </w:rPr>
        <w:t>包装与标志要求：</w:t>
      </w:r>
    </w:p>
    <w:p w14:paraId="2B5031B7">
      <w:pPr>
        <w:keepNext w:val="0"/>
        <w:keepLines w:val="0"/>
        <w:pageBreakBefore w:val="0"/>
        <w:numPr>
          <w:ilvl w:val="0"/>
          <w:numId w:val="0"/>
        </w:numPr>
        <w:kinsoku/>
        <w:wordWrap/>
        <w:overflowPunct/>
        <w:topLinePunct w:val="0"/>
        <w:bidi w:val="0"/>
        <w:adjustRightInd/>
        <w:spacing w:beforeAutospacing="0" w:afterAutospacing="0" w:line="480" w:lineRule="exact"/>
        <w:ind w:right="0" w:rightChars="0" w:firstLine="552" w:firstLineChars="200"/>
        <w:jc w:val="left"/>
        <w:textAlignment w:val="auto"/>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1）包装：容器(框、箱、袋)要求清洁、干燥、牢固、透气，无污染、无异味、无霉变现象；</w:t>
      </w:r>
    </w:p>
    <w:p w14:paraId="0A30DDFB">
      <w:pPr>
        <w:keepNext w:val="0"/>
        <w:keepLines w:val="0"/>
        <w:pageBreakBefore w:val="0"/>
        <w:numPr>
          <w:ilvl w:val="0"/>
          <w:numId w:val="0"/>
        </w:numPr>
        <w:kinsoku/>
        <w:wordWrap/>
        <w:overflowPunct/>
        <w:topLinePunct w:val="0"/>
        <w:bidi w:val="0"/>
        <w:adjustRightInd/>
        <w:spacing w:beforeAutospacing="0" w:afterAutospacing="0" w:line="480" w:lineRule="exact"/>
        <w:ind w:right="0" w:rightChars="0" w:firstLine="552" w:firstLineChars="200"/>
        <w:jc w:val="left"/>
        <w:textAlignment w:val="auto"/>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2）标志：每件包装必须按《农产品包装和标识管理办法》贴标签，并标明产地、品种、净含量、生产单位及地址和日期。</w:t>
      </w:r>
    </w:p>
    <w:p w14:paraId="3E4CB349">
      <w:pPr>
        <w:keepNext w:val="0"/>
        <w:keepLines w:val="0"/>
        <w:pageBreakBefore w:val="0"/>
        <w:numPr>
          <w:ilvl w:val="0"/>
          <w:numId w:val="0"/>
        </w:numPr>
        <w:kinsoku/>
        <w:wordWrap/>
        <w:overflowPunct/>
        <w:topLinePunct w:val="0"/>
        <w:bidi w:val="0"/>
        <w:adjustRightInd/>
        <w:spacing w:beforeAutospacing="0" w:afterAutospacing="0" w:line="480" w:lineRule="exact"/>
        <w:ind w:right="0" w:rightChars="0"/>
        <w:jc w:val="left"/>
        <w:textAlignment w:val="auto"/>
        <w:rPr>
          <w:rFonts w:hint="eastAsia" w:ascii="仿宋" w:hAnsi="仿宋" w:eastAsia="仿宋" w:cs="仿宋"/>
          <w:b/>
          <w:bCs/>
          <w:color w:val="auto"/>
          <w:spacing w:val="-2"/>
          <w:sz w:val="28"/>
          <w:szCs w:val="28"/>
          <w:highlight w:val="none"/>
        </w:rPr>
      </w:pPr>
      <w:r>
        <w:rPr>
          <w:rFonts w:hint="eastAsia" w:ascii="仿宋" w:hAnsi="仿宋" w:eastAsia="仿宋" w:cs="仿宋"/>
          <w:b/>
          <w:bCs/>
          <w:color w:val="auto"/>
          <w:spacing w:val="-2"/>
          <w:sz w:val="28"/>
          <w:szCs w:val="28"/>
          <w:highlight w:val="none"/>
          <w:lang w:val="en-US" w:eastAsia="zh-CN"/>
        </w:rPr>
        <w:t>（4）</w:t>
      </w:r>
      <w:r>
        <w:rPr>
          <w:rFonts w:hint="eastAsia" w:ascii="仿宋" w:hAnsi="仿宋" w:eastAsia="仿宋" w:cs="仿宋"/>
          <w:b/>
          <w:bCs/>
          <w:color w:val="auto"/>
          <w:spacing w:val="-2"/>
          <w:sz w:val="28"/>
          <w:szCs w:val="28"/>
          <w:highlight w:val="none"/>
        </w:rPr>
        <w:t>食品供应链要求：</w:t>
      </w:r>
    </w:p>
    <w:p w14:paraId="67982973">
      <w:pPr>
        <w:keepNext w:val="0"/>
        <w:keepLines w:val="0"/>
        <w:pageBreakBefore w:val="0"/>
        <w:numPr>
          <w:ilvl w:val="0"/>
          <w:numId w:val="0"/>
        </w:numPr>
        <w:kinsoku/>
        <w:wordWrap/>
        <w:overflowPunct/>
        <w:topLinePunct w:val="0"/>
        <w:bidi w:val="0"/>
        <w:adjustRightInd/>
        <w:spacing w:beforeAutospacing="0" w:afterAutospacing="0" w:line="480" w:lineRule="exact"/>
        <w:ind w:right="0" w:rightChars="0" w:firstLine="552" w:firstLineChars="200"/>
        <w:jc w:val="left"/>
        <w:textAlignment w:val="auto"/>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所有食品的来源必须清晰，食品来源应当受到地方政府部门监管的自有基地、商品菜基地或食品来源专业流通市场，严禁收购散户农民的蔬菜、蛋类供应。</w:t>
      </w:r>
    </w:p>
    <w:p w14:paraId="2DB2CF62">
      <w:pPr>
        <w:keepNext w:val="0"/>
        <w:keepLines w:val="0"/>
        <w:pageBreakBefore w:val="0"/>
        <w:numPr>
          <w:ilvl w:val="0"/>
          <w:numId w:val="0"/>
        </w:numPr>
        <w:kinsoku/>
        <w:wordWrap/>
        <w:overflowPunct/>
        <w:topLinePunct w:val="0"/>
        <w:bidi w:val="0"/>
        <w:adjustRightInd/>
        <w:spacing w:beforeAutospacing="0" w:afterAutospacing="0" w:line="480" w:lineRule="exact"/>
        <w:ind w:leftChars="0" w:right="0" w:rightChars="0"/>
        <w:jc w:val="left"/>
        <w:textAlignment w:val="auto"/>
        <w:rPr>
          <w:rFonts w:hint="eastAsia" w:ascii="仿宋" w:hAnsi="仿宋" w:eastAsia="仿宋" w:cs="仿宋"/>
          <w:b/>
          <w:bCs/>
          <w:color w:val="auto"/>
          <w:spacing w:val="-2"/>
          <w:sz w:val="28"/>
          <w:szCs w:val="28"/>
          <w:highlight w:val="none"/>
          <w:lang w:eastAsia="zh-CN"/>
        </w:rPr>
      </w:pPr>
      <w:r>
        <w:rPr>
          <w:rFonts w:hint="eastAsia" w:ascii="仿宋" w:hAnsi="仿宋" w:eastAsia="仿宋" w:cs="仿宋"/>
          <w:b/>
          <w:bCs/>
          <w:color w:val="auto"/>
          <w:spacing w:val="-2"/>
          <w:sz w:val="28"/>
          <w:szCs w:val="28"/>
          <w:highlight w:val="none"/>
          <w:lang w:val="en-US" w:eastAsia="zh-CN"/>
        </w:rPr>
        <w:t>（5）</w:t>
      </w:r>
      <w:r>
        <w:rPr>
          <w:rFonts w:hint="eastAsia" w:ascii="仿宋" w:hAnsi="仿宋" w:eastAsia="仿宋" w:cs="仿宋"/>
          <w:b/>
          <w:bCs/>
          <w:color w:val="auto"/>
          <w:spacing w:val="-2"/>
          <w:sz w:val="28"/>
          <w:szCs w:val="28"/>
          <w:highlight w:val="none"/>
        </w:rPr>
        <w:t>运输要求</w:t>
      </w:r>
      <w:r>
        <w:rPr>
          <w:rFonts w:hint="eastAsia" w:ascii="仿宋" w:hAnsi="仿宋" w:eastAsia="仿宋" w:cs="仿宋"/>
          <w:b/>
          <w:bCs/>
          <w:color w:val="auto"/>
          <w:spacing w:val="-2"/>
          <w:sz w:val="28"/>
          <w:szCs w:val="28"/>
          <w:highlight w:val="none"/>
          <w:lang w:eastAsia="zh-CN"/>
        </w:rPr>
        <w:t>：</w:t>
      </w:r>
    </w:p>
    <w:p w14:paraId="6772B269">
      <w:pPr>
        <w:keepNext w:val="0"/>
        <w:keepLines w:val="0"/>
        <w:pageBreakBefore w:val="0"/>
        <w:numPr>
          <w:ilvl w:val="0"/>
          <w:numId w:val="0"/>
        </w:numPr>
        <w:kinsoku/>
        <w:wordWrap/>
        <w:overflowPunct/>
        <w:topLinePunct w:val="0"/>
        <w:bidi w:val="0"/>
        <w:adjustRightInd/>
        <w:spacing w:beforeAutospacing="0" w:afterAutospacing="0" w:line="480" w:lineRule="exact"/>
        <w:ind w:leftChars="0" w:right="0" w:rightChars="0" w:firstLine="552" w:firstLineChars="200"/>
        <w:jc w:val="left"/>
        <w:textAlignment w:val="auto"/>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蛋类</w:t>
      </w:r>
      <w:r>
        <w:rPr>
          <w:rFonts w:hint="eastAsia" w:ascii="仿宋" w:hAnsi="仿宋" w:eastAsia="仿宋" w:cs="仿宋"/>
          <w:color w:val="auto"/>
          <w:spacing w:val="-2"/>
          <w:sz w:val="28"/>
          <w:szCs w:val="28"/>
          <w:highlight w:val="none"/>
        </w:rPr>
        <w:t>应小心轻卸，严防机械损伤。食品堆放科学合理，避免造成食品的交叉污染；如对温度有要求的食品应确定食品的温度，记录送货车辆温度，并记录存档。</w:t>
      </w:r>
    </w:p>
    <w:p w14:paraId="1FDB27B3">
      <w:pPr>
        <w:pageBreakBefore w:val="0"/>
        <w:kinsoku/>
        <w:overflowPunct/>
        <w:bidi w:val="0"/>
        <w:spacing w:beforeAutospacing="0" w:afterAutospacing="0" w:line="440" w:lineRule="exact"/>
        <w:ind w:right="0" w:right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2.水果类</w:t>
      </w:r>
    </w:p>
    <w:p w14:paraId="77A77ED5">
      <w:pPr>
        <w:pageBreakBefore w:val="0"/>
        <w:kinsoku/>
        <w:overflowPunct/>
        <w:bidi w:val="0"/>
        <w:spacing w:beforeAutospacing="0" w:afterAutospacing="0" w:line="440" w:lineRule="exact"/>
        <w:ind w:right="0" w:right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（1）水果采购清单（此表仅供参考，包括但不仅限于以下品种，可根据需求增减品种，并非固定类目，以实际发生为准。）</w:t>
      </w:r>
    </w:p>
    <w:tbl>
      <w:tblPr>
        <w:tblStyle w:val="27"/>
        <w:tblW w:w="90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5"/>
        <w:gridCol w:w="3722"/>
        <w:gridCol w:w="1853"/>
        <w:gridCol w:w="1260"/>
        <w:gridCol w:w="1196"/>
      </w:tblGrid>
      <w:tr w14:paraId="2536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28F4B0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bookmarkStart w:id="409" w:name="_Toc12522"/>
            <w:bookmarkStart w:id="410" w:name="_Toc19175"/>
            <w:r>
              <w:rPr>
                <w:rFonts w:hint="eastAsia" w:ascii="仿宋" w:hAnsi="仿宋" w:eastAsia="仿宋" w:cs="仿宋"/>
                <w:b w:val="0"/>
                <w:bCs w:val="0"/>
                <w:i w:val="0"/>
                <w:iCs w:val="0"/>
                <w:color w:val="auto"/>
                <w:kern w:val="0"/>
                <w:sz w:val="24"/>
                <w:szCs w:val="24"/>
                <w:highlight w:val="none"/>
                <w:u w:val="none"/>
                <w:lang w:val="en-US" w:eastAsia="zh-CN" w:bidi="ar"/>
              </w:rPr>
              <w:t>序号</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1A33A7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品名</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54E7E0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单位</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F656E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规格</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1442A5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备注</w:t>
            </w:r>
          </w:p>
        </w:tc>
      </w:tr>
      <w:tr w14:paraId="71B44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33F7F8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7B7EB2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红心火龙果</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387EB9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0524D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24C6D507">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0237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186763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53F8BD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白心火龙果</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33459A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BA725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2A9F298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03E71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03FDC3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3475D7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蜜宝</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424F03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F03B9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036CE25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2105E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77EBCF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6C4950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羊角蜜</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3F748D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70A6F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4490AEEB">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1B77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7AB594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427F4B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甜瓜</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15BEBB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D65A2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2227D876">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355DE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3A7F84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234126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哈密瓜</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25FA24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B1248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3748F9D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61F01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0C71AC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714883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白兰瓜</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55FA23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D690A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5E4BD5CC">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213CD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3EA120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4F71DC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小白瓜</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52894F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E75E3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0C5A0CBD">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51E6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39E771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4BDA70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西瓜</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5E55E8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0D6E8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6E75D199">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28AF6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36775C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10</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5894CC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猕猴桃</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5E9341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8C0C9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4CA1CD07">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50B7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5D7670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11</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3E4CF9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脆枣</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34107D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79C72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4659C06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1255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405AE8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12</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084F63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本地大枣</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4FE876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7B942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35BFF4C9">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24D3D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1C156D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2510C8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牛奶青枣</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125CE3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04C2B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5E361B8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3A72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7C371C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14</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6F90C8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冬枣</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06F0C0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EFA5A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6FB4A21C">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18FA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0CB986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15</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5AD104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沃柑</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5B5293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A3655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590C25F5">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6B4ED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0CEB32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16</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66DCF8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果冻橙</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72D653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7E7DF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5707FC10">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2180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428612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17</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21FC26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砂糖橘</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71129A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0B004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3F46B54C">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411DF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49D1A0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18</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3D59BF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金橘</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36D2EB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9AA75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779DECF1">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02E3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172EC0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19</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7F4256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丑橘</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41F503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4FE21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444012A7">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3964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4874B2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20</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5F333F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阿香橘</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521F72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4D0B8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77400B5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724C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5670F3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21</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14237A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粑粑柑</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6072D4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3DA2B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27500B1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4FE6E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7A0F6C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22</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475855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蜜橘</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75D994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5D724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2588B389">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1531D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6385FB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23</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627CD4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脐橙</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76BB05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BDAC1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2C38B6F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664E5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5D3BD2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24</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227412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血橙</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26F154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4286C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6EE7263C">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0C96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0C0672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25</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5B4BB4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冰糖橙</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213AF5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ECF5D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4A620CB6">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62B1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16C8BA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26</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362ABF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桂圆</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7D653F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A0375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763F668D">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7F321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28D2B8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27</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278508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圣女果</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2E321C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26A1C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4DA8D861">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1BCD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758436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28</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0EFA96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草莓</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4780F3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99620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13A533F5">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51675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2C9DAF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29</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736D38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香梨</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51E60C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66814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2A6EF05C">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19BA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341D6D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30</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4CF9C8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富硒梨</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5484FE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FB7E5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678FE6B1">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24D6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018CD6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31</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44F6C8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雪梨</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48DF5A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EC377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0C9196F5">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3CAB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4779B0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32</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2B3A30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鸭蛋梨</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495731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8681B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4389F818">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37DC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7E9CDA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33</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7D56EE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红富士</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04F2CB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15B0F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6E9DB2AC">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4662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0A6928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34</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54EA3A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冰糖心苹果</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01678B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CEF31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51B66335">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55A9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0492A6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35</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7E646A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黄元帅</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0B5D18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350A3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44EEC94B">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5815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413428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36</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19399E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小海棠果</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7C73EE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04E2E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7080780B">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73D2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0880E8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37</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39C250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香蕉</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66F915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292CA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43F495B1">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19D4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697A881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38</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194D7F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石榴</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2E65A3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213D6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4B65E1E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5148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2364AC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39</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1D5F90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红心柚子</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65B5CE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E6C30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5C8AA78C">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1AD7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4750FD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40</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062C2D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白心柚子</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7F8218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ADA6B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181675AB">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5370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555C8B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41</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56C57A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葡萄</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15A22E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113FD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0BC1F120">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11C1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10210F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42</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719242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霍尔果斯柿</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3B5BFB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084A6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3E5DC72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0982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0A84C4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43</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138DE1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青芒</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270159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67E31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67DBFDE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6C89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3B65F4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44</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740658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芒果</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107E1E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574C2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45B32ECB">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1602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15A955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45</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1BB5E0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人参果</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7F609B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095B4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10A40E38">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0505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5A1EF9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46</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7FC474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蟠桃</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7D1661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38A40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292AB473">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48A5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4EE9BE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47</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1B6B3F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油桃</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279543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D1A58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39F51FDD">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0753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1E43CE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48</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15C584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水蜜桃</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1E3CE3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DAE0F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19BC4B81">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31FD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2DB692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49</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770927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柿子</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5A28B8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991E0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6119046D">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37F85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4154DD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50</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4AA278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脆柿子</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2894C9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FB477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4901F88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6C837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4E2510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51</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2E020B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柿饼</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60FEAD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DA427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79E3BAE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486C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04EBCF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52</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07DC6E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蓝莓</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7C2988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92399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3031623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3F0A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6A6828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53</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7FF652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百香果</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597B8F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BD410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0FA3DCF5">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72EAA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2DB14E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54</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08C5D3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柠檬</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58C313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28FC3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50564221">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14EB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3B77B5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55</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46D2C5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西梅</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0AABB1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E917C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6CC1D24E">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79C5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74C154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56</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2C31FD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桑葚</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01EECD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F1C42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3A7FC669">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11CC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610D9B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57</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5F9B86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菠萝</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6D24A1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50F84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124751D1">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4EC53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3D11F8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58</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0E9715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凤梨</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05E7B4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309E0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34350C1C">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61EE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11AE43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59</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21C23D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李子</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259D93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A5794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7E95AB3E">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56EA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65B076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60</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4EC572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恐龙蛋</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21FDC8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A30A5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09497315">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082B1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18D2E4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61</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5ADA11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吊干杏</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0A0AE6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BB609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4CF081C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6C67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60EA21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62</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74C358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油光杏</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3B753A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C9FF7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24EFC061">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0FAD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17F972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63</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5C5ACA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雪莲果</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6A5C14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3763A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28013127">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0960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2C8186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64</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068BBD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樱桃</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3A35E6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287A7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54EC5108">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7966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1B34B2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65</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2708FD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桂圆</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2DA44D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A9129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7B87A6BB">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r w14:paraId="7326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75" w:type="dxa"/>
            <w:tcBorders>
              <w:top w:val="single" w:color="000000" w:sz="4" w:space="0"/>
              <w:left w:val="single" w:color="000000" w:sz="4" w:space="0"/>
              <w:bottom w:val="single" w:color="000000" w:sz="4" w:space="0"/>
              <w:right w:val="single" w:color="000000" w:sz="4" w:space="0"/>
            </w:tcBorders>
            <w:noWrap/>
            <w:vAlign w:val="center"/>
          </w:tcPr>
          <w:p w14:paraId="1BAF4A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66</w:t>
            </w:r>
          </w:p>
        </w:tc>
        <w:tc>
          <w:tcPr>
            <w:tcW w:w="3722" w:type="dxa"/>
            <w:tcBorders>
              <w:top w:val="single" w:color="000000" w:sz="4" w:space="0"/>
              <w:left w:val="single" w:color="000000" w:sz="4" w:space="0"/>
              <w:bottom w:val="single" w:color="000000" w:sz="4" w:space="0"/>
              <w:right w:val="single" w:color="000000" w:sz="4" w:space="0"/>
            </w:tcBorders>
            <w:noWrap/>
            <w:vAlign w:val="center"/>
          </w:tcPr>
          <w:p w14:paraId="736C0F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其它水果</w:t>
            </w:r>
          </w:p>
        </w:tc>
        <w:tc>
          <w:tcPr>
            <w:tcW w:w="1853" w:type="dxa"/>
            <w:tcBorders>
              <w:top w:val="single" w:color="000000" w:sz="4" w:space="0"/>
              <w:left w:val="single" w:color="000000" w:sz="4" w:space="0"/>
              <w:bottom w:val="single" w:color="000000" w:sz="4" w:space="0"/>
              <w:right w:val="single" w:color="000000" w:sz="4" w:space="0"/>
            </w:tcBorders>
            <w:noWrap/>
            <w:vAlign w:val="center"/>
          </w:tcPr>
          <w:p w14:paraId="6DDD95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379C5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196" w:type="dxa"/>
            <w:tcBorders>
              <w:top w:val="single" w:color="000000" w:sz="4" w:space="0"/>
              <w:left w:val="single" w:color="000000" w:sz="4" w:space="0"/>
              <w:bottom w:val="single" w:color="000000" w:sz="4" w:space="0"/>
              <w:right w:val="single" w:color="000000" w:sz="4" w:space="0"/>
            </w:tcBorders>
            <w:noWrap/>
            <w:vAlign w:val="bottom"/>
          </w:tcPr>
          <w:p w14:paraId="157FA40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b w:val="0"/>
                <w:bCs w:val="0"/>
                <w:i w:val="0"/>
                <w:iCs w:val="0"/>
                <w:color w:val="auto"/>
                <w:sz w:val="24"/>
                <w:szCs w:val="24"/>
                <w:highlight w:val="none"/>
                <w:u w:val="none"/>
              </w:rPr>
            </w:pPr>
          </w:p>
        </w:tc>
      </w:tr>
    </w:tbl>
    <w:p w14:paraId="2621F76F">
      <w:pPr>
        <w:pStyle w:val="46"/>
        <w:pageBreakBefore w:val="0"/>
        <w:kinsoku/>
        <w:overflowPunct/>
        <w:topLinePunct w:val="0"/>
        <w:bidi w:val="0"/>
        <w:spacing w:line="500" w:lineRule="exact"/>
        <w:outlineLvl w:val="0"/>
        <w:rPr>
          <w:rFonts w:hint="eastAsia" w:ascii="仿宋" w:hAnsi="仿宋" w:eastAsia="仿宋" w:cs="仿宋"/>
          <w:color w:val="auto"/>
          <w:spacing w:val="-2"/>
          <w:kern w:val="2"/>
          <w:sz w:val="28"/>
          <w:szCs w:val="28"/>
          <w:highlight w:val="none"/>
          <w:lang w:val="en-US" w:eastAsia="zh-CN" w:bidi="ar-SA"/>
        </w:rPr>
      </w:pPr>
      <w:r>
        <w:rPr>
          <w:rFonts w:hint="eastAsia" w:ascii="仿宋" w:hAnsi="仿宋" w:eastAsia="仿宋" w:cs="仿宋"/>
          <w:b/>
          <w:bCs/>
          <w:color w:val="auto"/>
          <w:spacing w:val="-2"/>
          <w:kern w:val="2"/>
          <w:sz w:val="28"/>
          <w:szCs w:val="28"/>
          <w:highlight w:val="none"/>
          <w:lang w:val="en-US" w:eastAsia="zh-CN" w:bidi="ar-SA"/>
        </w:rPr>
        <w:t>（2）技术规格要求：</w:t>
      </w:r>
      <w:bookmarkEnd w:id="409"/>
      <w:bookmarkEnd w:id="410"/>
      <w:r>
        <w:rPr>
          <w:rFonts w:hint="eastAsia" w:ascii="仿宋" w:hAnsi="仿宋" w:eastAsia="仿宋" w:cs="仿宋"/>
          <w:b/>
          <w:bCs/>
          <w:color w:val="auto"/>
          <w:spacing w:val="-2"/>
          <w:kern w:val="2"/>
          <w:sz w:val="28"/>
          <w:szCs w:val="28"/>
          <w:highlight w:val="none"/>
          <w:lang w:val="en-US" w:eastAsia="zh-CN" w:bidi="ar-SA"/>
        </w:rPr>
        <w:t xml:space="preserve"> </w:t>
      </w:r>
      <w:r>
        <w:rPr>
          <w:rFonts w:hint="eastAsia" w:ascii="仿宋" w:hAnsi="仿宋" w:eastAsia="仿宋" w:cs="仿宋"/>
          <w:color w:val="auto"/>
          <w:spacing w:val="-2"/>
          <w:kern w:val="2"/>
          <w:sz w:val="28"/>
          <w:szCs w:val="28"/>
          <w:highlight w:val="none"/>
          <w:lang w:val="en-US" w:eastAsia="zh-CN" w:bidi="ar-SA"/>
        </w:rPr>
        <w:t xml:space="preserve"> </w:t>
      </w:r>
    </w:p>
    <w:p w14:paraId="382F1399">
      <w:pPr>
        <w:keepNext w:val="0"/>
        <w:keepLines w:val="0"/>
        <w:pageBreakBefore w:val="0"/>
        <w:kinsoku/>
        <w:wordWrap/>
        <w:overflowPunct/>
        <w:topLinePunct w:val="0"/>
        <w:autoSpaceDE w:val="0"/>
        <w:autoSpaceDN w:val="0"/>
        <w:bidi w:val="0"/>
        <w:adjustRightInd w:val="0"/>
        <w:spacing w:after="0" w:line="440" w:lineRule="exact"/>
        <w:ind w:firstLine="552" w:firstLineChars="200"/>
        <w:textAlignment w:val="auto"/>
        <w:rPr>
          <w:rFonts w:hint="eastAsia" w:ascii="仿宋" w:hAnsi="仿宋" w:eastAsia="仿宋" w:cs="仿宋"/>
          <w:color w:val="auto"/>
          <w:spacing w:val="-2"/>
          <w:kern w:val="2"/>
          <w:sz w:val="28"/>
          <w:szCs w:val="28"/>
          <w:highlight w:val="none"/>
          <w:lang w:val="en-US" w:eastAsia="zh-CN" w:bidi="ar-SA"/>
        </w:rPr>
      </w:pPr>
      <w:r>
        <w:rPr>
          <w:rFonts w:hint="eastAsia" w:ascii="仿宋" w:hAnsi="仿宋" w:eastAsia="仿宋" w:cs="仿宋"/>
          <w:color w:val="auto"/>
          <w:spacing w:val="-2"/>
          <w:kern w:val="2"/>
          <w:sz w:val="28"/>
          <w:szCs w:val="28"/>
          <w:highlight w:val="none"/>
          <w:lang w:val="en-US" w:eastAsia="zh-CN" w:bidi="ar-SA"/>
        </w:rPr>
        <w:t xml:space="preserve">2.1果品应符合国家规定的绿色果品要求，应是优质、洁净，而有毒有害物质在安全标准之下的果品，其品质、营养价值和卫生安全指标应严格符合国家的规定及相关食品卫生标准。提供的水果类应保持较好的色泽和新鲜度，符合国家食品卫生标准，水润饱满、无腐烂，果品表面清洁新鲜，个头均匀，无病虫害和机械损伤，带有芳香味等。 </w:t>
      </w:r>
    </w:p>
    <w:p w14:paraId="6618A880">
      <w:pPr>
        <w:keepNext w:val="0"/>
        <w:keepLines w:val="0"/>
        <w:pageBreakBefore w:val="0"/>
        <w:kinsoku/>
        <w:wordWrap/>
        <w:overflowPunct/>
        <w:topLinePunct w:val="0"/>
        <w:autoSpaceDE w:val="0"/>
        <w:autoSpaceDN w:val="0"/>
        <w:bidi w:val="0"/>
        <w:adjustRightInd w:val="0"/>
        <w:spacing w:after="0" w:line="440" w:lineRule="exact"/>
        <w:ind w:firstLine="552" w:firstLineChars="200"/>
        <w:textAlignment w:val="auto"/>
        <w:rPr>
          <w:rFonts w:hint="eastAsia" w:ascii="仿宋" w:hAnsi="仿宋" w:eastAsia="仿宋" w:cs="仿宋"/>
          <w:color w:val="auto"/>
          <w:spacing w:val="-2"/>
          <w:kern w:val="2"/>
          <w:sz w:val="28"/>
          <w:szCs w:val="28"/>
          <w:highlight w:val="none"/>
          <w:lang w:val="en-US" w:eastAsia="zh-CN" w:bidi="ar-SA"/>
        </w:rPr>
      </w:pPr>
      <w:bookmarkStart w:id="411" w:name="_Toc18660"/>
      <w:r>
        <w:rPr>
          <w:rFonts w:hint="eastAsia" w:ascii="仿宋" w:hAnsi="仿宋" w:eastAsia="仿宋" w:cs="仿宋"/>
          <w:color w:val="auto"/>
          <w:spacing w:val="-2"/>
          <w:kern w:val="2"/>
          <w:sz w:val="28"/>
          <w:szCs w:val="28"/>
          <w:highlight w:val="none"/>
          <w:lang w:val="en-US" w:eastAsia="zh-CN" w:bidi="ar-SA"/>
        </w:rPr>
        <w:t>2.2水果类要求</w:t>
      </w:r>
      <w:bookmarkEnd w:id="411"/>
    </w:p>
    <w:p w14:paraId="10D8B299">
      <w:pPr>
        <w:keepNext w:val="0"/>
        <w:keepLines w:val="0"/>
        <w:pageBreakBefore w:val="0"/>
        <w:kinsoku/>
        <w:wordWrap/>
        <w:overflowPunct/>
        <w:topLinePunct w:val="0"/>
        <w:autoSpaceDE w:val="0"/>
        <w:autoSpaceDN w:val="0"/>
        <w:bidi w:val="0"/>
        <w:adjustRightInd w:val="0"/>
        <w:spacing w:after="0" w:line="440" w:lineRule="exact"/>
        <w:ind w:firstLine="552" w:firstLineChars="200"/>
        <w:textAlignment w:val="auto"/>
        <w:rPr>
          <w:rFonts w:hint="eastAsia" w:ascii="仿宋" w:hAnsi="仿宋" w:eastAsia="仿宋" w:cs="仿宋"/>
          <w:color w:val="auto"/>
          <w:spacing w:val="-2"/>
          <w:kern w:val="2"/>
          <w:sz w:val="28"/>
          <w:szCs w:val="28"/>
          <w:highlight w:val="none"/>
          <w:lang w:val="en-US" w:eastAsia="zh-CN" w:bidi="ar-SA"/>
        </w:rPr>
      </w:pPr>
      <w:r>
        <w:rPr>
          <w:rFonts w:hint="eastAsia" w:ascii="仿宋" w:hAnsi="仿宋" w:eastAsia="仿宋" w:cs="仿宋"/>
          <w:color w:val="auto"/>
          <w:spacing w:val="-2"/>
          <w:kern w:val="2"/>
          <w:sz w:val="28"/>
          <w:szCs w:val="28"/>
          <w:highlight w:val="none"/>
          <w:lang w:val="en-US" w:eastAsia="zh-CN" w:bidi="ar-SA"/>
        </w:rPr>
        <w:t>1)属季节问题，若出现品种不能满足采购人需求的情况，可与采购人协商调换相应类别的品种。</w:t>
      </w:r>
    </w:p>
    <w:p w14:paraId="5F2FDA1B">
      <w:pPr>
        <w:keepNext w:val="0"/>
        <w:keepLines w:val="0"/>
        <w:pageBreakBefore w:val="0"/>
        <w:kinsoku/>
        <w:wordWrap/>
        <w:overflowPunct/>
        <w:topLinePunct w:val="0"/>
        <w:autoSpaceDE w:val="0"/>
        <w:autoSpaceDN w:val="0"/>
        <w:bidi w:val="0"/>
        <w:adjustRightInd w:val="0"/>
        <w:spacing w:after="0" w:line="440" w:lineRule="exact"/>
        <w:ind w:firstLine="552" w:firstLineChars="200"/>
        <w:textAlignment w:val="auto"/>
        <w:rPr>
          <w:rFonts w:hint="eastAsia" w:ascii="仿宋" w:hAnsi="仿宋" w:eastAsia="仿宋" w:cs="仿宋"/>
          <w:color w:val="auto"/>
          <w:spacing w:val="-2"/>
          <w:kern w:val="2"/>
          <w:sz w:val="28"/>
          <w:szCs w:val="28"/>
          <w:highlight w:val="none"/>
          <w:lang w:val="en-US" w:eastAsia="zh-CN" w:bidi="ar-SA"/>
        </w:rPr>
      </w:pPr>
      <w:r>
        <w:rPr>
          <w:rFonts w:hint="eastAsia" w:ascii="仿宋" w:hAnsi="仿宋" w:eastAsia="仿宋" w:cs="仿宋"/>
          <w:color w:val="auto"/>
          <w:spacing w:val="-2"/>
          <w:kern w:val="2"/>
          <w:sz w:val="28"/>
          <w:szCs w:val="28"/>
          <w:highlight w:val="none"/>
          <w:lang w:val="en-US" w:eastAsia="zh-CN" w:bidi="ar-SA"/>
        </w:rPr>
        <w:t>2)水果类应保持较好的色泽和新鲜度，利用率达到95%。严禁采购有害、有毒、腐烂变质、酸败、霉变、生虫、污垢不洁、混有异物或其他感官性状异常的食品。水果应无损伤、腐烂现象，无寄生虫或已受虫害现象。禁止采购超过保质期限的食品。</w:t>
      </w:r>
    </w:p>
    <w:p w14:paraId="07C5794B">
      <w:pPr>
        <w:keepNext w:val="0"/>
        <w:keepLines w:val="0"/>
        <w:pageBreakBefore w:val="0"/>
        <w:kinsoku/>
        <w:wordWrap/>
        <w:overflowPunct/>
        <w:topLinePunct w:val="0"/>
        <w:autoSpaceDE w:val="0"/>
        <w:autoSpaceDN w:val="0"/>
        <w:bidi w:val="0"/>
        <w:adjustRightInd w:val="0"/>
        <w:spacing w:after="0" w:line="440" w:lineRule="exact"/>
        <w:ind w:firstLine="552" w:firstLineChars="200"/>
        <w:textAlignment w:val="auto"/>
        <w:rPr>
          <w:rFonts w:hint="eastAsia" w:ascii="仿宋" w:hAnsi="仿宋" w:eastAsia="仿宋" w:cs="仿宋"/>
          <w:color w:val="auto"/>
          <w:spacing w:val="-2"/>
          <w:kern w:val="2"/>
          <w:sz w:val="28"/>
          <w:szCs w:val="28"/>
          <w:highlight w:val="none"/>
          <w:lang w:val="en-US" w:eastAsia="zh-CN" w:bidi="ar-SA"/>
        </w:rPr>
      </w:pPr>
      <w:r>
        <w:rPr>
          <w:rFonts w:hint="eastAsia" w:ascii="仿宋" w:hAnsi="仿宋" w:eastAsia="仿宋" w:cs="仿宋"/>
          <w:color w:val="auto"/>
          <w:spacing w:val="-2"/>
          <w:kern w:val="2"/>
          <w:sz w:val="28"/>
          <w:szCs w:val="28"/>
          <w:highlight w:val="none"/>
          <w:lang w:val="en-US" w:eastAsia="zh-CN" w:bidi="ar-SA"/>
        </w:rPr>
        <w:t>《水果感官质量要求》</w:t>
      </w:r>
    </w:p>
    <w:tbl>
      <w:tblPr>
        <w:tblStyle w:val="58"/>
        <w:tblW w:w="9235" w:type="dxa"/>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2"/>
        <w:gridCol w:w="2282"/>
        <w:gridCol w:w="5811"/>
      </w:tblGrid>
      <w:tr w14:paraId="72973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142" w:type="dxa"/>
            <w:noWrap w:val="0"/>
            <w:vAlign w:val="top"/>
          </w:tcPr>
          <w:p w14:paraId="750467A1">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类别</w:t>
            </w:r>
          </w:p>
        </w:tc>
        <w:tc>
          <w:tcPr>
            <w:tcW w:w="2282" w:type="dxa"/>
            <w:noWrap w:val="0"/>
            <w:vAlign w:val="top"/>
          </w:tcPr>
          <w:p w14:paraId="2F2739CB">
            <w:pPr>
              <w:pageBreakBefore w:val="0"/>
              <w:kinsoku/>
              <w:overflowPunct/>
              <w:bidi w:val="0"/>
              <w:spacing w:beforeAutospacing="0" w:afterAutospacing="0" w:line="440" w:lineRule="exact"/>
              <w:ind w:left="0" w:leftChars="0" w:right="0" w:rightChars="0" w:firstLine="528"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包含品种</w:t>
            </w:r>
          </w:p>
        </w:tc>
        <w:tc>
          <w:tcPr>
            <w:tcW w:w="5811" w:type="dxa"/>
            <w:noWrap w:val="0"/>
            <w:vAlign w:val="top"/>
          </w:tcPr>
          <w:p w14:paraId="18BEEA33">
            <w:pPr>
              <w:pageBreakBefore w:val="0"/>
              <w:kinsoku/>
              <w:overflowPunct/>
              <w:bidi w:val="0"/>
              <w:spacing w:beforeAutospacing="0" w:afterAutospacing="0" w:line="440" w:lineRule="exact"/>
              <w:ind w:left="0" w:leftChars="0" w:right="0" w:rightChars="0" w:firstLine="524"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质量要求</w:t>
            </w:r>
          </w:p>
        </w:tc>
      </w:tr>
      <w:tr w14:paraId="2CAB5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142" w:type="dxa"/>
            <w:noWrap w:val="0"/>
            <w:vAlign w:val="center"/>
          </w:tcPr>
          <w:p w14:paraId="5F68AAFF">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color w:val="auto"/>
                <w:sz w:val="24"/>
                <w:szCs w:val="24"/>
                <w:highlight w:val="none"/>
              </w:rPr>
            </w:pPr>
          </w:p>
          <w:p w14:paraId="589E2096">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瓜类</w:t>
            </w:r>
          </w:p>
        </w:tc>
        <w:tc>
          <w:tcPr>
            <w:tcW w:w="2282" w:type="dxa"/>
            <w:noWrap w:val="0"/>
            <w:vAlign w:val="center"/>
          </w:tcPr>
          <w:p w14:paraId="1A2D3C57">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7"/>
                <w:sz w:val="24"/>
                <w:szCs w:val="24"/>
                <w:highlight w:val="none"/>
              </w:rPr>
              <w:t>香瓜、木瓜、哈密瓜、</w:t>
            </w:r>
            <w:r>
              <w:rPr>
                <w:rFonts w:hint="eastAsia" w:ascii="仿宋" w:hAnsi="仿宋" w:eastAsia="仿宋" w:cs="仿宋"/>
                <w:color w:val="auto"/>
                <w:spacing w:val="3"/>
                <w:sz w:val="24"/>
                <w:szCs w:val="24"/>
                <w:highlight w:val="none"/>
              </w:rPr>
              <w:t>白兰瓜、羊角蜜甜瓜</w:t>
            </w:r>
            <w:r>
              <w:rPr>
                <w:rFonts w:hint="eastAsia" w:ascii="仿宋" w:hAnsi="仿宋" w:eastAsia="仿宋" w:cs="仿宋"/>
                <w:color w:val="auto"/>
                <w:spacing w:val="15"/>
                <w:sz w:val="24"/>
                <w:szCs w:val="24"/>
                <w:highlight w:val="none"/>
              </w:rPr>
              <w:t>西瓜</w:t>
            </w:r>
            <w:r>
              <w:rPr>
                <w:rFonts w:hint="eastAsia" w:ascii="仿宋" w:hAnsi="仿宋" w:eastAsia="仿宋" w:cs="仿宋"/>
                <w:color w:val="auto"/>
                <w:spacing w:val="15"/>
                <w:sz w:val="24"/>
                <w:szCs w:val="24"/>
                <w:highlight w:val="none"/>
                <w:lang w:val="en-US" w:eastAsia="zh-CN"/>
              </w:rPr>
              <w:t>等</w:t>
            </w:r>
          </w:p>
        </w:tc>
        <w:tc>
          <w:tcPr>
            <w:tcW w:w="5811" w:type="dxa"/>
            <w:noWrap w:val="0"/>
            <w:vAlign w:val="center"/>
          </w:tcPr>
          <w:p w14:paraId="65ABBFCA">
            <w:pPr>
              <w:pageBreakBefore w:val="0"/>
              <w:kinsoku/>
              <w:overflowPunct/>
              <w:bidi w:val="0"/>
              <w:spacing w:beforeAutospacing="0" w:afterAutospacing="0" w:line="440" w:lineRule="exact"/>
              <w:ind w:left="0" w:leftChars="0" w:right="0" w:rightChars="0" w:firstLine="512" w:firstLineChars="200"/>
              <w:jc w:val="left"/>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形状、色泽一致，瓜条均匀，无疤点，无断裂，不带泥土，无畸形瓜、病虫害瓜、烂瓜，无明显机械伤。</w:t>
            </w:r>
          </w:p>
        </w:tc>
      </w:tr>
      <w:tr w14:paraId="0F998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1142" w:type="dxa"/>
            <w:noWrap w:val="0"/>
            <w:vAlign w:val="center"/>
          </w:tcPr>
          <w:p w14:paraId="16785337">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梨类</w:t>
            </w:r>
          </w:p>
        </w:tc>
        <w:tc>
          <w:tcPr>
            <w:tcW w:w="2282" w:type="dxa"/>
            <w:noWrap w:val="0"/>
            <w:vAlign w:val="center"/>
          </w:tcPr>
          <w:p w14:paraId="489F0706">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7"/>
                <w:sz w:val="24"/>
                <w:szCs w:val="24"/>
                <w:highlight w:val="none"/>
              </w:rPr>
              <w:t>香梨、黄梨</w:t>
            </w:r>
            <w:r>
              <w:rPr>
                <w:rFonts w:hint="eastAsia" w:ascii="仿宋" w:hAnsi="仿宋" w:eastAsia="仿宋" w:cs="仿宋"/>
                <w:color w:val="auto"/>
                <w:spacing w:val="7"/>
                <w:sz w:val="24"/>
                <w:szCs w:val="24"/>
                <w:highlight w:val="none"/>
                <w:lang w:val="en-US" w:eastAsia="zh-CN"/>
              </w:rPr>
              <w:t>等</w:t>
            </w:r>
          </w:p>
        </w:tc>
        <w:tc>
          <w:tcPr>
            <w:tcW w:w="5811" w:type="dxa"/>
            <w:noWrap w:val="0"/>
            <w:vAlign w:val="center"/>
          </w:tcPr>
          <w:p w14:paraId="6F018B17">
            <w:pPr>
              <w:pageBreakBefore w:val="0"/>
              <w:kinsoku/>
              <w:overflowPunct/>
              <w:bidi w:val="0"/>
              <w:spacing w:beforeAutospacing="0" w:afterAutospacing="0" w:line="440" w:lineRule="exact"/>
              <w:ind w:left="0" w:leftChars="0" w:right="0" w:rightChars="0" w:firstLine="512"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8"/>
                <w:sz w:val="24"/>
                <w:szCs w:val="24"/>
                <w:highlight w:val="none"/>
              </w:rPr>
              <w:t>果形端正，大小均匀，无畸形果，带果柄；果面新鲜洁净，无刺划伤，无压痕，无病虫害；身重结实，味道爽甜</w:t>
            </w:r>
            <w:r>
              <w:rPr>
                <w:rFonts w:hint="eastAsia" w:ascii="仿宋" w:hAnsi="仿宋" w:eastAsia="仿宋" w:cs="仿宋"/>
                <w:color w:val="auto"/>
                <w:spacing w:val="8"/>
                <w:sz w:val="24"/>
                <w:szCs w:val="24"/>
                <w:highlight w:val="none"/>
                <w:lang w:eastAsia="zh-CN"/>
              </w:rPr>
              <w:t>。</w:t>
            </w:r>
          </w:p>
        </w:tc>
      </w:tr>
      <w:tr w14:paraId="21A8C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142" w:type="dxa"/>
            <w:noWrap w:val="0"/>
            <w:vAlign w:val="center"/>
          </w:tcPr>
          <w:p w14:paraId="3405E803">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color w:val="auto"/>
                <w:sz w:val="24"/>
                <w:szCs w:val="24"/>
                <w:highlight w:val="none"/>
              </w:rPr>
            </w:pPr>
          </w:p>
          <w:p w14:paraId="75181C7A">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苹果类</w:t>
            </w:r>
          </w:p>
        </w:tc>
        <w:tc>
          <w:tcPr>
            <w:tcW w:w="2282" w:type="dxa"/>
            <w:noWrap w:val="0"/>
            <w:vAlign w:val="center"/>
          </w:tcPr>
          <w:p w14:paraId="08B88BF0">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2"/>
                <w:sz w:val="24"/>
                <w:szCs w:val="24"/>
                <w:highlight w:val="none"/>
              </w:rPr>
              <w:t>红富士、冰糖心</w:t>
            </w:r>
            <w:r>
              <w:rPr>
                <w:rFonts w:hint="eastAsia" w:ascii="仿宋" w:hAnsi="仿宋" w:eastAsia="仿宋" w:cs="仿宋"/>
                <w:color w:val="auto"/>
                <w:spacing w:val="5"/>
                <w:sz w:val="24"/>
                <w:szCs w:val="24"/>
                <w:highlight w:val="none"/>
                <w:lang w:val="en-US" w:eastAsia="zh-CN"/>
              </w:rPr>
              <w:t>等</w:t>
            </w:r>
          </w:p>
        </w:tc>
        <w:tc>
          <w:tcPr>
            <w:tcW w:w="5811" w:type="dxa"/>
            <w:noWrap w:val="0"/>
            <w:vAlign w:val="center"/>
          </w:tcPr>
          <w:p w14:paraId="61433A5F">
            <w:pPr>
              <w:pageBreakBefore w:val="0"/>
              <w:kinsoku/>
              <w:overflowPunct/>
              <w:bidi w:val="0"/>
              <w:spacing w:beforeAutospacing="0" w:afterAutospacing="0" w:line="440" w:lineRule="exact"/>
              <w:ind w:left="0" w:leftChars="0" w:right="0" w:rightChars="0" w:firstLine="512"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具有本品种特有的外形，大小均匀，果面光滑有光泽，具有</w:t>
            </w:r>
            <w:r>
              <w:rPr>
                <w:rFonts w:hint="eastAsia" w:ascii="仿宋" w:hAnsi="仿宋" w:eastAsia="仿宋" w:cs="仿宋"/>
                <w:color w:val="auto"/>
                <w:spacing w:val="7"/>
                <w:sz w:val="24"/>
                <w:szCs w:val="24"/>
                <w:highlight w:val="none"/>
              </w:rPr>
              <w:t>本</w:t>
            </w:r>
            <w:r>
              <w:rPr>
                <w:rFonts w:hint="eastAsia" w:ascii="仿宋" w:hAnsi="仿宋" w:eastAsia="仿宋" w:cs="仿宋"/>
                <w:color w:val="auto"/>
                <w:spacing w:val="8"/>
                <w:sz w:val="24"/>
                <w:szCs w:val="24"/>
                <w:highlight w:val="none"/>
              </w:rPr>
              <w:t>品种应有的自然色泽；无斑点或极少果锈，不起皱，无裂口，无压痕及其他机械损伤和冻伤黑斑；果身重，硬朗；口感汁液</w:t>
            </w:r>
            <w:r>
              <w:rPr>
                <w:rFonts w:hint="eastAsia" w:ascii="仿宋" w:hAnsi="仿宋" w:eastAsia="仿宋" w:cs="仿宋"/>
                <w:color w:val="auto"/>
                <w:spacing w:val="7"/>
                <w:sz w:val="24"/>
                <w:szCs w:val="24"/>
                <w:highlight w:val="none"/>
              </w:rPr>
              <w:t>饱满，无苦涩味，无木栓化组织。</w:t>
            </w:r>
          </w:p>
        </w:tc>
      </w:tr>
      <w:tr w14:paraId="6092D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142" w:type="dxa"/>
            <w:noWrap w:val="0"/>
            <w:vAlign w:val="center"/>
          </w:tcPr>
          <w:p w14:paraId="6651BC94">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香蕉类</w:t>
            </w:r>
          </w:p>
        </w:tc>
        <w:tc>
          <w:tcPr>
            <w:tcW w:w="2282" w:type="dxa"/>
            <w:noWrap w:val="0"/>
            <w:vAlign w:val="center"/>
          </w:tcPr>
          <w:p w14:paraId="49E3F9CC">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7"/>
                <w:sz w:val="24"/>
                <w:szCs w:val="24"/>
                <w:highlight w:val="none"/>
              </w:rPr>
              <w:t>芝麻蕉、苹果蕉</w:t>
            </w:r>
            <w:r>
              <w:rPr>
                <w:rFonts w:hint="eastAsia" w:ascii="仿宋" w:hAnsi="仿宋" w:eastAsia="仿宋" w:cs="仿宋"/>
                <w:color w:val="auto"/>
                <w:spacing w:val="7"/>
                <w:sz w:val="24"/>
                <w:szCs w:val="24"/>
                <w:highlight w:val="none"/>
                <w:lang w:val="en-US" w:eastAsia="zh-CN"/>
              </w:rPr>
              <w:t>等</w:t>
            </w:r>
          </w:p>
        </w:tc>
        <w:tc>
          <w:tcPr>
            <w:tcW w:w="5811" w:type="dxa"/>
            <w:noWrap w:val="0"/>
            <w:vAlign w:val="center"/>
          </w:tcPr>
          <w:p w14:paraId="6EC4A73D">
            <w:pPr>
              <w:pageBreakBefore w:val="0"/>
              <w:kinsoku/>
              <w:overflowPunct/>
              <w:bidi w:val="0"/>
              <w:spacing w:beforeAutospacing="0" w:afterAutospacing="0" w:line="440" w:lineRule="exact"/>
              <w:ind w:left="0" w:leftChars="0" w:right="0" w:rightChars="0" w:firstLine="516"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rPr>
              <w:t>果实丰满，果形端正，梳柄完整，不缺只口，</w:t>
            </w:r>
            <w:r>
              <w:rPr>
                <w:rFonts w:hint="eastAsia" w:ascii="仿宋" w:hAnsi="仿宋" w:eastAsia="仿宋" w:cs="仿宋"/>
                <w:color w:val="auto"/>
                <w:spacing w:val="8"/>
                <w:sz w:val="24"/>
                <w:szCs w:val="24"/>
                <w:highlight w:val="none"/>
              </w:rPr>
              <w:t>单果均匀；色泽自然、光亮</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皮色青黄，果面光滑，无病黑斑，无虫疤，无</w:t>
            </w:r>
            <w:r>
              <w:rPr>
                <w:rFonts w:hint="eastAsia" w:ascii="仿宋" w:hAnsi="仿宋" w:eastAsia="仿宋" w:cs="仿宋"/>
                <w:color w:val="auto"/>
                <w:spacing w:val="7"/>
                <w:sz w:val="24"/>
                <w:szCs w:val="24"/>
                <w:highlight w:val="none"/>
              </w:rPr>
              <w:t>霉</w:t>
            </w:r>
            <w:r>
              <w:rPr>
                <w:rFonts w:hint="eastAsia" w:ascii="仿宋" w:hAnsi="仿宋" w:eastAsia="仿宋" w:cs="仿宋"/>
                <w:color w:val="auto"/>
                <w:spacing w:val="8"/>
                <w:sz w:val="24"/>
                <w:szCs w:val="24"/>
                <w:highlight w:val="none"/>
              </w:rPr>
              <w:t>菌，无创伤；果肉稍硬；果皮可剥或易剥</w:t>
            </w:r>
            <w:r>
              <w:rPr>
                <w:rFonts w:hint="eastAsia" w:ascii="仿宋" w:hAnsi="仿宋" w:eastAsia="仿宋" w:cs="仿宋"/>
                <w:color w:val="auto"/>
                <w:spacing w:val="8"/>
                <w:sz w:val="24"/>
                <w:szCs w:val="24"/>
                <w:highlight w:val="none"/>
                <w:lang w:eastAsia="zh-CN"/>
              </w:rPr>
              <w:t>。</w:t>
            </w:r>
          </w:p>
        </w:tc>
      </w:tr>
      <w:tr w14:paraId="7CF18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1142" w:type="dxa"/>
            <w:noWrap w:val="0"/>
            <w:vAlign w:val="center"/>
          </w:tcPr>
          <w:p w14:paraId="2C39D67D">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color w:val="auto"/>
                <w:sz w:val="24"/>
                <w:szCs w:val="24"/>
                <w:highlight w:val="none"/>
              </w:rPr>
            </w:pPr>
          </w:p>
          <w:p w14:paraId="64416E44">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葡萄类</w:t>
            </w:r>
          </w:p>
        </w:tc>
        <w:tc>
          <w:tcPr>
            <w:tcW w:w="2282" w:type="dxa"/>
            <w:noWrap w:val="0"/>
            <w:vAlign w:val="center"/>
          </w:tcPr>
          <w:p w14:paraId="2C882DD6">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7"/>
                <w:sz w:val="24"/>
                <w:szCs w:val="24"/>
                <w:highlight w:val="none"/>
              </w:rPr>
              <w:t>巨峰、夏黑、玫</w:t>
            </w:r>
            <w:r>
              <w:rPr>
                <w:rFonts w:hint="eastAsia" w:ascii="仿宋" w:hAnsi="仿宋" w:eastAsia="仿宋" w:cs="仿宋"/>
                <w:color w:val="auto"/>
                <w:spacing w:val="19"/>
                <w:sz w:val="24"/>
                <w:szCs w:val="24"/>
                <w:highlight w:val="none"/>
              </w:rPr>
              <w:t>瑰、红提、无</w:t>
            </w:r>
            <w:r>
              <w:rPr>
                <w:rFonts w:hint="eastAsia" w:ascii="仿宋" w:hAnsi="仿宋" w:eastAsia="仿宋" w:cs="仿宋"/>
                <w:color w:val="auto"/>
                <w:spacing w:val="18"/>
                <w:sz w:val="24"/>
                <w:szCs w:val="24"/>
                <w:highlight w:val="none"/>
              </w:rPr>
              <w:t>核葡萄、美人</w:t>
            </w:r>
            <w:r>
              <w:rPr>
                <w:rFonts w:hint="eastAsia" w:ascii="仿宋" w:hAnsi="仿宋" w:eastAsia="仿宋" w:cs="仿宋"/>
                <w:color w:val="auto"/>
                <w:spacing w:val="15"/>
                <w:sz w:val="24"/>
                <w:szCs w:val="24"/>
                <w:highlight w:val="none"/>
              </w:rPr>
              <w:t>指以及红宝石葡萄</w:t>
            </w:r>
            <w:r>
              <w:rPr>
                <w:rFonts w:hint="eastAsia" w:ascii="仿宋" w:hAnsi="仿宋" w:eastAsia="仿宋" w:cs="仿宋"/>
                <w:color w:val="auto"/>
                <w:spacing w:val="15"/>
                <w:sz w:val="24"/>
                <w:szCs w:val="24"/>
                <w:highlight w:val="none"/>
                <w:lang w:eastAsia="zh-CN"/>
              </w:rPr>
              <w:t>等</w:t>
            </w:r>
          </w:p>
        </w:tc>
        <w:tc>
          <w:tcPr>
            <w:tcW w:w="5811" w:type="dxa"/>
            <w:noWrap w:val="0"/>
            <w:vAlign w:val="center"/>
          </w:tcPr>
          <w:p w14:paraId="0E171EA6">
            <w:pPr>
              <w:pageBreakBefore w:val="0"/>
              <w:kinsoku/>
              <w:overflowPunct/>
              <w:bidi w:val="0"/>
              <w:spacing w:beforeAutospacing="0" w:afterAutospacing="0" w:line="440" w:lineRule="exact"/>
              <w:ind w:left="0" w:leftChars="0" w:right="0" w:rightChars="0" w:firstLine="516"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rPr>
              <w:t>具有本品种应具有的外形、色泽；果粒面完好，皮上无斑痕</w:t>
            </w:r>
            <w:r>
              <w:rPr>
                <w:rFonts w:hint="eastAsia" w:ascii="仿宋" w:hAnsi="仿宋" w:eastAsia="仿宋" w:cs="仿宋"/>
                <w:color w:val="auto"/>
                <w:spacing w:val="8"/>
                <w:sz w:val="24"/>
                <w:szCs w:val="24"/>
                <w:highlight w:val="none"/>
              </w:rPr>
              <w:t>果珠饱满，大小均匀；轻提果穗枝梗，微微抖动，果实不抖</w:t>
            </w:r>
            <w:r>
              <w:rPr>
                <w:rFonts w:hint="eastAsia" w:ascii="仿宋" w:hAnsi="仿宋" w:eastAsia="仿宋" w:cs="仿宋"/>
                <w:color w:val="auto"/>
                <w:spacing w:val="7"/>
                <w:sz w:val="24"/>
                <w:szCs w:val="24"/>
                <w:highlight w:val="none"/>
              </w:rPr>
              <w:t>落</w:t>
            </w:r>
            <w:r>
              <w:rPr>
                <w:rFonts w:hint="eastAsia" w:ascii="仿宋" w:hAnsi="仿宋" w:eastAsia="仿宋" w:cs="仿宋"/>
                <w:color w:val="auto"/>
                <w:spacing w:val="16"/>
                <w:sz w:val="24"/>
                <w:szCs w:val="24"/>
                <w:highlight w:val="none"/>
              </w:rPr>
              <w:t>或抖落极少</w:t>
            </w:r>
            <w:r>
              <w:rPr>
                <w:rFonts w:hint="eastAsia" w:ascii="仿宋" w:hAnsi="仿宋" w:eastAsia="仿宋" w:cs="仿宋"/>
                <w:color w:val="auto"/>
                <w:spacing w:val="16"/>
                <w:sz w:val="24"/>
                <w:szCs w:val="24"/>
                <w:highlight w:val="none"/>
                <w:lang w:eastAsia="zh-CN"/>
              </w:rPr>
              <w:t>。</w:t>
            </w:r>
          </w:p>
        </w:tc>
      </w:tr>
    </w:tbl>
    <w:p w14:paraId="614203EB">
      <w:pPr>
        <w:pStyle w:val="65"/>
        <w:pageBreakBefore w:val="0"/>
        <w:tabs>
          <w:tab w:val="center" w:pos="4201"/>
          <w:tab w:val="right" w:leader="dot" w:pos="9298"/>
        </w:tabs>
        <w:kinsoku/>
        <w:overflowPunct/>
        <w:bidi w:val="0"/>
        <w:spacing w:beforeAutospacing="0" w:afterAutospacing="0" w:line="440" w:lineRule="exact"/>
        <w:ind w:left="0" w:leftChars="0" w:right="0" w:rightChars="0" w:firstLine="0" w:firstLineChars="0"/>
        <w:jc w:val="left"/>
        <w:rPr>
          <w:rFonts w:hint="eastAsia" w:ascii="仿宋" w:hAnsi="仿宋" w:eastAsia="仿宋" w:cs="仿宋"/>
          <w:b/>
          <w:bCs/>
          <w:color w:val="auto"/>
          <w:spacing w:val="-2"/>
          <w:kern w:val="2"/>
          <w:sz w:val="28"/>
          <w:szCs w:val="28"/>
          <w:highlight w:val="none"/>
          <w:lang w:val="en-US" w:eastAsia="zh-CN" w:bidi="ar-SA"/>
        </w:rPr>
      </w:pPr>
      <w:r>
        <w:rPr>
          <w:rFonts w:hint="eastAsia" w:ascii="仿宋" w:hAnsi="仿宋" w:eastAsia="仿宋" w:cs="仿宋"/>
          <w:b/>
          <w:bCs/>
          <w:color w:val="auto"/>
          <w:spacing w:val="-2"/>
          <w:kern w:val="2"/>
          <w:sz w:val="28"/>
          <w:szCs w:val="28"/>
          <w:highlight w:val="none"/>
          <w:lang w:val="en-US" w:eastAsia="zh-CN" w:bidi="ar-SA"/>
        </w:rPr>
        <w:t>（3）水果包装与标志要求：</w:t>
      </w:r>
    </w:p>
    <w:p w14:paraId="06F6571B">
      <w:pPr>
        <w:pStyle w:val="65"/>
        <w:pageBreakBefore w:val="0"/>
        <w:tabs>
          <w:tab w:val="center" w:pos="4201"/>
          <w:tab w:val="right" w:leader="dot" w:pos="9298"/>
        </w:tabs>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1)包装：容器(框、箱、袋)要求清洁、干燥、牢固、透气，无污染、无异味、无霉变现象。</w:t>
      </w:r>
    </w:p>
    <w:p w14:paraId="44EB6829">
      <w:pPr>
        <w:pStyle w:val="65"/>
        <w:pageBreakBefore w:val="0"/>
        <w:tabs>
          <w:tab w:val="center" w:pos="4201"/>
          <w:tab w:val="right" w:leader="dot" w:pos="9298"/>
        </w:tabs>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2)标志：每件包装必须按《农产品包装和标识管理办法》贴标签，并标明产地、品种、 净含量、生产单位及地址和采收日期。</w:t>
      </w:r>
    </w:p>
    <w:p w14:paraId="170EDA79">
      <w:pPr>
        <w:pStyle w:val="65"/>
        <w:pageBreakBefore w:val="0"/>
        <w:tabs>
          <w:tab w:val="center" w:pos="4201"/>
          <w:tab w:val="right" w:leader="dot" w:pos="9298"/>
        </w:tabs>
        <w:kinsoku/>
        <w:overflowPunct/>
        <w:bidi w:val="0"/>
        <w:spacing w:beforeAutospacing="0" w:afterAutospacing="0" w:line="440" w:lineRule="exact"/>
        <w:ind w:left="0" w:leftChars="0" w:right="0" w:rightChars="0" w:firstLine="0" w:firstLine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（4）食品供应链要求：</w:t>
      </w:r>
    </w:p>
    <w:p w14:paraId="48ADEEEF">
      <w:pPr>
        <w:pStyle w:val="65"/>
        <w:pageBreakBefore w:val="0"/>
        <w:tabs>
          <w:tab w:val="center" w:pos="4201"/>
          <w:tab w:val="right" w:leader="dot" w:pos="9298"/>
        </w:tabs>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所有食品的来源必须清晰。水果来源应当于受到地方政府部门监管的自有基地、商品水果基地或水果专业流通市场，严禁收购散户农民的水果供应。</w:t>
      </w:r>
    </w:p>
    <w:p w14:paraId="27041205">
      <w:pPr>
        <w:pStyle w:val="65"/>
        <w:pageBreakBefore w:val="0"/>
        <w:tabs>
          <w:tab w:val="center" w:pos="4201"/>
          <w:tab w:val="right" w:leader="dot" w:pos="9298"/>
        </w:tabs>
        <w:kinsoku/>
        <w:overflowPunct/>
        <w:bidi w:val="0"/>
        <w:spacing w:beforeAutospacing="0" w:afterAutospacing="0" w:line="440" w:lineRule="exact"/>
        <w:ind w:left="0" w:leftChars="0" w:right="0" w:rightChars="0" w:firstLine="0" w:firstLine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（5）运输要求：</w:t>
      </w:r>
    </w:p>
    <w:p w14:paraId="2A28D930">
      <w:pPr>
        <w:pStyle w:val="65"/>
        <w:pageBreakBefore w:val="0"/>
        <w:tabs>
          <w:tab w:val="center" w:pos="4201"/>
          <w:tab w:val="right" w:leader="dot" w:pos="9298"/>
        </w:tabs>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水果应小心轻卸，严防机械损伤。食品堆放科学合理，避免造成食品的交叉污染；如对温度有要求的食品应确定食品的温度，记录送货车辆温度，并记录存档。</w:t>
      </w:r>
    </w:p>
    <w:p w14:paraId="7B5A6B6B">
      <w:pPr>
        <w:pStyle w:val="65"/>
        <w:pageBreakBefore w:val="0"/>
        <w:numPr>
          <w:ilvl w:val="0"/>
          <w:numId w:val="4"/>
        </w:numPr>
        <w:tabs>
          <w:tab w:val="center" w:pos="4201"/>
          <w:tab w:val="right" w:leader="dot" w:pos="9298"/>
        </w:tabs>
        <w:kinsoku/>
        <w:overflowPunct/>
        <w:bidi w:val="0"/>
        <w:spacing w:beforeAutospacing="0" w:afterAutospacing="0" w:line="440" w:lineRule="exact"/>
        <w:ind w:left="0" w:leftChars="0" w:right="0" w:rightChars="0" w:firstLine="0" w:firstLine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对水果生产商的管理要求：</w:t>
      </w:r>
    </w:p>
    <w:p w14:paraId="31594E28">
      <w:pPr>
        <w:pStyle w:val="65"/>
        <w:pageBreakBefore w:val="0"/>
        <w:numPr>
          <w:ilvl w:val="0"/>
          <w:numId w:val="0"/>
        </w:numPr>
        <w:tabs>
          <w:tab w:val="center" w:pos="4201"/>
          <w:tab w:val="right" w:leader="dot" w:pos="9298"/>
        </w:tabs>
        <w:kinsoku/>
        <w:overflowPunct/>
        <w:bidi w:val="0"/>
        <w:spacing w:beforeAutospacing="0" w:afterAutospacing="0" w:line="440" w:lineRule="exact"/>
        <w:ind w:leftChars="0" w:right="0" w:rightChars="0"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水果园配有专用的农药喷洒用具及其他农用器具；水果采收后需用清洁、无污染的运输工具运抵加工地点。</w:t>
      </w:r>
    </w:p>
    <w:p w14:paraId="65ABE4E6">
      <w:pPr>
        <w:pStyle w:val="65"/>
        <w:pageBreakBefore w:val="0"/>
        <w:numPr>
          <w:ilvl w:val="0"/>
          <w:numId w:val="4"/>
        </w:numPr>
        <w:tabs>
          <w:tab w:val="center" w:pos="4201"/>
          <w:tab w:val="right" w:leader="dot" w:pos="9298"/>
        </w:tabs>
        <w:kinsoku/>
        <w:overflowPunct/>
        <w:bidi w:val="0"/>
        <w:spacing w:beforeAutospacing="0" w:afterAutospacing="0" w:line="440" w:lineRule="exact"/>
        <w:ind w:left="0" w:leftChars="0" w:right="0" w:rightChars="0" w:firstLine="0" w:firstLine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对水果生产商环境要求：</w:t>
      </w:r>
    </w:p>
    <w:p w14:paraId="43EC9D68">
      <w:pPr>
        <w:pStyle w:val="65"/>
        <w:pageBreakBefore w:val="0"/>
        <w:numPr>
          <w:ilvl w:val="0"/>
          <w:numId w:val="0"/>
        </w:numPr>
        <w:tabs>
          <w:tab w:val="center" w:pos="4201"/>
          <w:tab w:val="right" w:leader="dot" w:pos="9298"/>
        </w:tabs>
        <w:kinsoku/>
        <w:overflowPunct/>
        <w:bidi w:val="0"/>
        <w:spacing w:beforeAutospacing="0" w:afterAutospacing="0" w:line="440" w:lineRule="exact"/>
        <w:ind w:leftChars="0" w:right="0" w:rightChars="0"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水果园周围需设有隔离网、隔离带或其他有效的隔离措施，确保不受临近农田施肥和用药污染；水果园周围无养殖场、化工厂、垃圾处理场、医院以及污水排放管道等污染源。</w:t>
      </w:r>
    </w:p>
    <w:p w14:paraId="3AFBC33E">
      <w:pPr>
        <w:pStyle w:val="65"/>
        <w:pageBreakBefore w:val="0"/>
        <w:numPr>
          <w:ilvl w:val="0"/>
          <w:numId w:val="4"/>
        </w:numPr>
        <w:tabs>
          <w:tab w:val="center" w:pos="4201"/>
          <w:tab w:val="right" w:leader="dot" w:pos="9298"/>
        </w:tabs>
        <w:kinsoku/>
        <w:overflowPunct/>
        <w:bidi w:val="0"/>
        <w:spacing w:beforeAutospacing="0" w:afterAutospacing="0" w:line="440" w:lineRule="exact"/>
        <w:ind w:left="0" w:leftChars="0" w:right="0" w:rightChars="0" w:firstLine="0" w:firstLine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对水果生产商水源要求：</w:t>
      </w:r>
    </w:p>
    <w:p w14:paraId="5CC4D190">
      <w:pPr>
        <w:pStyle w:val="65"/>
        <w:pageBreakBefore w:val="0"/>
        <w:numPr>
          <w:ilvl w:val="0"/>
          <w:numId w:val="0"/>
        </w:numPr>
        <w:tabs>
          <w:tab w:val="center" w:pos="4201"/>
          <w:tab w:val="right" w:leader="dot" w:pos="9298"/>
        </w:tabs>
        <w:kinsoku/>
        <w:overflowPunct/>
        <w:bidi w:val="0"/>
        <w:spacing w:beforeAutospacing="0" w:afterAutospacing="0" w:line="440" w:lineRule="exact"/>
        <w:ind w:leftChars="0" w:right="0" w:rightChars="0"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水果园应有清洁无污染的灌溉水源；灌溉水井设有防护设施。灌溉水源需经检测验证符合规定要求，并一年内在水果种植过程对水源进行2次监测。</w:t>
      </w:r>
    </w:p>
    <w:p w14:paraId="1B5C3901">
      <w:pPr>
        <w:pStyle w:val="65"/>
        <w:pageBreakBefore w:val="0"/>
        <w:numPr>
          <w:ilvl w:val="0"/>
          <w:numId w:val="4"/>
        </w:numPr>
        <w:tabs>
          <w:tab w:val="center" w:pos="4201"/>
          <w:tab w:val="right" w:leader="dot" w:pos="9298"/>
        </w:tabs>
        <w:kinsoku/>
        <w:overflowPunct/>
        <w:bidi w:val="0"/>
        <w:spacing w:beforeAutospacing="0" w:afterAutospacing="0" w:line="440" w:lineRule="exact"/>
        <w:ind w:left="0" w:leftChars="0" w:right="0" w:rightChars="0" w:firstLine="0" w:firstLine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农药要求：</w:t>
      </w:r>
    </w:p>
    <w:p w14:paraId="58C56C20">
      <w:pPr>
        <w:pStyle w:val="65"/>
        <w:pageBreakBefore w:val="0"/>
        <w:numPr>
          <w:ilvl w:val="0"/>
          <w:numId w:val="0"/>
        </w:numPr>
        <w:tabs>
          <w:tab w:val="center" w:pos="4201"/>
          <w:tab w:val="right" w:leader="dot" w:pos="9298"/>
        </w:tabs>
        <w:kinsoku/>
        <w:overflowPunct/>
        <w:bidi w:val="0"/>
        <w:spacing w:beforeAutospacing="0" w:afterAutospacing="0" w:line="440" w:lineRule="exact"/>
        <w:ind w:leftChars="0" w:right="0" w:rightChars="0"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种植使用的农药必须符合食品安全管理部门的规定，严禁使用违禁药物；农药的采购、保管、发放、使用必须建立记录；水果生产使用农药的间隔期必须符合行业规定，并且采收前供应商应从种植地取样检测农残项目，合格后方可供应。</w:t>
      </w:r>
    </w:p>
    <w:tbl>
      <w:tblPr>
        <w:tblStyle w:val="5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8"/>
        <w:gridCol w:w="2079"/>
        <w:gridCol w:w="1721"/>
        <w:gridCol w:w="1715"/>
      </w:tblGrid>
      <w:tr w14:paraId="7CBCB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2798" w:type="dxa"/>
            <w:noWrap w:val="0"/>
            <w:vAlign w:val="top"/>
          </w:tcPr>
          <w:p w14:paraId="6480D10F">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 目</w:t>
            </w:r>
          </w:p>
        </w:tc>
        <w:tc>
          <w:tcPr>
            <w:tcW w:w="2079" w:type="dxa"/>
            <w:noWrap w:val="0"/>
            <w:vAlign w:val="top"/>
          </w:tcPr>
          <w:p w14:paraId="46A5BC87">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指标(</w:t>
            </w:r>
            <w:r>
              <w:rPr>
                <w:rFonts w:hint="eastAsia" w:ascii="仿宋" w:hAnsi="仿宋" w:eastAsia="仿宋" w:cs="仿宋"/>
                <w:color w:val="auto"/>
                <w:sz w:val="24"/>
                <w:szCs w:val="24"/>
                <w:highlight w:val="none"/>
              </w:rPr>
              <w:t>mg</w:t>
            </w:r>
            <w:r>
              <w:rPr>
                <w:rFonts w:hint="eastAsia" w:ascii="仿宋" w:hAnsi="仿宋" w:eastAsia="仿宋" w:cs="仿宋"/>
                <w:color w:val="auto"/>
                <w:spacing w:val="6"/>
                <w:sz w:val="24"/>
                <w:szCs w:val="24"/>
                <w:highlight w:val="none"/>
              </w:rPr>
              <w:t>/</w:t>
            </w:r>
            <w:r>
              <w:rPr>
                <w:rFonts w:hint="eastAsia" w:ascii="仿宋" w:hAnsi="仿宋" w:eastAsia="仿宋" w:cs="仿宋"/>
                <w:color w:val="auto"/>
                <w:sz w:val="24"/>
                <w:szCs w:val="24"/>
                <w:highlight w:val="none"/>
              </w:rPr>
              <w:t>kg</w:t>
            </w:r>
            <w:r>
              <w:rPr>
                <w:rFonts w:hint="eastAsia" w:ascii="仿宋" w:hAnsi="仿宋" w:eastAsia="仿宋" w:cs="仿宋"/>
                <w:color w:val="auto"/>
                <w:spacing w:val="6"/>
                <w:sz w:val="24"/>
                <w:szCs w:val="24"/>
                <w:highlight w:val="none"/>
              </w:rPr>
              <w:t>)</w:t>
            </w:r>
          </w:p>
        </w:tc>
        <w:tc>
          <w:tcPr>
            <w:tcW w:w="1721" w:type="dxa"/>
            <w:noWrap w:val="0"/>
            <w:vAlign w:val="top"/>
          </w:tcPr>
          <w:p w14:paraId="31272596">
            <w:pPr>
              <w:pageBreakBefore w:val="0"/>
              <w:kinsoku/>
              <w:overflowPunct/>
              <w:bidi w:val="0"/>
              <w:spacing w:beforeAutospacing="0" w:afterAutospacing="0" w:line="440" w:lineRule="exact"/>
              <w:ind w:left="0" w:leftChars="0" w:right="0" w:rightChars="0" w:firstLine="464"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 目</w:t>
            </w:r>
          </w:p>
        </w:tc>
        <w:tc>
          <w:tcPr>
            <w:tcW w:w="1715" w:type="dxa"/>
            <w:noWrap w:val="0"/>
            <w:vAlign w:val="top"/>
          </w:tcPr>
          <w:p w14:paraId="5B74C54F">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指标(</w:t>
            </w:r>
            <w:r>
              <w:rPr>
                <w:rFonts w:hint="eastAsia" w:ascii="仿宋" w:hAnsi="仿宋" w:eastAsia="仿宋" w:cs="仿宋"/>
                <w:color w:val="auto"/>
                <w:sz w:val="24"/>
                <w:szCs w:val="24"/>
                <w:highlight w:val="none"/>
              </w:rPr>
              <w:t>mg</w:t>
            </w:r>
            <w:r>
              <w:rPr>
                <w:rFonts w:hint="eastAsia" w:ascii="仿宋" w:hAnsi="仿宋" w:eastAsia="仿宋" w:cs="仿宋"/>
                <w:color w:val="auto"/>
                <w:spacing w:val="6"/>
                <w:sz w:val="24"/>
                <w:szCs w:val="24"/>
                <w:highlight w:val="none"/>
              </w:rPr>
              <w:t>/</w:t>
            </w:r>
            <w:r>
              <w:rPr>
                <w:rFonts w:hint="eastAsia" w:ascii="仿宋" w:hAnsi="仿宋" w:eastAsia="仿宋" w:cs="仿宋"/>
                <w:color w:val="auto"/>
                <w:sz w:val="24"/>
                <w:szCs w:val="24"/>
                <w:highlight w:val="none"/>
              </w:rPr>
              <w:t>kg</w:t>
            </w:r>
            <w:r>
              <w:rPr>
                <w:rFonts w:hint="eastAsia" w:ascii="仿宋" w:hAnsi="仿宋" w:eastAsia="仿宋" w:cs="仿宋"/>
                <w:color w:val="auto"/>
                <w:spacing w:val="6"/>
                <w:sz w:val="24"/>
                <w:szCs w:val="24"/>
                <w:highlight w:val="none"/>
              </w:rPr>
              <w:t>)</w:t>
            </w:r>
          </w:p>
        </w:tc>
      </w:tr>
      <w:tr w14:paraId="6EBAD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798" w:type="dxa"/>
            <w:noWrap w:val="0"/>
            <w:vAlign w:val="top"/>
          </w:tcPr>
          <w:p w14:paraId="5C772704">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甲胺磷</w:t>
            </w:r>
          </w:p>
        </w:tc>
        <w:tc>
          <w:tcPr>
            <w:tcW w:w="2079" w:type="dxa"/>
            <w:noWrap w:val="0"/>
            <w:vAlign w:val="top"/>
          </w:tcPr>
          <w:p w14:paraId="4E723B06">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不得检出</w:t>
            </w:r>
          </w:p>
        </w:tc>
        <w:tc>
          <w:tcPr>
            <w:tcW w:w="1721" w:type="dxa"/>
            <w:noWrap w:val="0"/>
            <w:vAlign w:val="top"/>
          </w:tcPr>
          <w:p w14:paraId="62D72491">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汞(以</w:t>
            </w:r>
            <w:r>
              <w:rPr>
                <w:rFonts w:hint="eastAsia" w:ascii="仿宋" w:hAnsi="仿宋" w:eastAsia="仿宋" w:cs="仿宋"/>
                <w:color w:val="auto"/>
                <w:sz w:val="24"/>
                <w:szCs w:val="24"/>
                <w:highlight w:val="none"/>
              </w:rPr>
              <w:t>Hg</w:t>
            </w:r>
            <w:r>
              <w:rPr>
                <w:rFonts w:hint="eastAsia" w:ascii="仿宋" w:hAnsi="仿宋" w:eastAsia="仿宋" w:cs="仿宋"/>
                <w:color w:val="auto"/>
                <w:spacing w:val="6"/>
                <w:sz w:val="24"/>
                <w:szCs w:val="24"/>
                <w:highlight w:val="none"/>
              </w:rPr>
              <w:t>计)</w:t>
            </w:r>
          </w:p>
        </w:tc>
        <w:tc>
          <w:tcPr>
            <w:tcW w:w="1715" w:type="dxa"/>
            <w:noWrap w:val="0"/>
            <w:vAlign w:val="top"/>
          </w:tcPr>
          <w:p w14:paraId="5B728B31">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≤0.01</w:t>
            </w:r>
          </w:p>
        </w:tc>
      </w:tr>
      <w:tr w14:paraId="0D0B9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798" w:type="dxa"/>
            <w:noWrap w:val="0"/>
            <w:vAlign w:val="top"/>
          </w:tcPr>
          <w:p w14:paraId="4C3EF139">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甲拌磷</w:t>
            </w:r>
          </w:p>
        </w:tc>
        <w:tc>
          <w:tcPr>
            <w:tcW w:w="2079" w:type="dxa"/>
            <w:noWrap w:val="0"/>
            <w:vAlign w:val="top"/>
          </w:tcPr>
          <w:p w14:paraId="5896286C">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不得检出</w:t>
            </w:r>
          </w:p>
        </w:tc>
        <w:tc>
          <w:tcPr>
            <w:tcW w:w="1721" w:type="dxa"/>
            <w:noWrap w:val="0"/>
            <w:vAlign w:val="top"/>
          </w:tcPr>
          <w:p w14:paraId="018E6E39">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铅(以</w:t>
            </w:r>
            <w:r>
              <w:rPr>
                <w:rFonts w:hint="eastAsia" w:ascii="仿宋" w:hAnsi="仿宋" w:eastAsia="仿宋" w:cs="仿宋"/>
                <w:color w:val="auto"/>
                <w:sz w:val="24"/>
                <w:szCs w:val="24"/>
                <w:highlight w:val="none"/>
              </w:rPr>
              <w:t>Pb</w:t>
            </w:r>
            <w:r>
              <w:rPr>
                <w:rFonts w:hint="eastAsia" w:ascii="仿宋" w:hAnsi="仿宋" w:eastAsia="仿宋" w:cs="仿宋"/>
                <w:color w:val="auto"/>
                <w:spacing w:val="6"/>
                <w:sz w:val="24"/>
                <w:szCs w:val="24"/>
                <w:highlight w:val="none"/>
              </w:rPr>
              <w:t>计)</w:t>
            </w:r>
          </w:p>
        </w:tc>
        <w:tc>
          <w:tcPr>
            <w:tcW w:w="1715" w:type="dxa"/>
            <w:noWrap w:val="0"/>
            <w:vAlign w:val="top"/>
          </w:tcPr>
          <w:p w14:paraId="0C60CE81">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≤0.2</w:t>
            </w:r>
          </w:p>
        </w:tc>
      </w:tr>
      <w:tr w14:paraId="5767E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798" w:type="dxa"/>
            <w:noWrap w:val="0"/>
            <w:vAlign w:val="top"/>
          </w:tcPr>
          <w:p w14:paraId="464BA95F">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氧化乐果</w:t>
            </w:r>
          </w:p>
        </w:tc>
        <w:tc>
          <w:tcPr>
            <w:tcW w:w="2079" w:type="dxa"/>
            <w:noWrap w:val="0"/>
            <w:vAlign w:val="top"/>
          </w:tcPr>
          <w:p w14:paraId="62076678">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不得检出</w:t>
            </w:r>
          </w:p>
        </w:tc>
        <w:tc>
          <w:tcPr>
            <w:tcW w:w="1721" w:type="dxa"/>
            <w:noWrap w:val="0"/>
            <w:vAlign w:val="top"/>
          </w:tcPr>
          <w:p w14:paraId="0634653B">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砷(以</w:t>
            </w:r>
            <w:r>
              <w:rPr>
                <w:rFonts w:hint="eastAsia" w:ascii="仿宋" w:hAnsi="仿宋" w:eastAsia="仿宋" w:cs="仿宋"/>
                <w:color w:val="auto"/>
                <w:sz w:val="24"/>
                <w:szCs w:val="24"/>
                <w:highlight w:val="none"/>
              </w:rPr>
              <w:t>As</w:t>
            </w:r>
            <w:r>
              <w:rPr>
                <w:rFonts w:hint="eastAsia" w:ascii="仿宋" w:hAnsi="仿宋" w:eastAsia="仿宋" w:cs="仿宋"/>
                <w:color w:val="auto"/>
                <w:spacing w:val="6"/>
                <w:sz w:val="24"/>
                <w:szCs w:val="24"/>
                <w:highlight w:val="none"/>
              </w:rPr>
              <w:t>计)</w:t>
            </w:r>
          </w:p>
        </w:tc>
        <w:tc>
          <w:tcPr>
            <w:tcW w:w="1715" w:type="dxa"/>
            <w:noWrap w:val="0"/>
            <w:vAlign w:val="top"/>
          </w:tcPr>
          <w:p w14:paraId="68EEA112">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≤0.5</w:t>
            </w:r>
          </w:p>
        </w:tc>
      </w:tr>
      <w:tr w14:paraId="7ED9D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798" w:type="dxa"/>
            <w:noWrap w:val="0"/>
            <w:vAlign w:val="top"/>
          </w:tcPr>
          <w:p w14:paraId="72064703">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甲基对硫磷</w:t>
            </w:r>
          </w:p>
        </w:tc>
        <w:tc>
          <w:tcPr>
            <w:tcW w:w="2079" w:type="dxa"/>
            <w:noWrap w:val="0"/>
            <w:vAlign w:val="top"/>
          </w:tcPr>
          <w:p w14:paraId="578B9130">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不得检出</w:t>
            </w:r>
          </w:p>
        </w:tc>
        <w:tc>
          <w:tcPr>
            <w:tcW w:w="1721" w:type="dxa"/>
            <w:noWrap w:val="0"/>
            <w:vAlign w:val="top"/>
          </w:tcPr>
          <w:p w14:paraId="2109A698">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氟(以F计)</w:t>
            </w:r>
          </w:p>
        </w:tc>
        <w:tc>
          <w:tcPr>
            <w:tcW w:w="1715" w:type="dxa"/>
            <w:noWrap w:val="0"/>
            <w:vAlign w:val="top"/>
          </w:tcPr>
          <w:p w14:paraId="2D0EF215">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≤0.5</w:t>
            </w:r>
          </w:p>
        </w:tc>
      </w:tr>
      <w:tr w14:paraId="4D77C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798" w:type="dxa"/>
            <w:noWrap w:val="0"/>
            <w:vAlign w:val="top"/>
          </w:tcPr>
          <w:p w14:paraId="2214FF5A">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呋喃丹</w:t>
            </w:r>
          </w:p>
        </w:tc>
        <w:tc>
          <w:tcPr>
            <w:tcW w:w="2079" w:type="dxa"/>
            <w:noWrap w:val="0"/>
            <w:vAlign w:val="top"/>
          </w:tcPr>
          <w:p w14:paraId="6D870D1E">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不得检出</w:t>
            </w:r>
          </w:p>
        </w:tc>
        <w:tc>
          <w:tcPr>
            <w:tcW w:w="1721" w:type="dxa"/>
            <w:noWrap w:val="0"/>
            <w:vAlign w:val="top"/>
          </w:tcPr>
          <w:p w14:paraId="42BFFC03">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百菌清</w:t>
            </w:r>
          </w:p>
        </w:tc>
        <w:tc>
          <w:tcPr>
            <w:tcW w:w="1715" w:type="dxa"/>
            <w:noWrap w:val="0"/>
            <w:vAlign w:val="top"/>
          </w:tcPr>
          <w:p w14:paraId="3250802A">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w:t>
            </w:r>
          </w:p>
        </w:tc>
      </w:tr>
      <w:tr w14:paraId="1AB00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798" w:type="dxa"/>
            <w:noWrap w:val="0"/>
            <w:vAlign w:val="top"/>
          </w:tcPr>
          <w:p w14:paraId="22147D91">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亚硝酸盐(以</w:t>
            </w:r>
            <w:r>
              <w:rPr>
                <w:rFonts w:hint="eastAsia" w:ascii="仿宋" w:hAnsi="仿宋" w:eastAsia="仿宋" w:cs="仿宋"/>
                <w:color w:val="auto"/>
                <w:sz w:val="24"/>
                <w:szCs w:val="24"/>
                <w:highlight w:val="none"/>
              </w:rPr>
              <w:t>NaNO</w:t>
            </w:r>
            <w:r>
              <w:rPr>
                <w:rFonts w:hint="eastAsia" w:ascii="仿宋" w:hAnsi="仿宋" w:eastAsia="仿宋" w:cs="仿宋"/>
                <w:color w:val="auto"/>
                <w:spacing w:val="11"/>
                <w:sz w:val="24"/>
                <w:szCs w:val="24"/>
                <w:highlight w:val="none"/>
              </w:rPr>
              <w:t>₂计)</w:t>
            </w:r>
          </w:p>
        </w:tc>
        <w:tc>
          <w:tcPr>
            <w:tcW w:w="2079" w:type="dxa"/>
            <w:noWrap w:val="0"/>
            <w:vAlign w:val="top"/>
          </w:tcPr>
          <w:p w14:paraId="51BAA029">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w:t>
            </w:r>
          </w:p>
        </w:tc>
        <w:tc>
          <w:tcPr>
            <w:tcW w:w="1721" w:type="dxa"/>
            <w:noWrap w:val="0"/>
            <w:vAlign w:val="top"/>
          </w:tcPr>
          <w:p w14:paraId="4C05BF49">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多菌灵</w:t>
            </w:r>
          </w:p>
        </w:tc>
        <w:tc>
          <w:tcPr>
            <w:tcW w:w="1715" w:type="dxa"/>
            <w:noWrap w:val="0"/>
            <w:vAlign w:val="top"/>
          </w:tcPr>
          <w:p w14:paraId="1941771F">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≤0.5</w:t>
            </w:r>
          </w:p>
        </w:tc>
      </w:tr>
      <w:tr w14:paraId="49886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798" w:type="dxa"/>
            <w:noWrap w:val="0"/>
            <w:vAlign w:val="top"/>
          </w:tcPr>
          <w:p w14:paraId="35346E95">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硝酸盐(以</w:t>
            </w:r>
            <w:r>
              <w:rPr>
                <w:rFonts w:hint="eastAsia" w:ascii="仿宋" w:hAnsi="仿宋" w:eastAsia="仿宋" w:cs="仿宋"/>
                <w:color w:val="auto"/>
                <w:sz w:val="24"/>
                <w:szCs w:val="24"/>
                <w:highlight w:val="none"/>
              </w:rPr>
              <w:t>NaNO</w:t>
            </w:r>
            <w:r>
              <w:rPr>
                <w:rFonts w:hint="eastAsia" w:ascii="仿宋" w:hAnsi="仿宋" w:eastAsia="仿宋" w:cs="仿宋"/>
                <w:color w:val="auto"/>
                <w:spacing w:val="12"/>
                <w:sz w:val="24"/>
                <w:szCs w:val="24"/>
                <w:highlight w:val="none"/>
              </w:rPr>
              <w:t>₃计)</w:t>
            </w:r>
          </w:p>
        </w:tc>
        <w:tc>
          <w:tcPr>
            <w:tcW w:w="2079" w:type="dxa"/>
            <w:noWrap w:val="0"/>
            <w:vAlign w:val="top"/>
          </w:tcPr>
          <w:p w14:paraId="1B5F72DF">
            <w:pPr>
              <w:pageBreakBefore w:val="0"/>
              <w:kinsoku/>
              <w:overflowPunct/>
              <w:bidi w:val="0"/>
              <w:spacing w:beforeAutospacing="0" w:afterAutospacing="0" w:line="44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瓜果类≤600;</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z w:val="24"/>
                <w:szCs w:val="24"/>
                <w:highlight w:val="none"/>
              </w:rPr>
              <w:t>叶菜根茎类≤1200</w:t>
            </w:r>
          </w:p>
        </w:tc>
        <w:tc>
          <w:tcPr>
            <w:tcW w:w="1721" w:type="dxa"/>
            <w:noWrap w:val="0"/>
            <w:vAlign w:val="top"/>
          </w:tcPr>
          <w:p w14:paraId="1C499F99">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color w:val="auto"/>
                <w:sz w:val="24"/>
                <w:szCs w:val="24"/>
                <w:highlight w:val="none"/>
              </w:rPr>
            </w:pPr>
          </w:p>
        </w:tc>
        <w:tc>
          <w:tcPr>
            <w:tcW w:w="1715" w:type="dxa"/>
            <w:noWrap w:val="0"/>
            <w:vAlign w:val="top"/>
          </w:tcPr>
          <w:p w14:paraId="025D179C">
            <w:pPr>
              <w:pageBreakBefore w:val="0"/>
              <w:kinsoku/>
              <w:overflowPunct/>
              <w:bidi w:val="0"/>
              <w:spacing w:beforeAutospacing="0" w:afterAutospacing="0" w:line="440" w:lineRule="exact"/>
              <w:ind w:left="0" w:leftChars="0" w:right="0" w:rightChars="0" w:firstLine="480" w:firstLineChars="200"/>
              <w:jc w:val="center"/>
              <w:rPr>
                <w:rFonts w:hint="eastAsia" w:ascii="仿宋" w:hAnsi="仿宋" w:eastAsia="仿宋" w:cs="仿宋"/>
                <w:color w:val="auto"/>
                <w:sz w:val="24"/>
                <w:szCs w:val="24"/>
                <w:highlight w:val="none"/>
              </w:rPr>
            </w:pPr>
          </w:p>
        </w:tc>
      </w:tr>
    </w:tbl>
    <w:p w14:paraId="14EB332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left"/>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val="0"/>
          <w:bCs w:val="0"/>
          <w:color w:val="auto"/>
          <w:sz w:val="28"/>
          <w:szCs w:val="28"/>
          <w:highlight w:val="none"/>
          <w:lang w:val="en-US" w:eastAsia="zh-CN"/>
        </w:rPr>
        <w:t>（10）投标人需承诺所供水果符合上述质量要求及农药残留不超过国家限量标准，若不符合，愿意接受退货处理并承担违约责任。</w:t>
      </w:r>
      <w:r>
        <w:rPr>
          <w:rFonts w:hint="eastAsia" w:ascii="仿宋" w:hAnsi="仿宋" w:eastAsia="仿宋" w:cs="仿宋"/>
          <w:b w:val="0"/>
          <w:bCs w:val="0"/>
          <w:color w:val="auto"/>
          <w:spacing w:val="-2"/>
          <w:sz w:val="28"/>
          <w:szCs w:val="28"/>
          <w:highlight w:val="none"/>
          <w:lang w:eastAsia="zh-CN"/>
        </w:rPr>
        <w:t>（</w:t>
      </w:r>
      <w:r>
        <w:rPr>
          <w:rFonts w:hint="eastAsia" w:ascii="仿宋" w:hAnsi="仿宋" w:eastAsia="仿宋" w:cs="仿宋"/>
          <w:b w:val="0"/>
          <w:bCs w:val="0"/>
          <w:color w:val="auto"/>
          <w:spacing w:val="-2"/>
          <w:sz w:val="28"/>
          <w:szCs w:val="28"/>
          <w:highlight w:val="none"/>
          <w:lang w:val="en-US" w:eastAsia="zh-CN"/>
        </w:rPr>
        <w:t>提供承诺函，格式自拟</w:t>
      </w:r>
      <w:r>
        <w:rPr>
          <w:rFonts w:hint="eastAsia" w:ascii="仿宋" w:hAnsi="仿宋" w:eastAsia="仿宋" w:cs="仿宋"/>
          <w:b w:val="0"/>
          <w:bCs w:val="0"/>
          <w:color w:val="auto"/>
          <w:spacing w:val="-2"/>
          <w:sz w:val="28"/>
          <w:szCs w:val="28"/>
          <w:highlight w:val="none"/>
          <w:lang w:eastAsia="zh-CN"/>
        </w:rPr>
        <w:t>）</w:t>
      </w:r>
    </w:p>
    <w:p w14:paraId="098138F4">
      <w:pPr>
        <w:pageBreakBefore w:val="0"/>
        <w:numPr>
          <w:ilvl w:val="0"/>
          <w:numId w:val="0"/>
        </w:numPr>
        <w:kinsoku/>
        <w:overflowPunct/>
        <w:bidi w:val="0"/>
        <w:spacing w:beforeAutospacing="0" w:afterAutospacing="0" w:line="440" w:lineRule="exact"/>
        <w:ind w:right="0" w:rightChars="0"/>
        <w:jc w:val="left"/>
        <w:outlineLvl w:val="1"/>
        <w:rPr>
          <w:rFonts w:hint="default" w:ascii="仿宋" w:hAnsi="仿宋" w:eastAsia="仿宋" w:cs="仿宋"/>
          <w:b/>
          <w:bCs/>
          <w:color w:val="auto"/>
          <w:sz w:val="28"/>
          <w:szCs w:val="28"/>
          <w:highlight w:val="none"/>
          <w:lang w:val="en-US" w:eastAsia="zh-CN"/>
        </w:rPr>
      </w:pPr>
      <w:bookmarkStart w:id="412" w:name="_Toc29564"/>
      <w:r>
        <w:rPr>
          <w:rFonts w:hint="eastAsia" w:ascii="仿宋" w:hAnsi="仿宋" w:eastAsia="仿宋" w:cs="仿宋"/>
          <w:b/>
          <w:bCs/>
          <w:color w:val="auto"/>
          <w:sz w:val="28"/>
          <w:szCs w:val="28"/>
          <w:highlight w:val="none"/>
          <w:lang w:val="en-US" w:eastAsia="zh-CN"/>
        </w:rPr>
        <w:t>3.副食品类</w:t>
      </w:r>
      <w:bookmarkEnd w:id="412"/>
    </w:p>
    <w:p w14:paraId="49DC0DE1">
      <w:pPr>
        <w:pageBreakBefore w:val="0"/>
        <w:kinsoku/>
        <w:overflowPunct/>
        <w:bidi w:val="0"/>
        <w:spacing w:beforeAutospacing="0" w:afterAutospacing="0" w:line="440" w:lineRule="exact"/>
        <w:ind w:right="0" w:right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（1）副食品采购清单（此表仅供参考，包括但不仅限于以下品种，可根据需求增减品种，并非固定类目，以实际发生为准。）</w:t>
      </w:r>
    </w:p>
    <w:tbl>
      <w:tblPr>
        <w:tblStyle w:val="58"/>
        <w:tblW w:w="8825"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1563"/>
        <w:gridCol w:w="6600"/>
      </w:tblGrid>
      <w:tr w14:paraId="0530E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62" w:type="dxa"/>
            <w:vAlign w:val="top"/>
          </w:tcPr>
          <w:p w14:paraId="5488F78F">
            <w:pPr>
              <w:pStyle w:val="55"/>
              <w:spacing w:before="54" w:line="222" w:lineRule="auto"/>
              <w:ind w:left="31"/>
              <w:jc w:val="center"/>
              <w:rPr>
                <w:rFonts w:hint="eastAsia" w:ascii="仿宋" w:hAnsi="仿宋" w:eastAsia="仿宋" w:cs="仿宋"/>
                <w:color w:val="auto"/>
                <w:sz w:val="24"/>
                <w:szCs w:val="24"/>
                <w:highlight w:val="none"/>
              </w:rPr>
            </w:pPr>
            <w:r>
              <w:rPr>
                <w:rFonts w:hint="eastAsia" w:ascii="仿宋" w:hAnsi="仿宋" w:eastAsia="仿宋" w:cs="仿宋"/>
                <w:b/>
                <w:bCs/>
                <w:color w:val="auto"/>
                <w:spacing w:val="-11"/>
                <w:sz w:val="24"/>
                <w:szCs w:val="24"/>
                <w:highlight w:val="none"/>
              </w:rPr>
              <w:t>序号</w:t>
            </w:r>
          </w:p>
        </w:tc>
        <w:tc>
          <w:tcPr>
            <w:tcW w:w="1563" w:type="dxa"/>
            <w:vAlign w:val="top"/>
          </w:tcPr>
          <w:p w14:paraId="257D703E">
            <w:pPr>
              <w:pStyle w:val="55"/>
              <w:spacing w:before="53" w:line="221" w:lineRule="auto"/>
              <w:ind w:left="226"/>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val="en-US" w:eastAsia="zh-CN"/>
              </w:rPr>
              <w:t>产品</w:t>
            </w:r>
            <w:r>
              <w:rPr>
                <w:rFonts w:hint="eastAsia" w:ascii="仿宋" w:hAnsi="仿宋" w:eastAsia="仿宋" w:cs="仿宋"/>
                <w:b/>
                <w:bCs/>
                <w:color w:val="auto"/>
                <w:spacing w:val="-7"/>
                <w:sz w:val="24"/>
                <w:szCs w:val="24"/>
                <w:highlight w:val="none"/>
              </w:rPr>
              <w:t>名称</w:t>
            </w:r>
          </w:p>
        </w:tc>
        <w:tc>
          <w:tcPr>
            <w:tcW w:w="6600" w:type="dxa"/>
            <w:vAlign w:val="top"/>
          </w:tcPr>
          <w:p w14:paraId="65929F8E">
            <w:pPr>
              <w:pStyle w:val="55"/>
              <w:spacing w:before="54" w:line="222"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采购标准</w:t>
            </w:r>
          </w:p>
        </w:tc>
      </w:tr>
      <w:tr w14:paraId="15721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0181AA5C">
            <w:pPr>
              <w:pStyle w:val="55"/>
              <w:spacing w:before="91" w:line="18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63" w:type="dxa"/>
            <w:vAlign w:val="top"/>
          </w:tcPr>
          <w:p w14:paraId="3DAF0D95">
            <w:pPr>
              <w:pStyle w:val="55"/>
              <w:spacing w:before="50" w:line="224" w:lineRule="auto"/>
              <w:ind w:left="467"/>
              <w:jc w:val="both"/>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切面</w:t>
            </w:r>
          </w:p>
        </w:tc>
        <w:tc>
          <w:tcPr>
            <w:tcW w:w="6600" w:type="dxa"/>
            <w:vAlign w:val="top"/>
          </w:tcPr>
          <w:p w14:paraId="57EAD5F4">
            <w:pPr>
              <w:pStyle w:val="55"/>
              <w:spacing w:before="51"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新鲜优质</w:t>
            </w:r>
          </w:p>
        </w:tc>
      </w:tr>
      <w:tr w14:paraId="6FB22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62" w:type="dxa"/>
            <w:vAlign w:val="top"/>
          </w:tcPr>
          <w:p w14:paraId="0E8813A1">
            <w:pPr>
              <w:pStyle w:val="55"/>
              <w:spacing w:before="92"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63" w:type="dxa"/>
            <w:vAlign w:val="top"/>
          </w:tcPr>
          <w:p w14:paraId="120F6222">
            <w:pPr>
              <w:pStyle w:val="55"/>
              <w:spacing w:before="51" w:line="222" w:lineRule="auto"/>
              <w:ind w:left="469"/>
              <w:jc w:val="both"/>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牛奶</w:t>
            </w:r>
          </w:p>
        </w:tc>
        <w:tc>
          <w:tcPr>
            <w:tcW w:w="6600" w:type="dxa"/>
            <w:vAlign w:val="top"/>
          </w:tcPr>
          <w:p w14:paraId="7B7213FE">
            <w:pPr>
              <w:pStyle w:val="55"/>
              <w:spacing w:before="50" w:line="22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袋装</w:t>
            </w:r>
          </w:p>
        </w:tc>
      </w:tr>
      <w:tr w14:paraId="159B4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03E2602D">
            <w:pPr>
              <w:pStyle w:val="55"/>
              <w:spacing w:before="93"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63" w:type="dxa"/>
            <w:vAlign w:val="top"/>
          </w:tcPr>
          <w:p w14:paraId="57ACB29D">
            <w:pPr>
              <w:pStyle w:val="55"/>
              <w:spacing w:before="51" w:line="225" w:lineRule="auto"/>
              <w:ind w:left="468"/>
              <w:jc w:val="both"/>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酸奶</w:t>
            </w:r>
          </w:p>
        </w:tc>
        <w:tc>
          <w:tcPr>
            <w:tcW w:w="6600" w:type="dxa"/>
            <w:vAlign w:val="top"/>
          </w:tcPr>
          <w:p w14:paraId="641DB28E">
            <w:pPr>
              <w:pStyle w:val="55"/>
              <w:spacing w:before="52" w:line="222"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pacing w:val="-5"/>
                <w:sz w:val="24"/>
                <w:szCs w:val="24"/>
                <w:highlight w:val="none"/>
                <w:lang w:val="en-US" w:eastAsia="zh-CN"/>
              </w:rPr>
              <w:t>罐装或瓶装</w:t>
            </w:r>
          </w:p>
        </w:tc>
      </w:tr>
      <w:tr w14:paraId="38D02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62" w:type="dxa"/>
            <w:vAlign w:val="top"/>
          </w:tcPr>
          <w:p w14:paraId="34ACA38D">
            <w:pPr>
              <w:pStyle w:val="55"/>
              <w:spacing w:before="93"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63" w:type="dxa"/>
            <w:vAlign w:val="top"/>
          </w:tcPr>
          <w:p w14:paraId="582E1F44">
            <w:pPr>
              <w:pStyle w:val="55"/>
              <w:spacing w:before="52" w:line="222" w:lineRule="auto"/>
              <w:ind w:left="476"/>
              <w:jc w:val="both"/>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黑米</w:t>
            </w:r>
          </w:p>
        </w:tc>
        <w:tc>
          <w:tcPr>
            <w:tcW w:w="6600" w:type="dxa"/>
            <w:vAlign w:val="top"/>
          </w:tcPr>
          <w:p w14:paraId="310B19A9">
            <w:pPr>
              <w:spacing w:before="52"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5F2ED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48178B3D">
            <w:pPr>
              <w:pStyle w:val="55"/>
              <w:spacing w:before="95" w:line="17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63" w:type="dxa"/>
            <w:vAlign w:val="top"/>
          </w:tcPr>
          <w:p w14:paraId="75FC9F07">
            <w:pPr>
              <w:pStyle w:val="55"/>
              <w:spacing w:before="53" w:line="232" w:lineRule="auto"/>
              <w:ind w:left="468"/>
              <w:jc w:val="both"/>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红豆</w:t>
            </w:r>
          </w:p>
        </w:tc>
        <w:tc>
          <w:tcPr>
            <w:tcW w:w="6600" w:type="dxa"/>
            <w:vAlign w:val="top"/>
          </w:tcPr>
          <w:p w14:paraId="4A54E539">
            <w:pPr>
              <w:spacing w:before="53"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38D6B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7F5056BB">
            <w:pPr>
              <w:pStyle w:val="55"/>
              <w:spacing w:before="94"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63" w:type="dxa"/>
            <w:vAlign w:val="top"/>
          </w:tcPr>
          <w:p w14:paraId="5A36C241">
            <w:pPr>
              <w:pStyle w:val="55"/>
              <w:spacing w:before="53" w:line="222" w:lineRule="auto"/>
              <w:ind w:left="347"/>
              <w:jc w:val="both"/>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鹰嘴豆</w:t>
            </w:r>
          </w:p>
        </w:tc>
        <w:tc>
          <w:tcPr>
            <w:tcW w:w="6600" w:type="dxa"/>
            <w:vAlign w:val="top"/>
          </w:tcPr>
          <w:p w14:paraId="0101D0A0">
            <w:pPr>
              <w:spacing w:before="53"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038CA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6931A771">
            <w:pPr>
              <w:pStyle w:val="55"/>
              <w:spacing w:before="95" w:line="17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63" w:type="dxa"/>
            <w:vAlign w:val="top"/>
          </w:tcPr>
          <w:p w14:paraId="1276EB4E">
            <w:pPr>
              <w:pStyle w:val="55"/>
              <w:spacing w:before="52" w:line="225" w:lineRule="auto"/>
              <w:ind w:left="476"/>
              <w:jc w:val="both"/>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黑豆</w:t>
            </w:r>
          </w:p>
        </w:tc>
        <w:tc>
          <w:tcPr>
            <w:tcW w:w="6600" w:type="dxa"/>
            <w:vAlign w:val="top"/>
          </w:tcPr>
          <w:p w14:paraId="2B82DE79">
            <w:pPr>
              <w:spacing w:before="53"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61D63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62" w:type="dxa"/>
            <w:vAlign w:val="top"/>
          </w:tcPr>
          <w:p w14:paraId="379C2194">
            <w:pPr>
              <w:pStyle w:val="55"/>
              <w:spacing w:before="94"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563" w:type="dxa"/>
            <w:vAlign w:val="top"/>
          </w:tcPr>
          <w:p w14:paraId="28CCB0EF">
            <w:pPr>
              <w:pStyle w:val="55"/>
              <w:spacing w:before="52" w:line="223" w:lineRule="auto"/>
              <w:ind w:left="471"/>
              <w:jc w:val="both"/>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绿豆</w:t>
            </w:r>
          </w:p>
        </w:tc>
        <w:tc>
          <w:tcPr>
            <w:tcW w:w="6600" w:type="dxa"/>
            <w:vAlign w:val="top"/>
          </w:tcPr>
          <w:p w14:paraId="5FCA6510">
            <w:pPr>
              <w:spacing w:before="53"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5DC14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7F1FDDB4">
            <w:pPr>
              <w:pStyle w:val="55"/>
              <w:spacing w:before="95"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563" w:type="dxa"/>
            <w:vAlign w:val="top"/>
          </w:tcPr>
          <w:p w14:paraId="568EA65C">
            <w:pPr>
              <w:pStyle w:val="55"/>
              <w:spacing w:before="53" w:line="224" w:lineRule="auto"/>
              <w:ind w:left="468"/>
              <w:jc w:val="both"/>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红枣</w:t>
            </w:r>
          </w:p>
        </w:tc>
        <w:tc>
          <w:tcPr>
            <w:tcW w:w="6600" w:type="dxa"/>
            <w:vAlign w:val="top"/>
          </w:tcPr>
          <w:p w14:paraId="712471E9">
            <w:pPr>
              <w:spacing w:before="54"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189DE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62" w:type="dxa"/>
            <w:vAlign w:val="top"/>
          </w:tcPr>
          <w:p w14:paraId="7258CFFC">
            <w:pPr>
              <w:pStyle w:val="55"/>
              <w:spacing w:before="94" w:line="18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10</w:t>
            </w:r>
          </w:p>
        </w:tc>
        <w:tc>
          <w:tcPr>
            <w:tcW w:w="1563" w:type="dxa"/>
            <w:vAlign w:val="top"/>
          </w:tcPr>
          <w:p w14:paraId="29307943">
            <w:pPr>
              <w:pStyle w:val="55"/>
              <w:spacing w:before="53" w:line="223" w:lineRule="auto"/>
              <w:ind w:left="468"/>
              <w:jc w:val="both"/>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枸杞</w:t>
            </w:r>
          </w:p>
        </w:tc>
        <w:tc>
          <w:tcPr>
            <w:tcW w:w="6600" w:type="dxa"/>
            <w:vAlign w:val="top"/>
          </w:tcPr>
          <w:p w14:paraId="462983CD">
            <w:pPr>
              <w:spacing w:before="54"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3E598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39E441B1">
            <w:pPr>
              <w:pStyle w:val="55"/>
              <w:spacing w:before="95" w:line="18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11</w:t>
            </w:r>
          </w:p>
        </w:tc>
        <w:tc>
          <w:tcPr>
            <w:tcW w:w="1563" w:type="dxa"/>
            <w:vAlign w:val="top"/>
          </w:tcPr>
          <w:p w14:paraId="65E3A9B6">
            <w:pPr>
              <w:pStyle w:val="55"/>
              <w:spacing w:before="55" w:line="222" w:lineRule="auto"/>
              <w:ind w:left="232"/>
              <w:jc w:val="both"/>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玉米榛子</w:t>
            </w:r>
          </w:p>
        </w:tc>
        <w:tc>
          <w:tcPr>
            <w:tcW w:w="6600" w:type="dxa"/>
            <w:vAlign w:val="top"/>
          </w:tcPr>
          <w:p w14:paraId="37F45F40">
            <w:pPr>
              <w:spacing w:before="55"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2D390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62" w:type="dxa"/>
            <w:vAlign w:val="top"/>
          </w:tcPr>
          <w:p w14:paraId="4BEFB2E4">
            <w:pPr>
              <w:pStyle w:val="55"/>
              <w:spacing w:before="95" w:line="18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12</w:t>
            </w:r>
          </w:p>
        </w:tc>
        <w:tc>
          <w:tcPr>
            <w:tcW w:w="1563" w:type="dxa"/>
            <w:vAlign w:val="top"/>
          </w:tcPr>
          <w:p w14:paraId="0F761098">
            <w:pPr>
              <w:pStyle w:val="55"/>
              <w:spacing w:before="55" w:line="222" w:lineRule="auto"/>
              <w:ind w:left="467"/>
              <w:jc w:val="both"/>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糯米</w:t>
            </w:r>
          </w:p>
        </w:tc>
        <w:tc>
          <w:tcPr>
            <w:tcW w:w="6600" w:type="dxa"/>
            <w:vAlign w:val="top"/>
          </w:tcPr>
          <w:p w14:paraId="4E569EB2">
            <w:pPr>
              <w:spacing w:before="55"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7DB21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2CF21651">
            <w:pPr>
              <w:pStyle w:val="55"/>
              <w:spacing w:before="96" w:line="18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13</w:t>
            </w:r>
          </w:p>
        </w:tc>
        <w:tc>
          <w:tcPr>
            <w:tcW w:w="1563" w:type="dxa"/>
            <w:vAlign w:val="top"/>
          </w:tcPr>
          <w:p w14:paraId="7E2BC241">
            <w:pPr>
              <w:pStyle w:val="55"/>
              <w:spacing w:before="56" w:line="222" w:lineRule="auto"/>
              <w:ind w:left="352"/>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玉米面</w:t>
            </w:r>
          </w:p>
        </w:tc>
        <w:tc>
          <w:tcPr>
            <w:tcW w:w="6600" w:type="dxa"/>
            <w:vAlign w:val="top"/>
          </w:tcPr>
          <w:p w14:paraId="451D6E59">
            <w:pPr>
              <w:spacing w:before="56"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417E9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6D5AA2F7">
            <w:pPr>
              <w:pStyle w:val="55"/>
              <w:spacing w:before="96" w:line="18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14</w:t>
            </w:r>
          </w:p>
        </w:tc>
        <w:tc>
          <w:tcPr>
            <w:tcW w:w="1563" w:type="dxa"/>
            <w:vAlign w:val="top"/>
          </w:tcPr>
          <w:p w14:paraId="1D29936A">
            <w:pPr>
              <w:pStyle w:val="55"/>
              <w:spacing w:before="55" w:line="223" w:lineRule="auto"/>
              <w:ind w:left="351"/>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葡萄干</w:t>
            </w:r>
          </w:p>
        </w:tc>
        <w:tc>
          <w:tcPr>
            <w:tcW w:w="6600" w:type="dxa"/>
            <w:vAlign w:val="top"/>
          </w:tcPr>
          <w:p w14:paraId="2CC03633">
            <w:pPr>
              <w:spacing w:before="56"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24BF0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13A253A8">
            <w:pPr>
              <w:pStyle w:val="55"/>
              <w:spacing w:before="96" w:line="18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15</w:t>
            </w:r>
          </w:p>
        </w:tc>
        <w:tc>
          <w:tcPr>
            <w:tcW w:w="1563" w:type="dxa"/>
            <w:vAlign w:val="top"/>
          </w:tcPr>
          <w:p w14:paraId="2CA05B41">
            <w:pPr>
              <w:pStyle w:val="55"/>
              <w:spacing w:before="55" w:line="220" w:lineRule="auto"/>
              <w:ind w:left="349"/>
              <w:jc w:val="both"/>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花生米</w:t>
            </w:r>
          </w:p>
        </w:tc>
        <w:tc>
          <w:tcPr>
            <w:tcW w:w="6600" w:type="dxa"/>
            <w:vAlign w:val="top"/>
          </w:tcPr>
          <w:p w14:paraId="226F5E05">
            <w:pPr>
              <w:pStyle w:val="55"/>
              <w:spacing w:before="55" w:line="22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79B71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62" w:type="dxa"/>
            <w:vAlign w:val="top"/>
          </w:tcPr>
          <w:p w14:paraId="396E740C">
            <w:pPr>
              <w:pStyle w:val="55"/>
              <w:spacing w:before="96" w:line="18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16</w:t>
            </w:r>
          </w:p>
        </w:tc>
        <w:tc>
          <w:tcPr>
            <w:tcW w:w="1563" w:type="dxa"/>
            <w:vAlign w:val="top"/>
          </w:tcPr>
          <w:p w14:paraId="5187B9FA">
            <w:pPr>
              <w:pStyle w:val="55"/>
              <w:spacing w:before="56" w:line="222" w:lineRule="auto"/>
              <w:ind w:left="230"/>
              <w:jc w:val="both"/>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西红柿酱</w:t>
            </w:r>
          </w:p>
        </w:tc>
        <w:tc>
          <w:tcPr>
            <w:tcW w:w="6600" w:type="dxa"/>
            <w:vAlign w:val="top"/>
          </w:tcPr>
          <w:p w14:paraId="2A9C8E30">
            <w:pPr>
              <w:pStyle w:val="55"/>
              <w:spacing w:before="56" w:line="22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5"/>
                <w:sz w:val="24"/>
                <w:szCs w:val="24"/>
                <w:highlight w:val="none"/>
                <w:lang w:val="en-US" w:eastAsia="zh-CN"/>
              </w:rPr>
              <w:t>罐装</w:t>
            </w:r>
          </w:p>
        </w:tc>
      </w:tr>
      <w:tr w14:paraId="6543D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6272799E">
            <w:pPr>
              <w:pStyle w:val="55"/>
              <w:spacing w:before="97" w:line="18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17</w:t>
            </w:r>
          </w:p>
        </w:tc>
        <w:tc>
          <w:tcPr>
            <w:tcW w:w="1563" w:type="dxa"/>
            <w:vAlign w:val="top"/>
          </w:tcPr>
          <w:p w14:paraId="54B184E2">
            <w:pPr>
              <w:pStyle w:val="55"/>
              <w:spacing w:before="55" w:line="222" w:lineRule="auto"/>
              <w:ind w:left="354" w:leftChars="0"/>
              <w:jc w:val="both"/>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八宝粥</w:t>
            </w:r>
          </w:p>
        </w:tc>
        <w:tc>
          <w:tcPr>
            <w:tcW w:w="6600" w:type="dxa"/>
            <w:vAlign w:val="top"/>
          </w:tcPr>
          <w:p w14:paraId="0024D359">
            <w:pPr>
              <w:pStyle w:val="55"/>
              <w:spacing w:before="54" w:line="223"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lang w:val="en-US" w:eastAsia="zh-CN"/>
              </w:rPr>
              <w:t>罐装</w:t>
            </w:r>
          </w:p>
        </w:tc>
      </w:tr>
      <w:tr w14:paraId="3CF2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126A9CA9">
            <w:pPr>
              <w:pStyle w:val="55"/>
              <w:spacing w:before="97" w:line="18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18</w:t>
            </w:r>
          </w:p>
        </w:tc>
        <w:tc>
          <w:tcPr>
            <w:tcW w:w="1563" w:type="dxa"/>
            <w:vAlign w:val="top"/>
          </w:tcPr>
          <w:p w14:paraId="4621BC32">
            <w:pPr>
              <w:pStyle w:val="55"/>
              <w:spacing w:before="56" w:line="222" w:lineRule="auto"/>
              <w:ind w:left="348"/>
              <w:jc w:val="both"/>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辣椒酱</w:t>
            </w:r>
          </w:p>
        </w:tc>
        <w:tc>
          <w:tcPr>
            <w:tcW w:w="6600" w:type="dxa"/>
            <w:vAlign w:val="top"/>
          </w:tcPr>
          <w:p w14:paraId="00BA2195">
            <w:pPr>
              <w:pStyle w:val="55"/>
              <w:spacing w:before="56"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lang w:val="en-US" w:eastAsia="zh-CN"/>
              </w:rPr>
              <w:t>罐装</w:t>
            </w:r>
          </w:p>
        </w:tc>
      </w:tr>
      <w:tr w14:paraId="00E9C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51BB939F">
            <w:pPr>
              <w:pStyle w:val="55"/>
              <w:spacing w:before="97" w:line="18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19</w:t>
            </w:r>
          </w:p>
        </w:tc>
        <w:tc>
          <w:tcPr>
            <w:tcW w:w="1563" w:type="dxa"/>
            <w:vAlign w:val="top"/>
          </w:tcPr>
          <w:p w14:paraId="12592C6A">
            <w:pPr>
              <w:pStyle w:val="55"/>
              <w:spacing w:before="56" w:line="222" w:lineRule="auto"/>
              <w:ind w:left="348"/>
              <w:jc w:val="both"/>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豆瓣酱</w:t>
            </w:r>
          </w:p>
        </w:tc>
        <w:tc>
          <w:tcPr>
            <w:tcW w:w="6600" w:type="dxa"/>
            <w:vAlign w:val="top"/>
          </w:tcPr>
          <w:p w14:paraId="6414E672">
            <w:pPr>
              <w:pStyle w:val="55"/>
              <w:spacing w:before="57"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lang w:val="en-US" w:eastAsia="zh-CN"/>
              </w:rPr>
              <w:t>罐装</w:t>
            </w:r>
          </w:p>
        </w:tc>
      </w:tr>
      <w:tr w14:paraId="7528D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0F0ADC95">
            <w:pPr>
              <w:pStyle w:val="55"/>
              <w:spacing w:before="96" w:line="18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pacing w:val="-7"/>
                <w:sz w:val="24"/>
                <w:szCs w:val="24"/>
                <w:highlight w:val="none"/>
                <w:lang w:val="en-US" w:eastAsia="zh-CN"/>
              </w:rPr>
              <w:t>20</w:t>
            </w:r>
          </w:p>
        </w:tc>
        <w:tc>
          <w:tcPr>
            <w:tcW w:w="1563" w:type="dxa"/>
            <w:vAlign w:val="top"/>
          </w:tcPr>
          <w:p w14:paraId="63A526EA">
            <w:pPr>
              <w:pStyle w:val="55"/>
              <w:spacing w:before="54" w:line="223"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方便面</w:t>
            </w:r>
          </w:p>
        </w:tc>
        <w:tc>
          <w:tcPr>
            <w:tcW w:w="6600" w:type="dxa"/>
            <w:vAlign w:val="top"/>
          </w:tcPr>
          <w:p w14:paraId="11DBD54A">
            <w:pPr>
              <w:pStyle w:val="55"/>
              <w:spacing w:before="54" w:line="223"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袋装或桶装</w:t>
            </w:r>
          </w:p>
        </w:tc>
      </w:tr>
      <w:tr w14:paraId="6E514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62" w:type="dxa"/>
            <w:vAlign w:val="top"/>
          </w:tcPr>
          <w:p w14:paraId="0DD2F006">
            <w:pPr>
              <w:pStyle w:val="55"/>
              <w:spacing w:before="96" w:line="18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21</w:t>
            </w:r>
          </w:p>
        </w:tc>
        <w:tc>
          <w:tcPr>
            <w:tcW w:w="1563" w:type="dxa"/>
            <w:vAlign w:val="top"/>
          </w:tcPr>
          <w:p w14:paraId="7093391A">
            <w:pPr>
              <w:pStyle w:val="55"/>
              <w:spacing w:before="56" w:line="225" w:lineRule="auto"/>
              <w:ind w:left="347"/>
              <w:jc w:val="both"/>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加碘盐</w:t>
            </w:r>
          </w:p>
        </w:tc>
        <w:tc>
          <w:tcPr>
            <w:tcW w:w="6600" w:type="dxa"/>
            <w:vAlign w:val="top"/>
          </w:tcPr>
          <w:p w14:paraId="5E949C67">
            <w:pPr>
              <w:pStyle w:val="55"/>
              <w:spacing w:before="55" w:line="224"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6"/>
                <w:sz w:val="24"/>
                <w:szCs w:val="24"/>
                <w:highlight w:val="none"/>
              </w:rPr>
              <w:t>袋</w:t>
            </w:r>
            <w:r>
              <w:rPr>
                <w:rFonts w:hint="eastAsia" w:ascii="仿宋" w:hAnsi="仿宋" w:eastAsia="仿宋" w:cs="仿宋"/>
                <w:color w:val="auto"/>
                <w:spacing w:val="-6"/>
                <w:sz w:val="24"/>
                <w:szCs w:val="24"/>
                <w:highlight w:val="none"/>
                <w:lang w:val="en-US" w:eastAsia="zh-CN"/>
              </w:rPr>
              <w:t>装</w:t>
            </w:r>
          </w:p>
        </w:tc>
      </w:tr>
      <w:tr w14:paraId="2C30E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26A984DF">
            <w:pPr>
              <w:pStyle w:val="55"/>
              <w:spacing w:before="91"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w:t>
            </w:r>
          </w:p>
        </w:tc>
        <w:tc>
          <w:tcPr>
            <w:tcW w:w="1563" w:type="dxa"/>
            <w:vAlign w:val="top"/>
          </w:tcPr>
          <w:p w14:paraId="6F25C3DC">
            <w:pPr>
              <w:pStyle w:val="55"/>
              <w:spacing w:before="49" w:line="223" w:lineRule="auto"/>
              <w:ind w:left="468"/>
              <w:jc w:val="both"/>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酱油</w:t>
            </w:r>
          </w:p>
        </w:tc>
        <w:tc>
          <w:tcPr>
            <w:tcW w:w="6600" w:type="dxa"/>
            <w:vAlign w:val="top"/>
          </w:tcPr>
          <w:p w14:paraId="789F35A1">
            <w:pPr>
              <w:pStyle w:val="55"/>
              <w:spacing w:before="49" w:line="22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瓶</w:t>
            </w:r>
            <w:r>
              <w:rPr>
                <w:rFonts w:hint="eastAsia" w:ascii="仿宋" w:hAnsi="仿宋" w:eastAsia="仿宋" w:cs="仿宋"/>
                <w:color w:val="auto"/>
                <w:spacing w:val="-5"/>
                <w:sz w:val="24"/>
                <w:szCs w:val="24"/>
                <w:highlight w:val="none"/>
                <w:lang w:val="en-US" w:eastAsia="zh-CN"/>
              </w:rPr>
              <w:t>装</w:t>
            </w:r>
          </w:p>
        </w:tc>
      </w:tr>
      <w:tr w14:paraId="64BCB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3DB77860">
            <w:pPr>
              <w:pStyle w:val="55"/>
              <w:spacing w:before="91"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23</w:t>
            </w:r>
          </w:p>
        </w:tc>
        <w:tc>
          <w:tcPr>
            <w:tcW w:w="1563" w:type="dxa"/>
            <w:vAlign w:val="top"/>
          </w:tcPr>
          <w:p w14:paraId="60932BB9">
            <w:pPr>
              <w:pStyle w:val="55"/>
              <w:spacing w:before="49" w:line="224" w:lineRule="auto"/>
              <w:ind w:left="58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醋</w:t>
            </w:r>
          </w:p>
        </w:tc>
        <w:tc>
          <w:tcPr>
            <w:tcW w:w="6600" w:type="dxa"/>
            <w:vAlign w:val="top"/>
          </w:tcPr>
          <w:p w14:paraId="706891C6">
            <w:pPr>
              <w:pStyle w:val="55"/>
              <w:spacing w:before="49" w:line="22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瓶</w:t>
            </w:r>
            <w:r>
              <w:rPr>
                <w:rFonts w:hint="eastAsia" w:ascii="仿宋" w:hAnsi="仿宋" w:eastAsia="仿宋" w:cs="仿宋"/>
                <w:color w:val="auto"/>
                <w:spacing w:val="-5"/>
                <w:sz w:val="24"/>
                <w:szCs w:val="24"/>
                <w:highlight w:val="none"/>
                <w:lang w:val="en-US" w:eastAsia="zh-CN"/>
              </w:rPr>
              <w:t>装</w:t>
            </w:r>
          </w:p>
        </w:tc>
      </w:tr>
      <w:tr w14:paraId="3F6A2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62" w:type="dxa"/>
            <w:vAlign w:val="top"/>
          </w:tcPr>
          <w:p w14:paraId="594D6738">
            <w:pPr>
              <w:pStyle w:val="55"/>
              <w:spacing w:before="91"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24</w:t>
            </w:r>
          </w:p>
        </w:tc>
        <w:tc>
          <w:tcPr>
            <w:tcW w:w="1563" w:type="dxa"/>
            <w:vAlign w:val="top"/>
          </w:tcPr>
          <w:p w14:paraId="5AC95327">
            <w:pPr>
              <w:pStyle w:val="55"/>
              <w:spacing w:before="49" w:line="223" w:lineRule="auto"/>
              <w:ind w:left="469"/>
              <w:jc w:val="both"/>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香油</w:t>
            </w:r>
          </w:p>
        </w:tc>
        <w:tc>
          <w:tcPr>
            <w:tcW w:w="6600" w:type="dxa"/>
            <w:vAlign w:val="top"/>
          </w:tcPr>
          <w:p w14:paraId="2F72DB15">
            <w:pPr>
              <w:pStyle w:val="55"/>
              <w:spacing w:before="49" w:line="223"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瓶</w:t>
            </w:r>
            <w:r>
              <w:rPr>
                <w:rFonts w:hint="eastAsia" w:ascii="仿宋" w:hAnsi="仿宋" w:eastAsia="仿宋" w:cs="仿宋"/>
                <w:color w:val="auto"/>
                <w:spacing w:val="-5"/>
                <w:sz w:val="24"/>
                <w:szCs w:val="24"/>
                <w:highlight w:val="none"/>
                <w:lang w:val="en-US" w:eastAsia="zh-CN"/>
              </w:rPr>
              <w:t>装</w:t>
            </w:r>
          </w:p>
        </w:tc>
      </w:tr>
      <w:tr w14:paraId="7DE24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62" w:type="dxa"/>
            <w:vAlign w:val="top"/>
          </w:tcPr>
          <w:p w14:paraId="58AA87EB">
            <w:pPr>
              <w:pStyle w:val="55"/>
              <w:spacing w:before="92"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25</w:t>
            </w:r>
          </w:p>
        </w:tc>
        <w:tc>
          <w:tcPr>
            <w:tcW w:w="1563" w:type="dxa"/>
            <w:vAlign w:val="top"/>
          </w:tcPr>
          <w:p w14:paraId="2EA38D6D">
            <w:pPr>
              <w:pStyle w:val="55"/>
              <w:spacing w:before="50" w:line="223" w:lineRule="auto"/>
              <w:ind w:left="474"/>
              <w:jc w:val="both"/>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苏打</w:t>
            </w:r>
          </w:p>
        </w:tc>
        <w:tc>
          <w:tcPr>
            <w:tcW w:w="6600" w:type="dxa"/>
            <w:vAlign w:val="top"/>
          </w:tcPr>
          <w:p w14:paraId="4928C31D">
            <w:pPr>
              <w:pStyle w:val="55"/>
              <w:spacing w:before="50" w:line="22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4DE48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62" w:type="dxa"/>
            <w:vAlign w:val="top"/>
          </w:tcPr>
          <w:p w14:paraId="484C050E">
            <w:pPr>
              <w:pStyle w:val="55"/>
              <w:spacing w:before="93"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26</w:t>
            </w:r>
          </w:p>
        </w:tc>
        <w:tc>
          <w:tcPr>
            <w:tcW w:w="1563" w:type="dxa"/>
            <w:vAlign w:val="top"/>
          </w:tcPr>
          <w:p w14:paraId="2C180BE1">
            <w:pPr>
              <w:pStyle w:val="55"/>
              <w:spacing w:before="51" w:line="222" w:lineRule="auto"/>
              <w:ind w:left="348"/>
              <w:jc w:val="both"/>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辣面子</w:t>
            </w:r>
          </w:p>
        </w:tc>
        <w:tc>
          <w:tcPr>
            <w:tcW w:w="6600" w:type="dxa"/>
            <w:vAlign w:val="top"/>
          </w:tcPr>
          <w:p w14:paraId="2192A6D2">
            <w:pPr>
              <w:spacing w:before="51" w:line="22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5B7CF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62" w:type="dxa"/>
            <w:vAlign w:val="top"/>
          </w:tcPr>
          <w:p w14:paraId="25837E2D">
            <w:pPr>
              <w:pStyle w:val="55"/>
              <w:spacing w:before="93"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27</w:t>
            </w:r>
          </w:p>
        </w:tc>
        <w:tc>
          <w:tcPr>
            <w:tcW w:w="1563" w:type="dxa"/>
            <w:vAlign w:val="top"/>
          </w:tcPr>
          <w:p w14:paraId="0EED8B5B">
            <w:pPr>
              <w:pStyle w:val="55"/>
              <w:spacing w:before="51" w:line="223" w:lineRule="auto"/>
              <w:ind w:left="348"/>
              <w:jc w:val="both"/>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豌豆粉</w:t>
            </w:r>
          </w:p>
        </w:tc>
        <w:tc>
          <w:tcPr>
            <w:tcW w:w="6600" w:type="dxa"/>
            <w:vAlign w:val="top"/>
          </w:tcPr>
          <w:p w14:paraId="06AC9A0A">
            <w:pPr>
              <w:spacing w:before="52"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56171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62" w:type="dxa"/>
            <w:vAlign w:val="top"/>
          </w:tcPr>
          <w:p w14:paraId="37ACC49C">
            <w:pPr>
              <w:pStyle w:val="55"/>
              <w:spacing w:before="94"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28</w:t>
            </w:r>
          </w:p>
        </w:tc>
        <w:tc>
          <w:tcPr>
            <w:tcW w:w="1563" w:type="dxa"/>
            <w:vAlign w:val="top"/>
          </w:tcPr>
          <w:p w14:paraId="40EB5E0F">
            <w:pPr>
              <w:pStyle w:val="55"/>
              <w:spacing w:before="53" w:line="222" w:lineRule="auto"/>
              <w:ind w:left="232"/>
              <w:jc w:val="both"/>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玉米淀粉</w:t>
            </w:r>
          </w:p>
        </w:tc>
        <w:tc>
          <w:tcPr>
            <w:tcW w:w="6600" w:type="dxa"/>
            <w:vAlign w:val="top"/>
          </w:tcPr>
          <w:p w14:paraId="6019F0FD">
            <w:pPr>
              <w:spacing w:before="53"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774AE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62" w:type="dxa"/>
            <w:vAlign w:val="top"/>
          </w:tcPr>
          <w:p w14:paraId="30F2779D">
            <w:pPr>
              <w:pStyle w:val="55"/>
              <w:spacing w:before="95"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29</w:t>
            </w:r>
          </w:p>
        </w:tc>
        <w:tc>
          <w:tcPr>
            <w:tcW w:w="1563" w:type="dxa"/>
            <w:vAlign w:val="top"/>
          </w:tcPr>
          <w:p w14:paraId="716C139C">
            <w:pPr>
              <w:pStyle w:val="55"/>
              <w:spacing w:before="53" w:line="223" w:lineRule="auto"/>
              <w:ind w:left="354"/>
              <w:jc w:val="both"/>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发酵粉</w:t>
            </w:r>
          </w:p>
        </w:tc>
        <w:tc>
          <w:tcPr>
            <w:tcW w:w="6600" w:type="dxa"/>
            <w:vAlign w:val="top"/>
          </w:tcPr>
          <w:p w14:paraId="7983E1E0">
            <w:pPr>
              <w:spacing w:before="53" w:line="224"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782BD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2E3E0E6C">
            <w:pPr>
              <w:pStyle w:val="55"/>
              <w:spacing w:before="96"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30</w:t>
            </w:r>
          </w:p>
        </w:tc>
        <w:tc>
          <w:tcPr>
            <w:tcW w:w="1563" w:type="dxa"/>
            <w:vAlign w:val="top"/>
          </w:tcPr>
          <w:p w14:paraId="28BA9DF0">
            <w:pPr>
              <w:pStyle w:val="55"/>
              <w:spacing w:before="54" w:line="223" w:lineRule="auto"/>
              <w:ind w:left="354"/>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胡椒粉</w:t>
            </w:r>
          </w:p>
        </w:tc>
        <w:tc>
          <w:tcPr>
            <w:tcW w:w="6600" w:type="dxa"/>
            <w:vAlign w:val="top"/>
          </w:tcPr>
          <w:p w14:paraId="4925D9A1">
            <w:pPr>
              <w:spacing w:before="54" w:line="22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1C57B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1E45EF03">
            <w:pPr>
              <w:pStyle w:val="55"/>
              <w:spacing w:before="95" w:line="18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31</w:t>
            </w:r>
          </w:p>
        </w:tc>
        <w:tc>
          <w:tcPr>
            <w:tcW w:w="1563" w:type="dxa"/>
            <w:vAlign w:val="top"/>
          </w:tcPr>
          <w:p w14:paraId="35205FE4">
            <w:pPr>
              <w:pStyle w:val="55"/>
              <w:spacing w:before="55" w:line="220" w:lineRule="auto"/>
              <w:ind w:left="349"/>
              <w:jc w:val="both"/>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花椒粉</w:t>
            </w:r>
          </w:p>
        </w:tc>
        <w:tc>
          <w:tcPr>
            <w:tcW w:w="6600" w:type="dxa"/>
            <w:vAlign w:val="top"/>
          </w:tcPr>
          <w:p w14:paraId="41FE3617">
            <w:pPr>
              <w:spacing w:before="54" w:line="224"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120F0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45033F21">
            <w:pPr>
              <w:pStyle w:val="55"/>
              <w:spacing w:before="96"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32</w:t>
            </w:r>
          </w:p>
        </w:tc>
        <w:tc>
          <w:tcPr>
            <w:tcW w:w="1563" w:type="dxa"/>
            <w:vAlign w:val="top"/>
          </w:tcPr>
          <w:p w14:paraId="22071AD9">
            <w:pPr>
              <w:pStyle w:val="55"/>
              <w:spacing w:before="54" w:line="223" w:lineRule="auto"/>
              <w:ind w:left="472"/>
              <w:jc w:val="both"/>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姜粉</w:t>
            </w:r>
          </w:p>
        </w:tc>
        <w:tc>
          <w:tcPr>
            <w:tcW w:w="6600" w:type="dxa"/>
            <w:vAlign w:val="top"/>
          </w:tcPr>
          <w:p w14:paraId="7377DD34">
            <w:pPr>
              <w:spacing w:before="54" w:line="22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73C30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62" w:type="dxa"/>
            <w:vAlign w:val="top"/>
          </w:tcPr>
          <w:p w14:paraId="35FFB73D">
            <w:pPr>
              <w:pStyle w:val="55"/>
              <w:spacing w:before="96"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33</w:t>
            </w:r>
          </w:p>
        </w:tc>
        <w:tc>
          <w:tcPr>
            <w:tcW w:w="1563" w:type="dxa"/>
            <w:vAlign w:val="top"/>
          </w:tcPr>
          <w:p w14:paraId="26FC80E2">
            <w:pPr>
              <w:pStyle w:val="55"/>
              <w:spacing w:before="55" w:line="222" w:lineRule="auto"/>
              <w:ind w:left="383"/>
              <w:jc w:val="both"/>
              <w:rPr>
                <w:rFonts w:hint="eastAsia" w:ascii="仿宋" w:hAnsi="仿宋" w:eastAsia="仿宋" w:cs="仿宋"/>
                <w:color w:val="auto"/>
                <w:sz w:val="24"/>
                <w:szCs w:val="24"/>
                <w:highlight w:val="none"/>
              </w:rPr>
            </w:pPr>
            <w:r>
              <w:rPr>
                <w:rFonts w:hint="eastAsia" w:ascii="仿宋" w:hAnsi="仿宋" w:eastAsia="仿宋" w:cs="仿宋"/>
                <w:color w:val="auto"/>
                <w:spacing w:val="-18"/>
                <w:sz w:val="24"/>
                <w:szCs w:val="24"/>
                <w:highlight w:val="none"/>
              </w:rPr>
              <w:t>白砂糖</w:t>
            </w:r>
          </w:p>
        </w:tc>
        <w:tc>
          <w:tcPr>
            <w:tcW w:w="6600" w:type="dxa"/>
            <w:vAlign w:val="top"/>
          </w:tcPr>
          <w:p w14:paraId="644802FA">
            <w:pPr>
              <w:spacing w:before="55"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7CA7E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5375D7EC">
            <w:pPr>
              <w:pStyle w:val="55"/>
              <w:spacing w:before="97"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34</w:t>
            </w:r>
          </w:p>
        </w:tc>
        <w:tc>
          <w:tcPr>
            <w:tcW w:w="1563" w:type="dxa"/>
            <w:vAlign w:val="top"/>
          </w:tcPr>
          <w:p w14:paraId="64ED9F12">
            <w:pPr>
              <w:pStyle w:val="55"/>
              <w:spacing w:before="55" w:line="222" w:lineRule="auto"/>
              <w:ind w:left="348"/>
              <w:jc w:val="both"/>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辣皮子</w:t>
            </w:r>
          </w:p>
        </w:tc>
        <w:tc>
          <w:tcPr>
            <w:tcW w:w="6600" w:type="dxa"/>
            <w:vAlign w:val="top"/>
          </w:tcPr>
          <w:p w14:paraId="5E501150">
            <w:pPr>
              <w:spacing w:before="56" w:line="22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50973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5C48065F">
            <w:pPr>
              <w:pStyle w:val="55"/>
              <w:spacing w:before="97"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35</w:t>
            </w:r>
          </w:p>
        </w:tc>
        <w:tc>
          <w:tcPr>
            <w:tcW w:w="1563" w:type="dxa"/>
            <w:vAlign w:val="top"/>
          </w:tcPr>
          <w:p w14:paraId="05E6BFD0">
            <w:pPr>
              <w:pStyle w:val="55"/>
              <w:spacing w:before="56" w:line="222" w:lineRule="auto"/>
              <w:ind w:left="468"/>
              <w:jc w:val="both"/>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鸡精</w:t>
            </w:r>
          </w:p>
        </w:tc>
        <w:tc>
          <w:tcPr>
            <w:tcW w:w="6600" w:type="dxa"/>
            <w:vAlign w:val="top"/>
          </w:tcPr>
          <w:p w14:paraId="2C89D0A6">
            <w:pPr>
              <w:pStyle w:val="55"/>
              <w:spacing w:before="55" w:line="22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袋</w:t>
            </w:r>
            <w:r>
              <w:rPr>
                <w:rFonts w:hint="eastAsia" w:ascii="仿宋" w:hAnsi="仿宋" w:eastAsia="仿宋" w:cs="仿宋"/>
                <w:color w:val="auto"/>
                <w:spacing w:val="-5"/>
                <w:sz w:val="24"/>
                <w:szCs w:val="24"/>
                <w:highlight w:val="none"/>
                <w:lang w:val="en-US" w:eastAsia="zh-CN"/>
              </w:rPr>
              <w:t>装</w:t>
            </w:r>
          </w:p>
        </w:tc>
      </w:tr>
      <w:tr w14:paraId="35E5C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430A65BF">
            <w:pPr>
              <w:pStyle w:val="55"/>
              <w:spacing w:before="97"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36</w:t>
            </w:r>
          </w:p>
        </w:tc>
        <w:tc>
          <w:tcPr>
            <w:tcW w:w="1563" w:type="dxa"/>
            <w:vAlign w:val="top"/>
          </w:tcPr>
          <w:p w14:paraId="352054F8">
            <w:pPr>
              <w:pStyle w:val="55"/>
              <w:spacing w:before="55" w:line="218" w:lineRule="auto"/>
              <w:ind w:left="474"/>
              <w:jc w:val="both"/>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紫菜</w:t>
            </w:r>
          </w:p>
        </w:tc>
        <w:tc>
          <w:tcPr>
            <w:tcW w:w="6600" w:type="dxa"/>
            <w:vAlign w:val="top"/>
          </w:tcPr>
          <w:p w14:paraId="7360DB28">
            <w:pPr>
              <w:pStyle w:val="55"/>
              <w:spacing w:before="55" w:line="22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独立包装</w:t>
            </w:r>
          </w:p>
        </w:tc>
      </w:tr>
      <w:tr w14:paraId="5C4FB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587A31FF">
            <w:pPr>
              <w:pStyle w:val="55"/>
              <w:spacing w:before="97"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37</w:t>
            </w:r>
          </w:p>
        </w:tc>
        <w:tc>
          <w:tcPr>
            <w:tcW w:w="1563" w:type="dxa"/>
            <w:vAlign w:val="top"/>
          </w:tcPr>
          <w:p w14:paraId="332C991D">
            <w:pPr>
              <w:pStyle w:val="55"/>
              <w:spacing w:before="55" w:line="221" w:lineRule="auto"/>
              <w:ind w:left="471"/>
              <w:jc w:val="both"/>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虾皮</w:t>
            </w:r>
          </w:p>
        </w:tc>
        <w:tc>
          <w:tcPr>
            <w:tcW w:w="6600" w:type="dxa"/>
            <w:vAlign w:val="top"/>
          </w:tcPr>
          <w:p w14:paraId="1C460216">
            <w:pPr>
              <w:pStyle w:val="55"/>
              <w:spacing w:before="55" w:line="22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415DD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05FDE3AE">
            <w:pPr>
              <w:pStyle w:val="55"/>
              <w:spacing w:before="97"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38</w:t>
            </w:r>
          </w:p>
        </w:tc>
        <w:tc>
          <w:tcPr>
            <w:tcW w:w="1563" w:type="dxa"/>
            <w:vAlign w:val="top"/>
          </w:tcPr>
          <w:p w14:paraId="177A79A3">
            <w:pPr>
              <w:pStyle w:val="55"/>
              <w:spacing w:before="55" w:line="223" w:lineRule="auto"/>
              <w:ind w:left="468"/>
              <w:jc w:val="both"/>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粉条</w:t>
            </w:r>
          </w:p>
        </w:tc>
        <w:tc>
          <w:tcPr>
            <w:tcW w:w="6600" w:type="dxa"/>
            <w:vAlign w:val="top"/>
          </w:tcPr>
          <w:p w14:paraId="2478A7FF">
            <w:pPr>
              <w:pStyle w:val="55"/>
              <w:spacing w:before="55" w:line="223"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71AF1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7C73DB24">
            <w:pPr>
              <w:pStyle w:val="55"/>
              <w:spacing w:before="97"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39</w:t>
            </w:r>
          </w:p>
        </w:tc>
        <w:tc>
          <w:tcPr>
            <w:tcW w:w="1563" w:type="dxa"/>
            <w:vAlign w:val="top"/>
          </w:tcPr>
          <w:p w14:paraId="0EAC74C4">
            <w:pPr>
              <w:pStyle w:val="55"/>
              <w:spacing w:before="56" w:line="220" w:lineRule="auto"/>
              <w:ind w:left="355"/>
              <w:jc w:val="both"/>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干海带</w:t>
            </w:r>
          </w:p>
        </w:tc>
        <w:tc>
          <w:tcPr>
            <w:tcW w:w="6600" w:type="dxa"/>
            <w:vAlign w:val="top"/>
          </w:tcPr>
          <w:p w14:paraId="01C77203">
            <w:pPr>
              <w:pStyle w:val="55"/>
              <w:spacing w:before="55" w:line="22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3CE32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1C3FE7BB">
            <w:pPr>
              <w:pStyle w:val="55"/>
              <w:spacing w:before="97"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40</w:t>
            </w:r>
          </w:p>
        </w:tc>
        <w:tc>
          <w:tcPr>
            <w:tcW w:w="1563" w:type="dxa"/>
            <w:vAlign w:val="top"/>
          </w:tcPr>
          <w:p w14:paraId="791071CA">
            <w:pPr>
              <w:pStyle w:val="55"/>
              <w:spacing w:before="55" w:line="222" w:lineRule="auto"/>
              <w:ind w:left="228"/>
              <w:jc w:val="both"/>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天然木耳</w:t>
            </w:r>
          </w:p>
        </w:tc>
        <w:tc>
          <w:tcPr>
            <w:tcW w:w="6600" w:type="dxa"/>
            <w:vAlign w:val="top"/>
          </w:tcPr>
          <w:p w14:paraId="3E9D4631">
            <w:pPr>
              <w:pStyle w:val="55"/>
              <w:spacing w:before="55" w:line="22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0FCFB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62" w:type="dxa"/>
            <w:vAlign w:val="top"/>
          </w:tcPr>
          <w:p w14:paraId="4189D0BD">
            <w:pPr>
              <w:pStyle w:val="55"/>
              <w:spacing w:before="96" w:line="18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41</w:t>
            </w:r>
          </w:p>
        </w:tc>
        <w:tc>
          <w:tcPr>
            <w:tcW w:w="1563" w:type="dxa"/>
            <w:vAlign w:val="top"/>
          </w:tcPr>
          <w:p w14:paraId="60A3F99B">
            <w:pPr>
              <w:pStyle w:val="55"/>
              <w:spacing w:before="55" w:line="223" w:lineRule="auto"/>
              <w:ind w:left="355"/>
              <w:jc w:val="both"/>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干香菇</w:t>
            </w:r>
          </w:p>
        </w:tc>
        <w:tc>
          <w:tcPr>
            <w:tcW w:w="6600" w:type="dxa"/>
            <w:vAlign w:val="top"/>
          </w:tcPr>
          <w:p w14:paraId="0AB9B814">
            <w:pPr>
              <w:pStyle w:val="55"/>
              <w:spacing w:before="55" w:line="221"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2E5A3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130643ED">
            <w:pPr>
              <w:pStyle w:val="55"/>
              <w:spacing w:before="98"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42</w:t>
            </w:r>
          </w:p>
        </w:tc>
        <w:tc>
          <w:tcPr>
            <w:tcW w:w="1563" w:type="dxa"/>
            <w:vAlign w:val="top"/>
          </w:tcPr>
          <w:p w14:paraId="7338C4A6">
            <w:pPr>
              <w:pStyle w:val="55"/>
              <w:spacing w:before="57" w:line="222" w:lineRule="auto"/>
              <w:ind w:left="35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val="en-US" w:eastAsia="zh-CN"/>
              </w:rPr>
              <w:t>干辣椒</w:t>
            </w:r>
          </w:p>
        </w:tc>
        <w:tc>
          <w:tcPr>
            <w:tcW w:w="6600" w:type="dxa"/>
            <w:vAlign w:val="top"/>
          </w:tcPr>
          <w:p w14:paraId="1304846D">
            <w:pPr>
              <w:pStyle w:val="55"/>
              <w:spacing w:before="56" w:line="22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散称优质</w:t>
            </w:r>
          </w:p>
        </w:tc>
      </w:tr>
      <w:tr w14:paraId="3E35D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36235591">
            <w:pPr>
              <w:pStyle w:val="55"/>
              <w:spacing w:before="98"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43</w:t>
            </w:r>
          </w:p>
        </w:tc>
        <w:tc>
          <w:tcPr>
            <w:tcW w:w="1563" w:type="dxa"/>
            <w:vAlign w:val="top"/>
          </w:tcPr>
          <w:p w14:paraId="205E454A">
            <w:pPr>
              <w:pStyle w:val="55"/>
              <w:spacing w:before="56" w:line="223" w:lineRule="auto"/>
              <w:ind w:left="347"/>
              <w:jc w:val="both"/>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孜然粉</w:t>
            </w:r>
          </w:p>
        </w:tc>
        <w:tc>
          <w:tcPr>
            <w:tcW w:w="6600" w:type="dxa"/>
            <w:vAlign w:val="top"/>
          </w:tcPr>
          <w:p w14:paraId="17185A59">
            <w:pPr>
              <w:spacing w:before="56" w:line="22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49EF5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0C466A52">
            <w:pPr>
              <w:pStyle w:val="55"/>
              <w:spacing w:before="98"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44</w:t>
            </w:r>
          </w:p>
        </w:tc>
        <w:tc>
          <w:tcPr>
            <w:tcW w:w="1563" w:type="dxa"/>
            <w:vAlign w:val="top"/>
          </w:tcPr>
          <w:p w14:paraId="52CD7C88">
            <w:pPr>
              <w:pStyle w:val="55"/>
              <w:spacing w:before="57" w:line="220" w:lineRule="auto"/>
              <w:ind w:left="501"/>
              <w:jc w:val="both"/>
              <w:rPr>
                <w:rFonts w:hint="eastAsia" w:ascii="仿宋" w:hAnsi="仿宋" w:eastAsia="仿宋" w:cs="仿宋"/>
                <w:color w:val="auto"/>
                <w:sz w:val="24"/>
                <w:szCs w:val="24"/>
                <w:highlight w:val="none"/>
              </w:rPr>
            </w:pPr>
            <w:r>
              <w:rPr>
                <w:rFonts w:hint="eastAsia" w:ascii="仿宋" w:hAnsi="仿宋" w:eastAsia="仿宋" w:cs="仿宋"/>
                <w:color w:val="auto"/>
                <w:spacing w:val="-25"/>
                <w:sz w:val="24"/>
                <w:szCs w:val="24"/>
                <w:highlight w:val="none"/>
              </w:rPr>
              <w:t>卤料</w:t>
            </w:r>
          </w:p>
        </w:tc>
        <w:tc>
          <w:tcPr>
            <w:tcW w:w="6600" w:type="dxa"/>
            <w:vAlign w:val="top"/>
          </w:tcPr>
          <w:p w14:paraId="257E0B4B">
            <w:pPr>
              <w:spacing w:before="56" w:line="22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7EB2C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59DE566F">
            <w:pPr>
              <w:pStyle w:val="55"/>
              <w:spacing w:before="98"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45</w:t>
            </w:r>
          </w:p>
        </w:tc>
        <w:tc>
          <w:tcPr>
            <w:tcW w:w="1563" w:type="dxa"/>
            <w:vAlign w:val="top"/>
          </w:tcPr>
          <w:p w14:paraId="76039CCF">
            <w:pPr>
              <w:pStyle w:val="55"/>
              <w:spacing w:before="57" w:line="220" w:lineRule="auto"/>
              <w:ind w:left="349"/>
              <w:jc w:val="both"/>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花椒粒</w:t>
            </w:r>
          </w:p>
        </w:tc>
        <w:tc>
          <w:tcPr>
            <w:tcW w:w="6600" w:type="dxa"/>
            <w:vAlign w:val="top"/>
          </w:tcPr>
          <w:p w14:paraId="69E8EEA8">
            <w:pPr>
              <w:spacing w:before="56" w:line="22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76E0B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62" w:type="dxa"/>
            <w:vAlign w:val="top"/>
          </w:tcPr>
          <w:p w14:paraId="175085BE">
            <w:pPr>
              <w:pStyle w:val="55"/>
              <w:spacing w:before="96"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46</w:t>
            </w:r>
          </w:p>
        </w:tc>
        <w:tc>
          <w:tcPr>
            <w:tcW w:w="1563" w:type="dxa"/>
            <w:vAlign w:val="top"/>
          </w:tcPr>
          <w:p w14:paraId="39E6E6C1">
            <w:pPr>
              <w:pStyle w:val="55"/>
              <w:spacing w:before="55" w:line="224" w:lineRule="auto"/>
              <w:ind w:left="467"/>
              <w:jc w:val="both"/>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八角</w:t>
            </w:r>
          </w:p>
        </w:tc>
        <w:tc>
          <w:tcPr>
            <w:tcW w:w="6600" w:type="dxa"/>
            <w:vAlign w:val="top"/>
          </w:tcPr>
          <w:p w14:paraId="2A76E809">
            <w:pPr>
              <w:spacing w:before="54" w:line="22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1915A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6AB6CE0">
            <w:pPr>
              <w:pStyle w:val="55"/>
              <w:spacing w:before="96" w:line="1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47</w:t>
            </w:r>
          </w:p>
        </w:tc>
        <w:tc>
          <w:tcPr>
            <w:tcW w:w="1563" w:type="dxa"/>
            <w:vAlign w:val="top"/>
          </w:tcPr>
          <w:p w14:paraId="26C2BA74">
            <w:pPr>
              <w:pStyle w:val="55"/>
              <w:spacing w:before="54" w:line="222" w:lineRule="auto"/>
              <w:ind w:left="468"/>
              <w:jc w:val="both"/>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桂皮</w:t>
            </w:r>
          </w:p>
        </w:tc>
        <w:tc>
          <w:tcPr>
            <w:tcW w:w="6600" w:type="dxa"/>
            <w:vAlign w:val="top"/>
          </w:tcPr>
          <w:p w14:paraId="206F6E2E">
            <w:pPr>
              <w:spacing w:before="54" w:line="22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4DE45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029BC6C8">
            <w:pPr>
              <w:pStyle w:val="55"/>
              <w:spacing w:before="97" w:line="180"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4"/>
                <w:sz w:val="24"/>
                <w:szCs w:val="24"/>
                <w:highlight w:val="none"/>
              </w:rPr>
              <w:t>48</w:t>
            </w:r>
          </w:p>
        </w:tc>
        <w:tc>
          <w:tcPr>
            <w:tcW w:w="1563" w:type="dxa"/>
            <w:vAlign w:val="top"/>
          </w:tcPr>
          <w:p w14:paraId="7BF45E7B">
            <w:pPr>
              <w:pStyle w:val="55"/>
              <w:spacing w:before="56" w:line="223" w:lineRule="auto"/>
              <w:ind w:left="473" w:leftChars="0"/>
              <w:jc w:val="both"/>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11"/>
                <w:sz w:val="24"/>
                <w:szCs w:val="24"/>
                <w:highlight w:val="none"/>
              </w:rPr>
              <w:t>淀粉</w:t>
            </w:r>
          </w:p>
        </w:tc>
        <w:tc>
          <w:tcPr>
            <w:tcW w:w="6600" w:type="dxa"/>
            <w:vAlign w:val="top"/>
          </w:tcPr>
          <w:p w14:paraId="3520138B">
            <w:pPr>
              <w:pStyle w:val="55"/>
              <w:spacing w:before="56" w:line="222"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63714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4DE2EC22">
            <w:pPr>
              <w:pStyle w:val="55"/>
              <w:spacing w:before="91" w:line="180"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4"/>
                <w:sz w:val="24"/>
                <w:szCs w:val="24"/>
                <w:highlight w:val="none"/>
              </w:rPr>
              <w:t>49</w:t>
            </w:r>
          </w:p>
        </w:tc>
        <w:tc>
          <w:tcPr>
            <w:tcW w:w="1563" w:type="dxa"/>
            <w:vAlign w:val="top"/>
          </w:tcPr>
          <w:p w14:paraId="42AD6369">
            <w:pPr>
              <w:pStyle w:val="55"/>
              <w:spacing w:before="50" w:line="222" w:lineRule="auto"/>
              <w:ind w:left="469" w:leftChars="0"/>
              <w:jc w:val="both"/>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9"/>
                <w:sz w:val="24"/>
                <w:szCs w:val="24"/>
                <w:highlight w:val="none"/>
              </w:rPr>
              <w:t>冰糖</w:t>
            </w:r>
          </w:p>
        </w:tc>
        <w:tc>
          <w:tcPr>
            <w:tcW w:w="6600" w:type="dxa"/>
            <w:vAlign w:val="top"/>
          </w:tcPr>
          <w:p w14:paraId="504827C8">
            <w:pPr>
              <w:pStyle w:val="55"/>
              <w:spacing w:before="50" w:line="222"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34DBC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2C9C7B11">
            <w:pPr>
              <w:pStyle w:val="55"/>
              <w:spacing w:before="91" w:line="180"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50</w:t>
            </w:r>
          </w:p>
        </w:tc>
        <w:tc>
          <w:tcPr>
            <w:tcW w:w="1563" w:type="dxa"/>
            <w:vAlign w:val="top"/>
          </w:tcPr>
          <w:p w14:paraId="32D2C0FA">
            <w:pPr>
              <w:pStyle w:val="55"/>
              <w:spacing w:before="49" w:line="224" w:lineRule="auto"/>
              <w:ind w:left="503" w:leftChars="0"/>
              <w:jc w:val="both"/>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26"/>
                <w:sz w:val="24"/>
                <w:szCs w:val="24"/>
                <w:highlight w:val="none"/>
              </w:rPr>
              <w:t>白醋</w:t>
            </w:r>
          </w:p>
        </w:tc>
        <w:tc>
          <w:tcPr>
            <w:tcW w:w="6600" w:type="dxa"/>
            <w:vAlign w:val="top"/>
          </w:tcPr>
          <w:p w14:paraId="6E678B7F">
            <w:pPr>
              <w:pStyle w:val="55"/>
              <w:spacing w:before="91" w:line="180"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2"/>
                <w:sz w:val="24"/>
                <w:szCs w:val="24"/>
                <w:highlight w:val="none"/>
              </w:rPr>
              <w:t>瓶</w:t>
            </w:r>
            <w:r>
              <w:rPr>
                <w:rFonts w:hint="eastAsia" w:ascii="仿宋" w:hAnsi="仿宋" w:eastAsia="仿宋" w:cs="仿宋"/>
                <w:color w:val="auto"/>
                <w:spacing w:val="-5"/>
                <w:sz w:val="24"/>
                <w:szCs w:val="24"/>
                <w:highlight w:val="none"/>
                <w:lang w:val="en-US" w:eastAsia="zh-CN"/>
              </w:rPr>
              <w:t>装</w:t>
            </w:r>
          </w:p>
        </w:tc>
      </w:tr>
      <w:tr w14:paraId="55D8A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533D3FB">
            <w:pPr>
              <w:pStyle w:val="55"/>
              <w:spacing w:before="90" w:line="181"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51</w:t>
            </w:r>
          </w:p>
        </w:tc>
        <w:tc>
          <w:tcPr>
            <w:tcW w:w="1563" w:type="dxa"/>
            <w:vAlign w:val="top"/>
          </w:tcPr>
          <w:p w14:paraId="69D99281">
            <w:pPr>
              <w:pStyle w:val="55"/>
              <w:spacing w:before="50" w:line="220" w:lineRule="auto"/>
              <w:ind w:left="467" w:leftChars="0"/>
              <w:jc w:val="both"/>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8"/>
                <w:sz w:val="24"/>
                <w:szCs w:val="24"/>
                <w:highlight w:val="none"/>
              </w:rPr>
              <w:t>料酒</w:t>
            </w:r>
          </w:p>
        </w:tc>
        <w:tc>
          <w:tcPr>
            <w:tcW w:w="6600" w:type="dxa"/>
            <w:vAlign w:val="top"/>
          </w:tcPr>
          <w:p w14:paraId="01E989F0">
            <w:pPr>
              <w:pStyle w:val="55"/>
              <w:spacing w:before="91" w:line="180"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2"/>
                <w:sz w:val="24"/>
                <w:szCs w:val="24"/>
                <w:highlight w:val="none"/>
              </w:rPr>
              <w:t>瓶</w:t>
            </w:r>
            <w:r>
              <w:rPr>
                <w:rFonts w:hint="eastAsia" w:ascii="仿宋" w:hAnsi="仿宋" w:eastAsia="仿宋" w:cs="仿宋"/>
                <w:color w:val="auto"/>
                <w:spacing w:val="-5"/>
                <w:sz w:val="24"/>
                <w:szCs w:val="24"/>
                <w:highlight w:val="none"/>
                <w:lang w:val="en-US" w:eastAsia="zh-CN"/>
              </w:rPr>
              <w:t>装</w:t>
            </w:r>
          </w:p>
        </w:tc>
      </w:tr>
      <w:tr w14:paraId="09B87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598D2B31">
            <w:pPr>
              <w:pStyle w:val="55"/>
              <w:spacing w:before="92" w:line="180"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52</w:t>
            </w:r>
          </w:p>
        </w:tc>
        <w:tc>
          <w:tcPr>
            <w:tcW w:w="1563" w:type="dxa"/>
            <w:vAlign w:val="top"/>
          </w:tcPr>
          <w:p w14:paraId="1D831C3D">
            <w:pPr>
              <w:pStyle w:val="55"/>
              <w:spacing w:before="50" w:line="223" w:lineRule="auto"/>
              <w:ind w:left="346" w:leftChars="0"/>
              <w:jc w:val="both"/>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5"/>
                <w:sz w:val="24"/>
                <w:szCs w:val="24"/>
                <w:highlight w:val="none"/>
              </w:rPr>
              <w:t>碱面子</w:t>
            </w:r>
          </w:p>
        </w:tc>
        <w:tc>
          <w:tcPr>
            <w:tcW w:w="6600" w:type="dxa"/>
            <w:vAlign w:val="top"/>
          </w:tcPr>
          <w:p w14:paraId="40C61372">
            <w:pPr>
              <w:pStyle w:val="55"/>
              <w:spacing w:before="50" w:line="224"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36FAC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3FA92706">
            <w:pPr>
              <w:pStyle w:val="55"/>
              <w:spacing w:before="93" w:line="180"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53</w:t>
            </w:r>
          </w:p>
        </w:tc>
        <w:tc>
          <w:tcPr>
            <w:tcW w:w="1563" w:type="dxa"/>
            <w:vAlign w:val="top"/>
          </w:tcPr>
          <w:p w14:paraId="773E903C">
            <w:pPr>
              <w:pStyle w:val="55"/>
              <w:spacing w:before="52" w:line="222" w:lineRule="auto"/>
              <w:ind w:left="468" w:leftChars="0"/>
              <w:jc w:val="both"/>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9"/>
                <w:sz w:val="24"/>
                <w:szCs w:val="24"/>
                <w:highlight w:val="none"/>
              </w:rPr>
              <w:t>银耳</w:t>
            </w:r>
          </w:p>
        </w:tc>
        <w:tc>
          <w:tcPr>
            <w:tcW w:w="6600" w:type="dxa"/>
            <w:vAlign w:val="top"/>
          </w:tcPr>
          <w:p w14:paraId="3F7F5062">
            <w:pPr>
              <w:pStyle w:val="55"/>
              <w:spacing w:before="52" w:line="222"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3EF56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25654A5C">
            <w:pPr>
              <w:pStyle w:val="55"/>
              <w:spacing w:before="93" w:line="180"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54</w:t>
            </w:r>
          </w:p>
        </w:tc>
        <w:tc>
          <w:tcPr>
            <w:tcW w:w="1563" w:type="dxa"/>
            <w:vAlign w:val="top"/>
          </w:tcPr>
          <w:p w14:paraId="5282A828">
            <w:pPr>
              <w:pStyle w:val="55"/>
              <w:spacing w:before="51" w:line="223" w:lineRule="auto"/>
              <w:ind w:left="355" w:leftChars="0"/>
              <w:jc w:val="both"/>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8"/>
                <w:sz w:val="24"/>
                <w:szCs w:val="24"/>
                <w:highlight w:val="none"/>
              </w:rPr>
              <w:t>火腿肠</w:t>
            </w:r>
          </w:p>
        </w:tc>
        <w:tc>
          <w:tcPr>
            <w:tcW w:w="6600" w:type="dxa"/>
            <w:vAlign w:val="top"/>
          </w:tcPr>
          <w:p w14:paraId="78B828ED">
            <w:pPr>
              <w:pStyle w:val="55"/>
              <w:spacing w:before="52" w:line="222"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4"/>
                <w:sz w:val="24"/>
                <w:szCs w:val="24"/>
                <w:highlight w:val="none"/>
              </w:rPr>
              <w:t>鸡肉或牛肉</w:t>
            </w:r>
          </w:p>
        </w:tc>
      </w:tr>
      <w:tr w14:paraId="6C204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025E7CB0">
            <w:pPr>
              <w:pStyle w:val="55"/>
              <w:spacing w:before="95" w:line="179"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55</w:t>
            </w:r>
          </w:p>
        </w:tc>
        <w:tc>
          <w:tcPr>
            <w:tcW w:w="1563" w:type="dxa"/>
            <w:vAlign w:val="top"/>
          </w:tcPr>
          <w:p w14:paraId="4BE7064B">
            <w:pPr>
              <w:pStyle w:val="55"/>
              <w:spacing w:before="52" w:line="223" w:lineRule="auto"/>
              <w:ind w:left="348" w:leftChars="0"/>
              <w:jc w:val="both"/>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6"/>
                <w:sz w:val="24"/>
                <w:szCs w:val="24"/>
                <w:highlight w:val="none"/>
              </w:rPr>
              <w:t>甜面酱</w:t>
            </w:r>
          </w:p>
        </w:tc>
        <w:tc>
          <w:tcPr>
            <w:tcW w:w="6600" w:type="dxa"/>
            <w:vAlign w:val="top"/>
          </w:tcPr>
          <w:p w14:paraId="5D9D4D82">
            <w:pPr>
              <w:spacing w:before="52" w:line="224"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2"/>
                <w:sz w:val="24"/>
                <w:szCs w:val="24"/>
                <w:highlight w:val="none"/>
              </w:rPr>
              <w:t>瓶</w:t>
            </w:r>
            <w:r>
              <w:rPr>
                <w:rFonts w:hint="eastAsia" w:ascii="仿宋" w:hAnsi="仿宋" w:eastAsia="仿宋" w:cs="仿宋"/>
                <w:color w:val="auto"/>
                <w:spacing w:val="-5"/>
                <w:sz w:val="24"/>
                <w:szCs w:val="24"/>
                <w:highlight w:val="none"/>
                <w:lang w:val="en-US" w:eastAsia="zh-CN"/>
              </w:rPr>
              <w:t>装</w:t>
            </w:r>
          </w:p>
        </w:tc>
      </w:tr>
      <w:tr w14:paraId="3975C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BFC1281">
            <w:pPr>
              <w:pStyle w:val="55"/>
              <w:spacing w:before="94" w:line="180"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56</w:t>
            </w:r>
          </w:p>
        </w:tc>
        <w:tc>
          <w:tcPr>
            <w:tcW w:w="1563" w:type="dxa"/>
            <w:vAlign w:val="top"/>
          </w:tcPr>
          <w:p w14:paraId="3740F329">
            <w:pPr>
              <w:pStyle w:val="55"/>
              <w:spacing w:before="52" w:line="223" w:lineRule="auto"/>
              <w:ind w:left="348" w:leftChars="0"/>
              <w:jc w:val="both"/>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6"/>
                <w:sz w:val="24"/>
                <w:szCs w:val="24"/>
                <w:highlight w:val="none"/>
              </w:rPr>
              <w:t>黄豆酱</w:t>
            </w:r>
          </w:p>
        </w:tc>
        <w:tc>
          <w:tcPr>
            <w:tcW w:w="6600" w:type="dxa"/>
            <w:vAlign w:val="top"/>
          </w:tcPr>
          <w:p w14:paraId="333C4E4C">
            <w:pPr>
              <w:spacing w:before="52" w:line="224"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2"/>
                <w:sz w:val="24"/>
                <w:szCs w:val="24"/>
                <w:highlight w:val="none"/>
              </w:rPr>
              <w:t>瓶</w:t>
            </w:r>
            <w:r>
              <w:rPr>
                <w:rFonts w:hint="eastAsia" w:ascii="仿宋" w:hAnsi="仿宋" w:eastAsia="仿宋" w:cs="仿宋"/>
                <w:color w:val="auto"/>
                <w:spacing w:val="-5"/>
                <w:sz w:val="24"/>
                <w:szCs w:val="24"/>
                <w:highlight w:val="none"/>
                <w:lang w:val="en-US" w:eastAsia="zh-CN"/>
              </w:rPr>
              <w:t>装</w:t>
            </w:r>
          </w:p>
        </w:tc>
      </w:tr>
      <w:tr w14:paraId="71EB2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0D46922B">
            <w:pPr>
              <w:spacing w:line="249" w:lineRule="auto"/>
              <w:jc w:val="center"/>
              <w:rPr>
                <w:rFonts w:hint="eastAsia" w:ascii="仿宋" w:hAnsi="仿宋" w:eastAsia="仿宋" w:cs="仿宋"/>
                <w:color w:val="auto"/>
                <w:sz w:val="24"/>
                <w:szCs w:val="24"/>
                <w:highlight w:val="none"/>
              </w:rPr>
            </w:pPr>
          </w:p>
          <w:p w14:paraId="46ABAC2B">
            <w:pPr>
              <w:pStyle w:val="55"/>
              <w:spacing w:before="78" w:line="179"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57</w:t>
            </w:r>
          </w:p>
        </w:tc>
        <w:tc>
          <w:tcPr>
            <w:tcW w:w="1563" w:type="dxa"/>
            <w:vAlign w:val="top"/>
          </w:tcPr>
          <w:p w14:paraId="38F41EE6">
            <w:pPr>
              <w:pStyle w:val="55"/>
              <w:spacing w:before="53" w:line="342" w:lineRule="auto"/>
              <w:ind w:left="587" w:leftChars="0" w:right="93" w:rightChars="0" w:hanging="480" w:firstLineChars="0"/>
              <w:jc w:val="both"/>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4"/>
                <w:sz w:val="24"/>
                <w:szCs w:val="24"/>
                <w:highlight w:val="none"/>
              </w:rPr>
              <w:t>八宝粥原材</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z w:val="24"/>
                <w:szCs w:val="24"/>
                <w:highlight w:val="none"/>
              </w:rPr>
              <w:t>料</w:t>
            </w:r>
          </w:p>
        </w:tc>
        <w:tc>
          <w:tcPr>
            <w:tcW w:w="6600" w:type="dxa"/>
            <w:vAlign w:val="top"/>
          </w:tcPr>
          <w:p w14:paraId="7A6A448F">
            <w:pPr>
              <w:pStyle w:val="55"/>
              <w:spacing w:before="286" w:line="222"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4"/>
                <w:sz w:val="24"/>
                <w:szCs w:val="24"/>
                <w:highlight w:val="none"/>
              </w:rPr>
              <w:t>散装优质</w:t>
            </w:r>
          </w:p>
        </w:tc>
      </w:tr>
      <w:tr w14:paraId="0E391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42201D21">
            <w:pPr>
              <w:pStyle w:val="55"/>
              <w:spacing w:before="96" w:line="180"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58</w:t>
            </w:r>
          </w:p>
        </w:tc>
        <w:tc>
          <w:tcPr>
            <w:tcW w:w="1563" w:type="dxa"/>
            <w:vAlign w:val="top"/>
          </w:tcPr>
          <w:p w14:paraId="0470AFF6">
            <w:pPr>
              <w:pStyle w:val="55"/>
              <w:spacing w:before="55" w:line="222" w:lineRule="auto"/>
              <w:ind w:left="348" w:leftChars="0"/>
              <w:jc w:val="both"/>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6"/>
                <w:sz w:val="24"/>
                <w:szCs w:val="24"/>
                <w:highlight w:val="none"/>
              </w:rPr>
              <w:t>小黄米</w:t>
            </w:r>
          </w:p>
        </w:tc>
        <w:tc>
          <w:tcPr>
            <w:tcW w:w="6600" w:type="dxa"/>
            <w:vAlign w:val="top"/>
          </w:tcPr>
          <w:p w14:paraId="7054E733">
            <w:pPr>
              <w:pStyle w:val="55"/>
              <w:spacing w:before="55" w:line="222"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4"/>
                <w:sz w:val="24"/>
                <w:szCs w:val="24"/>
                <w:highlight w:val="none"/>
              </w:rPr>
              <w:t>散装优质</w:t>
            </w:r>
          </w:p>
        </w:tc>
      </w:tr>
      <w:tr w14:paraId="3B349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5BA3316E">
            <w:pPr>
              <w:pStyle w:val="55"/>
              <w:spacing w:before="96" w:line="180"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59</w:t>
            </w:r>
          </w:p>
        </w:tc>
        <w:tc>
          <w:tcPr>
            <w:tcW w:w="1563" w:type="dxa"/>
            <w:vAlign w:val="top"/>
          </w:tcPr>
          <w:p w14:paraId="527466A2">
            <w:pPr>
              <w:pStyle w:val="55"/>
              <w:spacing w:before="55" w:line="222" w:lineRule="auto"/>
              <w:ind w:left="354" w:leftChars="0"/>
              <w:jc w:val="both"/>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8"/>
                <w:sz w:val="24"/>
                <w:szCs w:val="24"/>
                <w:highlight w:val="none"/>
              </w:rPr>
              <w:t>发面馕</w:t>
            </w:r>
          </w:p>
        </w:tc>
        <w:tc>
          <w:tcPr>
            <w:tcW w:w="6600" w:type="dxa"/>
            <w:vAlign w:val="top"/>
          </w:tcPr>
          <w:p w14:paraId="4EF5D4ED">
            <w:pPr>
              <w:pStyle w:val="55"/>
              <w:spacing w:before="54" w:line="223" w:lineRule="auto"/>
              <w:jc w:val="center"/>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6"/>
                <w:sz w:val="24"/>
                <w:szCs w:val="24"/>
                <w:highlight w:val="none"/>
              </w:rPr>
              <w:t>一个250克</w:t>
            </w:r>
          </w:p>
        </w:tc>
      </w:tr>
      <w:tr w14:paraId="6D357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262AAAD4">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60</w:t>
            </w:r>
          </w:p>
        </w:tc>
        <w:tc>
          <w:tcPr>
            <w:tcW w:w="1563" w:type="dxa"/>
            <w:vAlign w:val="top"/>
          </w:tcPr>
          <w:p w14:paraId="6AA89446">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蜂蜜</w:t>
            </w:r>
          </w:p>
        </w:tc>
        <w:tc>
          <w:tcPr>
            <w:tcW w:w="6600" w:type="dxa"/>
            <w:vAlign w:val="top"/>
          </w:tcPr>
          <w:p w14:paraId="4C0ED01D">
            <w:pPr>
              <w:pStyle w:val="55"/>
              <w:spacing w:before="56" w:line="220" w:lineRule="auto"/>
              <w:ind w:left="355"/>
              <w:jc w:val="center"/>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罐装</w:t>
            </w:r>
          </w:p>
        </w:tc>
      </w:tr>
      <w:tr w14:paraId="35C71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69609A9">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61</w:t>
            </w:r>
          </w:p>
        </w:tc>
        <w:tc>
          <w:tcPr>
            <w:tcW w:w="1563" w:type="dxa"/>
            <w:vAlign w:val="top"/>
          </w:tcPr>
          <w:p w14:paraId="49D6CBD5">
            <w:pPr>
              <w:pStyle w:val="55"/>
              <w:spacing w:before="56" w:line="220" w:lineRule="auto"/>
              <w:ind w:left="355"/>
              <w:jc w:val="both"/>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鲜牛奶</w:t>
            </w:r>
          </w:p>
        </w:tc>
        <w:tc>
          <w:tcPr>
            <w:tcW w:w="6600" w:type="dxa"/>
            <w:vAlign w:val="top"/>
          </w:tcPr>
          <w:p w14:paraId="0EBB50CF">
            <w:pPr>
              <w:pStyle w:val="55"/>
              <w:spacing w:before="56" w:line="220" w:lineRule="auto"/>
              <w:ind w:left="355"/>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rPr>
              <w:t>散称优质</w:t>
            </w:r>
          </w:p>
        </w:tc>
      </w:tr>
      <w:tr w14:paraId="7A61C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55DB5EE7">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62</w:t>
            </w:r>
          </w:p>
        </w:tc>
        <w:tc>
          <w:tcPr>
            <w:tcW w:w="1563" w:type="dxa"/>
            <w:vAlign w:val="top"/>
          </w:tcPr>
          <w:p w14:paraId="0D749F1B">
            <w:pPr>
              <w:pStyle w:val="55"/>
              <w:spacing w:before="56" w:line="220" w:lineRule="auto"/>
              <w:ind w:left="355"/>
              <w:jc w:val="both"/>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耗油</w:t>
            </w:r>
          </w:p>
        </w:tc>
        <w:tc>
          <w:tcPr>
            <w:tcW w:w="6600" w:type="dxa"/>
            <w:vAlign w:val="top"/>
          </w:tcPr>
          <w:p w14:paraId="167A9D61">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rPr>
              <w:t>瓶</w:t>
            </w:r>
            <w:r>
              <w:rPr>
                <w:rFonts w:hint="eastAsia" w:ascii="仿宋" w:hAnsi="仿宋" w:eastAsia="仿宋" w:cs="仿宋"/>
                <w:color w:val="auto"/>
                <w:spacing w:val="-8"/>
                <w:sz w:val="24"/>
                <w:szCs w:val="24"/>
                <w:highlight w:val="none"/>
                <w:lang w:val="en-US" w:eastAsia="zh-CN"/>
              </w:rPr>
              <w:t>装</w:t>
            </w:r>
          </w:p>
        </w:tc>
      </w:tr>
      <w:tr w14:paraId="6C5D1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248318E7">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63</w:t>
            </w:r>
          </w:p>
        </w:tc>
        <w:tc>
          <w:tcPr>
            <w:tcW w:w="1563" w:type="dxa"/>
            <w:vAlign w:val="top"/>
          </w:tcPr>
          <w:p w14:paraId="49204501">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红豆腐</w:t>
            </w:r>
          </w:p>
        </w:tc>
        <w:tc>
          <w:tcPr>
            <w:tcW w:w="6600" w:type="dxa"/>
            <w:vAlign w:val="top"/>
          </w:tcPr>
          <w:p w14:paraId="015D46A6">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罐装</w:t>
            </w:r>
          </w:p>
        </w:tc>
      </w:tr>
      <w:tr w14:paraId="5805E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28BB07BF">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64</w:t>
            </w:r>
          </w:p>
        </w:tc>
        <w:tc>
          <w:tcPr>
            <w:tcW w:w="1563" w:type="dxa"/>
            <w:vAlign w:val="top"/>
          </w:tcPr>
          <w:p w14:paraId="53646A59">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草寇</w:t>
            </w:r>
          </w:p>
        </w:tc>
        <w:tc>
          <w:tcPr>
            <w:tcW w:w="6600" w:type="dxa"/>
            <w:vAlign w:val="top"/>
          </w:tcPr>
          <w:p w14:paraId="440AB267">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rPr>
              <w:t>散称优质</w:t>
            </w:r>
          </w:p>
        </w:tc>
      </w:tr>
      <w:tr w14:paraId="3502D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10276E34">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65</w:t>
            </w:r>
          </w:p>
        </w:tc>
        <w:tc>
          <w:tcPr>
            <w:tcW w:w="1563" w:type="dxa"/>
            <w:vAlign w:val="top"/>
          </w:tcPr>
          <w:p w14:paraId="37DF4C89">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丁香</w:t>
            </w:r>
          </w:p>
        </w:tc>
        <w:tc>
          <w:tcPr>
            <w:tcW w:w="6600" w:type="dxa"/>
            <w:vAlign w:val="top"/>
          </w:tcPr>
          <w:p w14:paraId="4457E172">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rPr>
              <w:t>散称优质</w:t>
            </w:r>
          </w:p>
        </w:tc>
      </w:tr>
      <w:tr w14:paraId="37F53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4B464435">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66</w:t>
            </w:r>
          </w:p>
        </w:tc>
        <w:tc>
          <w:tcPr>
            <w:tcW w:w="1563" w:type="dxa"/>
            <w:vAlign w:val="top"/>
          </w:tcPr>
          <w:p w14:paraId="365887BB">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茴香</w:t>
            </w:r>
          </w:p>
        </w:tc>
        <w:tc>
          <w:tcPr>
            <w:tcW w:w="6600" w:type="dxa"/>
            <w:vAlign w:val="top"/>
          </w:tcPr>
          <w:p w14:paraId="6B55A34F">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rPr>
              <w:t>散称优质</w:t>
            </w:r>
          </w:p>
        </w:tc>
      </w:tr>
      <w:tr w14:paraId="771A1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E70A165">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67</w:t>
            </w:r>
          </w:p>
        </w:tc>
        <w:tc>
          <w:tcPr>
            <w:tcW w:w="1563" w:type="dxa"/>
            <w:vAlign w:val="top"/>
          </w:tcPr>
          <w:p w14:paraId="46E55C9F">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良姜</w:t>
            </w:r>
          </w:p>
        </w:tc>
        <w:tc>
          <w:tcPr>
            <w:tcW w:w="6600" w:type="dxa"/>
            <w:vAlign w:val="top"/>
          </w:tcPr>
          <w:p w14:paraId="19CCEFE9">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rPr>
              <w:t>散称优质</w:t>
            </w:r>
          </w:p>
        </w:tc>
      </w:tr>
      <w:tr w14:paraId="46D3B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223669C7">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68</w:t>
            </w:r>
          </w:p>
        </w:tc>
        <w:tc>
          <w:tcPr>
            <w:tcW w:w="1563" w:type="dxa"/>
            <w:vAlign w:val="top"/>
          </w:tcPr>
          <w:p w14:paraId="66578EA3">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面肺子</w:t>
            </w:r>
          </w:p>
        </w:tc>
        <w:tc>
          <w:tcPr>
            <w:tcW w:w="6600" w:type="dxa"/>
            <w:vAlign w:val="top"/>
          </w:tcPr>
          <w:p w14:paraId="06B48B51">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rPr>
              <w:t>散称优质</w:t>
            </w:r>
          </w:p>
        </w:tc>
      </w:tr>
      <w:tr w14:paraId="53A15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49831EE4">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69</w:t>
            </w:r>
          </w:p>
        </w:tc>
        <w:tc>
          <w:tcPr>
            <w:tcW w:w="1563" w:type="dxa"/>
            <w:vAlign w:val="top"/>
          </w:tcPr>
          <w:p w14:paraId="35A01277">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木瓜条</w:t>
            </w:r>
          </w:p>
        </w:tc>
        <w:tc>
          <w:tcPr>
            <w:tcW w:w="6600" w:type="dxa"/>
            <w:vAlign w:val="top"/>
          </w:tcPr>
          <w:p w14:paraId="7BB38F4D">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rPr>
              <w:t>瓶</w:t>
            </w:r>
            <w:r>
              <w:rPr>
                <w:rFonts w:hint="eastAsia" w:ascii="仿宋" w:hAnsi="仿宋" w:eastAsia="仿宋" w:cs="仿宋"/>
                <w:color w:val="auto"/>
                <w:spacing w:val="-8"/>
                <w:sz w:val="24"/>
                <w:szCs w:val="24"/>
                <w:highlight w:val="none"/>
                <w:lang w:val="en-US" w:eastAsia="zh-CN"/>
              </w:rPr>
              <w:t>装</w:t>
            </w:r>
          </w:p>
        </w:tc>
      </w:tr>
      <w:tr w14:paraId="010D3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59B13FC">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70</w:t>
            </w:r>
          </w:p>
        </w:tc>
        <w:tc>
          <w:tcPr>
            <w:tcW w:w="1563" w:type="dxa"/>
            <w:vAlign w:val="top"/>
          </w:tcPr>
          <w:p w14:paraId="0C618509">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玉米粒</w:t>
            </w:r>
          </w:p>
        </w:tc>
        <w:tc>
          <w:tcPr>
            <w:tcW w:w="6600" w:type="dxa"/>
            <w:vAlign w:val="top"/>
          </w:tcPr>
          <w:p w14:paraId="4C143E9B">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rPr>
              <w:t>散称优质</w:t>
            </w:r>
          </w:p>
        </w:tc>
      </w:tr>
      <w:tr w14:paraId="16299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36297069">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71</w:t>
            </w:r>
          </w:p>
        </w:tc>
        <w:tc>
          <w:tcPr>
            <w:tcW w:w="1563" w:type="dxa"/>
            <w:vAlign w:val="top"/>
          </w:tcPr>
          <w:p w14:paraId="5C175FBC">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黄花</w:t>
            </w:r>
          </w:p>
        </w:tc>
        <w:tc>
          <w:tcPr>
            <w:tcW w:w="6600" w:type="dxa"/>
            <w:vAlign w:val="top"/>
          </w:tcPr>
          <w:p w14:paraId="68D6F401">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rPr>
              <w:t>散称优质</w:t>
            </w:r>
          </w:p>
        </w:tc>
      </w:tr>
      <w:tr w14:paraId="56C56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275A9649">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72</w:t>
            </w:r>
          </w:p>
        </w:tc>
        <w:tc>
          <w:tcPr>
            <w:tcW w:w="1563" w:type="dxa"/>
            <w:vAlign w:val="top"/>
          </w:tcPr>
          <w:p w14:paraId="3A65A0CA">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年糕</w:t>
            </w:r>
          </w:p>
        </w:tc>
        <w:tc>
          <w:tcPr>
            <w:tcW w:w="6600" w:type="dxa"/>
            <w:vAlign w:val="top"/>
          </w:tcPr>
          <w:p w14:paraId="15E9F7EB">
            <w:pPr>
              <w:pStyle w:val="55"/>
              <w:spacing w:before="56" w:line="220" w:lineRule="auto"/>
              <w:ind w:left="355"/>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袋装</w:t>
            </w:r>
          </w:p>
        </w:tc>
      </w:tr>
      <w:tr w14:paraId="3BFBE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147BE399">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73</w:t>
            </w:r>
          </w:p>
        </w:tc>
        <w:tc>
          <w:tcPr>
            <w:tcW w:w="1563" w:type="dxa"/>
            <w:vAlign w:val="top"/>
          </w:tcPr>
          <w:p w14:paraId="2A0BECF8">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干笋片</w:t>
            </w:r>
          </w:p>
        </w:tc>
        <w:tc>
          <w:tcPr>
            <w:tcW w:w="6600" w:type="dxa"/>
            <w:vAlign w:val="top"/>
          </w:tcPr>
          <w:p w14:paraId="424A69E6">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rPr>
              <w:t>散称优质</w:t>
            </w:r>
          </w:p>
        </w:tc>
      </w:tr>
      <w:tr w14:paraId="5B1A1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19FB3A26">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74</w:t>
            </w:r>
          </w:p>
        </w:tc>
        <w:tc>
          <w:tcPr>
            <w:tcW w:w="1563" w:type="dxa"/>
            <w:vAlign w:val="top"/>
          </w:tcPr>
          <w:p w14:paraId="42DB6834">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海鲜酱</w:t>
            </w:r>
          </w:p>
        </w:tc>
        <w:tc>
          <w:tcPr>
            <w:tcW w:w="6600" w:type="dxa"/>
            <w:vAlign w:val="top"/>
          </w:tcPr>
          <w:p w14:paraId="4437AE51">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rPr>
              <w:t>瓶</w:t>
            </w:r>
            <w:r>
              <w:rPr>
                <w:rFonts w:hint="eastAsia" w:ascii="仿宋" w:hAnsi="仿宋" w:eastAsia="仿宋" w:cs="仿宋"/>
                <w:color w:val="auto"/>
                <w:spacing w:val="-8"/>
                <w:sz w:val="24"/>
                <w:szCs w:val="24"/>
                <w:highlight w:val="none"/>
                <w:lang w:val="en-US" w:eastAsia="zh-CN"/>
              </w:rPr>
              <w:t>装</w:t>
            </w:r>
          </w:p>
        </w:tc>
      </w:tr>
      <w:tr w14:paraId="7DF35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48AE0EBE">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75</w:t>
            </w:r>
          </w:p>
        </w:tc>
        <w:tc>
          <w:tcPr>
            <w:tcW w:w="1563" w:type="dxa"/>
            <w:vAlign w:val="top"/>
          </w:tcPr>
          <w:p w14:paraId="409624F0">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乳黄瓜</w:t>
            </w:r>
          </w:p>
        </w:tc>
        <w:tc>
          <w:tcPr>
            <w:tcW w:w="6600" w:type="dxa"/>
            <w:vAlign w:val="top"/>
          </w:tcPr>
          <w:p w14:paraId="48DA619E">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rPr>
              <w:t>瓶</w:t>
            </w:r>
            <w:r>
              <w:rPr>
                <w:rFonts w:hint="eastAsia" w:ascii="仿宋" w:hAnsi="仿宋" w:eastAsia="仿宋" w:cs="仿宋"/>
                <w:color w:val="auto"/>
                <w:spacing w:val="-8"/>
                <w:sz w:val="24"/>
                <w:szCs w:val="24"/>
                <w:highlight w:val="none"/>
                <w:lang w:val="en-US" w:eastAsia="zh-CN"/>
              </w:rPr>
              <w:t>装</w:t>
            </w:r>
          </w:p>
        </w:tc>
      </w:tr>
      <w:tr w14:paraId="3D706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7042C935">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76</w:t>
            </w:r>
          </w:p>
        </w:tc>
        <w:tc>
          <w:tcPr>
            <w:tcW w:w="1563" w:type="dxa"/>
            <w:vAlign w:val="top"/>
          </w:tcPr>
          <w:p w14:paraId="7BF3F264">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老干妈</w:t>
            </w:r>
          </w:p>
        </w:tc>
        <w:tc>
          <w:tcPr>
            <w:tcW w:w="6600" w:type="dxa"/>
            <w:vAlign w:val="top"/>
          </w:tcPr>
          <w:p w14:paraId="4DA31460">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rPr>
              <w:t>瓶</w:t>
            </w:r>
            <w:r>
              <w:rPr>
                <w:rFonts w:hint="eastAsia" w:ascii="仿宋" w:hAnsi="仿宋" w:eastAsia="仿宋" w:cs="仿宋"/>
                <w:color w:val="auto"/>
                <w:spacing w:val="-8"/>
                <w:sz w:val="24"/>
                <w:szCs w:val="24"/>
                <w:highlight w:val="none"/>
                <w:lang w:val="en-US" w:eastAsia="zh-CN"/>
              </w:rPr>
              <w:t>装</w:t>
            </w:r>
          </w:p>
        </w:tc>
      </w:tr>
      <w:tr w14:paraId="7DB67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19CD77D8">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77</w:t>
            </w:r>
          </w:p>
        </w:tc>
        <w:tc>
          <w:tcPr>
            <w:tcW w:w="1563" w:type="dxa"/>
            <w:vAlign w:val="top"/>
          </w:tcPr>
          <w:p w14:paraId="7240F39B">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海带丝</w:t>
            </w:r>
          </w:p>
        </w:tc>
        <w:tc>
          <w:tcPr>
            <w:tcW w:w="6600" w:type="dxa"/>
            <w:vAlign w:val="top"/>
          </w:tcPr>
          <w:p w14:paraId="6A9BC16F">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袋装</w:t>
            </w:r>
          </w:p>
        </w:tc>
      </w:tr>
      <w:tr w14:paraId="7FC31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57568EF7">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78</w:t>
            </w:r>
          </w:p>
        </w:tc>
        <w:tc>
          <w:tcPr>
            <w:tcW w:w="1563" w:type="dxa"/>
            <w:vAlign w:val="top"/>
          </w:tcPr>
          <w:p w14:paraId="60F03083">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5"/>
                <w:sz w:val="24"/>
                <w:szCs w:val="24"/>
                <w:highlight w:val="none"/>
                <w:lang w:val="en-US" w:eastAsia="zh-CN"/>
              </w:rPr>
              <w:t>功能饮料</w:t>
            </w:r>
          </w:p>
        </w:tc>
        <w:tc>
          <w:tcPr>
            <w:tcW w:w="6600" w:type="dxa"/>
            <w:vAlign w:val="top"/>
          </w:tcPr>
          <w:p w14:paraId="672D8FB8">
            <w:pPr>
              <w:pStyle w:val="55"/>
              <w:spacing w:before="56" w:line="220" w:lineRule="auto"/>
              <w:ind w:left="355"/>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5"/>
                <w:sz w:val="24"/>
                <w:szCs w:val="24"/>
                <w:highlight w:val="none"/>
                <w:lang w:val="en-US" w:eastAsia="zh-CN"/>
              </w:rPr>
              <w:t>罐装或瓶装</w:t>
            </w:r>
          </w:p>
        </w:tc>
      </w:tr>
      <w:tr w14:paraId="42D5C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3E412160">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79</w:t>
            </w:r>
          </w:p>
        </w:tc>
        <w:tc>
          <w:tcPr>
            <w:tcW w:w="1563" w:type="dxa"/>
            <w:vAlign w:val="top"/>
          </w:tcPr>
          <w:p w14:paraId="564E456A">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饼干</w:t>
            </w:r>
          </w:p>
        </w:tc>
        <w:tc>
          <w:tcPr>
            <w:tcW w:w="6600" w:type="dxa"/>
            <w:vAlign w:val="top"/>
          </w:tcPr>
          <w:p w14:paraId="37F43E38">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27521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37EE0DE3">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80</w:t>
            </w:r>
          </w:p>
        </w:tc>
        <w:tc>
          <w:tcPr>
            <w:tcW w:w="1563" w:type="dxa"/>
            <w:vAlign w:val="top"/>
          </w:tcPr>
          <w:p w14:paraId="4829B12A">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糕点</w:t>
            </w:r>
          </w:p>
        </w:tc>
        <w:tc>
          <w:tcPr>
            <w:tcW w:w="6600" w:type="dxa"/>
            <w:vAlign w:val="top"/>
          </w:tcPr>
          <w:p w14:paraId="7C96FC0A">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428BD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20DBCEB0">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81</w:t>
            </w:r>
          </w:p>
        </w:tc>
        <w:tc>
          <w:tcPr>
            <w:tcW w:w="1563" w:type="dxa"/>
            <w:vAlign w:val="top"/>
          </w:tcPr>
          <w:p w14:paraId="1A687404">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汤圆</w:t>
            </w:r>
          </w:p>
        </w:tc>
        <w:tc>
          <w:tcPr>
            <w:tcW w:w="6600" w:type="dxa"/>
            <w:vAlign w:val="top"/>
          </w:tcPr>
          <w:p w14:paraId="2CBE3249">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4"/>
                <w:sz w:val="24"/>
                <w:szCs w:val="24"/>
                <w:highlight w:val="none"/>
                <w:lang w:val="en-US" w:eastAsia="zh-CN"/>
              </w:rPr>
              <w:t>袋装</w:t>
            </w:r>
          </w:p>
        </w:tc>
      </w:tr>
      <w:tr w14:paraId="36D5D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4A8A946E">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82</w:t>
            </w:r>
          </w:p>
        </w:tc>
        <w:tc>
          <w:tcPr>
            <w:tcW w:w="1563" w:type="dxa"/>
            <w:vAlign w:val="top"/>
          </w:tcPr>
          <w:p w14:paraId="1E22D896">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粽子</w:t>
            </w:r>
          </w:p>
        </w:tc>
        <w:tc>
          <w:tcPr>
            <w:tcW w:w="6600" w:type="dxa"/>
            <w:vAlign w:val="top"/>
          </w:tcPr>
          <w:p w14:paraId="0DF8D64A">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464B7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29EFC978">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83</w:t>
            </w:r>
          </w:p>
        </w:tc>
        <w:tc>
          <w:tcPr>
            <w:tcW w:w="1563" w:type="dxa"/>
            <w:vAlign w:val="top"/>
          </w:tcPr>
          <w:p w14:paraId="5D387DAD">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月饼</w:t>
            </w:r>
          </w:p>
        </w:tc>
        <w:tc>
          <w:tcPr>
            <w:tcW w:w="6600" w:type="dxa"/>
            <w:vAlign w:val="top"/>
          </w:tcPr>
          <w:p w14:paraId="15B6D382">
            <w:pPr>
              <w:pStyle w:val="55"/>
              <w:spacing w:before="56" w:line="220" w:lineRule="auto"/>
              <w:ind w:left="355"/>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48F43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ACACBED">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84</w:t>
            </w:r>
          </w:p>
        </w:tc>
        <w:tc>
          <w:tcPr>
            <w:tcW w:w="1563" w:type="dxa"/>
            <w:vAlign w:val="top"/>
          </w:tcPr>
          <w:p w14:paraId="677FE929">
            <w:pPr>
              <w:pStyle w:val="55"/>
              <w:spacing w:before="56" w:line="220" w:lineRule="auto"/>
              <w:ind w:left="355"/>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火锅底料</w:t>
            </w:r>
          </w:p>
        </w:tc>
        <w:tc>
          <w:tcPr>
            <w:tcW w:w="6600" w:type="dxa"/>
            <w:vAlign w:val="top"/>
          </w:tcPr>
          <w:p w14:paraId="446E2EFC">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袋装</w:t>
            </w:r>
          </w:p>
        </w:tc>
      </w:tr>
      <w:tr w14:paraId="25240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778B8909">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85</w:t>
            </w:r>
          </w:p>
        </w:tc>
        <w:tc>
          <w:tcPr>
            <w:tcW w:w="1563" w:type="dxa"/>
            <w:vAlign w:val="top"/>
          </w:tcPr>
          <w:p w14:paraId="35430864">
            <w:pPr>
              <w:pStyle w:val="55"/>
              <w:spacing w:before="56" w:line="220" w:lineRule="auto"/>
              <w:ind w:left="355"/>
              <w:jc w:val="both"/>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酸菜鱼</w:t>
            </w:r>
            <w:r>
              <w:rPr>
                <w:rFonts w:hint="eastAsia" w:ascii="仿宋" w:hAnsi="仿宋" w:eastAsia="仿宋" w:cs="仿宋"/>
                <w:color w:val="auto"/>
                <w:spacing w:val="-8"/>
                <w:sz w:val="24"/>
                <w:szCs w:val="24"/>
                <w:highlight w:val="none"/>
              </w:rPr>
              <w:t>底料</w:t>
            </w:r>
          </w:p>
        </w:tc>
        <w:tc>
          <w:tcPr>
            <w:tcW w:w="6600" w:type="dxa"/>
            <w:vAlign w:val="top"/>
          </w:tcPr>
          <w:p w14:paraId="52DBD75C">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袋装</w:t>
            </w:r>
          </w:p>
        </w:tc>
      </w:tr>
      <w:tr w14:paraId="74D11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1D0C245C">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86</w:t>
            </w:r>
          </w:p>
        </w:tc>
        <w:tc>
          <w:tcPr>
            <w:tcW w:w="1563" w:type="dxa"/>
            <w:vAlign w:val="top"/>
          </w:tcPr>
          <w:p w14:paraId="72C2C010">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洗洁精</w:t>
            </w:r>
          </w:p>
        </w:tc>
        <w:tc>
          <w:tcPr>
            <w:tcW w:w="6600" w:type="dxa"/>
            <w:vAlign w:val="top"/>
          </w:tcPr>
          <w:p w14:paraId="22D8A6C5">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8"/>
                <w:sz w:val="24"/>
                <w:szCs w:val="24"/>
                <w:highlight w:val="none"/>
              </w:rPr>
              <w:t>瓶</w:t>
            </w:r>
            <w:r>
              <w:rPr>
                <w:rFonts w:hint="eastAsia" w:ascii="仿宋" w:hAnsi="仿宋" w:eastAsia="仿宋" w:cs="仿宋"/>
                <w:color w:val="auto"/>
                <w:spacing w:val="-8"/>
                <w:sz w:val="24"/>
                <w:szCs w:val="24"/>
                <w:highlight w:val="none"/>
                <w:lang w:val="en-US" w:eastAsia="zh-CN"/>
              </w:rPr>
              <w:t>装</w:t>
            </w:r>
          </w:p>
        </w:tc>
      </w:tr>
      <w:tr w14:paraId="0705C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0FB432C">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87</w:t>
            </w:r>
          </w:p>
        </w:tc>
        <w:tc>
          <w:tcPr>
            <w:tcW w:w="1563" w:type="dxa"/>
            <w:vAlign w:val="top"/>
          </w:tcPr>
          <w:p w14:paraId="7C34CC08">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砖茶</w:t>
            </w:r>
          </w:p>
        </w:tc>
        <w:tc>
          <w:tcPr>
            <w:tcW w:w="6600" w:type="dxa"/>
            <w:vAlign w:val="top"/>
          </w:tcPr>
          <w:p w14:paraId="5A22C8A7">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袋装</w:t>
            </w:r>
          </w:p>
        </w:tc>
      </w:tr>
      <w:tr w14:paraId="3F7B0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62" w:type="dxa"/>
            <w:vAlign w:val="top"/>
          </w:tcPr>
          <w:p w14:paraId="29F681C2">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88</w:t>
            </w:r>
          </w:p>
        </w:tc>
        <w:tc>
          <w:tcPr>
            <w:tcW w:w="1563" w:type="dxa"/>
            <w:vAlign w:val="top"/>
          </w:tcPr>
          <w:p w14:paraId="55FDC72E">
            <w:pPr>
              <w:pStyle w:val="55"/>
              <w:spacing w:before="56" w:line="220" w:lineRule="auto"/>
              <w:jc w:val="center"/>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脱皮白芝麻</w:t>
            </w:r>
          </w:p>
        </w:tc>
        <w:tc>
          <w:tcPr>
            <w:tcW w:w="6600" w:type="dxa"/>
            <w:vAlign w:val="top"/>
          </w:tcPr>
          <w:p w14:paraId="754740B4">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50AA6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14FE9659">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89</w:t>
            </w:r>
          </w:p>
        </w:tc>
        <w:tc>
          <w:tcPr>
            <w:tcW w:w="1563" w:type="dxa"/>
            <w:vAlign w:val="top"/>
          </w:tcPr>
          <w:p w14:paraId="726830E7">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奶茶粉</w:t>
            </w:r>
          </w:p>
        </w:tc>
        <w:tc>
          <w:tcPr>
            <w:tcW w:w="6600" w:type="dxa"/>
            <w:vAlign w:val="top"/>
          </w:tcPr>
          <w:p w14:paraId="3CA699E3">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袋装</w:t>
            </w:r>
          </w:p>
        </w:tc>
      </w:tr>
      <w:tr w14:paraId="1931B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45F8C9B7">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90</w:t>
            </w:r>
          </w:p>
        </w:tc>
        <w:tc>
          <w:tcPr>
            <w:tcW w:w="1563" w:type="dxa"/>
            <w:vAlign w:val="top"/>
          </w:tcPr>
          <w:p w14:paraId="4A3400E1">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核桃仁</w:t>
            </w:r>
          </w:p>
        </w:tc>
        <w:tc>
          <w:tcPr>
            <w:tcW w:w="6600" w:type="dxa"/>
            <w:vAlign w:val="top"/>
          </w:tcPr>
          <w:p w14:paraId="2526E6F1">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2F29A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13865077">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91</w:t>
            </w:r>
          </w:p>
        </w:tc>
        <w:tc>
          <w:tcPr>
            <w:tcW w:w="1563" w:type="dxa"/>
            <w:vAlign w:val="top"/>
          </w:tcPr>
          <w:p w14:paraId="3DD834AC">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杏脯</w:t>
            </w:r>
          </w:p>
        </w:tc>
        <w:tc>
          <w:tcPr>
            <w:tcW w:w="6600" w:type="dxa"/>
            <w:vAlign w:val="top"/>
          </w:tcPr>
          <w:p w14:paraId="58BED671">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603CF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0BBD73D8">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92</w:t>
            </w:r>
          </w:p>
        </w:tc>
        <w:tc>
          <w:tcPr>
            <w:tcW w:w="1563" w:type="dxa"/>
            <w:vAlign w:val="top"/>
          </w:tcPr>
          <w:p w14:paraId="5B712471">
            <w:pPr>
              <w:pStyle w:val="55"/>
              <w:spacing w:before="56" w:line="220" w:lineRule="auto"/>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榨菜丝（散</w:t>
            </w:r>
            <w:r>
              <w:rPr>
                <w:rFonts w:hint="default" w:ascii="仿宋" w:hAnsi="仿宋" w:eastAsia="仿宋" w:cs="仿宋"/>
                <w:color w:val="auto"/>
                <w:spacing w:val="-8"/>
                <w:sz w:val="24"/>
                <w:szCs w:val="24"/>
                <w:highlight w:val="none"/>
                <w:lang w:val="en-US" w:eastAsia="zh-CN"/>
              </w:rPr>
              <w:t>装）</w:t>
            </w:r>
          </w:p>
        </w:tc>
        <w:tc>
          <w:tcPr>
            <w:tcW w:w="6600" w:type="dxa"/>
            <w:vAlign w:val="top"/>
          </w:tcPr>
          <w:p w14:paraId="589A25F2">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p>
        </w:tc>
      </w:tr>
      <w:tr w14:paraId="3A278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2F23B143">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93</w:t>
            </w:r>
          </w:p>
        </w:tc>
        <w:tc>
          <w:tcPr>
            <w:tcW w:w="1563" w:type="dxa"/>
            <w:vAlign w:val="top"/>
          </w:tcPr>
          <w:p w14:paraId="39AF9BC4">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松花蛋</w:t>
            </w:r>
          </w:p>
        </w:tc>
        <w:tc>
          <w:tcPr>
            <w:tcW w:w="6600" w:type="dxa"/>
            <w:vAlign w:val="top"/>
          </w:tcPr>
          <w:p w14:paraId="2B7BEE9E">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p>
        </w:tc>
      </w:tr>
      <w:tr w14:paraId="74A6C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13A40C06">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94</w:t>
            </w:r>
          </w:p>
        </w:tc>
        <w:tc>
          <w:tcPr>
            <w:tcW w:w="1563" w:type="dxa"/>
            <w:vAlign w:val="top"/>
          </w:tcPr>
          <w:p w14:paraId="77E88023">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十三香</w:t>
            </w:r>
          </w:p>
        </w:tc>
        <w:tc>
          <w:tcPr>
            <w:tcW w:w="6600" w:type="dxa"/>
            <w:vAlign w:val="top"/>
          </w:tcPr>
          <w:p w14:paraId="1E0165B1">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袋装</w:t>
            </w:r>
          </w:p>
        </w:tc>
      </w:tr>
      <w:tr w14:paraId="3FC16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34AAB654">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95</w:t>
            </w:r>
          </w:p>
        </w:tc>
        <w:tc>
          <w:tcPr>
            <w:tcW w:w="1563" w:type="dxa"/>
            <w:vAlign w:val="top"/>
          </w:tcPr>
          <w:p w14:paraId="618FB72F">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去芯莲子</w:t>
            </w:r>
          </w:p>
        </w:tc>
        <w:tc>
          <w:tcPr>
            <w:tcW w:w="6600" w:type="dxa"/>
            <w:vAlign w:val="top"/>
          </w:tcPr>
          <w:p w14:paraId="2EC7F170">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p>
        </w:tc>
      </w:tr>
      <w:tr w14:paraId="38F40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F3D51DD">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96</w:t>
            </w:r>
          </w:p>
        </w:tc>
        <w:tc>
          <w:tcPr>
            <w:tcW w:w="1563" w:type="dxa"/>
            <w:vAlign w:val="top"/>
          </w:tcPr>
          <w:p w14:paraId="5AA44B1D">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荞麦粉</w:t>
            </w:r>
          </w:p>
        </w:tc>
        <w:tc>
          <w:tcPr>
            <w:tcW w:w="6600" w:type="dxa"/>
            <w:vAlign w:val="top"/>
          </w:tcPr>
          <w:p w14:paraId="017EE56F">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袋装</w:t>
            </w:r>
          </w:p>
        </w:tc>
      </w:tr>
      <w:tr w14:paraId="7AB29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4F88C45">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97</w:t>
            </w:r>
          </w:p>
        </w:tc>
        <w:tc>
          <w:tcPr>
            <w:tcW w:w="1563" w:type="dxa"/>
            <w:vAlign w:val="top"/>
          </w:tcPr>
          <w:p w14:paraId="5555054C">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玉米粉</w:t>
            </w:r>
          </w:p>
        </w:tc>
        <w:tc>
          <w:tcPr>
            <w:tcW w:w="6600" w:type="dxa"/>
            <w:vAlign w:val="top"/>
          </w:tcPr>
          <w:p w14:paraId="68B24DF1">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p>
        </w:tc>
      </w:tr>
      <w:tr w14:paraId="014E0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4095232F">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98</w:t>
            </w:r>
          </w:p>
        </w:tc>
        <w:tc>
          <w:tcPr>
            <w:tcW w:w="1563" w:type="dxa"/>
            <w:vAlign w:val="top"/>
          </w:tcPr>
          <w:p w14:paraId="15C7C77E">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糖浆</w:t>
            </w:r>
          </w:p>
        </w:tc>
        <w:tc>
          <w:tcPr>
            <w:tcW w:w="6600" w:type="dxa"/>
            <w:vAlign w:val="top"/>
          </w:tcPr>
          <w:p w14:paraId="67822E2C">
            <w:pPr>
              <w:pStyle w:val="55"/>
              <w:spacing w:before="56" w:line="220" w:lineRule="auto"/>
              <w:ind w:left="355"/>
              <w:jc w:val="center"/>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瓶装</w:t>
            </w:r>
          </w:p>
        </w:tc>
      </w:tr>
      <w:tr w14:paraId="1376F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3E813FCE">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99</w:t>
            </w:r>
          </w:p>
        </w:tc>
        <w:tc>
          <w:tcPr>
            <w:tcW w:w="1563" w:type="dxa"/>
            <w:vAlign w:val="top"/>
          </w:tcPr>
          <w:p w14:paraId="68F34254">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茯茶</w:t>
            </w:r>
          </w:p>
        </w:tc>
        <w:tc>
          <w:tcPr>
            <w:tcW w:w="6600" w:type="dxa"/>
            <w:vAlign w:val="top"/>
          </w:tcPr>
          <w:p w14:paraId="4E0A25AA">
            <w:pPr>
              <w:pStyle w:val="55"/>
              <w:spacing w:before="56" w:line="220" w:lineRule="auto"/>
              <w:ind w:left="355"/>
              <w:jc w:val="center"/>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块</w:t>
            </w:r>
          </w:p>
        </w:tc>
      </w:tr>
      <w:tr w14:paraId="71B13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20A71491">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100</w:t>
            </w:r>
          </w:p>
        </w:tc>
        <w:tc>
          <w:tcPr>
            <w:tcW w:w="1563" w:type="dxa"/>
            <w:vAlign w:val="top"/>
          </w:tcPr>
          <w:p w14:paraId="45EC21FD">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菊花茶</w:t>
            </w:r>
          </w:p>
        </w:tc>
        <w:tc>
          <w:tcPr>
            <w:tcW w:w="6600" w:type="dxa"/>
            <w:vAlign w:val="top"/>
          </w:tcPr>
          <w:p w14:paraId="3DD3FF32">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5A050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DD97D59">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101</w:t>
            </w:r>
          </w:p>
        </w:tc>
        <w:tc>
          <w:tcPr>
            <w:tcW w:w="1563" w:type="dxa"/>
            <w:vAlign w:val="top"/>
          </w:tcPr>
          <w:p w14:paraId="3FFB3480">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茉莉花茶</w:t>
            </w:r>
          </w:p>
        </w:tc>
        <w:tc>
          <w:tcPr>
            <w:tcW w:w="6600" w:type="dxa"/>
            <w:vAlign w:val="top"/>
          </w:tcPr>
          <w:p w14:paraId="425104CB">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0F16F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5D6A0A1">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102</w:t>
            </w:r>
          </w:p>
        </w:tc>
        <w:tc>
          <w:tcPr>
            <w:tcW w:w="1563" w:type="dxa"/>
            <w:vAlign w:val="top"/>
          </w:tcPr>
          <w:p w14:paraId="25C00671">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炒花生</w:t>
            </w:r>
          </w:p>
        </w:tc>
        <w:tc>
          <w:tcPr>
            <w:tcW w:w="6600" w:type="dxa"/>
            <w:vAlign w:val="top"/>
          </w:tcPr>
          <w:p w14:paraId="40752277">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474CB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EB2FE1D">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103</w:t>
            </w:r>
          </w:p>
        </w:tc>
        <w:tc>
          <w:tcPr>
            <w:tcW w:w="1563" w:type="dxa"/>
            <w:vAlign w:val="top"/>
          </w:tcPr>
          <w:p w14:paraId="51FDB4D2">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炒葵花子</w:t>
            </w:r>
          </w:p>
        </w:tc>
        <w:tc>
          <w:tcPr>
            <w:tcW w:w="6600" w:type="dxa"/>
            <w:vAlign w:val="top"/>
          </w:tcPr>
          <w:p w14:paraId="379F2F6E">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41777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1AF54E3E">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104</w:t>
            </w:r>
          </w:p>
        </w:tc>
        <w:tc>
          <w:tcPr>
            <w:tcW w:w="1563" w:type="dxa"/>
            <w:vAlign w:val="top"/>
          </w:tcPr>
          <w:p w14:paraId="299A0A73">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糖果</w:t>
            </w:r>
          </w:p>
        </w:tc>
        <w:tc>
          <w:tcPr>
            <w:tcW w:w="6600" w:type="dxa"/>
            <w:vAlign w:val="top"/>
          </w:tcPr>
          <w:p w14:paraId="7D2B4035">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67D37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45C3B213">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105</w:t>
            </w:r>
          </w:p>
        </w:tc>
        <w:tc>
          <w:tcPr>
            <w:tcW w:w="1563" w:type="dxa"/>
            <w:vAlign w:val="top"/>
          </w:tcPr>
          <w:p w14:paraId="08A0EBE5">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干豇豆</w:t>
            </w:r>
          </w:p>
        </w:tc>
        <w:tc>
          <w:tcPr>
            <w:tcW w:w="6600" w:type="dxa"/>
            <w:vAlign w:val="top"/>
          </w:tcPr>
          <w:p w14:paraId="2D1CDDF2">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p>
        </w:tc>
      </w:tr>
      <w:tr w14:paraId="60E74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114A4EF6">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106</w:t>
            </w:r>
          </w:p>
        </w:tc>
        <w:tc>
          <w:tcPr>
            <w:tcW w:w="1563" w:type="dxa"/>
            <w:vAlign w:val="top"/>
          </w:tcPr>
          <w:p w14:paraId="6462DA34">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干豆角</w:t>
            </w:r>
          </w:p>
        </w:tc>
        <w:tc>
          <w:tcPr>
            <w:tcW w:w="6600" w:type="dxa"/>
            <w:vAlign w:val="top"/>
          </w:tcPr>
          <w:p w14:paraId="4854443C">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p>
        </w:tc>
      </w:tr>
      <w:tr w14:paraId="5D69C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770F528">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107</w:t>
            </w:r>
          </w:p>
        </w:tc>
        <w:tc>
          <w:tcPr>
            <w:tcW w:w="1563" w:type="dxa"/>
            <w:vAlign w:val="top"/>
          </w:tcPr>
          <w:p w14:paraId="53858AE4">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糯米</w:t>
            </w:r>
          </w:p>
        </w:tc>
        <w:tc>
          <w:tcPr>
            <w:tcW w:w="6600" w:type="dxa"/>
            <w:vAlign w:val="top"/>
          </w:tcPr>
          <w:p w14:paraId="29A01B9C">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p>
        </w:tc>
      </w:tr>
      <w:tr w14:paraId="611C9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78D7D2CE">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108</w:t>
            </w:r>
          </w:p>
        </w:tc>
        <w:tc>
          <w:tcPr>
            <w:tcW w:w="1563" w:type="dxa"/>
            <w:vAlign w:val="top"/>
          </w:tcPr>
          <w:p w14:paraId="3511B40A">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奶皮子粉</w:t>
            </w:r>
          </w:p>
        </w:tc>
        <w:tc>
          <w:tcPr>
            <w:tcW w:w="6600" w:type="dxa"/>
            <w:vAlign w:val="top"/>
          </w:tcPr>
          <w:p w14:paraId="360CEBF4">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袋装</w:t>
            </w:r>
          </w:p>
        </w:tc>
      </w:tr>
      <w:tr w14:paraId="04041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08E4C77A">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109</w:t>
            </w:r>
          </w:p>
        </w:tc>
        <w:tc>
          <w:tcPr>
            <w:tcW w:w="1563" w:type="dxa"/>
            <w:vAlign w:val="top"/>
          </w:tcPr>
          <w:p w14:paraId="5B7F83C4">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空心枣</w:t>
            </w:r>
          </w:p>
        </w:tc>
        <w:tc>
          <w:tcPr>
            <w:tcW w:w="6600" w:type="dxa"/>
            <w:vAlign w:val="top"/>
          </w:tcPr>
          <w:p w14:paraId="6CD88BF4">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袋装</w:t>
            </w:r>
          </w:p>
        </w:tc>
      </w:tr>
      <w:tr w14:paraId="56379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7AB947E7">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110</w:t>
            </w:r>
          </w:p>
        </w:tc>
        <w:tc>
          <w:tcPr>
            <w:tcW w:w="1563" w:type="dxa"/>
            <w:vAlign w:val="top"/>
          </w:tcPr>
          <w:p w14:paraId="1A857492">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椰蓉</w:t>
            </w:r>
          </w:p>
        </w:tc>
        <w:tc>
          <w:tcPr>
            <w:tcW w:w="6600" w:type="dxa"/>
            <w:vAlign w:val="top"/>
          </w:tcPr>
          <w:p w14:paraId="581F04E0">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袋装</w:t>
            </w:r>
          </w:p>
        </w:tc>
      </w:tr>
      <w:tr w14:paraId="09608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4F0F4168">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111</w:t>
            </w:r>
          </w:p>
        </w:tc>
        <w:tc>
          <w:tcPr>
            <w:tcW w:w="1563" w:type="dxa"/>
            <w:vAlign w:val="top"/>
          </w:tcPr>
          <w:p w14:paraId="416F1165">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枸杞</w:t>
            </w:r>
          </w:p>
        </w:tc>
        <w:tc>
          <w:tcPr>
            <w:tcW w:w="6600" w:type="dxa"/>
            <w:vAlign w:val="top"/>
          </w:tcPr>
          <w:p w14:paraId="32D6EAED">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1717B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40D30402">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112</w:t>
            </w:r>
          </w:p>
        </w:tc>
        <w:tc>
          <w:tcPr>
            <w:tcW w:w="1563" w:type="dxa"/>
            <w:vAlign w:val="top"/>
          </w:tcPr>
          <w:p w14:paraId="3FEE63A2">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lang w:val="en-US" w:eastAsia="zh-CN"/>
              </w:rPr>
              <w:t>凉拌汁</w:t>
            </w:r>
          </w:p>
        </w:tc>
        <w:tc>
          <w:tcPr>
            <w:tcW w:w="6600" w:type="dxa"/>
            <w:vAlign w:val="top"/>
          </w:tcPr>
          <w:p w14:paraId="3C7B8963">
            <w:pPr>
              <w:pStyle w:val="55"/>
              <w:spacing w:before="56" w:line="220" w:lineRule="auto"/>
              <w:ind w:left="355"/>
              <w:jc w:val="center"/>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瓶装</w:t>
            </w:r>
          </w:p>
        </w:tc>
      </w:tr>
      <w:tr w14:paraId="5E9F1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074313AE">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113</w:t>
            </w:r>
          </w:p>
        </w:tc>
        <w:tc>
          <w:tcPr>
            <w:tcW w:w="1563" w:type="dxa"/>
            <w:vAlign w:val="top"/>
          </w:tcPr>
          <w:p w14:paraId="3B84F4C2">
            <w:pPr>
              <w:pStyle w:val="55"/>
              <w:spacing w:before="56" w:line="220" w:lineRule="auto"/>
              <w:ind w:firstLine="448" w:firstLineChars="200"/>
              <w:jc w:val="both"/>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虾米</w:t>
            </w:r>
          </w:p>
        </w:tc>
        <w:tc>
          <w:tcPr>
            <w:tcW w:w="6600" w:type="dxa"/>
            <w:vAlign w:val="top"/>
          </w:tcPr>
          <w:p w14:paraId="3D016726">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7346D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04C85071">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114</w:t>
            </w:r>
          </w:p>
        </w:tc>
        <w:tc>
          <w:tcPr>
            <w:tcW w:w="1563" w:type="dxa"/>
            <w:vAlign w:val="top"/>
          </w:tcPr>
          <w:p w14:paraId="06A95173">
            <w:pPr>
              <w:pStyle w:val="55"/>
              <w:spacing w:before="56" w:line="220" w:lineRule="auto"/>
              <w:ind w:firstLine="448" w:firstLineChars="20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鲜奶</w:t>
            </w:r>
          </w:p>
        </w:tc>
        <w:tc>
          <w:tcPr>
            <w:tcW w:w="6600" w:type="dxa"/>
            <w:vAlign w:val="top"/>
          </w:tcPr>
          <w:p w14:paraId="4874B089">
            <w:pPr>
              <w:pStyle w:val="55"/>
              <w:spacing w:before="56" w:line="220" w:lineRule="auto"/>
              <w:ind w:left="355"/>
              <w:jc w:val="center"/>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散称</w:t>
            </w:r>
          </w:p>
        </w:tc>
      </w:tr>
      <w:tr w14:paraId="52695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35D6247F">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115</w:t>
            </w:r>
          </w:p>
        </w:tc>
        <w:tc>
          <w:tcPr>
            <w:tcW w:w="1563" w:type="dxa"/>
            <w:vAlign w:val="top"/>
          </w:tcPr>
          <w:p w14:paraId="45B43857">
            <w:pPr>
              <w:pStyle w:val="55"/>
              <w:spacing w:before="56" w:line="220" w:lineRule="auto"/>
              <w:ind w:firstLine="448" w:firstLineChars="20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蛋糕</w:t>
            </w:r>
          </w:p>
        </w:tc>
        <w:tc>
          <w:tcPr>
            <w:tcW w:w="6600" w:type="dxa"/>
            <w:vAlign w:val="top"/>
          </w:tcPr>
          <w:p w14:paraId="6D95BF90">
            <w:pPr>
              <w:pStyle w:val="55"/>
              <w:spacing w:before="56" w:line="220" w:lineRule="auto"/>
              <w:ind w:left="355"/>
              <w:jc w:val="center"/>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w:t>
            </w:r>
          </w:p>
        </w:tc>
      </w:tr>
      <w:tr w14:paraId="18373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15D3E279">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116</w:t>
            </w:r>
          </w:p>
        </w:tc>
        <w:tc>
          <w:tcPr>
            <w:tcW w:w="1563" w:type="dxa"/>
            <w:vAlign w:val="top"/>
          </w:tcPr>
          <w:p w14:paraId="7245B2F4">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其它副食品</w:t>
            </w:r>
          </w:p>
        </w:tc>
        <w:tc>
          <w:tcPr>
            <w:tcW w:w="6600" w:type="dxa"/>
            <w:vAlign w:val="top"/>
          </w:tcPr>
          <w:p w14:paraId="40B3F5CF">
            <w:pPr>
              <w:pStyle w:val="55"/>
              <w:spacing w:before="56" w:line="220" w:lineRule="auto"/>
              <w:ind w:left="355"/>
              <w:jc w:val="center"/>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w:t>
            </w:r>
          </w:p>
        </w:tc>
      </w:tr>
      <w:tr w14:paraId="7B58F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8D34211">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117</w:t>
            </w:r>
          </w:p>
        </w:tc>
        <w:tc>
          <w:tcPr>
            <w:tcW w:w="1563" w:type="dxa"/>
            <w:vAlign w:val="top"/>
          </w:tcPr>
          <w:p w14:paraId="7F9518F3">
            <w:pPr>
              <w:pStyle w:val="55"/>
              <w:spacing w:before="56" w:line="220" w:lineRule="auto"/>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5"/>
                <w:sz w:val="24"/>
                <w:szCs w:val="24"/>
                <w:highlight w:val="none"/>
                <w:lang w:val="en-US" w:eastAsia="zh-CN"/>
              </w:rPr>
              <w:t>绿茶</w:t>
            </w:r>
          </w:p>
        </w:tc>
        <w:tc>
          <w:tcPr>
            <w:tcW w:w="6600" w:type="dxa"/>
            <w:vAlign w:val="top"/>
          </w:tcPr>
          <w:p w14:paraId="72686690">
            <w:pPr>
              <w:pStyle w:val="55"/>
              <w:spacing w:before="56" w:line="220" w:lineRule="auto"/>
              <w:ind w:left="355"/>
              <w:jc w:val="center"/>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5"/>
                <w:sz w:val="24"/>
                <w:szCs w:val="24"/>
                <w:highlight w:val="none"/>
                <w:lang w:val="en-US" w:eastAsia="zh-CN"/>
              </w:rPr>
              <w:t>瓶装</w:t>
            </w:r>
          </w:p>
        </w:tc>
      </w:tr>
      <w:tr w14:paraId="7255C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7A8C97FC">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118</w:t>
            </w:r>
          </w:p>
        </w:tc>
        <w:tc>
          <w:tcPr>
            <w:tcW w:w="1563" w:type="dxa"/>
            <w:vAlign w:val="top"/>
          </w:tcPr>
          <w:p w14:paraId="12AF7FB0">
            <w:pPr>
              <w:pStyle w:val="55"/>
              <w:spacing w:before="56" w:line="220" w:lineRule="auto"/>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5"/>
                <w:sz w:val="24"/>
                <w:szCs w:val="24"/>
                <w:highlight w:val="none"/>
                <w:lang w:val="en-US" w:eastAsia="zh-CN"/>
              </w:rPr>
              <w:t>红茶</w:t>
            </w:r>
          </w:p>
        </w:tc>
        <w:tc>
          <w:tcPr>
            <w:tcW w:w="6600" w:type="dxa"/>
            <w:vAlign w:val="top"/>
          </w:tcPr>
          <w:p w14:paraId="0CE6ACA1">
            <w:pPr>
              <w:pStyle w:val="55"/>
              <w:spacing w:before="56" w:line="220" w:lineRule="auto"/>
              <w:ind w:left="355"/>
              <w:jc w:val="center"/>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5"/>
                <w:sz w:val="24"/>
                <w:szCs w:val="24"/>
                <w:highlight w:val="none"/>
                <w:lang w:val="en-US" w:eastAsia="zh-CN"/>
              </w:rPr>
              <w:t>瓶装</w:t>
            </w:r>
          </w:p>
        </w:tc>
      </w:tr>
      <w:tr w14:paraId="288C2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6C876CC">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119</w:t>
            </w:r>
          </w:p>
        </w:tc>
        <w:tc>
          <w:tcPr>
            <w:tcW w:w="1563" w:type="dxa"/>
            <w:vAlign w:val="top"/>
          </w:tcPr>
          <w:p w14:paraId="54F1B1C2">
            <w:pPr>
              <w:pStyle w:val="55"/>
              <w:spacing w:before="56" w:line="220" w:lineRule="auto"/>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5"/>
                <w:sz w:val="24"/>
                <w:szCs w:val="24"/>
                <w:highlight w:val="none"/>
                <w:lang w:val="en-US" w:eastAsia="zh-CN"/>
              </w:rPr>
              <w:t>矿泉水</w:t>
            </w:r>
          </w:p>
        </w:tc>
        <w:tc>
          <w:tcPr>
            <w:tcW w:w="6600" w:type="dxa"/>
            <w:vAlign w:val="top"/>
          </w:tcPr>
          <w:p w14:paraId="63D3C647">
            <w:pPr>
              <w:pStyle w:val="55"/>
              <w:spacing w:before="56" w:line="220" w:lineRule="auto"/>
              <w:ind w:left="355"/>
              <w:jc w:val="center"/>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5"/>
                <w:sz w:val="24"/>
                <w:szCs w:val="24"/>
                <w:highlight w:val="none"/>
                <w:lang w:val="en-US" w:eastAsia="zh-CN"/>
              </w:rPr>
              <w:t>瓶装</w:t>
            </w:r>
          </w:p>
        </w:tc>
      </w:tr>
      <w:tr w14:paraId="7A19E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03BD56FC">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120</w:t>
            </w:r>
          </w:p>
        </w:tc>
        <w:tc>
          <w:tcPr>
            <w:tcW w:w="1563" w:type="dxa"/>
            <w:vAlign w:val="top"/>
          </w:tcPr>
          <w:p w14:paraId="4210796E">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速溶咖啡</w:t>
            </w:r>
          </w:p>
        </w:tc>
        <w:tc>
          <w:tcPr>
            <w:tcW w:w="6600" w:type="dxa"/>
            <w:vAlign w:val="top"/>
          </w:tcPr>
          <w:p w14:paraId="0D0C7E98">
            <w:pPr>
              <w:pStyle w:val="55"/>
              <w:spacing w:before="56" w:line="220" w:lineRule="auto"/>
              <w:ind w:left="355"/>
              <w:jc w:val="center"/>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盒装</w:t>
            </w:r>
          </w:p>
        </w:tc>
      </w:tr>
      <w:tr w14:paraId="64B18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3497B0DB">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121</w:t>
            </w:r>
          </w:p>
        </w:tc>
        <w:tc>
          <w:tcPr>
            <w:tcW w:w="1563" w:type="dxa"/>
            <w:vAlign w:val="top"/>
          </w:tcPr>
          <w:p w14:paraId="1B8F2E8D">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咖啡</w:t>
            </w:r>
          </w:p>
        </w:tc>
        <w:tc>
          <w:tcPr>
            <w:tcW w:w="6600" w:type="dxa"/>
            <w:vAlign w:val="top"/>
          </w:tcPr>
          <w:p w14:paraId="5A0AEED8">
            <w:pPr>
              <w:pStyle w:val="55"/>
              <w:spacing w:before="56" w:line="220" w:lineRule="auto"/>
              <w:ind w:left="355"/>
              <w:jc w:val="center"/>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5"/>
                <w:sz w:val="24"/>
                <w:szCs w:val="24"/>
                <w:highlight w:val="none"/>
                <w:lang w:val="en-US" w:eastAsia="zh-CN"/>
              </w:rPr>
              <w:t>罐装或瓶装</w:t>
            </w:r>
          </w:p>
        </w:tc>
      </w:tr>
      <w:tr w14:paraId="2570A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3820648A">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122</w:t>
            </w:r>
          </w:p>
        </w:tc>
        <w:tc>
          <w:tcPr>
            <w:tcW w:w="1563" w:type="dxa"/>
            <w:vAlign w:val="top"/>
          </w:tcPr>
          <w:p w14:paraId="2E7B1787">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其他饮料</w:t>
            </w:r>
          </w:p>
        </w:tc>
        <w:tc>
          <w:tcPr>
            <w:tcW w:w="6600" w:type="dxa"/>
            <w:vAlign w:val="top"/>
          </w:tcPr>
          <w:p w14:paraId="166CB951">
            <w:pPr>
              <w:pStyle w:val="55"/>
              <w:spacing w:before="56" w:line="220" w:lineRule="auto"/>
              <w:ind w:left="355"/>
              <w:jc w:val="center"/>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罐装或瓶装</w:t>
            </w:r>
          </w:p>
        </w:tc>
      </w:tr>
      <w:tr w14:paraId="500A6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760AB175">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123</w:t>
            </w:r>
          </w:p>
        </w:tc>
        <w:tc>
          <w:tcPr>
            <w:tcW w:w="1563" w:type="dxa"/>
            <w:vAlign w:val="top"/>
          </w:tcPr>
          <w:p w14:paraId="17A1D224">
            <w:pPr>
              <w:pStyle w:val="55"/>
              <w:spacing w:before="56" w:line="220" w:lineRule="auto"/>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巴达木</w:t>
            </w:r>
          </w:p>
        </w:tc>
        <w:tc>
          <w:tcPr>
            <w:tcW w:w="6600" w:type="dxa"/>
            <w:vAlign w:val="top"/>
          </w:tcPr>
          <w:p w14:paraId="3E2DD641">
            <w:pPr>
              <w:pStyle w:val="55"/>
              <w:spacing w:before="56" w:line="220" w:lineRule="auto"/>
              <w:ind w:left="355"/>
              <w:jc w:val="center"/>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53AD2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54BCDB59">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124</w:t>
            </w:r>
          </w:p>
        </w:tc>
        <w:tc>
          <w:tcPr>
            <w:tcW w:w="1563" w:type="dxa"/>
            <w:vAlign w:val="top"/>
          </w:tcPr>
          <w:p w14:paraId="013BB33B">
            <w:pPr>
              <w:pStyle w:val="55"/>
              <w:spacing w:before="56" w:line="220" w:lineRule="auto"/>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杏干</w:t>
            </w:r>
          </w:p>
        </w:tc>
        <w:tc>
          <w:tcPr>
            <w:tcW w:w="6600" w:type="dxa"/>
            <w:vAlign w:val="top"/>
          </w:tcPr>
          <w:p w14:paraId="6C55AA25">
            <w:pPr>
              <w:spacing w:before="56" w:line="220" w:lineRule="auto"/>
              <w:ind w:left="355"/>
              <w:jc w:val="center"/>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2AE3D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71C519DD">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125</w:t>
            </w:r>
          </w:p>
        </w:tc>
        <w:tc>
          <w:tcPr>
            <w:tcW w:w="1563" w:type="dxa"/>
            <w:vAlign w:val="top"/>
          </w:tcPr>
          <w:p w14:paraId="6CA13E7F">
            <w:pPr>
              <w:pStyle w:val="55"/>
              <w:spacing w:before="56" w:line="220" w:lineRule="auto"/>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开心果</w:t>
            </w:r>
          </w:p>
        </w:tc>
        <w:tc>
          <w:tcPr>
            <w:tcW w:w="6600" w:type="dxa"/>
            <w:vAlign w:val="top"/>
          </w:tcPr>
          <w:p w14:paraId="7106319C">
            <w:pPr>
              <w:spacing w:before="56" w:line="220" w:lineRule="auto"/>
              <w:ind w:left="355"/>
              <w:jc w:val="center"/>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70A29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59089455">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126</w:t>
            </w:r>
          </w:p>
        </w:tc>
        <w:tc>
          <w:tcPr>
            <w:tcW w:w="1563" w:type="dxa"/>
            <w:vAlign w:val="top"/>
          </w:tcPr>
          <w:p w14:paraId="44243BA7">
            <w:pPr>
              <w:pStyle w:val="55"/>
              <w:spacing w:before="56" w:line="220" w:lineRule="auto"/>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松子</w:t>
            </w:r>
          </w:p>
        </w:tc>
        <w:tc>
          <w:tcPr>
            <w:tcW w:w="6600" w:type="dxa"/>
            <w:vAlign w:val="top"/>
          </w:tcPr>
          <w:p w14:paraId="61653978">
            <w:pPr>
              <w:spacing w:before="56" w:line="220" w:lineRule="auto"/>
              <w:ind w:left="355"/>
              <w:jc w:val="center"/>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68211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6DAB03D1">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127</w:t>
            </w:r>
          </w:p>
        </w:tc>
        <w:tc>
          <w:tcPr>
            <w:tcW w:w="1563" w:type="dxa"/>
            <w:vAlign w:val="top"/>
          </w:tcPr>
          <w:p w14:paraId="6B6D83C9">
            <w:pPr>
              <w:pStyle w:val="55"/>
              <w:spacing w:before="56" w:line="220" w:lineRule="auto"/>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榛子</w:t>
            </w:r>
          </w:p>
        </w:tc>
        <w:tc>
          <w:tcPr>
            <w:tcW w:w="6600" w:type="dxa"/>
            <w:vAlign w:val="top"/>
          </w:tcPr>
          <w:p w14:paraId="5785EBDD">
            <w:pPr>
              <w:spacing w:before="56" w:line="220" w:lineRule="auto"/>
              <w:ind w:left="355"/>
              <w:jc w:val="center"/>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4E6DC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7DF29D73">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128</w:t>
            </w:r>
          </w:p>
        </w:tc>
        <w:tc>
          <w:tcPr>
            <w:tcW w:w="1563" w:type="dxa"/>
            <w:vAlign w:val="top"/>
          </w:tcPr>
          <w:p w14:paraId="2CC3AAFC">
            <w:pPr>
              <w:pStyle w:val="55"/>
              <w:spacing w:before="56" w:line="220" w:lineRule="auto"/>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夏威夷果</w:t>
            </w:r>
          </w:p>
        </w:tc>
        <w:tc>
          <w:tcPr>
            <w:tcW w:w="6600" w:type="dxa"/>
            <w:vAlign w:val="top"/>
          </w:tcPr>
          <w:p w14:paraId="51ED7941">
            <w:pPr>
              <w:spacing w:before="56" w:line="220" w:lineRule="auto"/>
              <w:ind w:left="355"/>
              <w:jc w:val="center"/>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20E2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784F2865">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129</w:t>
            </w:r>
          </w:p>
        </w:tc>
        <w:tc>
          <w:tcPr>
            <w:tcW w:w="1563" w:type="dxa"/>
            <w:vAlign w:val="top"/>
          </w:tcPr>
          <w:p w14:paraId="7C8FBDBE">
            <w:pPr>
              <w:pStyle w:val="55"/>
              <w:spacing w:before="56" w:line="220" w:lineRule="auto"/>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碧根果</w:t>
            </w:r>
          </w:p>
        </w:tc>
        <w:tc>
          <w:tcPr>
            <w:tcW w:w="6600" w:type="dxa"/>
            <w:vAlign w:val="top"/>
          </w:tcPr>
          <w:p w14:paraId="56F81342">
            <w:pPr>
              <w:spacing w:before="56" w:line="220" w:lineRule="auto"/>
              <w:ind w:left="355"/>
              <w:jc w:val="center"/>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0FFAB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1DD106C3">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130</w:t>
            </w:r>
          </w:p>
        </w:tc>
        <w:tc>
          <w:tcPr>
            <w:tcW w:w="1563" w:type="dxa"/>
            <w:vAlign w:val="top"/>
          </w:tcPr>
          <w:p w14:paraId="73997AF7">
            <w:pPr>
              <w:pStyle w:val="55"/>
              <w:spacing w:before="56" w:line="220" w:lineRule="auto"/>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杏仁</w:t>
            </w:r>
          </w:p>
        </w:tc>
        <w:tc>
          <w:tcPr>
            <w:tcW w:w="6600" w:type="dxa"/>
            <w:vAlign w:val="top"/>
          </w:tcPr>
          <w:p w14:paraId="7F2216BA">
            <w:pPr>
              <w:spacing w:before="56" w:line="220" w:lineRule="auto"/>
              <w:ind w:left="355"/>
              <w:jc w:val="center"/>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r w14:paraId="723CB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62" w:type="dxa"/>
            <w:vAlign w:val="top"/>
          </w:tcPr>
          <w:p w14:paraId="06135CB9">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131</w:t>
            </w:r>
          </w:p>
        </w:tc>
        <w:tc>
          <w:tcPr>
            <w:tcW w:w="1563" w:type="dxa"/>
            <w:vAlign w:val="top"/>
          </w:tcPr>
          <w:p w14:paraId="4770FBEC">
            <w:pPr>
              <w:pStyle w:val="55"/>
              <w:spacing w:before="56" w:line="220" w:lineRule="auto"/>
              <w:jc w:val="center"/>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其他干果</w:t>
            </w:r>
          </w:p>
        </w:tc>
        <w:tc>
          <w:tcPr>
            <w:tcW w:w="6600" w:type="dxa"/>
            <w:vAlign w:val="top"/>
          </w:tcPr>
          <w:p w14:paraId="5655969F">
            <w:pPr>
              <w:spacing w:before="56" w:line="220" w:lineRule="auto"/>
              <w:ind w:left="355"/>
              <w:jc w:val="center"/>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4"/>
                <w:sz w:val="24"/>
                <w:szCs w:val="24"/>
                <w:highlight w:val="none"/>
              </w:rPr>
              <w:t>散称</w:t>
            </w:r>
            <w:r>
              <w:rPr>
                <w:rFonts w:hint="eastAsia" w:ascii="仿宋" w:hAnsi="仿宋" w:eastAsia="仿宋" w:cs="仿宋"/>
                <w:color w:val="auto"/>
                <w:spacing w:val="-4"/>
                <w:sz w:val="24"/>
                <w:szCs w:val="24"/>
                <w:highlight w:val="none"/>
                <w:lang w:val="en-US" w:eastAsia="zh-CN"/>
              </w:rPr>
              <w:t>或袋装</w:t>
            </w:r>
          </w:p>
        </w:tc>
      </w:tr>
    </w:tbl>
    <w:p w14:paraId="52CF2604">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pacing w:val="-2"/>
          <w:kern w:val="2"/>
          <w:sz w:val="28"/>
          <w:szCs w:val="28"/>
          <w:highlight w:val="none"/>
          <w:lang w:val="en-US" w:eastAsia="zh-CN" w:bidi="ar-SA"/>
        </w:rPr>
        <w:t xml:space="preserve">（2）技术规格要求： </w:t>
      </w:r>
    </w:p>
    <w:p w14:paraId="5460D7D3">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所有货物指标要符合国家强制性标准要求，产品供货时，中标人须清晰地列出产品品牌、名称、制造商名称和厂址、型号、生产日期和保质期限、包装类型、包装方式、包装净重量、含冰量等相关参数，且包装箱上必须贴有QS标志。严禁采购有害、有毒、腐烂变质、酸败、霉变、生虫、污垢不洁、混有异物或其他感官性状异常的食品。禁止采购超过保质期限的食品。</w:t>
      </w:r>
    </w:p>
    <w:p w14:paraId="27FE38F1">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中标人必须保证所供应的产品符合卫生标准，同时承担因所供产品的质量问题引起的一切事故后果。</w:t>
      </w:r>
    </w:p>
    <w:p w14:paraId="18310793">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货物有包装的，货物的包装必须完整清洁(无损、无污、无皱),</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人有权拒收包装不整齐、已拆封的商品。采购的食品不得存放在有害、有毒的容器内。</w:t>
      </w:r>
    </w:p>
    <w:p w14:paraId="5D3D43BE">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食品应清洁，并符合企业验收标准；食品应无损伤、腐烂现象，无寄生虫或已受虫害现象；对温度有要求的食品应确定食品的温度与包装上指示温度一致。</w:t>
      </w:r>
    </w:p>
    <w:p w14:paraId="1FECE8F7">
      <w:pPr>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rPr>
        <w:t>验货采用：按批次验收，甲方认定重量不足、包装破损串味、调味品霉变或质保过期等，不予入库，不予结算。</w:t>
      </w:r>
    </w:p>
    <w:p w14:paraId="06959000">
      <w:pPr>
        <w:pageBreakBefore w:val="0"/>
        <w:kinsoku/>
        <w:overflowPunct/>
        <w:bidi w:val="0"/>
        <w:spacing w:beforeAutospacing="0" w:afterAutospacing="0" w:line="440" w:lineRule="exact"/>
        <w:ind w:right="0" w:rightChars="0"/>
        <w:jc w:val="left"/>
        <w:rPr>
          <w:rFonts w:hint="eastAsia" w:ascii="仿宋" w:hAnsi="仿宋" w:eastAsia="仿宋" w:cs="仿宋"/>
          <w:b/>
          <w:bCs/>
          <w:color w:val="auto"/>
          <w:spacing w:val="-2"/>
          <w:sz w:val="28"/>
          <w:szCs w:val="28"/>
          <w:highlight w:val="none"/>
        </w:rPr>
      </w:pPr>
      <w:r>
        <w:rPr>
          <w:rFonts w:hint="eastAsia" w:ascii="仿宋" w:hAnsi="仿宋" w:eastAsia="仿宋" w:cs="仿宋"/>
          <w:b/>
          <w:bCs/>
          <w:color w:val="auto"/>
          <w:spacing w:val="-2"/>
          <w:sz w:val="28"/>
          <w:szCs w:val="28"/>
          <w:highlight w:val="none"/>
          <w:lang w:val="en-US" w:eastAsia="zh-CN"/>
        </w:rPr>
        <w:t>（3）产品</w:t>
      </w:r>
      <w:r>
        <w:rPr>
          <w:rFonts w:hint="eastAsia" w:ascii="仿宋" w:hAnsi="仿宋" w:eastAsia="仿宋" w:cs="仿宋"/>
          <w:b/>
          <w:bCs/>
          <w:color w:val="auto"/>
          <w:spacing w:val="-2"/>
          <w:sz w:val="28"/>
          <w:szCs w:val="28"/>
          <w:highlight w:val="none"/>
        </w:rPr>
        <w:t>包装要求：</w:t>
      </w:r>
    </w:p>
    <w:p w14:paraId="1D55DC58">
      <w:pPr>
        <w:pageBreakBefore w:val="0"/>
        <w:kinsoku/>
        <w:overflowPunct/>
        <w:bidi w:val="0"/>
        <w:spacing w:beforeAutospacing="0" w:afterAutospacing="0" w:line="440" w:lineRule="exact"/>
        <w:ind w:left="0" w:leftChars="0" w:right="0" w:rightChars="0" w:firstLine="552" w:firstLineChars="200"/>
        <w:jc w:val="left"/>
        <w:rPr>
          <w:rFonts w:hint="eastAsia" w:ascii="仿宋" w:hAnsi="仿宋" w:eastAsia="仿宋" w:cs="仿宋"/>
          <w:color w:val="auto"/>
          <w:spacing w:val="-2"/>
          <w:sz w:val="28"/>
          <w:szCs w:val="28"/>
          <w:highlight w:val="none"/>
          <w:lang w:eastAsia="zh-CN"/>
        </w:rPr>
      </w:pPr>
      <w:r>
        <w:rPr>
          <w:rFonts w:hint="eastAsia" w:ascii="仿宋" w:hAnsi="仿宋" w:eastAsia="仿宋" w:cs="仿宋"/>
          <w:color w:val="auto"/>
          <w:spacing w:val="-2"/>
          <w:sz w:val="28"/>
          <w:szCs w:val="28"/>
          <w:highlight w:val="none"/>
        </w:rPr>
        <w:t>包装：容器(框、箱、袋)要求清洁、干燥、牢固、透气，无污染、无异味、无霉变现象</w:t>
      </w:r>
      <w:r>
        <w:rPr>
          <w:rFonts w:hint="eastAsia" w:ascii="仿宋" w:hAnsi="仿宋" w:eastAsia="仿宋" w:cs="仿宋"/>
          <w:color w:val="auto"/>
          <w:spacing w:val="-2"/>
          <w:sz w:val="28"/>
          <w:szCs w:val="28"/>
          <w:highlight w:val="none"/>
          <w:lang w:eastAsia="zh-CN"/>
        </w:rPr>
        <w:t>。</w:t>
      </w:r>
    </w:p>
    <w:p w14:paraId="37E35315">
      <w:pPr>
        <w:pageBreakBefore w:val="0"/>
        <w:numPr>
          <w:ilvl w:val="0"/>
          <w:numId w:val="0"/>
        </w:numPr>
        <w:kinsoku/>
        <w:overflowPunct/>
        <w:bidi w:val="0"/>
        <w:spacing w:beforeAutospacing="0" w:afterAutospacing="0" w:line="440" w:lineRule="exact"/>
        <w:ind w:leftChars="0" w:right="0" w:rightChars="0"/>
        <w:jc w:val="left"/>
        <w:rPr>
          <w:rFonts w:hint="eastAsia" w:ascii="仿宋" w:hAnsi="仿宋" w:eastAsia="仿宋" w:cs="仿宋"/>
          <w:b/>
          <w:bCs/>
          <w:color w:val="auto"/>
          <w:spacing w:val="-2"/>
          <w:sz w:val="28"/>
          <w:szCs w:val="28"/>
          <w:highlight w:val="none"/>
          <w:lang w:eastAsia="zh-CN"/>
        </w:rPr>
      </w:pPr>
      <w:r>
        <w:rPr>
          <w:rFonts w:hint="eastAsia" w:ascii="仿宋" w:hAnsi="仿宋" w:eastAsia="仿宋" w:cs="仿宋"/>
          <w:b/>
          <w:bCs/>
          <w:color w:val="auto"/>
          <w:spacing w:val="-2"/>
          <w:sz w:val="28"/>
          <w:szCs w:val="28"/>
          <w:highlight w:val="none"/>
          <w:lang w:val="en-US" w:eastAsia="zh-CN"/>
        </w:rPr>
        <w:t>（4）</w:t>
      </w:r>
      <w:r>
        <w:rPr>
          <w:rFonts w:hint="eastAsia" w:ascii="仿宋" w:hAnsi="仿宋" w:eastAsia="仿宋" w:cs="仿宋"/>
          <w:b/>
          <w:bCs/>
          <w:color w:val="auto"/>
          <w:spacing w:val="-2"/>
          <w:sz w:val="28"/>
          <w:szCs w:val="28"/>
          <w:highlight w:val="none"/>
        </w:rPr>
        <w:t>运输要求</w:t>
      </w:r>
      <w:r>
        <w:rPr>
          <w:rFonts w:hint="eastAsia" w:ascii="仿宋" w:hAnsi="仿宋" w:eastAsia="仿宋" w:cs="仿宋"/>
          <w:b/>
          <w:bCs/>
          <w:color w:val="auto"/>
          <w:spacing w:val="-2"/>
          <w:sz w:val="28"/>
          <w:szCs w:val="28"/>
          <w:highlight w:val="none"/>
          <w:lang w:eastAsia="zh-CN"/>
        </w:rPr>
        <w:t>：</w:t>
      </w:r>
    </w:p>
    <w:p w14:paraId="3C4478C4">
      <w:pPr>
        <w:pageBreakBefore w:val="0"/>
        <w:numPr>
          <w:ilvl w:val="0"/>
          <w:numId w:val="0"/>
        </w:numPr>
        <w:kinsoku/>
        <w:overflowPunct/>
        <w:bidi w:val="0"/>
        <w:spacing w:beforeAutospacing="0" w:afterAutospacing="0" w:line="440" w:lineRule="exact"/>
        <w:ind w:leftChars="0" w:right="0" w:rightChars="0" w:firstLine="552" w:firstLineChars="200"/>
        <w:jc w:val="left"/>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食品堆放科学合理，避免造成食品的交叉污染；如对温度有要求的食品应确定食品的温度，记录送货车辆温度，并记录存档。</w:t>
      </w:r>
    </w:p>
    <w:p w14:paraId="2DEB2538">
      <w:pPr>
        <w:pageBreakBefore w:val="0"/>
        <w:numPr>
          <w:ilvl w:val="0"/>
          <w:numId w:val="0"/>
        </w:numPr>
        <w:kinsoku/>
        <w:overflowPunct/>
        <w:bidi w:val="0"/>
        <w:spacing w:beforeAutospacing="0" w:afterAutospacing="0" w:line="440" w:lineRule="exact"/>
        <w:ind w:right="0" w:rightChars="0"/>
        <w:jc w:val="left"/>
        <w:outlineLvl w:val="1"/>
        <w:rPr>
          <w:rFonts w:hint="default" w:ascii="仿宋" w:hAnsi="仿宋" w:eastAsia="仿宋" w:cs="仿宋"/>
          <w:b/>
          <w:bCs/>
          <w:color w:val="auto"/>
          <w:sz w:val="28"/>
          <w:szCs w:val="28"/>
          <w:highlight w:val="none"/>
          <w:lang w:val="en-US" w:eastAsia="zh-CN"/>
        </w:rPr>
      </w:pPr>
      <w:bookmarkStart w:id="413" w:name="_Toc22718"/>
      <w:r>
        <w:rPr>
          <w:rFonts w:hint="eastAsia" w:ascii="仿宋" w:hAnsi="仿宋" w:eastAsia="仿宋" w:cs="仿宋"/>
          <w:b/>
          <w:bCs/>
          <w:color w:val="auto"/>
          <w:sz w:val="28"/>
          <w:szCs w:val="28"/>
          <w:highlight w:val="none"/>
          <w:lang w:val="en-US" w:eastAsia="zh-CN"/>
        </w:rPr>
        <w:t>4.肉类</w:t>
      </w:r>
      <w:bookmarkEnd w:id="413"/>
    </w:p>
    <w:p w14:paraId="75471455">
      <w:pPr>
        <w:pageBreakBefore w:val="0"/>
        <w:kinsoku/>
        <w:overflowPunct/>
        <w:bidi w:val="0"/>
        <w:spacing w:beforeAutospacing="0" w:afterAutospacing="0" w:line="440" w:lineRule="exact"/>
        <w:ind w:right="0" w:right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（1）肉采购清单（此表仅供参考，包括但不仅限于以下品种，可根据需求增减品种，并非固定类目，以实际发生为准。）</w:t>
      </w:r>
    </w:p>
    <w:tbl>
      <w:tblPr>
        <w:tblStyle w:val="27"/>
        <w:tblW w:w="88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3585"/>
        <w:gridCol w:w="2586"/>
        <w:gridCol w:w="1432"/>
      </w:tblGrid>
      <w:tr w14:paraId="5D17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1B151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27A80C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品名</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E57ED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6606B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2CF5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207E1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231C088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牛肉</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837D7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8E906C0">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F39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F6464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0A57596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羊肉</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5630F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AA89EB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8FB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98C3D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2114E00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马肉</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92453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DCF225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4E20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56F46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4DFED88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馬排</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D730B7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EC14BB7">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90A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D1769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0E356FE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牛排</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128AE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67A6510">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A24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281B9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1410B2D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牛里脊</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5F3D9D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2940609">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535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35B3EF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5414219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牛腩肉</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4DE64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BCF288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8102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58AFE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41CAA0E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牛腱子</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82C1C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E8DFBE3">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0507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D546A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6B9E76A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羊排</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DDE06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41BD26B">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DE7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052ED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10</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67A3E43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剔骨羊肉</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23AA4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193C799">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8CFF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67EE1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11</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694C12C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芦花鸡</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D716F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5B16EFA1">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D551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8BBB5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12</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310FB08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蛋鸡</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6CD76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304D56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9EE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8877E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4240AE4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乌鸡</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A5006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CEBD808">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B3C4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8B886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7991615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小公鸡</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83311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50E22590">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57D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17A09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15</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0410400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鸭子</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46AF2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E567C6C">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47F1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1B166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16</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5F99589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大鹅</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54C432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05A6B5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5A5C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5F7AF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17</w:t>
            </w:r>
          </w:p>
        </w:tc>
        <w:tc>
          <w:tcPr>
            <w:tcW w:w="3585" w:type="dxa"/>
            <w:tcBorders>
              <w:top w:val="single" w:color="000000" w:sz="4" w:space="0"/>
              <w:left w:val="single" w:color="000000" w:sz="4" w:space="0"/>
              <w:bottom w:val="single" w:color="000000" w:sz="4" w:space="0"/>
              <w:right w:val="single" w:color="000000" w:sz="4" w:space="0"/>
            </w:tcBorders>
            <w:noWrap/>
            <w:vAlign w:val="bottom"/>
          </w:tcPr>
          <w:p w14:paraId="6026216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鸽子</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370F5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99D5638">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D32D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3EC055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18</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51D1478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马肠</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86F58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A8C1AD6">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A1C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31B71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19</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4723985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马肚</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0D07D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2BE594E">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FE01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2E75E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20</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3894447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马鬃</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D66A0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8BBEC4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4AC55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10A08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21</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42C550A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牛蹄筋</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B51B7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555FCFE">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694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44873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22</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0C12DFC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牛头肉</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6145C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9F06B0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2AF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FD77B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23</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338233E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牛肚</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F4911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ED45920">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243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FBC51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24</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39A78D5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牛骨头</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7D91F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9E0509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C4C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58108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25</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701D478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羊蹄</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8BFC0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81560FB">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6BF6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CFFD3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26</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1F30E62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羊肚</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DC823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E760668">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495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D49AE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27</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0E67008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羊心</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6CFF9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CBA63C9">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A00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F1A80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28</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38FA3F5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羊肝</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77E71C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ED4E02E">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E4A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5C5AD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29</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69ECC13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面肺子</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9340E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CA1022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AC68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CD64B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30</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50EE502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羊肺</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AA51E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499D9DD">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5E81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5B6BD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31</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67B441E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羊头</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73343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只</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AB64219">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1D79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38936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32</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69D0AA81">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pacing w:val="-5"/>
                <w:sz w:val="24"/>
                <w:szCs w:val="24"/>
                <w:highlight w:val="none"/>
                <w:lang w:val="en-US" w:eastAsia="zh-CN"/>
              </w:rPr>
              <w:t>冷冻</w:t>
            </w:r>
            <w:r>
              <w:rPr>
                <w:rFonts w:hint="eastAsia" w:ascii="仿宋" w:hAnsi="仿宋" w:eastAsia="仿宋" w:cs="仿宋"/>
                <w:color w:val="auto"/>
                <w:spacing w:val="-5"/>
                <w:sz w:val="24"/>
                <w:szCs w:val="24"/>
                <w:highlight w:val="none"/>
              </w:rPr>
              <w:t>鸡</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5"/>
                <w:sz w:val="24"/>
                <w:szCs w:val="24"/>
                <w:highlight w:val="none"/>
                <w:lang w:val="en-US" w:eastAsia="zh-CN"/>
              </w:rPr>
              <w:t>鸭</w:t>
            </w:r>
            <w:r>
              <w:rPr>
                <w:rFonts w:hint="eastAsia" w:ascii="仿宋" w:hAnsi="仿宋" w:eastAsia="仿宋" w:cs="仿宋"/>
                <w:color w:val="auto"/>
                <w:spacing w:val="-5"/>
                <w:sz w:val="24"/>
                <w:szCs w:val="24"/>
                <w:highlight w:val="none"/>
              </w:rPr>
              <w:t>腿</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C87D28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5AFA768D">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5887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016D6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33</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74C0C14E">
            <w:pPr>
              <w:keepNext w:val="0"/>
              <w:keepLines w:val="0"/>
              <w:widowControl/>
              <w:suppressLineNumbers w:val="0"/>
              <w:jc w:val="center"/>
              <w:textAlignment w:val="center"/>
              <w:rPr>
                <w:rFonts w:hint="default"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鲜</w:t>
            </w:r>
            <w:r>
              <w:rPr>
                <w:rFonts w:hint="eastAsia" w:ascii="仿宋" w:hAnsi="仿宋" w:eastAsia="仿宋" w:cs="仿宋"/>
                <w:color w:val="auto"/>
                <w:spacing w:val="-5"/>
                <w:sz w:val="24"/>
                <w:szCs w:val="24"/>
                <w:highlight w:val="none"/>
              </w:rPr>
              <w:t>大青虾</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5"/>
                <w:sz w:val="24"/>
                <w:szCs w:val="24"/>
                <w:highlight w:val="none"/>
                <w:lang w:val="en-US" w:eastAsia="zh-CN"/>
              </w:rPr>
              <w:t>冷冻虾</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4B765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F729D25">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980D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AF9EE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sz w:val="24"/>
                <w:szCs w:val="24"/>
                <w:highlight w:val="none"/>
                <w:u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34</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4B4F30D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鲟鱼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7A4CF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81C0F7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7B2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3F41A0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35</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1F46006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鲤鱼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1D129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F02342B">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41AC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67521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36</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17FD21E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伊犁河大鲤鱼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A1A11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9476518">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455CE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AE053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37</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50F2EDF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伊犁河大草鱼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AE048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DF85F80">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C768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FD29E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38</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00EA0AE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梭边鱼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94C4D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89C519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A9B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311892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39</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49DF7741">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高白鲑</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F6252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4F44083">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73D1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B4C37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40</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0C111FC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虹鳟鱼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5341A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7A0454AF">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54C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C1708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41</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0FA988B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金鳟鱼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71EEE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5DBDB4D3">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B61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F03A5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42</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3B18E66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鳊鱼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FBE18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CE807AC">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2622A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51766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43</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1F406E4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武昌鱼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9623C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625D34F5">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27A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6EADB3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44</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04527B4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金鲳鱼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54FD2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A9B6801">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A426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A4012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45</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7006302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罗非鱼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6F25E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AA8D86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CB6F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180A88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46</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522238E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黄辣丁</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0A702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5B7E4FE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C8B5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02EA5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47</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34FCD3E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黑鱼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5E98E3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426561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A0A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44550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48</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5D01A1E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花莲鱼头</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5A475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DA17A62">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29FF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208E8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49</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1A3A633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小黄鱼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094121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F4B99F0">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21C0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768277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50</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60BE42B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黄花鱼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5B8F4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53B4251">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D3B5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1B6E1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51</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68FAA7D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乔尔泰</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80C4B8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25E929D">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798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2E2CDB1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52</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6627176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鳗鱼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4D5A13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F170B58">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0C476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3EDB4C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53</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4160343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多宝鱼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12FF33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F0B26C4">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505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DC8CA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54</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50F0701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比目鱼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C6625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45041153">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6011B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5F3A3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55</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61A9326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鳝鱼</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C6C2F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381962EE">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4F58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1E8B7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bookmarkStart w:id="414" w:name="_Toc27873"/>
            <w:bookmarkStart w:id="415" w:name="_Toc13097"/>
            <w:r>
              <w:rPr>
                <w:rFonts w:hint="eastAsia" w:ascii="仿宋" w:hAnsi="仿宋" w:eastAsia="仿宋" w:cs="仿宋"/>
                <w:b w:val="0"/>
                <w:bCs w:val="0"/>
                <w:i w:val="0"/>
                <w:iCs w:val="0"/>
                <w:color w:val="auto"/>
                <w:kern w:val="0"/>
                <w:sz w:val="24"/>
                <w:szCs w:val="24"/>
                <w:highlight w:val="none"/>
                <w:u w:val="none"/>
                <w:lang w:val="en-US" w:eastAsia="zh-CN" w:bidi="ar"/>
              </w:rPr>
              <w:t>56</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3B453068">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其它肉类</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7439F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03AA25A3">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1E9E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0F7E8D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57</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3EF1FCE4">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其他鱼类</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2FAD93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2FE6B92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r w14:paraId="3733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229" w:type="dxa"/>
            <w:tcBorders>
              <w:top w:val="single" w:color="000000" w:sz="4" w:space="0"/>
              <w:left w:val="single" w:color="000000" w:sz="4" w:space="0"/>
              <w:bottom w:val="single" w:color="000000" w:sz="4" w:space="0"/>
              <w:right w:val="single" w:color="000000" w:sz="4" w:space="0"/>
            </w:tcBorders>
            <w:noWrap/>
            <w:vAlign w:val="center"/>
          </w:tcPr>
          <w:p w14:paraId="4BAD61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58</w:t>
            </w:r>
          </w:p>
        </w:tc>
        <w:tc>
          <w:tcPr>
            <w:tcW w:w="3585" w:type="dxa"/>
            <w:tcBorders>
              <w:top w:val="single" w:color="000000" w:sz="4" w:space="0"/>
              <w:left w:val="single" w:color="000000" w:sz="4" w:space="0"/>
              <w:bottom w:val="single" w:color="000000" w:sz="4" w:space="0"/>
              <w:right w:val="single" w:color="000000" w:sz="4" w:space="0"/>
            </w:tcBorders>
            <w:noWrap/>
            <w:vAlign w:val="center"/>
          </w:tcPr>
          <w:p w14:paraId="271243DF">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其他海鲜类</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349C73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kg</w:t>
            </w:r>
          </w:p>
        </w:tc>
        <w:tc>
          <w:tcPr>
            <w:tcW w:w="1432" w:type="dxa"/>
            <w:tcBorders>
              <w:top w:val="single" w:color="000000" w:sz="4" w:space="0"/>
              <w:left w:val="single" w:color="000000" w:sz="4" w:space="0"/>
              <w:bottom w:val="single" w:color="000000" w:sz="4" w:space="0"/>
              <w:right w:val="single" w:color="000000" w:sz="4" w:space="0"/>
            </w:tcBorders>
            <w:noWrap/>
            <w:vAlign w:val="bottom"/>
          </w:tcPr>
          <w:p w14:paraId="1C4B731A">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p>
        </w:tc>
      </w:tr>
    </w:tbl>
    <w:p w14:paraId="5ED5FEAF">
      <w:pPr>
        <w:pStyle w:val="46"/>
        <w:pageBreakBefore w:val="0"/>
        <w:kinsoku/>
        <w:overflowPunct/>
        <w:topLinePunct w:val="0"/>
        <w:bidi w:val="0"/>
        <w:spacing w:line="500" w:lineRule="exact"/>
        <w:outlineLvl w:val="0"/>
        <w:rPr>
          <w:rFonts w:hint="eastAsia" w:ascii="仿宋" w:hAnsi="仿宋" w:eastAsia="仿宋" w:cs="仿宋"/>
          <w:b/>
          <w:color w:val="auto"/>
          <w:kern w:val="44"/>
          <w:sz w:val="28"/>
          <w:szCs w:val="28"/>
          <w:highlight w:val="none"/>
          <w:lang w:val="en-US" w:eastAsia="zh-CN" w:bidi="ar-SA"/>
        </w:rPr>
      </w:pPr>
      <w:r>
        <w:rPr>
          <w:rFonts w:hint="eastAsia" w:ascii="仿宋" w:hAnsi="仿宋" w:eastAsia="仿宋" w:cs="仿宋"/>
          <w:b/>
          <w:color w:val="auto"/>
          <w:kern w:val="44"/>
          <w:sz w:val="28"/>
          <w:szCs w:val="28"/>
          <w:highlight w:val="none"/>
          <w:lang w:val="en-US" w:eastAsia="zh-CN" w:bidi="ar-SA"/>
        </w:rPr>
        <w:t>（2）技术规格要求：</w:t>
      </w:r>
      <w:bookmarkEnd w:id="414"/>
      <w:bookmarkEnd w:id="415"/>
      <w:r>
        <w:rPr>
          <w:rFonts w:hint="eastAsia" w:ascii="仿宋" w:hAnsi="仿宋" w:eastAsia="仿宋" w:cs="仿宋"/>
          <w:b/>
          <w:color w:val="auto"/>
          <w:kern w:val="44"/>
          <w:sz w:val="28"/>
          <w:szCs w:val="28"/>
          <w:highlight w:val="none"/>
          <w:lang w:val="en-US" w:eastAsia="zh-CN" w:bidi="ar-SA"/>
        </w:rPr>
        <w:t xml:space="preserve">  </w:t>
      </w:r>
    </w:p>
    <w:p w14:paraId="213C8ACA">
      <w:pPr>
        <w:pageBreakBefore w:val="0"/>
        <w:kinsoku/>
        <w:overflowPunct/>
        <w:bidi w:val="0"/>
        <w:spacing w:beforeAutospacing="0" w:afterAutospacing="0" w:line="440" w:lineRule="exact"/>
        <w:ind w:right="0" w:rightChars="0"/>
        <w:jc w:val="left"/>
        <w:rPr>
          <w:rFonts w:hint="eastAsia" w:ascii="仿宋" w:hAnsi="仿宋" w:eastAsia="仿宋" w:cs="仿宋"/>
          <w:b/>
          <w:bCs/>
          <w:color w:val="auto"/>
          <w:spacing w:val="-2"/>
          <w:sz w:val="28"/>
          <w:szCs w:val="28"/>
          <w:highlight w:val="none"/>
          <w:lang w:val="en-US" w:eastAsia="zh-CN"/>
        </w:rPr>
      </w:pPr>
      <w:r>
        <w:rPr>
          <w:rFonts w:hint="eastAsia" w:ascii="仿宋" w:hAnsi="仿宋" w:eastAsia="仿宋" w:cs="仿宋"/>
          <w:b/>
          <w:bCs/>
          <w:color w:val="auto"/>
          <w:spacing w:val="-2"/>
          <w:sz w:val="28"/>
          <w:szCs w:val="28"/>
          <w:highlight w:val="none"/>
          <w:lang w:val="en-US" w:eastAsia="zh-CN"/>
        </w:rPr>
        <w:t>2.1肉类采购要求</w:t>
      </w:r>
    </w:p>
    <w:p w14:paraId="235F1587">
      <w:pPr>
        <w:pageBreakBefore w:val="0"/>
        <w:numPr>
          <w:ilvl w:val="0"/>
          <w:numId w:val="5"/>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肉类无血水、血污、富有弹性应保持较好的外观和质量等级，符合国家食品部门的标准，保证无异味、无霉烂变质，肉类保证来源于正规屠宰厂，供货时须提交屠宰厂的验收单及当批次有效的动物检疫合格证复印件 (原件供货时备查),鲜肉确保每日新鲜、无异味。</w:t>
      </w:r>
    </w:p>
    <w:p w14:paraId="4B6C51A5">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（2）感官要求及理化指标</w:t>
      </w:r>
    </w:p>
    <w:tbl>
      <w:tblPr>
        <w:tblStyle w:val="58"/>
        <w:tblW w:w="88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8"/>
        <w:gridCol w:w="2750"/>
        <w:gridCol w:w="4988"/>
      </w:tblGrid>
      <w:tr w14:paraId="12CCC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098" w:type="dxa"/>
            <w:noWrap w:val="0"/>
            <w:vAlign w:val="top"/>
          </w:tcPr>
          <w:p w14:paraId="1F94ACD9">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50" w:type="dxa"/>
            <w:noWrap w:val="0"/>
            <w:vAlign w:val="top"/>
          </w:tcPr>
          <w:p w14:paraId="075AEA5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色泽</w:t>
            </w:r>
          </w:p>
        </w:tc>
        <w:tc>
          <w:tcPr>
            <w:tcW w:w="4988" w:type="dxa"/>
            <w:noWrap w:val="0"/>
            <w:vAlign w:val="top"/>
          </w:tcPr>
          <w:p w14:paraId="68AC1A2B">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具有产品应有的色泽</w:t>
            </w:r>
          </w:p>
        </w:tc>
      </w:tr>
      <w:tr w14:paraId="3244A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098" w:type="dxa"/>
            <w:noWrap w:val="0"/>
            <w:vAlign w:val="top"/>
          </w:tcPr>
          <w:p w14:paraId="25B4B63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750" w:type="dxa"/>
            <w:noWrap w:val="0"/>
            <w:vAlign w:val="top"/>
          </w:tcPr>
          <w:p w14:paraId="1CD82AC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状态</w:t>
            </w:r>
          </w:p>
        </w:tc>
        <w:tc>
          <w:tcPr>
            <w:tcW w:w="4988" w:type="dxa"/>
            <w:noWrap w:val="0"/>
            <w:vAlign w:val="top"/>
          </w:tcPr>
          <w:p w14:paraId="5D500F89">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具有产品应有的状态，无正常视力可见外来异物</w:t>
            </w:r>
          </w:p>
        </w:tc>
      </w:tr>
      <w:tr w14:paraId="71E48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98" w:type="dxa"/>
            <w:noWrap w:val="0"/>
            <w:vAlign w:val="top"/>
          </w:tcPr>
          <w:p w14:paraId="79F4CBC7">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750" w:type="dxa"/>
            <w:noWrap w:val="0"/>
            <w:vAlign w:val="top"/>
          </w:tcPr>
          <w:p w14:paraId="314846A6">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挥发性盐基氮/(</w:t>
            </w:r>
            <w:r>
              <w:rPr>
                <w:rFonts w:hint="eastAsia" w:ascii="仿宋" w:hAnsi="仿宋" w:eastAsia="仿宋" w:cs="仿宋"/>
                <w:color w:val="auto"/>
                <w:sz w:val="24"/>
                <w:szCs w:val="24"/>
                <w:highlight w:val="none"/>
              </w:rPr>
              <w:t>mg</w:t>
            </w:r>
            <w:r>
              <w:rPr>
                <w:rFonts w:hint="eastAsia" w:ascii="仿宋" w:hAnsi="仿宋" w:eastAsia="仿宋" w:cs="仿宋"/>
                <w:color w:val="auto"/>
                <w:spacing w:val="2"/>
                <w:sz w:val="24"/>
                <w:szCs w:val="24"/>
                <w:highlight w:val="none"/>
              </w:rPr>
              <w:t>/100g)</w:t>
            </w:r>
          </w:p>
        </w:tc>
        <w:tc>
          <w:tcPr>
            <w:tcW w:w="4988" w:type="dxa"/>
            <w:noWrap w:val="0"/>
            <w:vAlign w:val="top"/>
          </w:tcPr>
          <w:p w14:paraId="6D00ACA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w:t>
            </w:r>
          </w:p>
        </w:tc>
      </w:tr>
      <w:tr w14:paraId="10707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098" w:type="dxa"/>
            <w:noWrap w:val="0"/>
            <w:vAlign w:val="top"/>
          </w:tcPr>
          <w:p w14:paraId="322FF1F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750" w:type="dxa"/>
            <w:noWrap w:val="0"/>
            <w:vAlign w:val="top"/>
          </w:tcPr>
          <w:p w14:paraId="02499428">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铅(</w:t>
            </w:r>
            <w:r>
              <w:rPr>
                <w:rFonts w:hint="eastAsia" w:ascii="仿宋" w:hAnsi="仿宋" w:eastAsia="仿宋" w:cs="仿宋"/>
                <w:color w:val="auto"/>
                <w:sz w:val="24"/>
                <w:szCs w:val="24"/>
                <w:highlight w:val="none"/>
              </w:rPr>
              <w:t>pb</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mg</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kg</w:t>
            </w:r>
            <w:r>
              <w:rPr>
                <w:rFonts w:hint="eastAsia" w:ascii="仿宋" w:hAnsi="仿宋" w:eastAsia="仿宋" w:cs="仿宋"/>
                <w:color w:val="auto"/>
                <w:spacing w:val="5"/>
                <w:sz w:val="24"/>
                <w:szCs w:val="24"/>
                <w:highlight w:val="none"/>
              </w:rPr>
              <w:t>)</w:t>
            </w:r>
          </w:p>
        </w:tc>
        <w:tc>
          <w:tcPr>
            <w:tcW w:w="4988" w:type="dxa"/>
            <w:noWrap w:val="0"/>
            <w:vAlign w:val="top"/>
          </w:tcPr>
          <w:p w14:paraId="42BFC56B">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S0.2</w:t>
            </w:r>
          </w:p>
        </w:tc>
      </w:tr>
      <w:tr w14:paraId="198BA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098" w:type="dxa"/>
            <w:noWrap w:val="0"/>
            <w:vAlign w:val="top"/>
          </w:tcPr>
          <w:p w14:paraId="25404ACB">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750" w:type="dxa"/>
            <w:noWrap w:val="0"/>
            <w:vAlign w:val="top"/>
          </w:tcPr>
          <w:p w14:paraId="5AA882CF">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无机砷/(</w:t>
            </w:r>
            <w:r>
              <w:rPr>
                <w:rFonts w:hint="eastAsia" w:ascii="仿宋" w:hAnsi="仿宋" w:eastAsia="仿宋" w:cs="仿宋"/>
                <w:color w:val="auto"/>
                <w:sz w:val="24"/>
                <w:szCs w:val="24"/>
                <w:highlight w:val="none"/>
              </w:rPr>
              <w:t>mg</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kg</w:t>
            </w:r>
            <w:r>
              <w:rPr>
                <w:rFonts w:hint="eastAsia" w:ascii="仿宋" w:hAnsi="仿宋" w:eastAsia="仿宋" w:cs="仿宋"/>
                <w:color w:val="auto"/>
                <w:spacing w:val="5"/>
                <w:sz w:val="24"/>
                <w:szCs w:val="24"/>
                <w:highlight w:val="none"/>
              </w:rPr>
              <w:t>)</w:t>
            </w:r>
          </w:p>
        </w:tc>
        <w:tc>
          <w:tcPr>
            <w:tcW w:w="4988" w:type="dxa"/>
            <w:noWrap w:val="0"/>
            <w:vAlign w:val="top"/>
          </w:tcPr>
          <w:p w14:paraId="472F43F4">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≤0.05</w:t>
            </w:r>
          </w:p>
        </w:tc>
      </w:tr>
      <w:tr w14:paraId="3F525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098" w:type="dxa"/>
            <w:noWrap w:val="0"/>
            <w:vAlign w:val="top"/>
          </w:tcPr>
          <w:p w14:paraId="5BEEE77D">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750" w:type="dxa"/>
            <w:noWrap w:val="0"/>
            <w:vAlign w:val="top"/>
          </w:tcPr>
          <w:p w14:paraId="0829A08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镉(</w:t>
            </w:r>
            <w:r>
              <w:rPr>
                <w:rFonts w:hint="eastAsia" w:ascii="仿宋" w:hAnsi="仿宋" w:eastAsia="仿宋" w:cs="仿宋"/>
                <w:color w:val="auto"/>
                <w:sz w:val="24"/>
                <w:szCs w:val="24"/>
                <w:highlight w:val="none"/>
              </w:rPr>
              <w:t>Cd</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mg</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kg</w:t>
            </w:r>
            <w:r>
              <w:rPr>
                <w:rFonts w:hint="eastAsia" w:ascii="仿宋" w:hAnsi="仿宋" w:eastAsia="仿宋" w:cs="仿宋"/>
                <w:color w:val="auto"/>
                <w:spacing w:val="5"/>
                <w:sz w:val="24"/>
                <w:szCs w:val="24"/>
                <w:highlight w:val="none"/>
              </w:rPr>
              <w:t>)</w:t>
            </w:r>
          </w:p>
        </w:tc>
        <w:tc>
          <w:tcPr>
            <w:tcW w:w="4988" w:type="dxa"/>
            <w:noWrap w:val="0"/>
            <w:vAlign w:val="top"/>
          </w:tcPr>
          <w:p w14:paraId="20865DE4">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≤0.1</w:t>
            </w:r>
          </w:p>
        </w:tc>
      </w:tr>
      <w:tr w14:paraId="15DAE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98" w:type="dxa"/>
            <w:noWrap w:val="0"/>
            <w:vAlign w:val="top"/>
          </w:tcPr>
          <w:p w14:paraId="47E0614B">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750" w:type="dxa"/>
            <w:noWrap w:val="0"/>
            <w:vAlign w:val="top"/>
          </w:tcPr>
          <w:p w14:paraId="63E21BDA">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总汞(以</w:t>
            </w:r>
            <w:r>
              <w:rPr>
                <w:rFonts w:hint="eastAsia" w:ascii="仿宋" w:hAnsi="仿宋" w:eastAsia="仿宋" w:cs="仿宋"/>
                <w:color w:val="auto"/>
                <w:sz w:val="24"/>
                <w:szCs w:val="24"/>
                <w:highlight w:val="none"/>
              </w:rPr>
              <w:t>Hg</w:t>
            </w:r>
            <w:r>
              <w:rPr>
                <w:rFonts w:hint="eastAsia" w:ascii="仿宋" w:hAnsi="仿宋" w:eastAsia="仿宋" w:cs="仿宋"/>
                <w:color w:val="auto"/>
                <w:spacing w:val="3"/>
                <w:sz w:val="24"/>
                <w:szCs w:val="24"/>
                <w:highlight w:val="none"/>
              </w:rPr>
              <w:t>计)((</w:t>
            </w:r>
            <w:r>
              <w:rPr>
                <w:rFonts w:hint="eastAsia" w:ascii="仿宋" w:hAnsi="仿宋" w:eastAsia="仿宋" w:cs="仿宋"/>
                <w:color w:val="auto"/>
                <w:sz w:val="24"/>
                <w:szCs w:val="24"/>
                <w:highlight w:val="none"/>
              </w:rPr>
              <w:t>mg</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kg</w:t>
            </w:r>
            <w:r>
              <w:rPr>
                <w:rFonts w:hint="eastAsia" w:ascii="仿宋" w:hAnsi="仿宋" w:eastAsia="仿宋" w:cs="仿宋"/>
                <w:color w:val="auto"/>
                <w:spacing w:val="3"/>
                <w:sz w:val="24"/>
                <w:szCs w:val="24"/>
                <w:highlight w:val="none"/>
              </w:rPr>
              <w:t>)</w:t>
            </w:r>
          </w:p>
        </w:tc>
        <w:tc>
          <w:tcPr>
            <w:tcW w:w="4988" w:type="dxa"/>
            <w:noWrap w:val="0"/>
            <w:vAlign w:val="top"/>
          </w:tcPr>
          <w:p w14:paraId="1B48446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≤0.05</w:t>
            </w:r>
          </w:p>
        </w:tc>
      </w:tr>
    </w:tbl>
    <w:p w14:paraId="295FA61B">
      <w:pPr>
        <w:pageBreakBefore w:val="0"/>
        <w:kinsoku/>
        <w:overflowPunct/>
        <w:bidi w:val="0"/>
        <w:spacing w:beforeAutospacing="0" w:afterAutospacing="0" w:line="440" w:lineRule="exact"/>
        <w:ind w:right="0" w:rightChars="0"/>
        <w:jc w:val="left"/>
        <w:rPr>
          <w:rFonts w:hint="default" w:ascii="仿宋" w:hAnsi="仿宋" w:eastAsia="仿宋" w:cs="仿宋"/>
          <w:b/>
          <w:bCs/>
          <w:color w:val="auto"/>
          <w:spacing w:val="-2"/>
          <w:sz w:val="28"/>
          <w:szCs w:val="28"/>
          <w:highlight w:val="none"/>
          <w:lang w:val="en-US" w:eastAsia="zh-CN"/>
        </w:rPr>
      </w:pPr>
      <w:r>
        <w:rPr>
          <w:rFonts w:hint="eastAsia" w:ascii="仿宋" w:hAnsi="仿宋" w:eastAsia="仿宋" w:cs="仿宋"/>
          <w:b/>
          <w:bCs/>
          <w:color w:val="auto"/>
          <w:spacing w:val="-2"/>
          <w:sz w:val="28"/>
          <w:szCs w:val="28"/>
          <w:highlight w:val="none"/>
          <w:lang w:val="en-US" w:eastAsia="zh-CN"/>
        </w:rPr>
        <w:t>2.2新鲜禽类采购要求</w:t>
      </w:r>
    </w:p>
    <w:p w14:paraId="2A304A14">
      <w:pPr>
        <w:pageBreakBefore w:val="0"/>
        <w:kinsoku/>
        <w:overflowPunct/>
        <w:bidi w:val="0"/>
        <w:spacing w:beforeAutospacing="0" w:afterAutospacing="0" w:line="440" w:lineRule="exact"/>
        <w:ind w:left="0"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（1）新鲜禽类是指经宰杀去毛以后的鸡、鸭、鹅等禽类，质量好坏，是否新鲜，主要根据以下几方面来判别：</w:t>
      </w:r>
    </w:p>
    <w:p w14:paraId="4C0D5783">
      <w:pPr>
        <w:pageBreakBefore w:val="0"/>
        <w:kinsoku/>
        <w:overflowPunct/>
        <w:bidi w:val="0"/>
        <w:spacing w:beforeAutospacing="0" w:afterAutospacing="0" w:line="440" w:lineRule="exact"/>
        <w:ind w:left="0"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①喙有光泽、干燥、无粘液；</w:t>
      </w:r>
    </w:p>
    <w:p w14:paraId="6FCD3A7A">
      <w:pPr>
        <w:pageBreakBefore w:val="0"/>
        <w:kinsoku/>
        <w:overflowPunct/>
        <w:bidi w:val="0"/>
        <w:spacing w:beforeAutospacing="0" w:afterAutospacing="0" w:line="440" w:lineRule="exact"/>
        <w:ind w:left="0"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②口腔：新鲜的光禽口腔粘膜呈淡玫瑰色，有光泽、洁净、无异味；</w:t>
      </w:r>
    </w:p>
    <w:p w14:paraId="78705781">
      <w:pPr>
        <w:pageBreakBefore w:val="0"/>
        <w:kinsoku/>
        <w:overflowPunct/>
        <w:bidi w:val="0"/>
        <w:spacing w:beforeAutospacing="0" w:afterAutospacing="0" w:line="440" w:lineRule="exact"/>
        <w:ind w:left="0"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③新鲜的光禽眼睛明亮，充满整个眼窝；</w:t>
      </w:r>
    </w:p>
    <w:p w14:paraId="59FEEB87">
      <w:pPr>
        <w:pageBreakBefore w:val="0"/>
        <w:kinsoku/>
        <w:overflowPunct/>
        <w:bidi w:val="0"/>
        <w:spacing w:beforeAutospacing="0" w:afterAutospacing="0" w:line="440" w:lineRule="exact"/>
        <w:ind w:left="0"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④皮肤：新鲜的光禽皮肤上毛孔隆起，表面干燥而紧缩，呈乳白色或淡黄色，稍带微红，无异味；</w:t>
      </w:r>
    </w:p>
    <w:p w14:paraId="172D3419">
      <w:pPr>
        <w:pageBreakBefore w:val="0"/>
        <w:kinsoku/>
        <w:overflowPunct/>
        <w:bidi w:val="0"/>
        <w:spacing w:beforeAutospacing="0" w:afterAutospacing="0" w:line="440" w:lineRule="exact"/>
        <w:ind w:left="0"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⑤脂肪：新鲜的光禽脂肪呈淡黄色或黄色，有光泽，无异味；</w:t>
      </w:r>
    </w:p>
    <w:p w14:paraId="25F3373E">
      <w:pPr>
        <w:pageBreakBefore w:val="0"/>
        <w:kinsoku/>
        <w:overflowPunct/>
        <w:bidi w:val="0"/>
        <w:spacing w:beforeAutospacing="0" w:afterAutospacing="0" w:line="440" w:lineRule="exact"/>
        <w:ind w:left="0"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⑥肌肉：新鲜光禽肌肉结实，有弹性，有光泽，颈、腿部肌肉呈玫瑰红色。变质的光禽肌肉松驰，湿润发粘，色变暗红，有明显腐败气味。</w:t>
      </w:r>
    </w:p>
    <w:p w14:paraId="364B2C02">
      <w:pPr>
        <w:pageBreakBefore w:val="0"/>
        <w:kinsoku/>
        <w:overflowPunct/>
        <w:bidi w:val="0"/>
        <w:spacing w:beforeAutospacing="0" w:afterAutospacing="0" w:line="440" w:lineRule="exact"/>
        <w:ind w:right="0" w:rightChars="0"/>
        <w:jc w:val="left"/>
        <w:rPr>
          <w:rFonts w:hint="eastAsia" w:ascii="仿宋" w:hAnsi="仿宋" w:eastAsia="仿宋" w:cs="仿宋"/>
          <w:b/>
          <w:bCs/>
          <w:color w:val="auto"/>
          <w:spacing w:val="-2"/>
          <w:sz w:val="28"/>
          <w:szCs w:val="28"/>
          <w:highlight w:val="none"/>
          <w:lang w:val="en-US" w:eastAsia="zh-CN"/>
        </w:rPr>
      </w:pPr>
      <w:r>
        <w:rPr>
          <w:rFonts w:hint="eastAsia" w:ascii="仿宋" w:hAnsi="仿宋" w:eastAsia="仿宋" w:cs="仿宋"/>
          <w:b/>
          <w:bCs/>
          <w:color w:val="auto"/>
          <w:spacing w:val="-2"/>
          <w:sz w:val="28"/>
          <w:szCs w:val="28"/>
          <w:highlight w:val="none"/>
          <w:lang w:val="en-US" w:eastAsia="zh-CN"/>
        </w:rPr>
        <w:t>2.3鱼类采购要求：</w:t>
      </w:r>
    </w:p>
    <w:p w14:paraId="330F9A53">
      <w:pPr>
        <w:pageBreakBefore w:val="0"/>
        <w:kinsoku/>
        <w:overflowPunct/>
        <w:bidi w:val="0"/>
        <w:spacing w:beforeAutospacing="0" w:afterAutospacing="0" w:line="440" w:lineRule="exact"/>
        <w:ind w:left="0"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（1）产品规格：鲜鱼，现宰。</w:t>
      </w:r>
    </w:p>
    <w:p w14:paraId="7EB41CCD">
      <w:pPr>
        <w:pageBreakBefore w:val="0"/>
        <w:kinsoku/>
        <w:overflowPunct/>
        <w:bidi w:val="0"/>
        <w:spacing w:beforeAutospacing="0" w:afterAutospacing="0" w:line="440" w:lineRule="exact"/>
        <w:ind w:left="0"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（2）感官：鱼体健康，体态匀称，游动活泼，体色鲜明，体表光滑，眼睛亮丽，鳞片鳍条完好。无添加孔雀石绿、无汽油味残留。</w:t>
      </w:r>
    </w:p>
    <w:p w14:paraId="349E2308">
      <w:pPr>
        <w:pageBreakBefore w:val="0"/>
        <w:kinsoku/>
        <w:overflowPunct/>
        <w:bidi w:val="0"/>
        <w:spacing w:beforeAutospacing="0" w:afterAutospacing="0" w:line="440" w:lineRule="exact"/>
        <w:ind w:left="0"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（3）储存时长：当天鲜宰或冷藏，来自无污染的水域或养殖区域。</w:t>
      </w:r>
    </w:p>
    <w:p w14:paraId="37407D5F">
      <w:pPr>
        <w:pageBreakBefore w:val="0"/>
        <w:kinsoku/>
        <w:overflowPunct/>
        <w:bidi w:val="0"/>
        <w:spacing w:beforeAutospacing="0" w:afterAutospacing="0" w:line="440" w:lineRule="exact"/>
        <w:ind w:right="0" w:rightChars="0"/>
        <w:jc w:val="left"/>
        <w:rPr>
          <w:rFonts w:hint="eastAsia" w:ascii="仿宋" w:hAnsi="仿宋" w:eastAsia="仿宋" w:cs="仿宋"/>
          <w:b/>
          <w:bCs/>
          <w:color w:val="auto"/>
          <w:spacing w:val="-2"/>
          <w:sz w:val="28"/>
          <w:szCs w:val="28"/>
          <w:highlight w:val="none"/>
        </w:rPr>
      </w:pPr>
      <w:r>
        <w:rPr>
          <w:rFonts w:hint="eastAsia" w:ascii="仿宋" w:hAnsi="仿宋" w:eastAsia="仿宋" w:cs="仿宋"/>
          <w:b/>
          <w:bCs/>
          <w:color w:val="auto"/>
          <w:spacing w:val="-2"/>
          <w:sz w:val="28"/>
          <w:szCs w:val="28"/>
          <w:highlight w:val="none"/>
          <w:lang w:val="en-US" w:eastAsia="zh-CN"/>
        </w:rPr>
        <w:t>（3）产品</w:t>
      </w:r>
      <w:r>
        <w:rPr>
          <w:rFonts w:hint="eastAsia" w:ascii="仿宋" w:hAnsi="仿宋" w:eastAsia="仿宋" w:cs="仿宋"/>
          <w:b/>
          <w:bCs/>
          <w:color w:val="auto"/>
          <w:spacing w:val="-2"/>
          <w:sz w:val="28"/>
          <w:szCs w:val="28"/>
          <w:highlight w:val="none"/>
        </w:rPr>
        <w:t>包装要求：</w:t>
      </w:r>
    </w:p>
    <w:p w14:paraId="4D4BA958">
      <w:pPr>
        <w:pageBreakBefore w:val="0"/>
        <w:kinsoku/>
        <w:overflowPunct/>
        <w:bidi w:val="0"/>
        <w:spacing w:beforeAutospacing="0" w:afterAutospacing="0" w:line="440" w:lineRule="exact"/>
        <w:ind w:left="0" w:leftChars="0" w:right="0" w:rightChars="0" w:firstLine="552" w:firstLineChars="200"/>
        <w:jc w:val="left"/>
        <w:rPr>
          <w:rFonts w:hint="eastAsia" w:ascii="仿宋" w:hAnsi="仿宋" w:eastAsia="仿宋" w:cs="仿宋"/>
          <w:color w:val="auto"/>
          <w:spacing w:val="-2"/>
          <w:sz w:val="28"/>
          <w:szCs w:val="28"/>
          <w:highlight w:val="none"/>
          <w:lang w:eastAsia="zh-CN"/>
        </w:rPr>
      </w:pPr>
      <w:r>
        <w:rPr>
          <w:rFonts w:hint="eastAsia" w:ascii="仿宋" w:hAnsi="仿宋" w:eastAsia="仿宋" w:cs="仿宋"/>
          <w:color w:val="auto"/>
          <w:spacing w:val="-2"/>
          <w:sz w:val="28"/>
          <w:szCs w:val="28"/>
          <w:highlight w:val="none"/>
        </w:rPr>
        <w:t>包装：容器(框、箱、袋)要求清洁、干燥、牢固、透气，无污染、无异味、无霉变现象</w:t>
      </w:r>
      <w:r>
        <w:rPr>
          <w:rFonts w:hint="eastAsia" w:ascii="仿宋" w:hAnsi="仿宋" w:eastAsia="仿宋" w:cs="仿宋"/>
          <w:color w:val="auto"/>
          <w:spacing w:val="-2"/>
          <w:sz w:val="28"/>
          <w:szCs w:val="28"/>
          <w:highlight w:val="none"/>
          <w:lang w:eastAsia="zh-CN"/>
        </w:rPr>
        <w:t>。</w:t>
      </w:r>
    </w:p>
    <w:p w14:paraId="6F330F2B">
      <w:pPr>
        <w:pageBreakBefore w:val="0"/>
        <w:numPr>
          <w:ilvl w:val="0"/>
          <w:numId w:val="0"/>
        </w:numPr>
        <w:kinsoku/>
        <w:overflowPunct/>
        <w:bidi w:val="0"/>
        <w:spacing w:beforeAutospacing="0" w:afterAutospacing="0" w:line="440" w:lineRule="exact"/>
        <w:ind w:right="0" w:rightChars="0"/>
        <w:jc w:val="left"/>
        <w:rPr>
          <w:rFonts w:hint="eastAsia" w:ascii="仿宋" w:hAnsi="仿宋" w:eastAsia="仿宋" w:cs="仿宋"/>
          <w:b/>
          <w:bCs/>
          <w:color w:val="auto"/>
          <w:spacing w:val="-2"/>
          <w:sz w:val="28"/>
          <w:szCs w:val="28"/>
          <w:highlight w:val="none"/>
        </w:rPr>
      </w:pPr>
      <w:r>
        <w:rPr>
          <w:rFonts w:hint="eastAsia" w:ascii="仿宋" w:hAnsi="仿宋" w:eastAsia="仿宋" w:cs="仿宋"/>
          <w:b/>
          <w:bCs/>
          <w:color w:val="auto"/>
          <w:spacing w:val="-2"/>
          <w:sz w:val="28"/>
          <w:szCs w:val="28"/>
          <w:highlight w:val="none"/>
          <w:lang w:val="en-US" w:eastAsia="zh-CN"/>
        </w:rPr>
        <w:t>（4）</w:t>
      </w:r>
      <w:r>
        <w:rPr>
          <w:rFonts w:hint="eastAsia" w:ascii="仿宋" w:hAnsi="仿宋" w:eastAsia="仿宋" w:cs="仿宋"/>
          <w:b/>
          <w:bCs/>
          <w:color w:val="auto"/>
          <w:spacing w:val="-2"/>
          <w:sz w:val="28"/>
          <w:szCs w:val="28"/>
          <w:highlight w:val="none"/>
        </w:rPr>
        <w:t>食品供应链要求：</w:t>
      </w:r>
    </w:p>
    <w:p w14:paraId="054752F3">
      <w:pPr>
        <w:pageBreakBefore w:val="0"/>
        <w:kinsoku/>
        <w:overflowPunct/>
        <w:bidi w:val="0"/>
        <w:spacing w:beforeAutospacing="0" w:afterAutospacing="0" w:line="440" w:lineRule="exact"/>
        <w:ind w:left="0" w:leftChars="0" w:right="0" w:rightChars="0" w:firstLine="552" w:firstLineChars="200"/>
        <w:jc w:val="left"/>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所有</w:t>
      </w:r>
      <w:r>
        <w:rPr>
          <w:rFonts w:hint="eastAsia" w:ascii="仿宋" w:hAnsi="仿宋" w:eastAsia="仿宋" w:cs="仿宋"/>
          <w:color w:val="auto"/>
          <w:spacing w:val="-2"/>
          <w:sz w:val="28"/>
          <w:szCs w:val="28"/>
          <w:highlight w:val="none"/>
          <w:lang w:val="en-US" w:eastAsia="zh-CN"/>
        </w:rPr>
        <w:t>食材</w:t>
      </w:r>
      <w:r>
        <w:rPr>
          <w:rFonts w:hint="eastAsia" w:ascii="仿宋" w:hAnsi="仿宋" w:eastAsia="仿宋" w:cs="仿宋"/>
          <w:color w:val="auto"/>
          <w:spacing w:val="-2"/>
          <w:sz w:val="28"/>
          <w:szCs w:val="28"/>
          <w:highlight w:val="none"/>
        </w:rPr>
        <w:t>的来源必须清晰</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食材</w:t>
      </w:r>
      <w:r>
        <w:rPr>
          <w:rFonts w:hint="eastAsia" w:ascii="仿宋" w:hAnsi="仿宋" w:eastAsia="仿宋" w:cs="仿宋"/>
          <w:color w:val="auto"/>
          <w:spacing w:val="-2"/>
          <w:sz w:val="28"/>
          <w:szCs w:val="28"/>
          <w:highlight w:val="none"/>
        </w:rPr>
        <w:t>来源应当受到地方政府部门监管的专业流通市场</w:t>
      </w:r>
      <w:r>
        <w:rPr>
          <w:rFonts w:hint="eastAsia" w:ascii="仿宋" w:hAnsi="仿宋" w:eastAsia="仿宋" w:cs="仿宋"/>
          <w:color w:val="auto"/>
          <w:spacing w:val="-2"/>
          <w:sz w:val="28"/>
          <w:szCs w:val="28"/>
          <w:highlight w:val="none"/>
          <w:lang w:val="en-US" w:eastAsia="zh-CN"/>
        </w:rPr>
        <w:t>，严禁收购散户农民的食材供应。</w:t>
      </w:r>
    </w:p>
    <w:p w14:paraId="05ABB316">
      <w:pPr>
        <w:pageBreakBefore w:val="0"/>
        <w:numPr>
          <w:ilvl w:val="0"/>
          <w:numId w:val="0"/>
        </w:numPr>
        <w:kinsoku/>
        <w:overflowPunct/>
        <w:bidi w:val="0"/>
        <w:spacing w:beforeAutospacing="0" w:afterAutospacing="0" w:line="440" w:lineRule="exact"/>
        <w:ind w:leftChars="0" w:right="0" w:rightChars="0"/>
        <w:jc w:val="left"/>
        <w:rPr>
          <w:rFonts w:hint="eastAsia" w:ascii="仿宋" w:hAnsi="仿宋" w:eastAsia="仿宋" w:cs="仿宋"/>
          <w:b/>
          <w:bCs/>
          <w:color w:val="auto"/>
          <w:spacing w:val="-2"/>
          <w:sz w:val="28"/>
          <w:szCs w:val="28"/>
          <w:highlight w:val="none"/>
          <w:lang w:eastAsia="zh-CN"/>
        </w:rPr>
      </w:pPr>
      <w:r>
        <w:rPr>
          <w:rFonts w:hint="eastAsia" w:ascii="仿宋" w:hAnsi="仿宋" w:eastAsia="仿宋" w:cs="仿宋"/>
          <w:b/>
          <w:bCs/>
          <w:color w:val="auto"/>
          <w:spacing w:val="-2"/>
          <w:sz w:val="28"/>
          <w:szCs w:val="28"/>
          <w:highlight w:val="none"/>
          <w:lang w:val="en-US" w:eastAsia="zh-CN"/>
        </w:rPr>
        <w:t>（5）</w:t>
      </w:r>
      <w:r>
        <w:rPr>
          <w:rFonts w:hint="eastAsia" w:ascii="仿宋" w:hAnsi="仿宋" w:eastAsia="仿宋" w:cs="仿宋"/>
          <w:b/>
          <w:bCs/>
          <w:color w:val="auto"/>
          <w:spacing w:val="-2"/>
          <w:sz w:val="28"/>
          <w:szCs w:val="28"/>
          <w:highlight w:val="none"/>
        </w:rPr>
        <w:t>运输要求</w:t>
      </w:r>
      <w:r>
        <w:rPr>
          <w:rFonts w:hint="eastAsia" w:ascii="仿宋" w:hAnsi="仿宋" w:eastAsia="仿宋" w:cs="仿宋"/>
          <w:b/>
          <w:bCs/>
          <w:color w:val="auto"/>
          <w:spacing w:val="-2"/>
          <w:sz w:val="28"/>
          <w:szCs w:val="28"/>
          <w:highlight w:val="none"/>
          <w:lang w:eastAsia="zh-CN"/>
        </w:rPr>
        <w:t>：</w:t>
      </w:r>
    </w:p>
    <w:p w14:paraId="5309AF95">
      <w:pPr>
        <w:pageBreakBefore w:val="0"/>
        <w:numPr>
          <w:ilvl w:val="0"/>
          <w:numId w:val="0"/>
        </w:numPr>
        <w:kinsoku/>
        <w:overflowPunct/>
        <w:bidi w:val="0"/>
        <w:spacing w:beforeAutospacing="0" w:afterAutospacing="0" w:line="440" w:lineRule="exact"/>
        <w:ind w:leftChars="0" w:right="0" w:rightChars="0" w:firstLine="552" w:firstLineChars="200"/>
        <w:jc w:val="left"/>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食品堆放科学合理，避免造成食品的交叉污染；如对温度有要求的食品应确定食品的温度，记录送货车辆温度，并记录存档。</w:t>
      </w:r>
    </w:p>
    <w:p w14:paraId="15A1D364">
      <w:pPr>
        <w:keepNext w:val="0"/>
        <w:keepLines w:val="0"/>
        <w:pageBreakBefore w:val="0"/>
        <w:widowControl w:val="0"/>
        <w:kinsoku/>
        <w:wordWrap/>
        <w:overflowPunct/>
        <w:topLinePunct w:val="0"/>
        <w:autoSpaceDE/>
        <w:autoSpaceDN/>
        <w:bidi w:val="0"/>
        <w:adjustRightInd/>
        <w:spacing w:line="480" w:lineRule="exact"/>
        <w:jc w:val="both"/>
        <w:textAlignment w:val="auto"/>
        <w:outlineLvl w:val="1"/>
        <w:rPr>
          <w:rFonts w:hint="default" w:ascii="仿宋" w:hAnsi="仿宋" w:eastAsia="仿宋" w:cs="仿宋"/>
          <w:b/>
          <w:bCs/>
          <w:color w:val="auto"/>
          <w:spacing w:val="-7"/>
          <w:sz w:val="32"/>
          <w:szCs w:val="32"/>
          <w:highlight w:val="none"/>
          <w:lang w:val="en-US" w:eastAsia="zh-CN"/>
        </w:rPr>
      </w:pPr>
      <w:bookmarkStart w:id="416" w:name="_Toc20425"/>
      <w:r>
        <w:rPr>
          <w:rFonts w:hint="eastAsia" w:ascii="仿宋" w:hAnsi="仿宋" w:eastAsia="仿宋" w:cs="仿宋"/>
          <w:b/>
          <w:bCs w:val="0"/>
          <w:color w:val="auto"/>
          <w:sz w:val="32"/>
          <w:szCs w:val="32"/>
          <w:highlight w:val="none"/>
          <w:lang w:val="en-US" w:eastAsia="zh-CN"/>
        </w:rPr>
        <w:t>三、第二标段：盒饭采购</w:t>
      </w:r>
      <w:bookmarkEnd w:id="416"/>
    </w:p>
    <w:p w14:paraId="6FC88BDB">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pacing w:val="-7"/>
          <w:sz w:val="30"/>
          <w:szCs w:val="30"/>
          <w:highlight w:val="none"/>
          <w:lang w:val="en-US" w:eastAsia="zh-CN"/>
        </w:rPr>
        <w:t>（一）</w:t>
      </w:r>
      <w:r>
        <w:rPr>
          <w:rFonts w:hint="eastAsia" w:ascii="仿宋" w:hAnsi="仿宋" w:eastAsia="仿宋" w:cs="仿宋"/>
          <w:b/>
          <w:bCs/>
          <w:color w:val="auto"/>
          <w:spacing w:val="-7"/>
          <w:sz w:val="30"/>
          <w:szCs w:val="30"/>
          <w:highlight w:val="none"/>
        </w:rPr>
        <w:t>总体要求</w:t>
      </w:r>
    </w:p>
    <w:p w14:paraId="733F1680">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1.所购入的</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必须符合《中华人民共和国食品卫生法》、《中华人民共和国食品安全法》要求。</w:t>
      </w:r>
    </w:p>
    <w:p w14:paraId="45FA63F3">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2.所供</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必须符合国家行业生产及经营标准，货真价实；</w:t>
      </w:r>
    </w:p>
    <w:p w14:paraId="1C72B377">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3.中标</w:t>
      </w:r>
      <w:r>
        <w:rPr>
          <w:rFonts w:hint="eastAsia" w:ascii="仿宋" w:hAnsi="仿宋" w:eastAsia="仿宋" w:cs="仿宋"/>
          <w:bCs/>
          <w:color w:val="auto"/>
          <w:sz w:val="28"/>
          <w:szCs w:val="28"/>
          <w:highlight w:val="none"/>
        </w:rPr>
        <w:t>人必须负责</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的运输、质量检测等工作，所产生的费用由</w:t>
      </w:r>
      <w:r>
        <w:rPr>
          <w:rFonts w:hint="eastAsia" w:ascii="仿宋" w:hAnsi="仿宋" w:eastAsia="仿宋" w:cs="仿宋"/>
          <w:bCs/>
          <w:color w:val="auto"/>
          <w:sz w:val="28"/>
          <w:szCs w:val="28"/>
          <w:highlight w:val="none"/>
          <w:lang w:val="en-US" w:eastAsia="zh-CN"/>
        </w:rPr>
        <w:t>中标</w:t>
      </w:r>
      <w:r>
        <w:rPr>
          <w:rFonts w:hint="eastAsia" w:ascii="仿宋" w:hAnsi="仿宋" w:eastAsia="仿宋" w:cs="仿宋"/>
          <w:bCs/>
          <w:color w:val="auto"/>
          <w:sz w:val="28"/>
          <w:szCs w:val="28"/>
          <w:highlight w:val="none"/>
        </w:rPr>
        <w:t>人负责。</w:t>
      </w:r>
    </w:p>
    <w:p w14:paraId="7819F354">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.所供</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必须符合国家有关标准，保证无异味、无霉烂变质。</w:t>
      </w:r>
    </w:p>
    <w:p w14:paraId="62EEE928">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.所有</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指标要符合国家强制性标准要求，包装容器(框、箱、袋)要求清洁、干燥、牢固、透气，无污染、无异味、无霉变现象。严禁采购有害、有毒、腐烂变质、酸败、霉变、生虫、污垢不洁、混有异物或其他感官性状异常的食品。禁</w:t>
      </w:r>
      <w:r>
        <w:rPr>
          <w:rFonts w:hint="eastAsia" w:ascii="仿宋" w:hAnsi="仿宋" w:eastAsia="仿宋" w:cs="仿宋"/>
          <w:color w:val="auto"/>
          <w:sz w:val="28"/>
          <w:szCs w:val="28"/>
          <w:highlight w:val="none"/>
        </w:rPr>
        <w:t>止采购超过保质期限的食品。</w:t>
      </w:r>
    </w:p>
    <w:p w14:paraId="1948499B">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人必须保证所供应的</w:t>
      </w:r>
      <w:r>
        <w:rPr>
          <w:rFonts w:hint="eastAsia" w:ascii="仿宋" w:hAnsi="仿宋" w:eastAsia="仿宋" w:cs="仿宋"/>
          <w:color w:val="auto"/>
          <w:sz w:val="28"/>
          <w:szCs w:val="28"/>
          <w:highlight w:val="none"/>
          <w:lang w:val="en-US" w:eastAsia="zh-CN"/>
        </w:rPr>
        <w:t>产品</w:t>
      </w:r>
      <w:r>
        <w:rPr>
          <w:rFonts w:hint="eastAsia" w:ascii="仿宋" w:hAnsi="仿宋" w:eastAsia="仿宋" w:cs="仿宋"/>
          <w:color w:val="auto"/>
          <w:sz w:val="28"/>
          <w:szCs w:val="28"/>
          <w:highlight w:val="none"/>
        </w:rPr>
        <w:t>符合卫生标准，同时承担因所供</w:t>
      </w:r>
      <w:r>
        <w:rPr>
          <w:rFonts w:hint="eastAsia" w:ascii="仿宋" w:hAnsi="仿宋" w:eastAsia="仿宋" w:cs="仿宋"/>
          <w:color w:val="auto"/>
          <w:sz w:val="28"/>
          <w:szCs w:val="28"/>
          <w:highlight w:val="none"/>
          <w:lang w:val="en-US" w:eastAsia="zh-CN"/>
        </w:rPr>
        <w:t>产品</w:t>
      </w:r>
      <w:r>
        <w:rPr>
          <w:rFonts w:hint="eastAsia" w:ascii="仿宋" w:hAnsi="仿宋" w:eastAsia="仿宋" w:cs="仿宋"/>
          <w:color w:val="auto"/>
          <w:sz w:val="28"/>
          <w:szCs w:val="28"/>
          <w:highlight w:val="none"/>
        </w:rPr>
        <w:t>问题引起的一切事故后果。</w:t>
      </w:r>
    </w:p>
    <w:p w14:paraId="350CFA5F">
      <w:pPr>
        <w:pageBreakBefore w:val="0"/>
        <w:kinsoku/>
        <w:overflowPunct/>
        <w:bidi w:val="0"/>
        <w:spacing w:beforeAutospacing="0" w:afterAutospacing="0" w:line="44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color w:val="auto"/>
          <w:sz w:val="28"/>
          <w:szCs w:val="28"/>
          <w:highlight w:val="none"/>
        </w:rPr>
        <w:t>有包装的，包装必须完整清洁(无损、无污、无皱),招标人有权拒收包装不整齐、已拆封的商品。采购的食品不得存放在有害、有毒的容器内。</w:t>
      </w:r>
    </w:p>
    <w:p w14:paraId="299EF371">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pacing w:val="-7"/>
          <w:sz w:val="30"/>
          <w:szCs w:val="30"/>
          <w:highlight w:val="none"/>
          <w:lang w:val="en-US" w:eastAsia="zh-CN"/>
        </w:rPr>
        <w:t>（二）采购需求具体内容如下</w:t>
      </w:r>
    </w:p>
    <w:p w14:paraId="31F97139">
      <w:pPr>
        <w:pageBreakBefore w:val="0"/>
        <w:numPr>
          <w:ilvl w:val="0"/>
          <w:numId w:val="0"/>
        </w:numPr>
        <w:kinsoku/>
        <w:overflowPunct/>
        <w:bidi w:val="0"/>
        <w:spacing w:beforeAutospacing="0" w:afterAutospacing="0" w:line="440" w:lineRule="exact"/>
        <w:ind w:right="0" w:right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1.盒饭采购清单（此表仅供参考）</w:t>
      </w:r>
    </w:p>
    <w:tbl>
      <w:tblPr>
        <w:tblStyle w:val="58"/>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353"/>
        <w:gridCol w:w="5818"/>
        <w:gridCol w:w="1672"/>
      </w:tblGrid>
      <w:tr w14:paraId="005EF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622" w:type="dxa"/>
            <w:vAlign w:val="top"/>
          </w:tcPr>
          <w:p w14:paraId="494E18DA">
            <w:pPr>
              <w:spacing w:before="56" w:line="222"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pacing w:val="-11"/>
                <w:sz w:val="24"/>
                <w:szCs w:val="24"/>
                <w:highlight w:val="none"/>
              </w:rPr>
              <w:t>序号</w:t>
            </w:r>
          </w:p>
        </w:tc>
        <w:tc>
          <w:tcPr>
            <w:tcW w:w="1353" w:type="dxa"/>
            <w:vAlign w:val="top"/>
          </w:tcPr>
          <w:p w14:paraId="066AB289">
            <w:pPr>
              <w:spacing w:before="55" w:line="221"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物资名称</w:t>
            </w:r>
          </w:p>
        </w:tc>
        <w:tc>
          <w:tcPr>
            <w:tcW w:w="5818" w:type="dxa"/>
            <w:vAlign w:val="top"/>
          </w:tcPr>
          <w:p w14:paraId="4B01FA68">
            <w:pPr>
              <w:spacing w:before="56" w:line="222"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规格及标准</w:t>
            </w:r>
          </w:p>
        </w:tc>
        <w:tc>
          <w:tcPr>
            <w:tcW w:w="1672" w:type="dxa"/>
            <w:vAlign w:val="top"/>
          </w:tcPr>
          <w:p w14:paraId="2702B74E">
            <w:pPr>
              <w:spacing w:before="56" w:line="222" w:lineRule="auto"/>
              <w:jc w:val="center"/>
              <w:rPr>
                <w:rFonts w:hint="default" w:ascii="仿宋" w:hAnsi="仿宋" w:eastAsia="仿宋" w:cs="仿宋"/>
                <w:b/>
                <w:bCs/>
                <w:color w:val="auto"/>
                <w:spacing w:val="-5"/>
                <w:sz w:val="24"/>
                <w:szCs w:val="24"/>
                <w:highlight w:val="none"/>
                <w:lang w:val="en-US" w:eastAsia="zh-CN"/>
              </w:rPr>
            </w:pPr>
            <w:r>
              <w:rPr>
                <w:rFonts w:hint="eastAsia" w:ascii="仿宋" w:hAnsi="仿宋" w:eastAsia="仿宋" w:cs="仿宋"/>
                <w:b/>
                <w:bCs/>
                <w:color w:val="auto"/>
                <w:spacing w:val="-5"/>
                <w:sz w:val="24"/>
                <w:szCs w:val="24"/>
                <w:highlight w:val="none"/>
                <w:lang w:val="en-US" w:eastAsia="zh-CN"/>
              </w:rPr>
              <w:t>最高限价单价</w:t>
            </w:r>
          </w:p>
        </w:tc>
      </w:tr>
      <w:tr w14:paraId="79DDA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22" w:type="dxa"/>
            <w:vAlign w:val="top"/>
          </w:tcPr>
          <w:p w14:paraId="6F42D5DC">
            <w:pPr>
              <w:spacing w:before="56" w:line="222" w:lineRule="auto"/>
              <w:jc w:val="center"/>
              <w:rPr>
                <w:rFonts w:hint="eastAsia" w:ascii="仿宋" w:hAnsi="仿宋" w:eastAsia="仿宋" w:cs="仿宋"/>
                <w:b w:val="0"/>
                <w:bCs w:val="0"/>
                <w:color w:val="auto"/>
                <w:spacing w:val="-11"/>
                <w:sz w:val="24"/>
                <w:szCs w:val="24"/>
                <w:highlight w:val="none"/>
                <w:lang w:val="en-US" w:eastAsia="zh-CN"/>
              </w:rPr>
            </w:pPr>
            <w:r>
              <w:rPr>
                <w:rFonts w:hint="eastAsia" w:ascii="仿宋" w:hAnsi="仿宋" w:eastAsia="仿宋" w:cs="仿宋"/>
                <w:b w:val="0"/>
                <w:bCs w:val="0"/>
                <w:color w:val="auto"/>
                <w:spacing w:val="-11"/>
                <w:sz w:val="24"/>
                <w:szCs w:val="24"/>
                <w:highlight w:val="none"/>
                <w:lang w:val="en-US" w:eastAsia="zh-CN"/>
              </w:rPr>
              <w:t>1</w:t>
            </w:r>
          </w:p>
        </w:tc>
        <w:tc>
          <w:tcPr>
            <w:tcW w:w="1353" w:type="dxa"/>
            <w:vAlign w:val="top"/>
          </w:tcPr>
          <w:p w14:paraId="710B63DF">
            <w:pPr>
              <w:spacing w:before="55" w:line="221" w:lineRule="auto"/>
              <w:jc w:val="center"/>
              <w:rPr>
                <w:rFonts w:hint="eastAsia" w:ascii="仿宋" w:hAnsi="仿宋" w:eastAsia="仿宋" w:cs="仿宋"/>
                <w:b w:val="0"/>
                <w:bCs w:val="0"/>
                <w:color w:val="auto"/>
                <w:spacing w:val="-7"/>
                <w:sz w:val="24"/>
                <w:szCs w:val="24"/>
                <w:highlight w:val="none"/>
                <w:lang w:val="en-US" w:eastAsia="zh-CN"/>
              </w:rPr>
            </w:pPr>
            <w:r>
              <w:rPr>
                <w:rFonts w:hint="eastAsia" w:ascii="仿宋" w:hAnsi="仿宋" w:eastAsia="仿宋" w:cs="仿宋"/>
                <w:b w:val="0"/>
                <w:bCs w:val="0"/>
                <w:color w:val="auto"/>
                <w:spacing w:val="-7"/>
                <w:sz w:val="24"/>
                <w:szCs w:val="24"/>
                <w:highlight w:val="none"/>
                <w:lang w:val="en-US" w:eastAsia="zh-CN"/>
              </w:rPr>
              <w:t>盒饭</w:t>
            </w:r>
          </w:p>
        </w:tc>
        <w:tc>
          <w:tcPr>
            <w:tcW w:w="5818" w:type="dxa"/>
            <w:vAlign w:val="top"/>
          </w:tcPr>
          <w:p w14:paraId="2E18FEBB">
            <w:pPr>
              <w:spacing w:before="56" w:line="222" w:lineRule="auto"/>
              <w:jc w:val="left"/>
              <w:rPr>
                <w:rFonts w:hint="eastAsia" w:ascii="仿宋" w:hAnsi="仿宋" w:eastAsia="仿宋" w:cs="仿宋"/>
                <w:b w:val="0"/>
                <w:bCs w:val="0"/>
                <w:color w:val="auto"/>
                <w:spacing w:val="-7"/>
                <w:sz w:val="24"/>
                <w:szCs w:val="24"/>
                <w:highlight w:val="none"/>
                <w:lang w:val="en-US" w:eastAsia="en-US"/>
              </w:rPr>
            </w:pPr>
            <w:r>
              <w:rPr>
                <w:rFonts w:hint="eastAsia" w:ascii="仿宋" w:hAnsi="仿宋" w:eastAsia="仿宋" w:cs="仿宋"/>
                <w:b w:val="0"/>
                <w:bCs w:val="0"/>
                <w:color w:val="auto"/>
                <w:spacing w:val="-7"/>
                <w:sz w:val="24"/>
                <w:szCs w:val="24"/>
                <w:highlight w:val="none"/>
                <w:lang w:val="en-US" w:eastAsia="zh-CN"/>
              </w:rPr>
              <w:t>提供一日三餐盒饭配送：早饭包含鸡蛋、牛奶、粥、饼子、小菜等；中饭包含米饭菜（一荤一素）、面食等；晚饭包含汤饭、粉汤、炒菜、饼子、米饭等。</w:t>
            </w:r>
          </w:p>
          <w:p w14:paraId="434CD441">
            <w:pPr>
              <w:spacing w:before="56" w:line="222" w:lineRule="auto"/>
              <w:jc w:val="left"/>
              <w:rPr>
                <w:rFonts w:hint="default" w:ascii="仿宋" w:hAnsi="仿宋" w:eastAsia="仿宋" w:cs="仿宋"/>
                <w:b/>
                <w:bCs/>
                <w:color w:val="auto"/>
                <w:spacing w:val="-5"/>
                <w:sz w:val="24"/>
                <w:szCs w:val="24"/>
                <w:highlight w:val="none"/>
                <w:lang w:val="en-US" w:eastAsia="zh-CN"/>
              </w:rPr>
            </w:pPr>
            <w:r>
              <w:rPr>
                <w:rFonts w:hint="eastAsia" w:ascii="仿宋" w:hAnsi="仿宋" w:eastAsia="仿宋" w:cs="仿宋"/>
                <w:b w:val="0"/>
                <w:bCs w:val="0"/>
                <w:color w:val="auto"/>
                <w:spacing w:val="-7"/>
                <w:sz w:val="24"/>
                <w:szCs w:val="24"/>
                <w:highlight w:val="none"/>
                <w:lang w:val="en-US" w:eastAsia="zh-CN"/>
              </w:rPr>
              <w:t>备注：以上</w:t>
            </w:r>
            <w:r>
              <w:rPr>
                <w:rFonts w:hint="eastAsia" w:ascii="仿宋" w:hAnsi="仿宋" w:eastAsia="仿宋" w:cs="仿宋"/>
                <w:b w:val="0"/>
                <w:bCs w:val="0"/>
                <w:color w:val="auto"/>
                <w:spacing w:val="-7"/>
                <w:sz w:val="24"/>
                <w:szCs w:val="24"/>
                <w:highlight w:val="none"/>
                <w:lang w:val="en-US" w:eastAsia="en-US"/>
              </w:rPr>
              <w:t>荤菜和素菜按照一定比例搭配，营养均衡</w:t>
            </w:r>
            <w:r>
              <w:rPr>
                <w:rFonts w:hint="eastAsia" w:ascii="仿宋" w:hAnsi="仿宋" w:eastAsia="仿宋" w:cs="仿宋"/>
                <w:b w:val="0"/>
                <w:bCs w:val="0"/>
                <w:color w:val="auto"/>
                <w:spacing w:val="-7"/>
                <w:sz w:val="24"/>
                <w:szCs w:val="24"/>
                <w:highlight w:val="none"/>
                <w:lang w:val="en-US" w:eastAsia="zh-CN"/>
              </w:rPr>
              <w:t>，主食部分应以米饭、面食为主</w:t>
            </w:r>
            <w:r>
              <w:rPr>
                <w:rFonts w:hint="eastAsia" w:ascii="仿宋" w:hAnsi="仿宋" w:eastAsia="仿宋" w:cs="仿宋"/>
                <w:b w:val="0"/>
                <w:bCs w:val="0"/>
                <w:color w:val="auto"/>
                <w:spacing w:val="-7"/>
                <w:sz w:val="24"/>
                <w:szCs w:val="24"/>
                <w:highlight w:val="none"/>
                <w:lang w:val="en-US" w:eastAsia="en-US"/>
              </w:rPr>
              <w:t>。配菜应确保新鲜、卫生，并且与主菜相搭配合理。</w:t>
            </w:r>
          </w:p>
        </w:tc>
        <w:tc>
          <w:tcPr>
            <w:tcW w:w="1672" w:type="dxa"/>
            <w:vAlign w:val="top"/>
          </w:tcPr>
          <w:p w14:paraId="61B8B94B">
            <w:pPr>
              <w:spacing w:before="56" w:line="222" w:lineRule="auto"/>
              <w:jc w:val="center"/>
              <w:rPr>
                <w:rFonts w:hint="default" w:ascii="仿宋" w:hAnsi="仿宋" w:eastAsia="仿宋" w:cs="仿宋"/>
                <w:b w:val="0"/>
                <w:bCs w:val="0"/>
                <w:color w:val="auto"/>
                <w:spacing w:val="-7"/>
                <w:sz w:val="24"/>
                <w:szCs w:val="24"/>
                <w:highlight w:val="none"/>
                <w:lang w:val="en-US" w:eastAsia="zh-CN"/>
              </w:rPr>
            </w:pPr>
            <w:r>
              <w:rPr>
                <w:rFonts w:hint="eastAsia" w:ascii="仿宋" w:hAnsi="仿宋" w:eastAsia="仿宋" w:cs="仿宋"/>
                <w:b w:val="0"/>
                <w:bCs w:val="0"/>
                <w:color w:val="auto"/>
                <w:spacing w:val="-7"/>
                <w:sz w:val="24"/>
                <w:szCs w:val="24"/>
                <w:highlight w:val="none"/>
                <w:lang w:val="en-US" w:eastAsia="zh-CN"/>
              </w:rPr>
              <w:t>30元/天/人</w:t>
            </w:r>
          </w:p>
        </w:tc>
      </w:tr>
    </w:tbl>
    <w:p w14:paraId="52D6C1B1">
      <w:pPr>
        <w:pStyle w:val="46"/>
        <w:pageBreakBefore w:val="0"/>
        <w:kinsoku/>
        <w:overflowPunct/>
        <w:topLinePunct w:val="0"/>
        <w:bidi w:val="0"/>
        <w:spacing w:line="500" w:lineRule="exact"/>
        <w:outlineLvl w:val="2"/>
        <w:rPr>
          <w:rFonts w:hint="eastAsia" w:ascii="仿宋" w:hAnsi="仿宋" w:eastAsia="仿宋" w:cs="仿宋"/>
          <w:b/>
          <w:color w:val="auto"/>
          <w:kern w:val="44"/>
          <w:sz w:val="28"/>
          <w:szCs w:val="28"/>
          <w:highlight w:val="none"/>
          <w:lang w:val="en-US" w:eastAsia="zh-CN" w:bidi="ar-SA"/>
        </w:rPr>
      </w:pPr>
      <w:r>
        <w:rPr>
          <w:rFonts w:hint="eastAsia" w:ascii="仿宋" w:hAnsi="仿宋" w:eastAsia="仿宋" w:cs="仿宋"/>
          <w:b/>
          <w:color w:val="auto"/>
          <w:kern w:val="44"/>
          <w:sz w:val="28"/>
          <w:szCs w:val="28"/>
          <w:highlight w:val="none"/>
          <w:lang w:val="en-US" w:eastAsia="zh-CN" w:bidi="ar-SA"/>
        </w:rPr>
        <w:t xml:space="preserve">2.技术规格要求：  </w:t>
      </w:r>
    </w:p>
    <w:p w14:paraId="7F119A9D">
      <w:pPr>
        <w:pageBreakBefore w:val="0"/>
        <w:numPr>
          <w:ilvl w:val="0"/>
          <w:numId w:val="0"/>
        </w:numPr>
        <w:kinsoku/>
        <w:overflowPunct/>
        <w:bidi w:val="0"/>
        <w:spacing w:beforeAutospacing="0" w:afterAutospacing="0" w:line="440" w:lineRule="exact"/>
        <w:ind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1）食品安全:盒饭必须符合国家和地方的食品安全标准，包括食品原料的采购、储存、加工、运输和销售等环节。</w:t>
      </w:r>
    </w:p>
    <w:p w14:paraId="4FE4962D">
      <w:pPr>
        <w:pageBreakBefore w:val="0"/>
        <w:numPr>
          <w:ilvl w:val="0"/>
          <w:numId w:val="0"/>
        </w:numPr>
        <w:kinsoku/>
        <w:overflowPunct/>
        <w:bidi w:val="0"/>
        <w:spacing w:beforeAutospacing="0" w:afterAutospacing="0" w:line="440" w:lineRule="exact"/>
        <w:ind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2）食品质量:盒饭的食品质量应该符合国家和地方的相关标准，包括食品的口感、味道、营养成分等。</w:t>
      </w:r>
    </w:p>
    <w:p w14:paraId="00F52DCC">
      <w:pPr>
        <w:pageBreakBefore w:val="0"/>
        <w:numPr>
          <w:ilvl w:val="0"/>
          <w:numId w:val="0"/>
        </w:numPr>
        <w:kinsoku/>
        <w:overflowPunct/>
        <w:bidi w:val="0"/>
        <w:spacing w:beforeAutospacing="0" w:afterAutospacing="0" w:line="440" w:lineRule="exact"/>
        <w:ind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3）配送标准:盒饭的配送应该符合国家和地方的相关标准，包括配送时间、温度、卫生等。</w:t>
      </w:r>
    </w:p>
    <w:p w14:paraId="5D8F834E">
      <w:pPr>
        <w:pageBreakBefore w:val="0"/>
        <w:numPr>
          <w:ilvl w:val="0"/>
          <w:numId w:val="0"/>
        </w:numPr>
        <w:kinsoku/>
        <w:overflowPunct/>
        <w:bidi w:val="0"/>
        <w:spacing w:beforeAutospacing="0" w:afterAutospacing="0" w:line="440" w:lineRule="exact"/>
        <w:ind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4）从业人员健康证：投标供应商的从业人员必须持有有效的健康证求。（需提供相关证件）</w:t>
      </w:r>
    </w:p>
    <w:p w14:paraId="6C025760">
      <w:pPr>
        <w:pageBreakBefore w:val="0"/>
        <w:kinsoku/>
        <w:overflowPunct/>
        <w:bidi w:val="0"/>
        <w:spacing w:beforeAutospacing="0" w:afterAutospacing="0" w:line="440" w:lineRule="exact"/>
        <w:ind w:right="0" w:rightChars="0"/>
        <w:jc w:val="left"/>
        <w:rPr>
          <w:rFonts w:hint="eastAsia" w:ascii="仿宋" w:hAnsi="仿宋" w:eastAsia="仿宋" w:cs="仿宋"/>
          <w:b/>
          <w:color w:val="auto"/>
          <w:kern w:val="44"/>
          <w:sz w:val="28"/>
          <w:szCs w:val="28"/>
          <w:highlight w:val="none"/>
          <w:lang w:val="en-US" w:eastAsia="zh-CN" w:bidi="ar-SA"/>
        </w:rPr>
      </w:pPr>
      <w:r>
        <w:rPr>
          <w:rFonts w:hint="eastAsia" w:ascii="仿宋" w:hAnsi="仿宋" w:eastAsia="仿宋" w:cs="仿宋"/>
          <w:b/>
          <w:color w:val="auto"/>
          <w:kern w:val="44"/>
          <w:sz w:val="28"/>
          <w:szCs w:val="28"/>
          <w:highlight w:val="none"/>
          <w:lang w:val="en-US" w:eastAsia="zh-CN" w:bidi="ar-SA"/>
        </w:rPr>
        <w:t>3.产品包装要求：</w:t>
      </w:r>
    </w:p>
    <w:p w14:paraId="4C2A6E36">
      <w:pPr>
        <w:pageBreakBefore w:val="0"/>
        <w:numPr>
          <w:ilvl w:val="0"/>
          <w:numId w:val="0"/>
        </w:numPr>
        <w:kinsoku/>
        <w:overflowPunct/>
        <w:bidi w:val="0"/>
        <w:spacing w:beforeAutospacing="0" w:afterAutospacing="0" w:line="440" w:lineRule="exact"/>
        <w:ind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盒饭的包装应该符合国家和地方的相关标准，包括包装材料的质量、卫生、环保。</w:t>
      </w:r>
    </w:p>
    <w:p w14:paraId="62CAB251">
      <w:pPr>
        <w:pStyle w:val="46"/>
        <w:pageBreakBefore w:val="0"/>
        <w:kinsoku/>
        <w:overflowPunct/>
        <w:topLinePunct w:val="0"/>
        <w:bidi w:val="0"/>
        <w:spacing w:line="500" w:lineRule="exact"/>
        <w:outlineLvl w:val="2"/>
        <w:rPr>
          <w:rFonts w:hint="eastAsia" w:ascii="仿宋" w:hAnsi="仿宋" w:eastAsia="仿宋" w:cs="仿宋"/>
          <w:b/>
          <w:color w:val="auto"/>
          <w:kern w:val="44"/>
          <w:sz w:val="28"/>
          <w:szCs w:val="28"/>
          <w:highlight w:val="none"/>
          <w:lang w:val="en-US" w:eastAsia="zh-CN" w:bidi="ar-SA"/>
        </w:rPr>
      </w:pPr>
      <w:r>
        <w:rPr>
          <w:rFonts w:hint="eastAsia" w:ascii="仿宋" w:hAnsi="仿宋" w:eastAsia="仿宋" w:cs="仿宋"/>
          <w:b/>
          <w:color w:val="auto"/>
          <w:kern w:val="44"/>
          <w:sz w:val="28"/>
          <w:szCs w:val="28"/>
          <w:highlight w:val="none"/>
          <w:lang w:val="en-US" w:eastAsia="zh-CN" w:bidi="ar-SA"/>
        </w:rPr>
        <w:t>4.运输要求：</w:t>
      </w:r>
    </w:p>
    <w:p w14:paraId="4CEE334D">
      <w:pPr>
        <w:pageBreakBefore w:val="0"/>
        <w:numPr>
          <w:ilvl w:val="0"/>
          <w:numId w:val="0"/>
        </w:numPr>
        <w:kinsoku/>
        <w:overflowPunct/>
        <w:bidi w:val="0"/>
        <w:spacing w:beforeAutospacing="0" w:afterAutospacing="0" w:line="440" w:lineRule="exact"/>
        <w:ind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14:paraId="606B9878">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bookmarkStart w:id="417" w:name="_Toc22263"/>
    </w:p>
    <w:p w14:paraId="03CEE876">
      <w:pPr>
        <w:pageBreakBefore w:val="0"/>
        <w:numPr>
          <w:ilvl w:val="0"/>
          <w:numId w:val="0"/>
        </w:numPr>
        <w:kinsoku/>
        <w:overflowPunct/>
        <w:bidi w:val="0"/>
        <w:spacing w:beforeAutospacing="0" w:afterAutospacing="0" w:line="440" w:lineRule="exact"/>
        <w:ind w:right="0" w:rightChars="0" w:firstLine="552" w:firstLineChars="200"/>
        <w:jc w:val="left"/>
        <w:rPr>
          <w:rFonts w:hint="default" w:ascii="仿宋" w:hAnsi="仿宋" w:eastAsia="仿宋" w:cs="仿宋"/>
          <w:color w:val="auto"/>
          <w:spacing w:val="-2"/>
          <w:sz w:val="28"/>
          <w:szCs w:val="28"/>
          <w:highlight w:val="none"/>
          <w:lang w:val="en-US" w:eastAsia="zh-CN"/>
        </w:rPr>
      </w:pPr>
    </w:p>
    <w:p w14:paraId="7B236850">
      <w:pPr>
        <w:pageBreakBefore w:val="0"/>
        <w:numPr>
          <w:ilvl w:val="0"/>
          <w:numId w:val="0"/>
        </w:numPr>
        <w:kinsoku/>
        <w:overflowPunct/>
        <w:bidi w:val="0"/>
        <w:spacing w:beforeAutospacing="0" w:afterAutospacing="0" w:line="440" w:lineRule="exact"/>
        <w:ind w:right="0" w:rightChars="0" w:firstLine="552" w:firstLineChars="200"/>
        <w:jc w:val="left"/>
        <w:rPr>
          <w:rFonts w:hint="default" w:ascii="仿宋" w:hAnsi="仿宋" w:eastAsia="仿宋" w:cs="仿宋"/>
          <w:color w:val="auto"/>
          <w:spacing w:val="-2"/>
          <w:sz w:val="28"/>
          <w:szCs w:val="28"/>
          <w:highlight w:val="none"/>
          <w:lang w:val="en-US" w:eastAsia="zh-CN"/>
        </w:rPr>
      </w:pPr>
    </w:p>
    <w:p w14:paraId="689B9C3B">
      <w:pPr>
        <w:pStyle w:val="2"/>
        <w:rPr>
          <w:rFonts w:hint="default" w:ascii="仿宋" w:hAnsi="仿宋" w:eastAsia="仿宋" w:cs="仿宋"/>
          <w:color w:val="auto"/>
          <w:spacing w:val="-2"/>
          <w:sz w:val="28"/>
          <w:szCs w:val="28"/>
          <w:highlight w:val="none"/>
          <w:lang w:val="en-US" w:eastAsia="zh-CN"/>
        </w:rPr>
      </w:pPr>
    </w:p>
    <w:p w14:paraId="2A452AC7">
      <w:pPr>
        <w:pStyle w:val="3"/>
        <w:rPr>
          <w:rFonts w:hint="default" w:ascii="仿宋" w:hAnsi="仿宋" w:eastAsia="仿宋" w:cs="仿宋"/>
          <w:color w:val="auto"/>
          <w:spacing w:val="-2"/>
          <w:sz w:val="28"/>
          <w:szCs w:val="28"/>
          <w:highlight w:val="none"/>
          <w:lang w:val="en-US" w:eastAsia="zh-CN"/>
        </w:rPr>
      </w:pPr>
    </w:p>
    <w:p w14:paraId="4B3662C9">
      <w:pPr>
        <w:rPr>
          <w:rFonts w:hint="eastAsia" w:ascii="仿宋" w:hAnsi="仿宋" w:eastAsia="仿宋" w:cs="仿宋"/>
          <w:b/>
          <w:bCs w:val="0"/>
          <w:color w:val="auto"/>
          <w:sz w:val="36"/>
          <w:szCs w:val="36"/>
          <w:highlight w:val="none"/>
          <w:lang w:val="en-US" w:eastAsia="zh-CN"/>
        </w:rPr>
      </w:pPr>
      <w:r>
        <w:rPr>
          <w:rFonts w:hint="eastAsia" w:ascii="仿宋" w:hAnsi="仿宋" w:eastAsia="仿宋" w:cs="仿宋"/>
          <w:b/>
          <w:bCs w:val="0"/>
          <w:color w:val="auto"/>
          <w:sz w:val="36"/>
          <w:szCs w:val="36"/>
          <w:highlight w:val="none"/>
          <w:lang w:val="en-US" w:eastAsia="zh-CN"/>
        </w:rPr>
        <w:br w:type="page"/>
      </w:r>
    </w:p>
    <w:p w14:paraId="73B59269">
      <w:pPr>
        <w:pStyle w:val="4"/>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outlineLvl w:val="1"/>
        <w:rPr>
          <w:rFonts w:hint="eastAsia" w:ascii="仿宋" w:hAnsi="仿宋" w:eastAsia="仿宋" w:cs="仿宋"/>
          <w:b/>
          <w:bCs w:val="0"/>
          <w:color w:val="auto"/>
          <w:sz w:val="36"/>
          <w:szCs w:val="36"/>
          <w:highlight w:val="none"/>
          <w:lang w:val="en-US" w:eastAsia="zh-CN"/>
        </w:rPr>
      </w:pPr>
      <w:r>
        <w:rPr>
          <w:rFonts w:hint="eastAsia" w:ascii="仿宋" w:hAnsi="仿宋" w:eastAsia="仿宋" w:cs="仿宋"/>
          <w:b/>
          <w:bCs w:val="0"/>
          <w:color w:val="auto"/>
          <w:sz w:val="36"/>
          <w:szCs w:val="36"/>
          <w:highlight w:val="none"/>
          <w:lang w:val="en-US" w:eastAsia="zh-CN"/>
        </w:rPr>
        <w:t>第二部分 商务要求</w:t>
      </w:r>
      <w:bookmarkEnd w:id="404"/>
      <w:bookmarkEnd w:id="405"/>
      <w:bookmarkEnd w:id="417"/>
    </w:p>
    <w:p w14:paraId="34D8F602">
      <w:pPr>
        <w:keepNext w:val="0"/>
        <w:keepLines w:val="0"/>
        <w:pageBreakBefore w:val="0"/>
        <w:kinsoku/>
        <w:wordWrap/>
        <w:overflowPunct/>
        <w:topLinePunct w:val="0"/>
        <w:autoSpaceDE w:val="0"/>
        <w:autoSpaceDN w:val="0"/>
        <w:bidi w:val="0"/>
        <w:adjustRightInd w:val="0"/>
        <w:spacing w:after="0" w:line="480" w:lineRule="exact"/>
        <w:ind w:firstLine="321" w:firstLineChars="100"/>
        <w:jc w:val="center"/>
        <w:textAlignment w:val="auto"/>
        <w:rPr>
          <w:rFonts w:hint="default" w:ascii="仿宋" w:hAnsi="仿宋" w:eastAsia="仿宋" w:cs="仿宋"/>
          <w:b/>
          <w:bCs/>
          <w:color w:val="auto"/>
          <w:sz w:val="32"/>
          <w:szCs w:val="32"/>
          <w:highlight w:val="none"/>
          <w:lang w:val="en-US" w:eastAsia="zh-CN"/>
        </w:rPr>
      </w:pPr>
      <w:bookmarkStart w:id="418" w:name="_Toc27556"/>
      <w:r>
        <w:rPr>
          <w:rFonts w:hint="eastAsia" w:ascii="仿宋" w:hAnsi="仿宋" w:eastAsia="仿宋" w:cs="仿宋"/>
          <w:b/>
          <w:bCs/>
          <w:color w:val="auto"/>
          <w:sz w:val="32"/>
          <w:szCs w:val="32"/>
          <w:highlight w:val="none"/>
          <w:lang w:val="en-US" w:eastAsia="zh-CN"/>
        </w:rPr>
        <w:t>一、第一标段商务要求</w:t>
      </w:r>
    </w:p>
    <w:p w14:paraId="1483A6CC">
      <w:pPr>
        <w:keepNext w:val="0"/>
        <w:keepLines w:val="0"/>
        <w:pageBreakBefore w:val="0"/>
        <w:kinsoku/>
        <w:wordWrap/>
        <w:overflowPunct/>
        <w:topLinePunct w:val="0"/>
        <w:autoSpaceDE w:val="0"/>
        <w:autoSpaceDN w:val="0"/>
        <w:bidi w:val="0"/>
        <w:adjustRightInd w:val="0"/>
        <w:spacing w:after="0" w:line="480" w:lineRule="exact"/>
        <w:ind w:firstLine="281" w:firstLineChars="1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报价要求</w:t>
      </w:r>
    </w:p>
    <w:p w14:paraId="4F096FF4">
      <w:pPr>
        <w:keepNext w:val="0"/>
        <w:keepLines w:val="0"/>
        <w:pageBreakBefore w:val="0"/>
        <w:numPr>
          <w:ilvl w:val="0"/>
          <w:numId w:val="0"/>
        </w:numPr>
        <w:kinsoku/>
        <w:wordWrap/>
        <w:overflowPunct/>
        <w:topLinePunct w:val="0"/>
        <w:autoSpaceDE w:val="0"/>
        <w:autoSpaceDN w:val="0"/>
        <w:bidi w:val="0"/>
        <w:adjustRightInd w:val="0"/>
        <w:spacing w:after="0" w:line="480" w:lineRule="exact"/>
        <w:ind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1.1</w:t>
      </w:r>
      <w:r>
        <w:rPr>
          <w:rFonts w:hint="eastAsia" w:ascii="仿宋" w:hAnsi="仿宋" w:eastAsia="仿宋" w:cs="仿宋"/>
          <w:b/>
          <w:bCs/>
          <w:color w:val="auto"/>
          <w:sz w:val="28"/>
          <w:szCs w:val="28"/>
          <w:highlight w:val="none"/>
          <w:lang w:val="en-US" w:eastAsia="zh-CN"/>
        </w:rPr>
        <w:t>投标报价采用</w:t>
      </w:r>
      <w:r>
        <w:rPr>
          <w:rStyle w:val="61"/>
          <w:rFonts w:hint="eastAsia" w:ascii="仿宋" w:hAnsi="仿宋" w:eastAsia="仿宋" w:cs="仿宋"/>
          <w:b/>
          <w:bCs/>
          <w:i w:val="0"/>
          <w:caps w:val="0"/>
          <w:color w:val="auto"/>
          <w:spacing w:val="0"/>
          <w:w w:val="100"/>
          <w:kern w:val="2"/>
          <w:sz w:val="28"/>
          <w:szCs w:val="28"/>
          <w:highlight w:val="none"/>
          <w:lang w:val="en-US" w:eastAsia="zh-CN" w:bidi="ar-SA"/>
        </w:rPr>
        <w:t>统一平均折扣率</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lang w:val="en-US" w:eastAsia="zh-CN"/>
        </w:rPr>
        <w:t>%的方式报价</w:t>
      </w:r>
      <w:r>
        <w:rPr>
          <w:rFonts w:hint="eastAsia" w:ascii="仿宋" w:hAnsi="仿宋" w:eastAsia="仿宋" w:cs="仿宋"/>
          <w:color w:val="auto"/>
          <w:sz w:val="28"/>
          <w:szCs w:val="28"/>
          <w:highlight w:val="none"/>
          <w:lang w:val="en-US" w:eastAsia="zh-CN"/>
        </w:rPr>
        <w:t>（备注：①批发价格不得高于当地农产品批发市场相应食材当日的平均零售价；②采购人不接受供应商报折扣率＞100%。③其中本招标文件中所有折扣率报价均为统一报价，投标供应商所提交投标文件中所有折扣率必须有且只有一个折扣率报价，不得出现两个报价。④采购人每季度组织相关人员对市场同类食品物资的市场价格进行询价，同时结合察布查尔县发改委市场监测价格，再按公开招标时中标供应商承诺的中标折扣率报价计算，确定次月询价采购的食品物资价格。）</w:t>
      </w:r>
    </w:p>
    <w:p w14:paraId="1B377546">
      <w:pPr>
        <w:keepNext w:val="0"/>
        <w:keepLines w:val="0"/>
        <w:pageBreakBefore w:val="0"/>
        <w:kinsoku/>
        <w:wordWrap/>
        <w:overflowPunct/>
        <w:topLinePunct w:val="0"/>
        <w:autoSpaceDE w:val="0"/>
        <w:autoSpaceDN w:val="0"/>
        <w:bidi w:val="0"/>
        <w:adjustRightInd w:val="0"/>
        <w:spacing w:after="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商品结算价格包括商品采购价和运输到</w:t>
      </w:r>
      <w:r>
        <w:rPr>
          <w:rFonts w:hint="eastAsia" w:ascii="仿宋" w:hAnsi="仿宋" w:eastAsia="仿宋" w:cs="仿宋"/>
          <w:color w:val="auto"/>
          <w:sz w:val="28"/>
          <w:szCs w:val="28"/>
          <w:highlight w:val="none"/>
          <w:lang w:val="en-US" w:eastAsia="zh-CN"/>
        </w:rPr>
        <w:t>采购人指定地点</w:t>
      </w:r>
      <w:r>
        <w:rPr>
          <w:rFonts w:hint="eastAsia" w:ascii="仿宋" w:hAnsi="仿宋" w:eastAsia="仿宋" w:cs="仿宋"/>
          <w:color w:val="auto"/>
          <w:sz w:val="28"/>
          <w:szCs w:val="28"/>
          <w:highlight w:val="none"/>
        </w:rPr>
        <w:t>（双方有特殊约定的按照约定时间配送）所发生的运费、人工费、利润、税金等一切可能发生的费用，</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rPr>
        <w:t>开具正规有效发票。</w:t>
      </w:r>
    </w:p>
    <w:p w14:paraId="11F480AC">
      <w:pPr>
        <w:pStyle w:val="2"/>
        <w:ind w:left="0" w:leftChars="0" w:firstLine="560" w:firstLineChars="200"/>
        <w:rPr>
          <w:rFonts w:hint="eastAsia" w:eastAsia="仿宋"/>
          <w:color w:val="auto"/>
          <w:highlight w:val="none"/>
          <w:lang w:val="en-US" w:eastAsia="zh-CN"/>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商品结算数量按去除包装后的净重计算，并由</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相关工作人员核实确认</w:t>
      </w:r>
      <w:r>
        <w:rPr>
          <w:rFonts w:hint="eastAsia" w:ascii="仿宋" w:hAnsi="仿宋" w:eastAsia="仿宋" w:cs="仿宋"/>
          <w:color w:val="auto"/>
          <w:sz w:val="28"/>
          <w:szCs w:val="28"/>
          <w:highlight w:val="none"/>
          <w:lang w:val="en-US" w:eastAsia="zh-CN"/>
        </w:rPr>
        <w:t>.</w:t>
      </w:r>
    </w:p>
    <w:p w14:paraId="04436B38">
      <w:pPr>
        <w:keepNext w:val="0"/>
        <w:keepLines w:val="0"/>
        <w:pageBreakBefore w:val="0"/>
        <w:kinsoku/>
        <w:wordWrap/>
        <w:overflowPunct/>
        <w:topLinePunct w:val="0"/>
        <w:autoSpaceDE/>
        <w:autoSpaceDN/>
        <w:bidi w:val="0"/>
        <w:adjustRightInd/>
        <w:snapToGrid w:val="0"/>
        <w:spacing w:before="0" w:beforeAutospacing="0" w:after="0" w:afterAutospacing="0" w:line="480" w:lineRule="exact"/>
        <w:jc w:val="left"/>
        <w:textAlignment w:val="baseline"/>
        <w:outlineLvl w:val="2"/>
        <w:rPr>
          <w:rStyle w:val="61"/>
          <w:rFonts w:hint="eastAsia" w:ascii="仿宋" w:hAnsi="仿宋" w:eastAsia="仿宋" w:cs="仿宋"/>
          <w:b/>
          <w:bCs w:val="0"/>
          <w:i w:val="0"/>
          <w:caps w:val="0"/>
          <w:color w:val="auto"/>
          <w:spacing w:val="0"/>
          <w:w w:val="100"/>
          <w:kern w:val="2"/>
          <w:sz w:val="28"/>
          <w:szCs w:val="28"/>
          <w:highlight w:val="none"/>
          <w:lang w:val="en-US" w:eastAsia="zh-CN" w:bidi="ar-SA"/>
        </w:rPr>
      </w:pPr>
      <w:bookmarkStart w:id="419" w:name="_Toc20444"/>
      <w:r>
        <w:rPr>
          <w:rStyle w:val="61"/>
          <w:rFonts w:hint="eastAsia" w:ascii="仿宋" w:hAnsi="仿宋" w:eastAsia="仿宋" w:cs="仿宋"/>
          <w:b/>
          <w:bCs w:val="0"/>
          <w:i w:val="0"/>
          <w:caps w:val="0"/>
          <w:color w:val="auto"/>
          <w:spacing w:val="0"/>
          <w:w w:val="100"/>
          <w:kern w:val="2"/>
          <w:sz w:val="28"/>
          <w:szCs w:val="28"/>
          <w:highlight w:val="none"/>
          <w:lang w:val="en-US" w:eastAsia="zh-CN" w:bidi="ar-SA"/>
        </w:rPr>
        <w:t>2.</w:t>
      </w:r>
      <w:bookmarkEnd w:id="419"/>
      <w:r>
        <w:rPr>
          <w:rStyle w:val="61"/>
          <w:rFonts w:hint="eastAsia" w:ascii="仿宋" w:hAnsi="仿宋" w:eastAsia="仿宋" w:cs="仿宋"/>
          <w:b/>
          <w:bCs w:val="0"/>
          <w:i w:val="0"/>
          <w:caps w:val="0"/>
          <w:color w:val="auto"/>
          <w:spacing w:val="0"/>
          <w:w w:val="100"/>
          <w:kern w:val="2"/>
          <w:sz w:val="28"/>
          <w:szCs w:val="28"/>
          <w:highlight w:val="none"/>
          <w:lang w:val="en-US" w:eastAsia="zh-CN" w:bidi="ar-SA"/>
        </w:rPr>
        <w:t>保质期限</w:t>
      </w:r>
    </w:p>
    <w:p w14:paraId="31315FCB">
      <w:pPr>
        <w:pStyle w:val="16"/>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color w:val="auto"/>
          <w:kern w:val="2"/>
          <w:sz w:val="28"/>
          <w:szCs w:val="28"/>
          <w:highlight w:val="none"/>
          <w:lang w:val="en-US" w:eastAsia="zh-CN" w:bidi="ar-SA"/>
        </w:rPr>
        <w:t>2.1蔬菜、肉类、水果、鲜奶、糕点等必须是当日的新鲜产品；</w:t>
      </w:r>
      <w:r>
        <w:rPr>
          <w:rFonts w:hint="eastAsia" w:ascii="仿宋" w:hAnsi="仿宋" w:eastAsia="仿宋" w:cs="仿宋"/>
          <w:b w:val="0"/>
          <w:bCs w:val="0"/>
          <w:i w:val="0"/>
          <w:iCs w:val="0"/>
          <w:color w:val="auto"/>
          <w:sz w:val="28"/>
          <w:szCs w:val="28"/>
          <w:highlight w:val="none"/>
          <w:lang w:val="en-US" w:eastAsia="zh-CN"/>
        </w:rPr>
        <w:t>米、面、油、</w:t>
      </w:r>
      <w:r>
        <w:rPr>
          <w:rFonts w:hint="eastAsia" w:ascii="仿宋" w:hAnsi="仿宋" w:eastAsia="仿宋" w:cs="仿宋"/>
          <w:b w:val="0"/>
          <w:bCs/>
          <w:color w:val="auto"/>
          <w:kern w:val="2"/>
          <w:sz w:val="28"/>
          <w:szCs w:val="28"/>
          <w:highlight w:val="none"/>
          <w:lang w:val="en-US" w:eastAsia="zh-CN" w:bidi="ar-SA"/>
        </w:rPr>
        <w:t>蛋类、蜂蜜、盒装、袋装、瓶装、罐装等产品均按产品包装上的保质期限，</w:t>
      </w:r>
      <w:r>
        <w:rPr>
          <w:rFonts w:hint="eastAsia" w:ascii="仿宋" w:hAnsi="仿宋" w:eastAsia="仿宋" w:cs="仿宋"/>
          <w:b w:val="0"/>
          <w:bCs/>
          <w:color w:val="auto"/>
          <w:sz w:val="28"/>
          <w:szCs w:val="28"/>
          <w:highlight w:val="none"/>
          <w:lang w:val="en-US" w:eastAsia="zh-CN"/>
        </w:rPr>
        <w:t>中标供应商</w:t>
      </w:r>
      <w:r>
        <w:rPr>
          <w:rFonts w:hint="eastAsia" w:ascii="仿宋" w:hAnsi="仿宋" w:eastAsia="仿宋" w:cs="仿宋"/>
          <w:b w:val="0"/>
          <w:bCs/>
          <w:color w:val="auto"/>
          <w:kern w:val="2"/>
          <w:sz w:val="28"/>
          <w:szCs w:val="28"/>
          <w:highlight w:val="none"/>
          <w:lang w:val="en-US" w:eastAsia="zh-CN" w:bidi="ar-SA"/>
        </w:rPr>
        <w:t>所提供产品的剩余质保期应占提供产品保质期的三分之二以上；符合国家食品质量要求。</w:t>
      </w:r>
      <w:r>
        <w:rPr>
          <w:rFonts w:hint="eastAsia" w:ascii="仿宋" w:hAnsi="仿宋" w:eastAsia="仿宋" w:cs="仿宋"/>
          <w:color w:val="auto"/>
          <w:sz w:val="28"/>
          <w:szCs w:val="28"/>
          <w:highlight w:val="none"/>
          <w:lang w:val="en-US" w:eastAsia="zh-CN"/>
        </w:rPr>
        <w:t xml:space="preserve"> </w:t>
      </w:r>
    </w:p>
    <w:p w14:paraId="3D87149B">
      <w:pPr>
        <w:keepNext w:val="0"/>
        <w:keepLines w:val="0"/>
        <w:pageBreakBefore w:val="0"/>
        <w:kinsoku/>
        <w:wordWrap/>
        <w:overflowPunct/>
        <w:topLinePunct w:val="0"/>
        <w:autoSpaceDE/>
        <w:autoSpaceDN/>
        <w:bidi w:val="0"/>
        <w:adjustRightInd/>
        <w:snapToGrid w:val="0"/>
        <w:spacing w:before="0" w:beforeAutospacing="0" w:after="0" w:afterAutospacing="0" w:line="480" w:lineRule="exact"/>
        <w:jc w:val="both"/>
        <w:textAlignment w:val="baseline"/>
        <w:outlineLvl w:val="2"/>
        <w:rPr>
          <w:rStyle w:val="61"/>
          <w:rFonts w:hint="eastAsia" w:ascii="仿宋" w:hAnsi="仿宋" w:eastAsia="仿宋" w:cs="仿宋"/>
          <w:b/>
          <w:bCs w:val="0"/>
          <w:i w:val="0"/>
          <w:caps w:val="0"/>
          <w:color w:val="auto"/>
          <w:spacing w:val="0"/>
          <w:w w:val="100"/>
          <w:kern w:val="2"/>
          <w:sz w:val="28"/>
          <w:szCs w:val="28"/>
          <w:highlight w:val="none"/>
          <w:lang w:val="en-US" w:eastAsia="zh-CN" w:bidi="ar-SA"/>
        </w:rPr>
      </w:pPr>
      <w:r>
        <w:rPr>
          <w:rStyle w:val="61"/>
          <w:rFonts w:hint="eastAsia" w:ascii="仿宋" w:hAnsi="仿宋" w:eastAsia="仿宋" w:cs="仿宋"/>
          <w:b/>
          <w:bCs w:val="0"/>
          <w:i w:val="0"/>
          <w:caps w:val="0"/>
          <w:color w:val="auto"/>
          <w:spacing w:val="0"/>
          <w:w w:val="100"/>
          <w:kern w:val="2"/>
          <w:sz w:val="28"/>
          <w:szCs w:val="28"/>
          <w:highlight w:val="none"/>
          <w:lang w:val="en-US" w:eastAsia="zh-CN" w:bidi="ar-SA"/>
        </w:rPr>
        <w:t>3.配送要求</w:t>
      </w:r>
    </w:p>
    <w:bookmarkEnd w:id="418"/>
    <w:p w14:paraId="70403872">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配送车辆、人员应相对固定；食品运输必须釆用符合卫生标准的外包装和运载工具，并且要保持清洁和定期消毒。运输车辆内外干净、整洁，车厢内无不良气味、异味；运输途中严防日晒、雨淋，注意通风散热；货物应小心轻卸，严防机械损伤。食品堆放科学合理，避免造成食品的交叉污染；如对温度有要求的食品应确定食品的温度，记录送货车辆温度，并记录存档。不得人货混装；配送人员有健康证。</w:t>
      </w:r>
    </w:p>
    <w:p w14:paraId="5061C860">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3.2</w:t>
      </w:r>
      <w:r>
        <w:rPr>
          <w:rFonts w:hint="eastAsia" w:ascii="仿宋" w:hAnsi="仿宋" w:eastAsia="仿宋" w:cs="仿宋"/>
          <w:color w:val="auto"/>
          <w:kern w:val="2"/>
          <w:sz w:val="28"/>
          <w:szCs w:val="28"/>
          <w:highlight w:val="none"/>
          <w:lang w:val="en-US" w:eastAsia="zh-CN" w:bidi="ar-SA"/>
        </w:rPr>
        <w:t>交货时间：</w:t>
      </w:r>
      <w:r>
        <w:rPr>
          <w:rFonts w:hint="eastAsia" w:ascii="仿宋" w:hAnsi="仿宋" w:eastAsia="仿宋" w:cs="仿宋"/>
          <w:b w:val="0"/>
          <w:bCs/>
          <w:color w:val="auto"/>
          <w:sz w:val="28"/>
          <w:szCs w:val="28"/>
          <w:highlight w:val="none"/>
        </w:rPr>
        <w:t>除不可抗力以外，</w:t>
      </w:r>
      <w:r>
        <w:rPr>
          <w:rFonts w:hint="eastAsia" w:ascii="仿宋" w:hAnsi="仿宋" w:eastAsia="仿宋" w:cs="仿宋"/>
          <w:b w:val="0"/>
          <w:bCs/>
          <w:color w:val="auto"/>
          <w:sz w:val="28"/>
          <w:szCs w:val="28"/>
          <w:highlight w:val="none"/>
          <w:lang w:val="en-US" w:eastAsia="zh-CN"/>
        </w:rPr>
        <w:t>中标供应商</w:t>
      </w:r>
      <w:r>
        <w:rPr>
          <w:rFonts w:hint="eastAsia" w:ascii="仿宋" w:hAnsi="仿宋" w:eastAsia="仿宋" w:cs="仿宋"/>
          <w:b w:val="0"/>
          <w:bCs/>
          <w:color w:val="auto"/>
          <w:sz w:val="28"/>
          <w:szCs w:val="28"/>
          <w:highlight w:val="none"/>
        </w:rPr>
        <w:t>应根据</w:t>
      </w:r>
      <w:r>
        <w:rPr>
          <w:rFonts w:hint="eastAsia" w:ascii="仿宋" w:hAnsi="仿宋" w:eastAsia="仿宋" w:cs="仿宋"/>
          <w:b w:val="0"/>
          <w:bCs/>
          <w:color w:val="auto"/>
          <w:sz w:val="28"/>
          <w:szCs w:val="28"/>
          <w:highlight w:val="none"/>
          <w:lang w:val="en-US" w:eastAsia="zh-CN"/>
        </w:rPr>
        <w:t>采购人</w:t>
      </w:r>
      <w:r>
        <w:rPr>
          <w:rFonts w:hint="eastAsia" w:ascii="仿宋" w:hAnsi="仿宋" w:eastAsia="仿宋" w:cs="仿宋"/>
          <w:b w:val="0"/>
          <w:bCs/>
          <w:color w:val="auto"/>
          <w:sz w:val="28"/>
          <w:szCs w:val="28"/>
          <w:highlight w:val="none"/>
        </w:rPr>
        <w:t>当日提供的配送清单，不晚于次日上午10时前将订单内所有产品配送至</w:t>
      </w:r>
      <w:r>
        <w:rPr>
          <w:rFonts w:hint="eastAsia" w:ascii="仿宋" w:hAnsi="仿宋" w:eastAsia="仿宋" w:cs="仿宋"/>
          <w:b w:val="0"/>
          <w:bCs/>
          <w:color w:val="auto"/>
          <w:sz w:val="28"/>
          <w:szCs w:val="28"/>
          <w:highlight w:val="none"/>
          <w:lang w:val="en-US" w:eastAsia="zh-CN"/>
        </w:rPr>
        <w:t>采购人指定地点</w:t>
      </w:r>
      <w:r>
        <w:rPr>
          <w:rFonts w:hint="eastAsia" w:ascii="仿宋" w:hAnsi="仿宋" w:eastAsia="仿宋" w:cs="仿宋"/>
          <w:b w:val="0"/>
          <w:bCs/>
          <w:color w:val="auto"/>
          <w:sz w:val="28"/>
          <w:szCs w:val="28"/>
          <w:highlight w:val="none"/>
        </w:rPr>
        <w:t>（双方有特殊约定的按照约定时间配送），并提供《送货清单》一</w:t>
      </w:r>
      <w:r>
        <w:rPr>
          <w:rStyle w:val="61"/>
          <w:rFonts w:hint="eastAsia" w:ascii="仿宋" w:hAnsi="仿宋" w:eastAsia="仿宋" w:cs="仿宋"/>
          <w:b w:val="0"/>
          <w:bCs/>
          <w:i w:val="0"/>
          <w:caps w:val="0"/>
          <w:color w:val="auto"/>
          <w:spacing w:val="0"/>
          <w:w w:val="100"/>
          <w:kern w:val="2"/>
          <w:sz w:val="28"/>
          <w:szCs w:val="28"/>
          <w:highlight w:val="none"/>
          <w:lang w:val="en-US" w:eastAsia="zh-CN" w:bidi="ar-SA"/>
        </w:rPr>
        <w:t>式两份。（如有临时需要紧急配送，</w:t>
      </w:r>
      <w:r>
        <w:rPr>
          <w:rFonts w:hint="eastAsia" w:ascii="仿宋" w:hAnsi="仿宋" w:eastAsia="仿宋" w:cs="仿宋"/>
          <w:b w:val="0"/>
          <w:bCs/>
          <w:color w:val="auto"/>
          <w:sz w:val="28"/>
          <w:szCs w:val="28"/>
          <w:highlight w:val="none"/>
          <w:lang w:val="en-US" w:eastAsia="zh-CN"/>
        </w:rPr>
        <w:t>需接到电话1小时送到。）</w:t>
      </w:r>
    </w:p>
    <w:p w14:paraId="529CDE52">
      <w:pPr>
        <w:keepNext w:val="0"/>
        <w:keepLines w:val="0"/>
        <w:pageBreakBefore w:val="0"/>
        <w:kinsoku/>
        <w:wordWrap/>
        <w:overflowPunct/>
        <w:topLinePunct w:val="0"/>
        <w:autoSpaceDE/>
        <w:autoSpaceDN/>
        <w:bidi w:val="0"/>
        <w:adjustRightInd/>
        <w:snapToGrid w:val="0"/>
        <w:spacing w:before="0" w:beforeAutospacing="0" w:after="0" w:afterAutospacing="0" w:line="480" w:lineRule="exact"/>
        <w:jc w:val="both"/>
        <w:textAlignment w:val="baseline"/>
        <w:outlineLvl w:val="2"/>
        <w:rPr>
          <w:rStyle w:val="61"/>
          <w:rFonts w:hint="eastAsia" w:ascii="仿宋" w:hAnsi="仿宋" w:eastAsia="仿宋" w:cs="仿宋"/>
          <w:b/>
          <w:bCs w:val="0"/>
          <w:i w:val="0"/>
          <w:caps w:val="0"/>
          <w:color w:val="auto"/>
          <w:spacing w:val="0"/>
          <w:w w:val="100"/>
          <w:kern w:val="2"/>
          <w:sz w:val="28"/>
          <w:szCs w:val="28"/>
          <w:highlight w:val="none"/>
          <w:lang w:val="en-US" w:eastAsia="zh-CN" w:bidi="ar-SA"/>
        </w:rPr>
      </w:pPr>
      <w:r>
        <w:rPr>
          <w:rStyle w:val="61"/>
          <w:rFonts w:hint="eastAsia" w:ascii="仿宋" w:hAnsi="仿宋" w:eastAsia="仿宋" w:cs="仿宋"/>
          <w:b/>
          <w:bCs w:val="0"/>
          <w:i w:val="0"/>
          <w:caps w:val="0"/>
          <w:color w:val="auto"/>
          <w:spacing w:val="0"/>
          <w:w w:val="100"/>
          <w:kern w:val="2"/>
          <w:sz w:val="28"/>
          <w:szCs w:val="28"/>
          <w:highlight w:val="none"/>
          <w:lang w:val="en-US" w:eastAsia="zh-CN" w:bidi="ar-SA"/>
        </w:rPr>
        <w:t xml:space="preserve">4.中标供应商服务承诺要求 </w:t>
      </w:r>
    </w:p>
    <w:p w14:paraId="17C8E91C">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依据产品质量监督检验所提供的质量标准,中标供应商提供的产品必须是经过质量监督管理部门检验并取得合格证明的产品,每批次产品提供时应向所配送点交存食品质量合格证明或动物检疫合格证明等复印件,复印件上必须由法人或代理人签字并加盖配送企业公章。 </w:t>
      </w:r>
    </w:p>
    <w:p w14:paraId="7BC7BE25">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（2）中标供应商应保证所提供的产品是合格安全的产品一旦发现伪劣假冒产品、以次充好产品或替代产品,中标供应商应承担全部法律责任。 </w:t>
      </w:r>
    </w:p>
    <w:p w14:paraId="2E2CD0F4">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3）中标供应商提供的产品须经过验收人的感官检验,外观检验和试用检验,若产品外观、包装、形式不符合要求,感官检验不能达到食材卫生要求,当即拒收；中标供应商不能满足食材的质、量及售后服务要求时,可提出书面申请上报采购人,采购人上报采购办有权建议终止合同。 </w:t>
      </w:r>
    </w:p>
    <w:p w14:paraId="35931C7B">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（4）中标供应商不能满足供货要求或不能继续履约时应提前1个月通知采购人并写出书面申请,报相关部门同意后方可中止合同,中标供应商应按合同约定做出相应的赔偿。 </w:t>
      </w:r>
    </w:p>
    <w:p w14:paraId="5B947C75">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（5）因产品质量问题发生的食物中毒等事故,由中标供应商承担经济赔偿责任以及其他法律责任。 </w:t>
      </w:r>
    </w:p>
    <w:p w14:paraId="115ABF3E">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（6）不能及时兑现服务承诺内容而影响采购人使用时,中标供应商应给予补偿的承诺,在投标书中均应明确说明。 </w:t>
      </w:r>
    </w:p>
    <w:p w14:paraId="024576E5">
      <w:pPr>
        <w:pageBreakBefore w:val="0"/>
        <w:kinsoku/>
        <w:wordWrap/>
        <w:overflowPunct/>
        <w:topLinePunct w:val="0"/>
        <w:bidi w:val="0"/>
        <w:spacing w:beforeAutospacing="0" w:afterAutospacing="0" w:line="480" w:lineRule="exact"/>
        <w:ind w:right="0" w:rightChars="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验收条款</w:t>
      </w:r>
    </w:p>
    <w:p w14:paraId="6E68ADC3">
      <w:pPr>
        <w:pageBreakBefore w:val="0"/>
        <w:kinsoku/>
        <w:wordWrap/>
        <w:overflowPunct/>
        <w:topLinePunct w:val="0"/>
        <w:bidi w:val="0"/>
        <w:spacing w:beforeAutospacing="0" w:afterAutospacing="0" w:line="48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5.1</w:t>
      </w:r>
      <w:r>
        <w:rPr>
          <w:rFonts w:hint="eastAsia" w:ascii="仿宋" w:hAnsi="仿宋" w:eastAsia="仿宋" w:cs="仿宋"/>
          <w:color w:val="auto"/>
          <w:sz w:val="28"/>
          <w:szCs w:val="28"/>
          <w:highlight w:val="none"/>
        </w:rPr>
        <w:t>所购入的物品必须符合《中华人民共和国食品卫生法》、《中华人民共和国食品安全法》要求。</w:t>
      </w:r>
    </w:p>
    <w:p w14:paraId="6CEAA831">
      <w:pPr>
        <w:pageBreakBefore w:val="0"/>
        <w:kinsoku/>
        <w:wordWrap/>
        <w:overflowPunct/>
        <w:topLinePunct w:val="0"/>
        <w:bidi w:val="0"/>
        <w:spacing w:beforeAutospacing="0" w:afterAutospacing="0" w:line="480" w:lineRule="exact"/>
        <w:ind w:left="0" w:leftChars="0" w:right="0" w:rightChars="0"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5.2</w:t>
      </w:r>
      <w:r>
        <w:rPr>
          <w:rFonts w:hint="eastAsia" w:ascii="仿宋" w:hAnsi="仿宋" w:eastAsia="仿宋" w:cs="仿宋"/>
          <w:color w:val="auto"/>
          <w:sz w:val="28"/>
          <w:szCs w:val="28"/>
          <w:highlight w:val="none"/>
        </w:rPr>
        <w:t>所供商品必须符合国家行业生产及经营标准，货真价实，均能提供相应批次的合格检验证明</w:t>
      </w:r>
      <w:r>
        <w:rPr>
          <w:rFonts w:hint="eastAsia" w:ascii="仿宋" w:hAnsi="仿宋" w:eastAsia="仿宋" w:cs="仿宋"/>
          <w:color w:val="auto"/>
          <w:sz w:val="28"/>
          <w:szCs w:val="28"/>
          <w:highlight w:val="none"/>
          <w:lang w:eastAsia="zh-CN"/>
        </w:rPr>
        <w:t>。</w:t>
      </w:r>
    </w:p>
    <w:p w14:paraId="1B669388">
      <w:pPr>
        <w:pageBreakBefore w:val="0"/>
        <w:kinsoku/>
        <w:wordWrap/>
        <w:overflowPunct/>
        <w:topLinePunct w:val="0"/>
        <w:bidi w:val="0"/>
        <w:spacing w:beforeAutospacing="0" w:afterAutospacing="0" w:line="48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5.3</w:t>
      </w:r>
      <w:r>
        <w:rPr>
          <w:rFonts w:hint="eastAsia" w:ascii="仿宋" w:hAnsi="仿宋" w:eastAsia="仿宋" w:cs="仿宋"/>
          <w:color w:val="auto"/>
          <w:sz w:val="28"/>
          <w:szCs w:val="28"/>
          <w:highlight w:val="none"/>
        </w:rPr>
        <w:t>所有货物指标要符合国家强制性标准要求。</w:t>
      </w:r>
    </w:p>
    <w:p w14:paraId="19C476AA">
      <w:pPr>
        <w:pageBreakBefore w:val="0"/>
        <w:kinsoku/>
        <w:wordWrap/>
        <w:overflowPunct/>
        <w:topLinePunct w:val="0"/>
        <w:bidi w:val="0"/>
        <w:spacing w:beforeAutospacing="0" w:afterAutospacing="0" w:line="48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5.4中标供应商</w:t>
      </w:r>
      <w:r>
        <w:rPr>
          <w:rFonts w:hint="eastAsia" w:ascii="仿宋" w:hAnsi="仿宋" w:eastAsia="仿宋" w:cs="仿宋"/>
          <w:color w:val="auto"/>
          <w:sz w:val="28"/>
          <w:szCs w:val="28"/>
          <w:highlight w:val="none"/>
        </w:rPr>
        <w:t>必须负责</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货物的运输等工作，所产生的费用由</w:t>
      </w:r>
      <w:r>
        <w:rPr>
          <w:rFonts w:hint="eastAsia" w:ascii="仿宋" w:hAnsi="仿宋" w:eastAsia="仿宋" w:cs="仿宋"/>
          <w:color w:val="auto"/>
          <w:sz w:val="28"/>
          <w:szCs w:val="28"/>
          <w:highlight w:val="none"/>
          <w:lang w:val="en-US" w:eastAsia="zh-CN"/>
        </w:rPr>
        <w:t>中标供应商</w:t>
      </w:r>
      <w:r>
        <w:rPr>
          <w:rFonts w:hint="eastAsia" w:ascii="仿宋" w:hAnsi="仿宋" w:eastAsia="仿宋" w:cs="仿宋"/>
          <w:color w:val="auto"/>
          <w:sz w:val="28"/>
          <w:szCs w:val="28"/>
          <w:highlight w:val="none"/>
        </w:rPr>
        <w:t>负责。</w:t>
      </w:r>
    </w:p>
    <w:p w14:paraId="733580B7">
      <w:pPr>
        <w:pageBreakBefore w:val="0"/>
        <w:kinsoku/>
        <w:wordWrap/>
        <w:overflowPunct/>
        <w:topLinePunct w:val="0"/>
        <w:bidi w:val="0"/>
        <w:spacing w:beforeAutospacing="0" w:afterAutospacing="0" w:line="480" w:lineRule="exact"/>
        <w:ind w:left="0" w:leftChars="0" w:right="0" w:rightChars="0"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5.5配送货物必须按时按量按质送到采购人指定地点（双方有特殊约定的按照约定时间配送），并当面核实克重。验收完毕后，双方必须在货物收货清单（格式自定，但必须包括货物单价、数量、重量、合价等内容）上签名确认，货物收货清单作为釆购人支付货款的依据之一。</w:t>
      </w:r>
    </w:p>
    <w:p w14:paraId="7AD24D1A">
      <w:pPr>
        <w:pageBreakBefore w:val="0"/>
        <w:kinsoku/>
        <w:wordWrap/>
        <w:overflowPunct/>
        <w:topLinePunct w:val="0"/>
        <w:bidi w:val="0"/>
        <w:spacing w:beforeAutospacing="0" w:afterAutospacing="0" w:line="480" w:lineRule="exact"/>
        <w:ind w:left="0" w:leftChars="0" w:right="0" w:rightChars="0" w:firstLine="560" w:firstLineChars="200"/>
        <w:jc w:val="left"/>
        <w:rPr>
          <w:rFonts w:hint="eastAsia" w:ascii="仿宋" w:hAnsi="仿宋" w:eastAsia="仿宋" w:cs="仿宋"/>
          <w:color w:val="auto"/>
          <w:sz w:val="28"/>
          <w:szCs w:val="28"/>
          <w:highlight w:val="none"/>
          <w:lang w:val="en-US" w:eastAsia="zh-CN"/>
        </w:rPr>
      </w:pPr>
      <w:bookmarkStart w:id="420" w:name="_Toc3643"/>
      <w:r>
        <w:rPr>
          <w:rFonts w:hint="eastAsia" w:ascii="仿宋" w:hAnsi="仿宋" w:eastAsia="仿宋" w:cs="仿宋"/>
          <w:color w:val="auto"/>
          <w:sz w:val="28"/>
          <w:szCs w:val="28"/>
          <w:highlight w:val="none"/>
          <w:lang w:val="en-US" w:eastAsia="zh-CN"/>
        </w:rPr>
        <w:t>5.6在中标合同期限内，釆购人根据实际情况对货物的品种和数量进行釆购。</w:t>
      </w:r>
      <w:bookmarkEnd w:id="420"/>
      <w:r>
        <w:rPr>
          <w:rFonts w:hint="eastAsia" w:ascii="仿宋" w:hAnsi="仿宋" w:eastAsia="仿宋" w:cs="仿宋"/>
          <w:color w:val="auto"/>
          <w:sz w:val="28"/>
          <w:szCs w:val="28"/>
          <w:highlight w:val="none"/>
          <w:lang w:val="en-US" w:eastAsia="zh-CN"/>
        </w:rPr>
        <w:t>具体数量和品种需根据当天或每月的实际发生数确定，据实结算。</w:t>
      </w:r>
    </w:p>
    <w:p w14:paraId="2ABC4D9F">
      <w:pPr>
        <w:pageBreakBefore w:val="0"/>
        <w:kinsoku/>
        <w:wordWrap/>
        <w:overflowPunct/>
        <w:topLinePunct w:val="0"/>
        <w:bidi w:val="0"/>
        <w:spacing w:beforeAutospacing="0" w:afterAutospacing="0" w:line="480" w:lineRule="exact"/>
        <w:ind w:left="0" w:leftChars="0" w:right="0" w:rightChars="0" w:firstLine="560" w:firstLineChars="200"/>
        <w:jc w:val="left"/>
        <w:rPr>
          <w:rFonts w:hint="default"/>
          <w:color w:val="auto"/>
          <w:highlight w:val="none"/>
          <w:lang w:val="en-US" w:eastAsia="zh-CN"/>
        </w:rPr>
      </w:pPr>
      <w:r>
        <w:rPr>
          <w:rFonts w:hint="eastAsia" w:ascii="仿宋" w:hAnsi="仿宋" w:eastAsia="仿宋" w:cs="仿宋"/>
          <w:color w:val="auto"/>
          <w:sz w:val="28"/>
          <w:szCs w:val="28"/>
          <w:highlight w:val="none"/>
          <w:lang w:val="en-US" w:eastAsia="zh-CN"/>
        </w:rPr>
        <w:t>5.7中标供应商将货物送达后, 采购人组织至少2人对食材的质量、数量认真进行验收后方可在送货单上确认签字，每张送货单上中标供应商必须加盖公章并有企业相关负责人员的签字。如公安局对商品质量有异议,可要求供应商重新就近采购及时配送到位,确保当日食堂的正常运转；若不更换或有其他异议, 必须尽快上报相关主管部门进行协调,提出解决办法,确保当日食堂的正常运转,同时主管部门立即联系相关部门进行检测,检测不合格的不予接收,中标供应商承担相应的责任及费用。发生此类问题可写出书面报告交主管部门上报采购办,对中标供应商提出警告,若每年累计发生此类事件超过三次,主管部门和公安局有权与中标供应商解除配送协议和采购合同。</w:t>
      </w:r>
    </w:p>
    <w:p w14:paraId="6D2FFE17">
      <w:pPr>
        <w:keepNext w:val="0"/>
        <w:keepLines w:val="0"/>
        <w:pageBreakBefore w:val="0"/>
        <w:kinsoku/>
        <w:wordWrap/>
        <w:overflowPunct/>
        <w:topLinePunct w:val="0"/>
        <w:autoSpaceDE/>
        <w:autoSpaceDN/>
        <w:bidi w:val="0"/>
        <w:adjustRightInd/>
        <w:snapToGrid w:val="0"/>
        <w:spacing w:before="0" w:beforeAutospacing="0" w:after="0" w:afterAutospacing="0" w:line="480" w:lineRule="exact"/>
        <w:jc w:val="both"/>
        <w:textAlignment w:val="baseline"/>
        <w:outlineLvl w:val="2"/>
        <w:rPr>
          <w:rStyle w:val="61"/>
          <w:rFonts w:hint="eastAsia" w:ascii="仿宋" w:hAnsi="仿宋" w:eastAsia="仿宋" w:cs="仿宋"/>
          <w:b/>
          <w:bCs w:val="0"/>
          <w:i w:val="0"/>
          <w:caps w:val="0"/>
          <w:color w:val="auto"/>
          <w:spacing w:val="0"/>
          <w:w w:val="100"/>
          <w:kern w:val="2"/>
          <w:sz w:val="28"/>
          <w:szCs w:val="28"/>
          <w:highlight w:val="none"/>
          <w:lang w:val="en-US" w:eastAsia="zh-CN" w:bidi="ar-SA"/>
        </w:rPr>
      </w:pPr>
      <w:r>
        <w:rPr>
          <w:rStyle w:val="61"/>
          <w:rFonts w:hint="eastAsia" w:ascii="仿宋" w:hAnsi="仿宋" w:eastAsia="仿宋" w:cs="仿宋"/>
          <w:b/>
          <w:bCs w:val="0"/>
          <w:i w:val="0"/>
          <w:caps w:val="0"/>
          <w:color w:val="auto"/>
          <w:spacing w:val="0"/>
          <w:w w:val="100"/>
          <w:kern w:val="2"/>
          <w:sz w:val="28"/>
          <w:szCs w:val="28"/>
          <w:highlight w:val="none"/>
          <w:lang w:val="en-US" w:eastAsia="zh-CN" w:bidi="ar-SA"/>
        </w:rPr>
        <w:t>6.其他要求：</w:t>
      </w:r>
    </w:p>
    <w:p w14:paraId="312C3E51">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rPr>
      </w:pPr>
      <w:r>
        <w:rPr>
          <w:rStyle w:val="61"/>
          <w:rFonts w:hint="eastAsia" w:ascii="仿宋" w:hAnsi="仿宋" w:eastAsia="仿宋" w:cs="仿宋"/>
          <w:b w:val="0"/>
          <w:bCs/>
          <w:i w:val="0"/>
          <w:caps w:val="0"/>
          <w:color w:val="auto"/>
          <w:spacing w:val="0"/>
          <w:w w:val="100"/>
          <w:kern w:val="2"/>
          <w:sz w:val="28"/>
          <w:szCs w:val="28"/>
          <w:highlight w:val="none"/>
          <w:lang w:val="en-US" w:eastAsia="zh-CN" w:bidi="ar-SA"/>
        </w:rPr>
        <w:t>6.1所配送的食材如发生以下所列情形的，直接取消中标人配送资格</w:t>
      </w:r>
      <w:r>
        <w:rPr>
          <w:rFonts w:hint="eastAsia" w:ascii="仿宋" w:hAnsi="仿宋" w:eastAsia="仿宋" w:cs="仿宋"/>
          <w:b w:val="0"/>
          <w:bCs/>
          <w:color w:val="auto"/>
          <w:sz w:val="28"/>
          <w:szCs w:val="28"/>
          <w:highlight w:val="none"/>
        </w:rPr>
        <w:t>，</w:t>
      </w:r>
      <w:r>
        <w:rPr>
          <w:rFonts w:hint="eastAsia" w:ascii="仿宋" w:hAnsi="仿宋" w:eastAsia="仿宋" w:cs="仿宋"/>
          <w:color w:val="auto"/>
          <w:sz w:val="28"/>
          <w:szCs w:val="28"/>
          <w:highlight w:val="none"/>
        </w:rPr>
        <w:t>除全部退货外，并由</w:t>
      </w:r>
      <w:r>
        <w:rPr>
          <w:rFonts w:hint="eastAsia" w:ascii="仿宋" w:hAnsi="仿宋" w:eastAsia="仿宋" w:cs="仿宋"/>
          <w:color w:val="auto"/>
          <w:sz w:val="28"/>
          <w:szCs w:val="28"/>
          <w:highlight w:val="none"/>
          <w:lang w:val="en-US" w:eastAsia="zh-CN"/>
        </w:rPr>
        <w:t>中标供应商</w:t>
      </w:r>
      <w:r>
        <w:rPr>
          <w:rFonts w:hint="eastAsia" w:ascii="仿宋" w:hAnsi="仿宋" w:eastAsia="仿宋" w:cs="仿宋"/>
          <w:color w:val="auto"/>
          <w:sz w:val="28"/>
          <w:szCs w:val="28"/>
          <w:highlight w:val="none"/>
        </w:rPr>
        <w:t>承担由此造成的经济责任和法律责任。</w:t>
      </w:r>
    </w:p>
    <w:p w14:paraId="0012FEEE">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腐败变质、油脂酸败、霉变、生虫、混有异物或者其他感官性状异常，对人体健康有害的</w:t>
      </w:r>
      <w:r>
        <w:rPr>
          <w:rFonts w:hint="eastAsia" w:ascii="仿宋" w:hAnsi="仿宋" w:eastAsia="仿宋" w:cs="仿宋"/>
          <w:color w:val="auto"/>
          <w:sz w:val="28"/>
          <w:szCs w:val="28"/>
          <w:highlight w:val="none"/>
          <w:lang w:eastAsia="zh-CN"/>
        </w:rPr>
        <w:t>。</w:t>
      </w:r>
    </w:p>
    <w:p w14:paraId="2031F505">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含有毒、有害物质或被有害物质污染，对人体健康有害的</w:t>
      </w:r>
      <w:r>
        <w:rPr>
          <w:rFonts w:hint="eastAsia" w:ascii="仿宋" w:hAnsi="仿宋" w:eastAsia="仿宋" w:cs="仿宋"/>
          <w:color w:val="auto"/>
          <w:sz w:val="28"/>
          <w:szCs w:val="28"/>
          <w:highlight w:val="none"/>
          <w:lang w:eastAsia="zh-CN"/>
        </w:rPr>
        <w:t>。</w:t>
      </w:r>
    </w:p>
    <w:p w14:paraId="77983CF6">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掺假、掺杂、伪造，影响营养、卫生的</w:t>
      </w:r>
      <w:r>
        <w:rPr>
          <w:rFonts w:hint="eastAsia" w:ascii="仿宋" w:hAnsi="仿宋" w:eastAsia="仿宋" w:cs="仿宋"/>
          <w:color w:val="auto"/>
          <w:sz w:val="28"/>
          <w:szCs w:val="28"/>
          <w:highlight w:val="none"/>
          <w:lang w:eastAsia="zh-CN"/>
        </w:rPr>
        <w:t>。</w:t>
      </w:r>
    </w:p>
    <w:p w14:paraId="1C571DA1">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用非食品原料加工的，加入非食品用化学物质或者将非食品当做食品的</w:t>
      </w:r>
      <w:r>
        <w:rPr>
          <w:rFonts w:hint="eastAsia" w:ascii="仿宋" w:hAnsi="仿宋" w:eastAsia="仿宋" w:cs="仿宋"/>
          <w:color w:val="auto"/>
          <w:sz w:val="28"/>
          <w:szCs w:val="28"/>
          <w:highlight w:val="none"/>
          <w:lang w:eastAsia="zh-CN"/>
        </w:rPr>
        <w:t>。</w:t>
      </w:r>
    </w:p>
    <w:p w14:paraId="699227F2">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（5）不符合</w:t>
      </w:r>
      <w:r>
        <w:rPr>
          <w:rFonts w:hint="eastAsia" w:ascii="仿宋" w:hAnsi="仿宋" w:eastAsia="仿宋" w:cs="仿宋"/>
          <w:color w:val="auto"/>
          <w:sz w:val="28"/>
          <w:szCs w:val="28"/>
          <w:highlight w:val="none"/>
        </w:rPr>
        <w:t>保质期限的</w:t>
      </w:r>
      <w:r>
        <w:rPr>
          <w:rFonts w:hint="eastAsia" w:ascii="仿宋" w:hAnsi="仿宋" w:eastAsia="仿宋" w:cs="仿宋"/>
          <w:color w:val="auto"/>
          <w:sz w:val="28"/>
          <w:szCs w:val="28"/>
          <w:highlight w:val="none"/>
          <w:lang w:eastAsia="zh-CN"/>
        </w:rPr>
        <w:t>。</w:t>
      </w:r>
    </w:p>
    <w:p w14:paraId="3B7C201A">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6.2</w:t>
      </w:r>
      <w:r>
        <w:rPr>
          <w:rFonts w:hint="eastAsia" w:ascii="仿宋" w:hAnsi="仿宋" w:eastAsia="仿宋" w:cs="仿宋"/>
          <w:b w:val="0"/>
          <w:bCs w:val="0"/>
          <w:color w:val="auto"/>
          <w:sz w:val="28"/>
          <w:szCs w:val="28"/>
          <w:highlight w:val="none"/>
        </w:rPr>
        <w:t>所配</w:t>
      </w:r>
      <w:r>
        <w:rPr>
          <w:rFonts w:hint="eastAsia" w:ascii="仿宋" w:hAnsi="仿宋" w:eastAsia="仿宋" w:cs="仿宋"/>
          <w:color w:val="auto"/>
          <w:sz w:val="28"/>
          <w:szCs w:val="28"/>
          <w:highlight w:val="none"/>
        </w:rPr>
        <w:t>送的</w:t>
      </w:r>
      <w:r>
        <w:rPr>
          <w:rFonts w:hint="eastAsia" w:ascii="仿宋" w:hAnsi="仿宋" w:eastAsia="仿宋" w:cs="仿宋"/>
          <w:color w:val="auto"/>
          <w:sz w:val="28"/>
          <w:szCs w:val="28"/>
          <w:highlight w:val="none"/>
          <w:lang w:val="en-US" w:eastAsia="zh-CN"/>
        </w:rPr>
        <w:t>食材</w:t>
      </w:r>
      <w:r>
        <w:rPr>
          <w:rFonts w:hint="eastAsia" w:ascii="仿宋" w:hAnsi="仿宋" w:eastAsia="仿宋" w:cs="仿宋"/>
          <w:color w:val="auto"/>
          <w:sz w:val="28"/>
          <w:szCs w:val="28"/>
          <w:highlight w:val="none"/>
        </w:rPr>
        <w:t>如发生以下所列情形的，立即予以更换符合标准的食材，2次以上的（含2次）给予警告，3次警告后，取消配送资格，除全部退货外，并由</w:t>
      </w:r>
      <w:r>
        <w:rPr>
          <w:rFonts w:hint="eastAsia" w:ascii="仿宋" w:hAnsi="仿宋" w:eastAsia="仿宋" w:cs="仿宋"/>
          <w:color w:val="auto"/>
          <w:sz w:val="28"/>
          <w:szCs w:val="28"/>
          <w:highlight w:val="none"/>
          <w:lang w:val="en-US" w:eastAsia="zh-CN"/>
        </w:rPr>
        <w:t>中标供应商</w:t>
      </w:r>
      <w:r>
        <w:rPr>
          <w:rFonts w:hint="eastAsia" w:ascii="仿宋" w:hAnsi="仿宋" w:eastAsia="仿宋" w:cs="仿宋"/>
          <w:color w:val="auto"/>
          <w:sz w:val="28"/>
          <w:szCs w:val="28"/>
          <w:highlight w:val="none"/>
        </w:rPr>
        <w:t>承担由此造成的经济责任。</w:t>
      </w:r>
    </w:p>
    <w:p w14:paraId="71E39623">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所配送的货物以次充好的</w:t>
      </w:r>
      <w:r>
        <w:rPr>
          <w:rFonts w:hint="eastAsia" w:ascii="仿宋" w:hAnsi="仿宋" w:eastAsia="仿宋" w:cs="仿宋"/>
          <w:color w:val="auto"/>
          <w:sz w:val="28"/>
          <w:szCs w:val="28"/>
          <w:highlight w:val="none"/>
          <w:lang w:eastAsia="zh-CN"/>
        </w:rPr>
        <w:t>。</w:t>
      </w:r>
    </w:p>
    <w:p w14:paraId="6B3ACF3D">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配送的货物缺斤少两的</w:t>
      </w:r>
      <w:r>
        <w:rPr>
          <w:rFonts w:hint="eastAsia" w:ascii="仿宋" w:hAnsi="仿宋" w:eastAsia="仿宋" w:cs="仿宋"/>
          <w:color w:val="auto"/>
          <w:sz w:val="28"/>
          <w:szCs w:val="28"/>
          <w:highlight w:val="none"/>
          <w:lang w:eastAsia="zh-CN"/>
        </w:rPr>
        <w:t>。</w:t>
      </w:r>
    </w:p>
    <w:p w14:paraId="0386ABC7">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价格与市场不相符的</w:t>
      </w:r>
      <w:r>
        <w:rPr>
          <w:rFonts w:hint="eastAsia" w:ascii="仿宋" w:hAnsi="仿宋" w:eastAsia="仿宋" w:cs="仿宋"/>
          <w:color w:val="auto"/>
          <w:sz w:val="28"/>
          <w:szCs w:val="28"/>
          <w:highlight w:val="none"/>
          <w:lang w:eastAsia="zh-CN"/>
        </w:rPr>
        <w:t>。</w:t>
      </w:r>
    </w:p>
    <w:p w14:paraId="6491992C">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配送的原材料多于或少于订货数量的</w:t>
      </w:r>
      <w:r>
        <w:rPr>
          <w:rFonts w:hint="eastAsia" w:ascii="仿宋" w:hAnsi="仿宋" w:eastAsia="仿宋" w:cs="仿宋"/>
          <w:color w:val="auto"/>
          <w:sz w:val="28"/>
          <w:szCs w:val="28"/>
          <w:highlight w:val="none"/>
          <w:lang w:eastAsia="zh-CN"/>
        </w:rPr>
        <w:t>。</w:t>
      </w:r>
    </w:p>
    <w:p w14:paraId="33E557DE">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（5）配送的原材料与订单不相符的。</w:t>
      </w:r>
    </w:p>
    <w:p w14:paraId="44EBEA8E">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（6）配送时未按照约定，严重超时又不提前说明原因的。</w:t>
      </w:r>
    </w:p>
    <w:p w14:paraId="5E8BD059">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6.3中标供应商配送前必须先与采购人签订食品质量安全承诺书和定点配送协议</w:t>
      </w:r>
      <w:r>
        <w:rPr>
          <w:rFonts w:hint="eastAsia" w:ascii="仿宋" w:hAnsi="仿宋" w:eastAsia="仿宋" w:cs="仿宋"/>
          <w:color w:val="auto"/>
          <w:sz w:val="28"/>
          <w:szCs w:val="28"/>
          <w:highlight w:val="none"/>
          <w:lang w:val="en-US" w:eastAsia="zh-CN"/>
        </w:rPr>
        <w:t>；然后在</w:t>
      </w:r>
      <w:r>
        <w:rPr>
          <w:rFonts w:hint="eastAsia" w:ascii="仿宋" w:hAnsi="仿宋" w:eastAsia="仿宋" w:cs="仿宋"/>
          <w:b w:val="0"/>
          <w:bCs w:val="0"/>
          <w:color w:val="auto"/>
          <w:sz w:val="28"/>
          <w:szCs w:val="28"/>
          <w:highlight w:val="none"/>
          <w:lang w:val="en-US" w:eastAsia="zh-CN"/>
        </w:rPr>
        <w:t>采购人</w:t>
      </w:r>
      <w:r>
        <w:rPr>
          <w:rFonts w:hint="eastAsia" w:ascii="仿宋" w:hAnsi="仿宋" w:eastAsia="仿宋" w:cs="仿宋"/>
          <w:color w:val="auto"/>
          <w:sz w:val="28"/>
          <w:szCs w:val="28"/>
          <w:highlight w:val="none"/>
          <w:lang w:val="en-US" w:eastAsia="zh-CN"/>
        </w:rPr>
        <w:t>的指导下,由</w:t>
      </w:r>
      <w:r>
        <w:rPr>
          <w:rFonts w:hint="eastAsia" w:ascii="仿宋" w:hAnsi="仿宋" w:eastAsia="仿宋" w:cs="仿宋"/>
          <w:b w:val="0"/>
          <w:bCs w:val="0"/>
          <w:color w:val="auto"/>
          <w:sz w:val="28"/>
          <w:szCs w:val="28"/>
          <w:highlight w:val="none"/>
          <w:lang w:val="en-US" w:eastAsia="zh-CN"/>
        </w:rPr>
        <w:t>采购人</w:t>
      </w:r>
      <w:r>
        <w:rPr>
          <w:rFonts w:hint="eastAsia" w:ascii="仿宋" w:hAnsi="仿宋" w:eastAsia="仿宋" w:cs="仿宋"/>
          <w:color w:val="auto"/>
          <w:sz w:val="28"/>
          <w:szCs w:val="28"/>
          <w:highlight w:val="none"/>
          <w:lang w:val="en-US" w:eastAsia="zh-CN"/>
        </w:rPr>
        <w:t>与中标供应商签订本年的食品物资的采购合同,招标结束后重新与中标供应商签订合同。</w:t>
      </w:r>
    </w:p>
    <w:p w14:paraId="684A572C">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6.4以上采购货物种类并非固定类目，以实际发生为准。</w:t>
      </w:r>
    </w:p>
    <w:p w14:paraId="7914CF9F">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6.5如采购人因外力或其它不可抗力因素导致下年招标延误，由原中标单位继续配送至下一年招标事宜结束。</w:t>
      </w:r>
    </w:p>
    <w:p w14:paraId="7DA7264F">
      <w:pP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br w:type="page"/>
      </w:r>
    </w:p>
    <w:p w14:paraId="061E0A6F">
      <w:pPr>
        <w:keepNext w:val="0"/>
        <w:keepLines w:val="0"/>
        <w:pageBreakBefore w:val="0"/>
        <w:kinsoku/>
        <w:wordWrap/>
        <w:overflowPunct/>
        <w:topLinePunct w:val="0"/>
        <w:autoSpaceDE w:val="0"/>
        <w:autoSpaceDN w:val="0"/>
        <w:bidi w:val="0"/>
        <w:adjustRightInd w:val="0"/>
        <w:spacing w:after="0" w:line="480" w:lineRule="exact"/>
        <w:ind w:firstLine="321" w:firstLineChars="100"/>
        <w:jc w:val="center"/>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二、第二标段商务要求</w:t>
      </w:r>
    </w:p>
    <w:p w14:paraId="71A36AE4">
      <w:pPr>
        <w:keepNext w:val="0"/>
        <w:keepLines w:val="0"/>
        <w:pageBreakBefore w:val="0"/>
        <w:kinsoku/>
        <w:wordWrap/>
        <w:overflowPunct/>
        <w:topLinePunct w:val="0"/>
        <w:autoSpaceDE w:val="0"/>
        <w:autoSpaceDN w:val="0"/>
        <w:bidi w:val="0"/>
        <w:adjustRightInd w:val="0"/>
        <w:spacing w:after="0" w:line="480" w:lineRule="exact"/>
        <w:ind w:firstLine="281" w:firstLineChars="1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报价要求</w:t>
      </w:r>
    </w:p>
    <w:p w14:paraId="4796FEAA">
      <w:pPr>
        <w:keepNext w:val="0"/>
        <w:keepLines w:val="0"/>
        <w:pageBreakBefore w:val="0"/>
        <w:numPr>
          <w:ilvl w:val="0"/>
          <w:numId w:val="0"/>
        </w:numPr>
        <w:kinsoku/>
        <w:wordWrap/>
        <w:overflowPunct/>
        <w:topLinePunct w:val="0"/>
        <w:autoSpaceDE w:val="0"/>
        <w:autoSpaceDN w:val="0"/>
        <w:bidi w:val="0"/>
        <w:adjustRightInd w:val="0"/>
        <w:spacing w:after="0" w:line="480" w:lineRule="exact"/>
        <w:ind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1.1此标段按单价方式进行报价（元/天/人）。</w:t>
      </w:r>
    </w:p>
    <w:p w14:paraId="511AB032">
      <w:pPr>
        <w:keepNext w:val="0"/>
        <w:keepLines w:val="0"/>
        <w:pageBreakBefore w:val="0"/>
        <w:kinsoku/>
        <w:wordWrap/>
        <w:overflowPunct/>
        <w:topLinePunct w:val="0"/>
        <w:autoSpaceDE w:val="0"/>
        <w:autoSpaceDN w:val="0"/>
        <w:bidi w:val="0"/>
        <w:adjustRightInd w:val="0"/>
        <w:spacing w:after="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商品结算价格包括商品采购价和运输到</w:t>
      </w:r>
      <w:r>
        <w:rPr>
          <w:rFonts w:hint="eastAsia" w:ascii="仿宋" w:hAnsi="仿宋" w:eastAsia="仿宋" w:cs="仿宋"/>
          <w:color w:val="auto"/>
          <w:sz w:val="28"/>
          <w:szCs w:val="28"/>
          <w:highlight w:val="none"/>
          <w:lang w:val="en-US" w:eastAsia="zh-CN"/>
        </w:rPr>
        <w:t>采购人指定地点</w:t>
      </w:r>
      <w:r>
        <w:rPr>
          <w:rFonts w:hint="eastAsia" w:ascii="仿宋" w:hAnsi="仿宋" w:eastAsia="仿宋" w:cs="仿宋"/>
          <w:color w:val="auto"/>
          <w:sz w:val="28"/>
          <w:szCs w:val="28"/>
          <w:highlight w:val="none"/>
        </w:rPr>
        <w:t>（双方有特殊约定的按照约定时间配送）所发生的运费、人工费、利润、税金等一切可能发生的费用，</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rPr>
        <w:t>开具正规有效发票。</w:t>
      </w:r>
    </w:p>
    <w:p w14:paraId="6547F0E6">
      <w:pPr>
        <w:keepNext w:val="0"/>
        <w:keepLines w:val="0"/>
        <w:pageBreakBefore w:val="0"/>
        <w:kinsoku/>
        <w:wordWrap/>
        <w:overflowPunct/>
        <w:topLinePunct w:val="0"/>
        <w:autoSpaceDE/>
        <w:autoSpaceDN/>
        <w:bidi w:val="0"/>
        <w:adjustRightInd/>
        <w:snapToGrid w:val="0"/>
        <w:spacing w:before="0" w:beforeAutospacing="0" w:after="0" w:afterAutospacing="0" w:line="480" w:lineRule="exact"/>
        <w:jc w:val="left"/>
        <w:textAlignment w:val="baseline"/>
        <w:outlineLvl w:val="2"/>
        <w:rPr>
          <w:rStyle w:val="61"/>
          <w:rFonts w:hint="eastAsia" w:ascii="仿宋" w:hAnsi="仿宋" w:eastAsia="仿宋" w:cs="仿宋"/>
          <w:b/>
          <w:bCs w:val="0"/>
          <w:i w:val="0"/>
          <w:caps w:val="0"/>
          <w:color w:val="auto"/>
          <w:spacing w:val="0"/>
          <w:w w:val="100"/>
          <w:kern w:val="2"/>
          <w:sz w:val="28"/>
          <w:szCs w:val="28"/>
          <w:highlight w:val="none"/>
          <w:lang w:val="en-US" w:eastAsia="zh-CN" w:bidi="ar-SA"/>
        </w:rPr>
      </w:pPr>
      <w:r>
        <w:rPr>
          <w:rStyle w:val="61"/>
          <w:rFonts w:hint="eastAsia" w:ascii="仿宋" w:hAnsi="仿宋" w:eastAsia="仿宋" w:cs="仿宋"/>
          <w:b/>
          <w:bCs w:val="0"/>
          <w:i w:val="0"/>
          <w:caps w:val="0"/>
          <w:color w:val="auto"/>
          <w:spacing w:val="0"/>
          <w:w w:val="100"/>
          <w:kern w:val="2"/>
          <w:sz w:val="28"/>
          <w:szCs w:val="28"/>
          <w:highlight w:val="none"/>
          <w:lang w:val="en-US" w:eastAsia="zh-CN" w:bidi="ar-SA"/>
        </w:rPr>
        <w:t>2.保质期限</w:t>
      </w:r>
    </w:p>
    <w:p w14:paraId="2156E294">
      <w:pPr>
        <w:pStyle w:val="3"/>
        <w:ind w:left="0" w:leftChars="0" w:firstLine="560" w:firstLineChars="200"/>
        <w:rPr>
          <w:rFonts w:hint="default"/>
          <w:color w:val="auto"/>
          <w:highlight w:val="none"/>
          <w:lang w:val="en-US" w:eastAsia="zh-CN"/>
        </w:rPr>
      </w:pPr>
      <w:r>
        <w:rPr>
          <w:rFonts w:hint="eastAsia" w:ascii="仿宋" w:hAnsi="仿宋" w:eastAsia="仿宋" w:cs="仿宋"/>
          <w:b w:val="0"/>
          <w:bCs/>
          <w:color w:val="auto"/>
          <w:kern w:val="2"/>
          <w:sz w:val="28"/>
          <w:szCs w:val="28"/>
          <w:highlight w:val="none"/>
          <w:lang w:val="en-US" w:eastAsia="zh-CN" w:bidi="ar-SA"/>
        </w:rPr>
        <w:t>2.1第二标段：盒饭必须是当日的新鲜产品，符合国家食品质量要求。</w:t>
      </w:r>
    </w:p>
    <w:p w14:paraId="74C9C815">
      <w:pPr>
        <w:keepNext w:val="0"/>
        <w:keepLines w:val="0"/>
        <w:pageBreakBefore w:val="0"/>
        <w:kinsoku/>
        <w:wordWrap/>
        <w:overflowPunct/>
        <w:topLinePunct w:val="0"/>
        <w:autoSpaceDE/>
        <w:autoSpaceDN/>
        <w:bidi w:val="0"/>
        <w:adjustRightInd/>
        <w:snapToGrid w:val="0"/>
        <w:spacing w:before="0" w:beforeAutospacing="0" w:after="0" w:afterAutospacing="0" w:line="480" w:lineRule="exact"/>
        <w:jc w:val="both"/>
        <w:textAlignment w:val="baseline"/>
        <w:outlineLvl w:val="2"/>
        <w:rPr>
          <w:rStyle w:val="61"/>
          <w:rFonts w:hint="eastAsia" w:ascii="仿宋" w:hAnsi="仿宋" w:eastAsia="仿宋" w:cs="仿宋"/>
          <w:b/>
          <w:bCs w:val="0"/>
          <w:i w:val="0"/>
          <w:caps w:val="0"/>
          <w:color w:val="auto"/>
          <w:spacing w:val="0"/>
          <w:w w:val="100"/>
          <w:kern w:val="2"/>
          <w:sz w:val="28"/>
          <w:szCs w:val="28"/>
          <w:highlight w:val="none"/>
          <w:lang w:val="en-US" w:eastAsia="zh-CN" w:bidi="ar-SA"/>
        </w:rPr>
      </w:pPr>
      <w:r>
        <w:rPr>
          <w:rStyle w:val="61"/>
          <w:rFonts w:hint="eastAsia" w:ascii="仿宋" w:hAnsi="仿宋" w:eastAsia="仿宋" w:cs="仿宋"/>
          <w:b/>
          <w:bCs w:val="0"/>
          <w:i w:val="0"/>
          <w:caps w:val="0"/>
          <w:color w:val="auto"/>
          <w:spacing w:val="0"/>
          <w:w w:val="100"/>
          <w:kern w:val="2"/>
          <w:sz w:val="28"/>
          <w:szCs w:val="28"/>
          <w:highlight w:val="none"/>
          <w:lang w:val="en-US" w:eastAsia="zh-CN" w:bidi="ar-SA"/>
        </w:rPr>
        <w:t>3.配送要求</w:t>
      </w:r>
    </w:p>
    <w:p w14:paraId="38661003">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配送车辆、人员应相对固定；食品运输必须釆用符合卫生标准的外包装和运载工具，并且要保持清洁和定期消毒。运输车辆内外干净、整洁，车厢内无不良气味、异味；运输途中严防日晒、雨淋，注意通风散热；货物应小心轻卸，严防机械损伤。食品堆放科学合理，避免造成食品的交叉污染；如对温度有要求的食品应确定食品的温度，记录送货车辆温度，并记录存档。不得人货混装；配送人员有健康证。</w:t>
      </w:r>
    </w:p>
    <w:p w14:paraId="34B31095">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3.2</w:t>
      </w:r>
      <w:r>
        <w:rPr>
          <w:rFonts w:hint="eastAsia" w:ascii="仿宋" w:hAnsi="仿宋" w:eastAsia="仿宋" w:cs="仿宋"/>
          <w:color w:val="auto"/>
          <w:kern w:val="2"/>
          <w:sz w:val="28"/>
          <w:szCs w:val="28"/>
          <w:highlight w:val="none"/>
          <w:lang w:val="en-US" w:eastAsia="zh-CN" w:bidi="ar-SA"/>
        </w:rPr>
        <w:t>交货时间：</w:t>
      </w:r>
      <w:r>
        <w:rPr>
          <w:rFonts w:hint="eastAsia" w:ascii="仿宋" w:hAnsi="仿宋" w:eastAsia="仿宋" w:cs="仿宋"/>
          <w:b w:val="0"/>
          <w:bCs/>
          <w:color w:val="auto"/>
          <w:sz w:val="28"/>
          <w:szCs w:val="28"/>
          <w:highlight w:val="none"/>
        </w:rPr>
        <w:t>除不可抗力以外，</w:t>
      </w:r>
      <w:r>
        <w:rPr>
          <w:rFonts w:hint="eastAsia" w:ascii="仿宋" w:hAnsi="仿宋" w:eastAsia="仿宋" w:cs="仿宋"/>
          <w:b w:val="0"/>
          <w:bCs/>
          <w:color w:val="auto"/>
          <w:sz w:val="28"/>
          <w:szCs w:val="28"/>
          <w:highlight w:val="none"/>
          <w:lang w:val="en-US" w:eastAsia="zh-CN"/>
        </w:rPr>
        <w:t>中标供应商</w:t>
      </w:r>
      <w:r>
        <w:rPr>
          <w:rFonts w:hint="eastAsia" w:ascii="仿宋" w:hAnsi="仿宋" w:eastAsia="仿宋" w:cs="仿宋"/>
          <w:b w:val="0"/>
          <w:bCs/>
          <w:color w:val="auto"/>
          <w:sz w:val="28"/>
          <w:szCs w:val="28"/>
          <w:highlight w:val="none"/>
        </w:rPr>
        <w:t>应根据</w:t>
      </w:r>
      <w:r>
        <w:rPr>
          <w:rFonts w:hint="eastAsia" w:ascii="仿宋" w:hAnsi="仿宋" w:eastAsia="仿宋" w:cs="仿宋"/>
          <w:b w:val="0"/>
          <w:bCs/>
          <w:color w:val="auto"/>
          <w:sz w:val="28"/>
          <w:szCs w:val="28"/>
          <w:highlight w:val="none"/>
          <w:lang w:val="en-US" w:eastAsia="zh-CN"/>
        </w:rPr>
        <w:t>采购人</w:t>
      </w:r>
      <w:r>
        <w:rPr>
          <w:rFonts w:hint="eastAsia" w:ascii="仿宋" w:hAnsi="仿宋" w:eastAsia="仿宋" w:cs="仿宋"/>
          <w:b w:val="0"/>
          <w:bCs/>
          <w:color w:val="auto"/>
          <w:sz w:val="28"/>
          <w:szCs w:val="28"/>
          <w:highlight w:val="none"/>
        </w:rPr>
        <w:t>当日提供的配送清单，不晚于次日上午10时前将订单内所有产品配送至</w:t>
      </w:r>
      <w:r>
        <w:rPr>
          <w:rFonts w:hint="eastAsia" w:ascii="仿宋" w:hAnsi="仿宋" w:eastAsia="仿宋" w:cs="仿宋"/>
          <w:b w:val="0"/>
          <w:bCs/>
          <w:color w:val="auto"/>
          <w:sz w:val="28"/>
          <w:szCs w:val="28"/>
          <w:highlight w:val="none"/>
          <w:lang w:val="en-US" w:eastAsia="zh-CN"/>
        </w:rPr>
        <w:t>采购人指定地点</w:t>
      </w:r>
      <w:r>
        <w:rPr>
          <w:rFonts w:hint="eastAsia" w:ascii="仿宋" w:hAnsi="仿宋" w:eastAsia="仿宋" w:cs="仿宋"/>
          <w:b w:val="0"/>
          <w:bCs/>
          <w:color w:val="auto"/>
          <w:sz w:val="28"/>
          <w:szCs w:val="28"/>
          <w:highlight w:val="none"/>
        </w:rPr>
        <w:t>（双方有特殊约定的按照约定时间配送），并提供《送货清单》一</w:t>
      </w:r>
      <w:r>
        <w:rPr>
          <w:rStyle w:val="61"/>
          <w:rFonts w:hint="eastAsia" w:ascii="仿宋" w:hAnsi="仿宋" w:eastAsia="仿宋" w:cs="仿宋"/>
          <w:b w:val="0"/>
          <w:bCs/>
          <w:i w:val="0"/>
          <w:caps w:val="0"/>
          <w:color w:val="auto"/>
          <w:spacing w:val="0"/>
          <w:w w:val="100"/>
          <w:kern w:val="2"/>
          <w:sz w:val="28"/>
          <w:szCs w:val="28"/>
          <w:highlight w:val="none"/>
          <w:lang w:val="en-US" w:eastAsia="zh-CN" w:bidi="ar-SA"/>
        </w:rPr>
        <w:t>式两份。（如有临时需要紧急配送，</w:t>
      </w:r>
      <w:r>
        <w:rPr>
          <w:rFonts w:hint="eastAsia" w:ascii="仿宋" w:hAnsi="仿宋" w:eastAsia="仿宋" w:cs="仿宋"/>
          <w:b w:val="0"/>
          <w:bCs/>
          <w:color w:val="auto"/>
          <w:sz w:val="28"/>
          <w:szCs w:val="28"/>
          <w:highlight w:val="none"/>
          <w:lang w:val="en-US" w:eastAsia="zh-CN"/>
        </w:rPr>
        <w:t>需接到电话1小时送到。）</w:t>
      </w:r>
    </w:p>
    <w:p w14:paraId="60DE2DA1">
      <w:pPr>
        <w:keepNext w:val="0"/>
        <w:keepLines w:val="0"/>
        <w:pageBreakBefore w:val="0"/>
        <w:kinsoku/>
        <w:wordWrap/>
        <w:overflowPunct/>
        <w:topLinePunct w:val="0"/>
        <w:autoSpaceDE/>
        <w:autoSpaceDN/>
        <w:bidi w:val="0"/>
        <w:adjustRightInd/>
        <w:snapToGrid w:val="0"/>
        <w:spacing w:before="0" w:beforeAutospacing="0" w:after="0" w:afterAutospacing="0" w:line="480" w:lineRule="exact"/>
        <w:jc w:val="both"/>
        <w:textAlignment w:val="baseline"/>
        <w:outlineLvl w:val="2"/>
        <w:rPr>
          <w:rStyle w:val="61"/>
          <w:rFonts w:hint="eastAsia" w:ascii="仿宋" w:hAnsi="仿宋" w:eastAsia="仿宋" w:cs="仿宋"/>
          <w:b/>
          <w:bCs w:val="0"/>
          <w:i w:val="0"/>
          <w:caps w:val="0"/>
          <w:color w:val="auto"/>
          <w:spacing w:val="0"/>
          <w:w w:val="100"/>
          <w:kern w:val="2"/>
          <w:sz w:val="28"/>
          <w:szCs w:val="28"/>
          <w:highlight w:val="none"/>
          <w:lang w:val="en-US" w:eastAsia="zh-CN" w:bidi="ar-SA"/>
        </w:rPr>
      </w:pPr>
      <w:r>
        <w:rPr>
          <w:rStyle w:val="61"/>
          <w:rFonts w:hint="eastAsia" w:ascii="仿宋" w:hAnsi="仿宋" w:eastAsia="仿宋" w:cs="仿宋"/>
          <w:b/>
          <w:bCs w:val="0"/>
          <w:i w:val="0"/>
          <w:caps w:val="0"/>
          <w:color w:val="auto"/>
          <w:spacing w:val="0"/>
          <w:w w:val="100"/>
          <w:kern w:val="2"/>
          <w:sz w:val="28"/>
          <w:szCs w:val="28"/>
          <w:highlight w:val="none"/>
          <w:lang w:val="en-US" w:eastAsia="zh-CN" w:bidi="ar-SA"/>
        </w:rPr>
        <w:t xml:space="preserve">4.其他要求 </w:t>
      </w:r>
    </w:p>
    <w:p w14:paraId="6BAAB6D5">
      <w:pPr>
        <w:pageBreakBefore w:val="0"/>
        <w:numPr>
          <w:ilvl w:val="0"/>
          <w:numId w:val="0"/>
        </w:numPr>
        <w:kinsoku/>
        <w:overflowPunct/>
        <w:bidi w:val="0"/>
        <w:spacing w:beforeAutospacing="0" w:afterAutospacing="0" w:line="440" w:lineRule="exact"/>
        <w:ind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1）中标供应商应具有食品经营许可证，依法经营，保障采购人的合法权益，确保饮食安全，提供优质的饮食服务。开展经营活动应符合《中华人民共和国食品安全法》、《中华人民共和国安全生产法》、《餐饮服务食品安全操作规程》等法律、法规及部门规章制度。甲乙双方签订食品安全责任书，并予以严格遵守。</w:t>
      </w:r>
    </w:p>
    <w:p w14:paraId="03A778E4">
      <w:pPr>
        <w:pageBreakBefore w:val="0"/>
        <w:numPr>
          <w:ilvl w:val="0"/>
          <w:numId w:val="0"/>
        </w:numPr>
        <w:kinsoku/>
        <w:overflowPunct/>
        <w:bidi w:val="0"/>
        <w:spacing w:beforeAutospacing="0" w:afterAutospacing="0" w:line="440" w:lineRule="exact"/>
        <w:ind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（2）投标供应商自行承诺未发生过食品安全事故。（提供声明函，格式自拟）</w:t>
      </w:r>
    </w:p>
    <w:p w14:paraId="7546BDEA">
      <w:pPr>
        <w:pageBreakBefore w:val="0"/>
        <w:numPr>
          <w:ilvl w:val="0"/>
          <w:numId w:val="0"/>
        </w:numPr>
        <w:kinsoku/>
        <w:overflowPunct/>
        <w:bidi w:val="0"/>
        <w:spacing w:beforeAutospacing="0" w:afterAutospacing="0" w:line="440" w:lineRule="exact"/>
        <w:ind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（3）投标供应商必须对盒饭经营管理的服务质量、卫生和安全保障等标准有明确的承诺。（提供声明函，格式自拟）</w:t>
      </w:r>
    </w:p>
    <w:p w14:paraId="37913305">
      <w:pPr>
        <w:pageBreakBefore w:val="0"/>
        <w:numPr>
          <w:ilvl w:val="0"/>
          <w:numId w:val="0"/>
        </w:numPr>
        <w:kinsoku/>
        <w:overflowPunct/>
        <w:bidi w:val="0"/>
        <w:spacing w:beforeAutospacing="0" w:afterAutospacing="0" w:line="440" w:lineRule="exact"/>
        <w:ind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（4）食材质量具体要求：</w:t>
      </w:r>
    </w:p>
    <w:p w14:paraId="3D7A43A2">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1）食品保管必须做到离墙、离地、上架、防尘、防霉、防鼠害等，食品添加剂做到“五专”保存，确保食品质量。</w:t>
      </w:r>
    </w:p>
    <w:p w14:paraId="33F16907">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2）专人负责食品留样工作，严格落实食品48小时留样制，并在留样容器盒上标明菜名、日期、时间等。饭菜留样应根据食品安全相关规定留足数量(不少于200克)，储存于专用冰箱，双人双锁管理，并建立留样记录本，留档时间不少于1年。</w:t>
      </w:r>
    </w:p>
    <w:p w14:paraId="5E0BCABD">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3）食品卫生安全考核实行一票否决制，如在合同期内，因中标供应商的管理不善造成食品安全事故，则立即终止合同。</w:t>
      </w:r>
    </w:p>
    <w:p w14:paraId="3C66593D">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4）大米：出产的新大米（国标二级）必须符合GB1354-2018标准，并拥有“SC”食品质量安全认证；</w:t>
      </w:r>
    </w:p>
    <w:p w14:paraId="21E2D238">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5）面粉:必须符合GB1355-1986标准，并拥有“SC”食品质量安全认证，级别：特一级，并提供产品合格证明文件；</w:t>
      </w:r>
    </w:p>
    <w:p w14:paraId="36747C04">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6）食用油：一级葵花籽油，必须符合GB2716-2018《食品安全国家标准植物油》标准，并拥有“SC”食品质量安全认证，非转基因产品；</w:t>
      </w:r>
    </w:p>
    <w:p w14:paraId="784C1A78">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7）果蔬类：必须优质、新鲜、完整，经过初级分拣，并提供农药残留量检验检测报告；</w:t>
      </w:r>
    </w:p>
    <w:p w14:paraId="6012B82B">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8）鲜肉类：必须保证新鲜感观好，必须由取得国家定点屠宰许可的屠宰场提供，符合GB 2707-2016及GB20799-2016标准，必须通过动物检验检疫并具有动物检验检疫证明。　</w:t>
      </w:r>
    </w:p>
    <w:p w14:paraId="382F1027">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9）调味品：必须符合GB/T 15691-2008标准及相关产品安全质量标准和行业标准，必须具有“SC”食品质量安全认证标志，产品检验报告和合格证明。</w:t>
      </w:r>
    </w:p>
    <w:p w14:paraId="6A0F2F16">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10）大豆及豆制品：大豆与蔬菜类同，豆制品必须具有“SC”质量安全认证。</w:t>
      </w:r>
    </w:p>
    <w:p w14:paraId="6B66D2FA">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11）水产类：必须符合GB20941-2016标准及相关产品安全质量标准。</w:t>
      </w:r>
    </w:p>
    <w:p w14:paraId="6FC42317">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12）禽、蛋类：家禽必须具有动物检验检疫合格证明，并提供养殖基地有效证件。蛋类必须保证新鲜，且符合《食品安全法》要求。</w:t>
      </w:r>
    </w:p>
    <w:p w14:paraId="3B35D66F">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13）初级农产品（如香菇、木耳、玉米面、各种豆类、淀粉等）必须三证齐全、SC认证的产品，须有产地证明、质量承诺书或检测报告。</w:t>
      </w:r>
    </w:p>
    <w:p w14:paraId="68C96A9F">
      <w:pPr>
        <w:pageBreakBefore w:val="0"/>
        <w:numPr>
          <w:ilvl w:val="0"/>
          <w:numId w:val="0"/>
        </w:numPr>
        <w:kinsoku/>
        <w:overflowPunct/>
        <w:bidi w:val="0"/>
        <w:spacing w:beforeAutospacing="0" w:afterAutospacing="0" w:line="440" w:lineRule="exact"/>
        <w:ind w:right="0" w:rightChars="0" w:firstLine="552" w:firstLineChars="200"/>
        <w:jc w:val="left"/>
        <w:rPr>
          <w:rFonts w:hint="eastAsia"/>
          <w:color w:val="auto"/>
          <w:highlight w:val="none"/>
          <w:lang w:val="en-US" w:eastAsia="zh-CN"/>
        </w:rPr>
      </w:pPr>
      <w:r>
        <w:rPr>
          <w:rFonts w:hint="eastAsia" w:ascii="仿宋" w:hAnsi="仿宋" w:eastAsia="仿宋" w:cs="仿宋"/>
          <w:color w:val="auto"/>
          <w:spacing w:val="-2"/>
          <w:sz w:val="28"/>
          <w:szCs w:val="28"/>
          <w:highlight w:val="none"/>
          <w:lang w:val="en-US" w:eastAsia="zh-CN"/>
        </w:rPr>
        <w:t>14）采购半成品必须达到卫生标准要求，要标有生产和保质日期，无霉变、异味现象。</w:t>
      </w:r>
    </w:p>
    <w:p w14:paraId="2A1A0D9C">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（5）中标供应商必须遵守国家和地方有关环境和食品卫生的标准，严禁使用腐烂变质的食品，保持菜肴的新鲜和卫生。</w:t>
      </w:r>
    </w:p>
    <w:p w14:paraId="69029D6F">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（6）中标供应商制作每餐盒饭后认真用洗洁精清洗食具并做好消毒工作，每天清理灶台及炊事用品污垢。做好消除蚊、蝇、鼠害等。</w:t>
      </w:r>
    </w:p>
    <w:p w14:paraId="2D09C631">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（7）冰柜定期清理、除霜、消除异味、生熟物品分开存放。</w:t>
      </w:r>
    </w:p>
    <w:p w14:paraId="0AAB9EFF">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（8）中标供应商自行负责食材采购，必须严格按照采购人大宗食材采购要求采购新鲜、安全的食材，盒饭菜品可根据季节变化进行调整。</w:t>
      </w:r>
    </w:p>
    <w:p w14:paraId="2B674CB4">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（9）中标供应商不得以任何形式转包或分包给第三方。</w:t>
      </w:r>
    </w:p>
    <w:p w14:paraId="75AEDB70">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（10）如确定中标供应商后，中标供应商需配合采购人到中标供应商的经营场所实地核查，如有虚假，作废标处理或立即解除合同。</w:t>
      </w:r>
    </w:p>
    <w:p w14:paraId="50965173">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（11）中标供应商造成饮食安全及生产安全事故(不限于食品安全事故)的一切责任由中标供应商承担，因此所造成的损失，由中标供应商负责赔偿，直至解除合同。</w:t>
      </w:r>
    </w:p>
    <w:p w14:paraId="5C5538D5">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（12）中标供应商配备足够的在岗工作人员，劳动用工必须符合《劳动合同法》及《劳动法》的要求，依法用工，按时交纳员工社保等。如发生用工纠纷，由中标供应商承担责任。</w:t>
      </w:r>
    </w:p>
    <w:p w14:paraId="03A7400D">
      <w:pPr>
        <w:pageBreakBefore w:val="0"/>
        <w:numPr>
          <w:ilvl w:val="0"/>
          <w:numId w:val="0"/>
        </w:numPr>
        <w:kinsoku/>
        <w:overflowPunct/>
        <w:bidi w:val="0"/>
        <w:spacing w:beforeAutospacing="0" w:afterAutospacing="0" w:line="440" w:lineRule="exact"/>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（13）中标供应商提前一周制定盒饭餐食菜单，经采购人审核确认后执行。做好用餐人员服务工作，保证用餐人员的饭菜供应量。</w:t>
      </w:r>
    </w:p>
    <w:p w14:paraId="1373F712">
      <w:pPr>
        <w:pageBreakBefore w:val="0"/>
        <w:numPr>
          <w:ilvl w:val="0"/>
          <w:numId w:val="0"/>
        </w:numPr>
        <w:kinsoku/>
        <w:overflowPunct/>
        <w:bidi w:val="0"/>
        <w:spacing w:beforeAutospacing="0" w:afterAutospacing="0" w:line="440" w:lineRule="exact"/>
        <w:ind w:leftChars="0"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（14）中标供应商应按照合同的约定，保质、保量、按时为采购人提供盒饭餐饮，如因中标供应商的失误，不能正常提供盒饭餐饮，甲方有权向乙方追偿损失。</w:t>
      </w:r>
    </w:p>
    <w:p w14:paraId="5EA1D6A3">
      <w:pPr>
        <w:pageBreakBefore w:val="0"/>
        <w:kinsoku/>
        <w:wordWrap/>
        <w:overflowPunct/>
        <w:topLinePunct w:val="0"/>
        <w:bidi w:val="0"/>
        <w:spacing w:beforeAutospacing="0" w:afterAutospacing="0" w:line="480" w:lineRule="exact"/>
        <w:ind w:right="0" w:rightChars="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验收条款</w:t>
      </w:r>
    </w:p>
    <w:p w14:paraId="07F5BF85">
      <w:pPr>
        <w:pageBreakBefore w:val="0"/>
        <w:kinsoku/>
        <w:wordWrap/>
        <w:overflowPunct/>
        <w:topLinePunct w:val="0"/>
        <w:bidi w:val="0"/>
        <w:spacing w:beforeAutospacing="0" w:afterAutospacing="0" w:line="48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5.1</w:t>
      </w:r>
      <w:r>
        <w:rPr>
          <w:rFonts w:hint="eastAsia" w:ascii="仿宋" w:hAnsi="仿宋" w:eastAsia="仿宋" w:cs="仿宋"/>
          <w:color w:val="auto"/>
          <w:sz w:val="28"/>
          <w:szCs w:val="28"/>
          <w:highlight w:val="none"/>
        </w:rPr>
        <w:t>所购入的物品必须符合《中华人民共和国食品卫生法》、《中华人民共和国食品安全法》要求。</w:t>
      </w:r>
    </w:p>
    <w:p w14:paraId="3C7CC0A6">
      <w:pPr>
        <w:pageBreakBefore w:val="0"/>
        <w:kinsoku/>
        <w:wordWrap/>
        <w:overflowPunct/>
        <w:topLinePunct w:val="0"/>
        <w:bidi w:val="0"/>
        <w:spacing w:beforeAutospacing="0" w:afterAutospacing="0" w:line="480" w:lineRule="exact"/>
        <w:ind w:left="0" w:leftChars="0" w:right="0" w:rightChars="0"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5.2</w:t>
      </w:r>
      <w:r>
        <w:rPr>
          <w:rFonts w:hint="eastAsia" w:ascii="仿宋" w:hAnsi="仿宋" w:eastAsia="仿宋" w:cs="仿宋"/>
          <w:color w:val="auto"/>
          <w:sz w:val="28"/>
          <w:szCs w:val="28"/>
          <w:highlight w:val="none"/>
        </w:rPr>
        <w:t>所供商品必须符合国家行业生产及经营标准，货真价实</w:t>
      </w:r>
      <w:r>
        <w:rPr>
          <w:rFonts w:hint="eastAsia" w:ascii="仿宋" w:hAnsi="仿宋" w:eastAsia="仿宋" w:cs="仿宋"/>
          <w:color w:val="auto"/>
          <w:sz w:val="28"/>
          <w:szCs w:val="28"/>
          <w:highlight w:val="none"/>
          <w:lang w:eastAsia="zh-CN"/>
        </w:rPr>
        <w:t>。</w:t>
      </w:r>
    </w:p>
    <w:p w14:paraId="432837E5">
      <w:pPr>
        <w:pageBreakBefore w:val="0"/>
        <w:kinsoku/>
        <w:wordWrap/>
        <w:overflowPunct/>
        <w:topLinePunct w:val="0"/>
        <w:bidi w:val="0"/>
        <w:spacing w:beforeAutospacing="0" w:afterAutospacing="0" w:line="48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5.3</w:t>
      </w:r>
      <w:r>
        <w:rPr>
          <w:rFonts w:hint="eastAsia" w:ascii="仿宋" w:hAnsi="仿宋" w:eastAsia="仿宋" w:cs="仿宋"/>
          <w:color w:val="auto"/>
          <w:sz w:val="28"/>
          <w:szCs w:val="28"/>
          <w:highlight w:val="none"/>
        </w:rPr>
        <w:t>所有货物指标要符合国家强制性标准要求。</w:t>
      </w:r>
    </w:p>
    <w:p w14:paraId="39BF98DC">
      <w:pPr>
        <w:pageBreakBefore w:val="0"/>
        <w:kinsoku/>
        <w:wordWrap/>
        <w:overflowPunct/>
        <w:topLinePunct w:val="0"/>
        <w:bidi w:val="0"/>
        <w:spacing w:beforeAutospacing="0" w:afterAutospacing="0" w:line="48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5.4中标供应商</w:t>
      </w:r>
      <w:r>
        <w:rPr>
          <w:rFonts w:hint="eastAsia" w:ascii="仿宋" w:hAnsi="仿宋" w:eastAsia="仿宋" w:cs="仿宋"/>
          <w:color w:val="auto"/>
          <w:sz w:val="28"/>
          <w:szCs w:val="28"/>
          <w:highlight w:val="none"/>
        </w:rPr>
        <w:t>必须负责</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货物的运输等工作，所产生的费用由</w:t>
      </w:r>
      <w:r>
        <w:rPr>
          <w:rFonts w:hint="eastAsia" w:ascii="仿宋" w:hAnsi="仿宋" w:eastAsia="仿宋" w:cs="仿宋"/>
          <w:color w:val="auto"/>
          <w:sz w:val="28"/>
          <w:szCs w:val="28"/>
          <w:highlight w:val="none"/>
          <w:lang w:val="en-US" w:eastAsia="zh-CN"/>
        </w:rPr>
        <w:t>中标供应商</w:t>
      </w:r>
      <w:r>
        <w:rPr>
          <w:rFonts w:hint="eastAsia" w:ascii="仿宋" w:hAnsi="仿宋" w:eastAsia="仿宋" w:cs="仿宋"/>
          <w:color w:val="auto"/>
          <w:sz w:val="28"/>
          <w:szCs w:val="28"/>
          <w:highlight w:val="none"/>
        </w:rPr>
        <w:t>负责。</w:t>
      </w:r>
    </w:p>
    <w:p w14:paraId="6225E517">
      <w:pPr>
        <w:pageBreakBefore w:val="0"/>
        <w:kinsoku/>
        <w:wordWrap/>
        <w:overflowPunct/>
        <w:topLinePunct w:val="0"/>
        <w:bidi w:val="0"/>
        <w:spacing w:beforeAutospacing="0" w:afterAutospacing="0" w:line="480" w:lineRule="exact"/>
        <w:ind w:left="0" w:leftChars="0" w:right="0" w:rightChars="0"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5.5配送货物必须按时按量按质送到采购人指定地点（双方有特殊约定的按照约定时间配送），并当面核实克重。验收完毕后，双方必须在货物收货清单（格式自定，但必须包括货物单价、数量、重量、合价等内容）上签名确认，货物收货清单作为釆购人支付货款的依据之一。</w:t>
      </w:r>
    </w:p>
    <w:p w14:paraId="660C0F98">
      <w:pPr>
        <w:pageBreakBefore w:val="0"/>
        <w:kinsoku/>
        <w:wordWrap/>
        <w:overflowPunct/>
        <w:topLinePunct w:val="0"/>
        <w:bidi w:val="0"/>
        <w:spacing w:beforeAutospacing="0" w:afterAutospacing="0" w:line="480" w:lineRule="exact"/>
        <w:ind w:left="0" w:leftChars="0" w:right="0" w:rightChars="0"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5.6在中标合同期限内，釆购人根据实际情况对货物的数量进行釆购。具体数量需根据当天或每月的实际发生数确定，据实结算。</w:t>
      </w:r>
    </w:p>
    <w:p w14:paraId="6041E0A8">
      <w:pPr>
        <w:pageBreakBefore w:val="0"/>
        <w:kinsoku/>
        <w:wordWrap/>
        <w:overflowPunct/>
        <w:topLinePunct w:val="0"/>
        <w:bidi w:val="0"/>
        <w:spacing w:beforeAutospacing="0" w:afterAutospacing="0" w:line="480" w:lineRule="exact"/>
        <w:ind w:left="0" w:leftChars="0" w:right="0" w:rightChars="0" w:firstLine="560" w:firstLineChars="200"/>
        <w:jc w:val="left"/>
        <w:rPr>
          <w:rFonts w:hint="default"/>
          <w:color w:val="auto"/>
          <w:highlight w:val="none"/>
          <w:lang w:val="en-US" w:eastAsia="zh-CN"/>
        </w:rPr>
      </w:pPr>
      <w:r>
        <w:rPr>
          <w:rFonts w:hint="eastAsia" w:ascii="仿宋" w:hAnsi="仿宋" w:eastAsia="仿宋" w:cs="仿宋"/>
          <w:color w:val="auto"/>
          <w:sz w:val="28"/>
          <w:szCs w:val="28"/>
          <w:highlight w:val="none"/>
          <w:lang w:val="en-US" w:eastAsia="zh-CN"/>
        </w:rPr>
        <w:t>5.7中标供应商将盒饭送达后, 采购人组织至少2人对盒饭的质量、数量认真进行验收后方可在送货单上确认签字，每张送货单上中标供应商必须加盖公章并有企业相关负责人员的签字。如公安局对商品质量有异议,可要求供应商重新制作及时配送到位；若不更换或有其他异议, 必须尽快上报相关主管部门进行协调,提出解决办法,同时主管部门立即联系相关部门进行检测,检测不合格的不予接收,中标供应商承担相应的责任及费用。发生此类问题可写出书面报告交主管部门上报采购办,对中标供应商提出警告,若每年累计发生此类事件超过三次,主管部门和公安局有权与中标供应商解除配送协议和采购合同。</w:t>
      </w:r>
    </w:p>
    <w:p w14:paraId="4FCF0D2C">
      <w:pPr>
        <w:keepNext w:val="0"/>
        <w:keepLines w:val="0"/>
        <w:pageBreakBefore w:val="0"/>
        <w:kinsoku/>
        <w:wordWrap/>
        <w:overflowPunct/>
        <w:topLinePunct w:val="0"/>
        <w:autoSpaceDE/>
        <w:autoSpaceDN/>
        <w:bidi w:val="0"/>
        <w:adjustRightInd/>
        <w:snapToGrid w:val="0"/>
        <w:spacing w:before="0" w:beforeAutospacing="0" w:after="0" w:afterAutospacing="0" w:line="480" w:lineRule="exact"/>
        <w:jc w:val="both"/>
        <w:textAlignment w:val="baseline"/>
        <w:outlineLvl w:val="2"/>
        <w:rPr>
          <w:rStyle w:val="61"/>
          <w:rFonts w:hint="eastAsia" w:ascii="仿宋" w:hAnsi="仿宋" w:eastAsia="仿宋" w:cs="仿宋"/>
          <w:b/>
          <w:bCs w:val="0"/>
          <w:i w:val="0"/>
          <w:caps w:val="0"/>
          <w:color w:val="auto"/>
          <w:spacing w:val="0"/>
          <w:w w:val="100"/>
          <w:kern w:val="2"/>
          <w:sz w:val="28"/>
          <w:szCs w:val="28"/>
          <w:highlight w:val="none"/>
          <w:lang w:val="en-US" w:eastAsia="zh-CN" w:bidi="ar-SA"/>
        </w:rPr>
      </w:pPr>
      <w:r>
        <w:rPr>
          <w:rStyle w:val="61"/>
          <w:rFonts w:hint="eastAsia" w:ascii="仿宋" w:hAnsi="仿宋" w:eastAsia="仿宋" w:cs="仿宋"/>
          <w:b/>
          <w:bCs w:val="0"/>
          <w:i w:val="0"/>
          <w:caps w:val="0"/>
          <w:color w:val="auto"/>
          <w:spacing w:val="0"/>
          <w:w w:val="100"/>
          <w:kern w:val="2"/>
          <w:sz w:val="28"/>
          <w:szCs w:val="28"/>
          <w:highlight w:val="none"/>
          <w:lang w:val="en-US" w:eastAsia="zh-CN" w:bidi="ar-SA"/>
        </w:rPr>
        <w:t>6.其他要求：</w:t>
      </w:r>
    </w:p>
    <w:p w14:paraId="02246BEC">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rPr>
      </w:pPr>
      <w:r>
        <w:rPr>
          <w:rStyle w:val="61"/>
          <w:rFonts w:hint="eastAsia" w:ascii="仿宋" w:hAnsi="仿宋" w:eastAsia="仿宋" w:cs="仿宋"/>
          <w:b w:val="0"/>
          <w:bCs/>
          <w:i w:val="0"/>
          <w:caps w:val="0"/>
          <w:color w:val="auto"/>
          <w:spacing w:val="0"/>
          <w:w w:val="100"/>
          <w:kern w:val="2"/>
          <w:sz w:val="28"/>
          <w:szCs w:val="28"/>
          <w:highlight w:val="none"/>
          <w:lang w:val="en-US" w:eastAsia="zh-CN" w:bidi="ar-SA"/>
        </w:rPr>
        <w:t>6.1所配送的盒饭如发生以下所列情形的，直接取消中标人配送资格</w:t>
      </w:r>
      <w:r>
        <w:rPr>
          <w:rFonts w:hint="eastAsia" w:ascii="仿宋" w:hAnsi="仿宋" w:eastAsia="仿宋" w:cs="仿宋"/>
          <w:b w:val="0"/>
          <w:bCs/>
          <w:color w:val="auto"/>
          <w:sz w:val="28"/>
          <w:szCs w:val="28"/>
          <w:highlight w:val="none"/>
        </w:rPr>
        <w:t>，</w:t>
      </w:r>
      <w:r>
        <w:rPr>
          <w:rFonts w:hint="eastAsia" w:ascii="仿宋" w:hAnsi="仿宋" w:eastAsia="仿宋" w:cs="仿宋"/>
          <w:color w:val="auto"/>
          <w:sz w:val="28"/>
          <w:szCs w:val="28"/>
          <w:highlight w:val="none"/>
        </w:rPr>
        <w:t>除全部退货外，并由</w:t>
      </w:r>
      <w:r>
        <w:rPr>
          <w:rFonts w:hint="eastAsia" w:ascii="仿宋" w:hAnsi="仿宋" w:eastAsia="仿宋" w:cs="仿宋"/>
          <w:color w:val="auto"/>
          <w:sz w:val="28"/>
          <w:szCs w:val="28"/>
          <w:highlight w:val="none"/>
          <w:lang w:val="en-US" w:eastAsia="zh-CN"/>
        </w:rPr>
        <w:t>中标供应商</w:t>
      </w:r>
      <w:r>
        <w:rPr>
          <w:rFonts w:hint="eastAsia" w:ascii="仿宋" w:hAnsi="仿宋" w:eastAsia="仿宋" w:cs="仿宋"/>
          <w:color w:val="auto"/>
          <w:sz w:val="28"/>
          <w:szCs w:val="28"/>
          <w:highlight w:val="none"/>
        </w:rPr>
        <w:t>承担由此造成的经济责任和法律责任。</w:t>
      </w:r>
    </w:p>
    <w:p w14:paraId="76C20A2E">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腐败变质、油脂酸败、霉变、生虫、混有异物或者其他感官性状异常，对人体健康有害的</w:t>
      </w:r>
      <w:r>
        <w:rPr>
          <w:rFonts w:hint="eastAsia" w:ascii="仿宋" w:hAnsi="仿宋" w:eastAsia="仿宋" w:cs="仿宋"/>
          <w:color w:val="auto"/>
          <w:sz w:val="28"/>
          <w:szCs w:val="28"/>
          <w:highlight w:val="none"/>
          <w:lang w:eastAsia="zh-CN"/>
        </w:rPr>
        <w:t>。</w:t>
      </w:r>
    </w:p>
    <w:p w14:paraId="651EDDD8">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含有毒、有害物质或被有害物质污染，对人体健康有害的</w:t>
      </w:r>
      <w:r>
        <w:rPr>
          <w:rFonts w:hint="eastAsia" w:ascii="仿宋" w:hAnsi="仿宋" w:eastAsia="仿宋" w:cs="仿宋"/>
          <w:color w:val="auto"/>
          <w:sz w:val="28"/>
          <w:szCs w:val="28"/>
          <w:highlight w:val="none"/>
          <w:lang w:eastAsia="zh-CN"/>
        </w:rPr>
        <w:t>。</w:t>
      </w:r>
    </w:p>
    <w:p w14:paraId="4E23041F">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掺假、掺杂、伪造，影响营养、卫生的</w:t>
      </w:r>
      <w:r>
        <w:rPr>
          <w:rFonts w:hint="eastAsia" w:ascii="仿宋" w:hAnsi="仿宋" w:eastAsia="仿宋" w:cs="仿宋"/>
          <w:color w:val="auto"/>
          <w:sz w:val="28"/>
          <w:szCs w:val="28"/>
          <w:highlight w:val="none"/>
          <w:lang w:eastAsia="zh-CN"/>
        </w:rPr>
        <w:t>。</w:t>
      </w:r>
    </w:p>
    <w:p w14:paraId="72D8E4DC">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用非食品原料加工的，加入非食品用化学物质或者将非食品当做食品的</w:t>
      </w:r>
      <w:r>
        <w:rPr>
          <w:rFonts w:hint="eastAsia" w:ascii="仿宋" w:hAnsi="仿宋" w:eastAsia="仿宋" w:cs="仿宋"/>
          <w:color w:val="auto"/>
          <w:sz w:val="28"/>
          <w:szCs w:val="28"/>
          <w:highlight w:val="none"/>
          <w:lang w:eastAsia="zh-CN"/>
        </w:rPr>
        <w:t>。</w:t>
      </w:r>
    </w:p>
    <w:p w14:paraId="75275DD9">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（5）不符合</w:t>
      </w:r>
      <w:r>
        <w:rPr>
          <w:rFonts w:hint="eastAsia" w:ascii="仿宋" w:hAnsi="仿宋" w:eastAsia="仿宋" w:cs="仿宋"/>
          <w:color w:val="auto"/>
          <w:sz w:val="28"/>
          <w:szCs w:val="28"/>
          <w:highlight w:val="none"/>
        </w:rPr>
        <w:t>保质期限的</w:t>
      </w:r>
      <w:r>
        <w:rPr>
          <w:rFonts w:hint="eastAsia" w:ascii="仿宋" w:hAnsi="仿宋" w:eastAsia="仿宋" w:cs="仿宋"/>
          <w:color w:val="auto"/>
          <w:sz w:val="28"/>
          <w:szCs w:val="28"/>
          <w:highlight w:val="none"/>
          <w:lang w:eastAsia="zh-CN"/>
        </w:rPr>
        <w:t>。</w:t>
      </w:r>
    </w:p>
    <w:p w14:paraId="7C72A971">
      <w:pPr>
        <w:rPr>
          <w:highlight w:val="none"/>
        </w:rPr>
      </w:pPr>
      <w:r>
        <w:rPr>
          <w:rFonts w:hint="eastAsia" w:ascii="仿宋" w:hAnsi="仿宋" w:eastAsia="仿宋" w:cs="仿宋"/>
          <w:color w:val="auto"/>
          <w:sz w:val="28"/>
          <w:szCs w:val="28"/>
          <w:highlight w:val="none"/>
          <w:lang w:val="en-US" w:eastAsia="zh-CN"/>
        </w:rPr>
        <w:t>6.2</w:t>
      </w:r>
      <w:r>
        <w:rPr>
          <w:rFonts w:hint="eastAsia" w:ascii="仿宋" w:hAnsi="仿宋" w:eastAsia="仿宋" w:cs="仿宋"/>
          <w:b/>
          <w:bCs/>
          <w:color w:val="auto"/>
          <w:sz w:val="28"/>
          <w:szCs w:val="28"/>
          <w:highlight w:val="none"/>
          <w:lang w:val="en-US" w:eastAsia="zh-CN"/>
        </w:rPr>
        <w:t>如采购人因外力或其它不可抗力因素导致下年招标延误，由原中标单位继续配送至下一年招标事宜结束。</w:t>
      </w:r>
    </w:p>
    <w:p w14:paraId="1ADA5205">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val="en-US" w:eastAsia="zh-CN"/>
        </w:rPr>
      </w:pPr>
    </w:p>
    <w:p w14:paraId="0B0C34A7">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color w:val="auto"/>
          <w:sz w:val="28"/>
          <w:szCs w:val="28"/>
          <w:highlight w:val="none"/>
          <w:lang w:val="en-US" w:eastAsia="zh-CN"/>
        </w:rPr>
      </w:pPr>
    </w:p>
    <w:p w14:paraId="0E2EDD50">
      <w:pPr>
        <w:rPr>
          <w:rFonts w:hint="eastAsia" w:ascii="仿宋" w:hAnsi="仿宋" w:eastAsia="仿宋" w:cs="仿宋"/>
          <w:b/>
          <w:color w:val="auto"/>
          <w:kern w:val="44"/>
          <w:sz w:val="44"/>
          <w:szCs w:val="44"/>
          <w:highlight w:val="none"/>
          <w:lang w:val="en-US" w:eastAsia="zh-CN"/>
        </w:rPr>
      </w:pPr>
      <w:r>
        <w:rPr>
          <w:rFonts w:hint="eastAsia" w:ascii="仿宋" w:hAnsi="仿宋" w:eastAsia="仿宋" w:cs="仿宋"/>
          <w:b/>
          <w:color w:val="auto"/>
          <w:kern w:val="44"/>
          <w:sz w:val="44"/>
          <w:szCs w:val="44"/>
          <w:highlight w:val="none"/>
          <w:lang w:val="en-US" w:eastAsia="zh-CN"/>
        </w:rPr>
        <w:br w:type="page"/>
      </w:r>
    </w:p>
    <w:p w14:paraId="6BBDDFD5">
      <w:pPr>
        <w:pStyle w:val="2"/>
        <w:pageBreakBefore w:val="0"/>
        <w:widowControl w:val="0"/>
        <w:kinsoku/>
        <w:wordWrap/>
        <w:overflowPunct/>
        <w:topLinePunct w:val="0"/>
        <w:bidi w:val="0"/>
        <w:snapToGrid/>
        <w:spacing w:line="480" w:lineRule="exact"/>
        <w:ind w:firstLine="0"/>
        <w:jc w:val="center"/>
        <w:textAlignment w:val="auto"/>
        <w:outlineLvl w:val="0"/>
        <w:rPr>
          <w:rFonts w:hint="eastAsia" w:ascii="仿宋" w:hAnsi="仿宋" w:eastAsia="仿宋" w:cs="仿宋"/>
          <w:b/>
          <w:color w:val="auto"/>
          <w:kern w:val="44"/>
          <w:sz w:val="44"/>
          <w:szCs w:val="44"/>
          <w:highlight w:val="none"/>
        </w:rPr>
      </w:pPr>
      <w:r>
        <w:rPr>
          <w:rFonts w:hint="eastAsia" w:ascii="仿宋" w:hAnsi="仿宋" w:eastAsia="仿宋" w:cs="仿宋"/>
          <w:b/>
          <w:color w:val="auto"/>
          <w:kern w:val="44"/>
          <w:sz w:val="44"/>
          <w:szCs w:val="44"/>
          <w:highlight w:val="none"/>
          <w:lang w:val="en-US" w:eastAsia="zh-CN"/>
        </w:rPr>
        <w:t>第五章 投标文件格式</w:t>
      </w:r>
      <w:bookmarkEnd w:id="76"/>
      <w:bookmarkEnd w:id="401"/>
      <w:bookmarkEnd w:id="402"/>
    </w:p>
    <w:p w14:paraId="0FED36D8">
      <w:pPr>
        <w:pStyle w:val="4"/>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rPr>
          <w:rFonts w:hint="eastAsia" w:ascii="仿宋" w:hAnsi="仿宋" w:eastAsia="仿宋" w:cs="仿宋"/>
          <w:b/>
          <w:bCs w:val="0"/>
          <w:color w:val="auto"/>
          <w:sz w:val="36"/>
          <w:szCs w:val="36"/>
          <w:highlight w:val="none"/>
          <w:lang w:val="en-US" w:eastAsia="zh-CN"/>
        </w:rPr>
      </w:pPr>
      <w:bookmarkStart w:id="421" w:name="_Toc1601"/>
      <w:bookmarkStart w:id="422" w:name="_Toc18026"/>
      <w:r>
        <w:rPr>
          <w:rFonts w:hint="eastAsia" w:ascii="仿宋" w:hAnsi="仿宋" w:eastAsia="仿宋" w:cs="仿宋"/>
          <w:b/>
          <w:bCs w:val="0"/>
          <w:color w:val="auto"/>
          <w:sz w:val="36"/>
          <w:szCs w:val="36"/>
          <w:highlight w:val="none"/>
          <w:lang w:val="en-US" w:eastAsia="zh-CN"/>
        </w:rPr>
        <w:t xml:space="preserve">第一部分 </w:t>
      </w:r>
      <w:bookmarkStart w:id="423" w:name="_Toc28876"/>
      <w:r>
        <w:rPr>
          <w:rFonts w:hint="eastAsia" w:ascii="仿宋" w:hAnsi="仿宋" w:eastAsia="仿宋" w:cs="仿宋"/>
          <w:b/>
          <w:bCs w:val="0"/>
          <w:color w:val="auto"/>
          <w:sz w:val="36"/>
          <w:szCs w:val="36"/>
          <w:highlight w:val="none"/>
          <w:lang w:val="en-US" w:eastAsia="zh-CN"/>
        </w:rPr>
        <w:t>投标响应文件的上传</w:t>
      </w:r>
      <w:bookmarkEnd w:id="421"/>
      <w:bookmarkEnd w:id="422"/>
      <w:bookmarkEnd w:id="423"/>
    </w:p>
    <w:p w14:paraId="32147169">
      <w:pPr>
        <w:pageBreakBefore w:val="0"/>
        <w:widowControl w:val="0"/>
        <w:kinsoku/>
        <w:wordWrap/>
        <w:overflowPunct/>
        <w:topLinePunct w:val="0"/>
        <w:bidi w:val="0"/>
        <w:snapToGrid/>
        <w:spacing w:line="48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一、资质审查</w:t>
      </w:r>
    </w:p>
    <w:p w14:paraId="5FA26415">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资质审查部分按照第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供应商须知资料表中合格供应商的资格要求（1-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）进行上传并加盖电子签章。</w:t>
      </w:r>
    </w:p>
    <w:p w14:paraId="76D1313D">
      <w:pPr>
        <w:pageBreakBefore w:val="0"/>
        <w:widowControl w:val="0"/>
        <w:kinsoku/>
        <w:wordWrap/>
        <w:overflowPunct/>
        <w:topLinePunct w:val="0"/>
        <w:bidi w:val="0"/>
        <w:snapToGrid/>
        <w:spacing w:line="48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二、报价响应</w:t>
      </w:r>
    </w:p>
    <w:p w14:paraId="6EEF3323">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报价需上传开标一览表并加盖电子签章。</w:t>
      </w:r>
    </w:p>
    <w:p w14:paraId="7FDD89E0">
      <w:pPr>
        <w:pageBreakBefore w:val="0"/>
        <w:widowControl w:val="0"/>
        <w:kinsoku/>
        <w:wordWrap/>
        <w:overflowPunct/>
        <w:topLinePunct w:val="0"/>
        <w:bidi w:val="0"/>
        <w:snapToGrid/>
        <w:spacing w:line="48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三、商务技术响应</w:t>
      </w:r>
    </w:p>
    <w:p w14:paraId="211681DA">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需上传整个投标响应文件并按照第二部分投标响应文件的组成和编制顺序上传，否则投标无效。</w:t>
      </w:r>
    </w:p>
    <w:p w14:paraId="0A269C9D">
      <w:pPr>
        <w:pStyle w:val="2"/>
        <w:pageBreakBefore w:val="0"/>
        <w:widowControl w:val="0"/>
        <w:kinsoku/>
        <w:wordWrap/>
        <w:overflowPunct/>
        <w:topLinePunct w:val="0"/>
        <w:bidi w:val="0"/>
        <w:snapToGrid/>
        <w:spacing w:line="480" w:lineRule="exact"/>
        <w:jc w:val="both"/>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rPr>
        <w:t>注明：政采云系统上投标响应文件需与目录关联，若未关联或关联不完整，造成</w:t>
      </w:r>
      <w:r>
        <w:rPr>
          <w:rFonts w:hint="eastAsia" w:ascii="仿宋" w:hAnsi="仿宋" w:eastAsia="仿宋" w:cs="仿宋"/>
          <w:b/>
          <w:bCs/>
          <w:color w:val="auto"/>
          <w:kern w:val="2"/>
          <w:sz w:val="28"/>
          <w:szCs w:val="28"/>
          <w:highlight w:val="none"/>
          <w:lang w:val="en-US" w:eastAsia="zh-CN"/>
        </w:rPr>
        <w:t>评标委员会</w:t>
      </w:r>
      <w:r>
        <w:rPr>
          <w:rFonts w:hint="eastAsia" w:ascii="仿宋" w:hAnsi="仿宋" w:eastAsia="仿宋" w:cs="仿宋"/>
          <w:b/>
          <w:bCs/>
          <w:color w:val="auto"/>
          <w:kern w:val="2"/>
          <w:sz w:val="28"/>
          <w:szCs w:val="28"/>
          <w:highlight w:val="none"/>
        </w:rPr>
        <w:t>无法按照目录准确查阅相关内容，由此造成的相关不利后果由供应商自行承担。</w:t>
      </w:r>
    </w:p>
    <w:p w14:paraId="68D1B490">
      <w:pPr>
        <w:spacing w:line="440" w:lineRule="exact"/>
        <w:rPr>
          <w:rFonts w:hint="eastAsia" w:ascii="仿宋" w:hAnsi="仿宋" w:eastAsia="仿宋" w:cs="仿宋"/>
          <w:b/>
          <w:bCs/>
          <w:color w:val="auto"/>
          <w:sz w:val="28"/>
          <w:szCs w:val="28"/>
          <w:highlight w:val="none"/>
        </w:rPr>
      </w:pPr>
    </w:p>
    <w:p w14:paraId="5A841BF3">
      <w:pPr>
        <w:pStyle w:val="5"/>
        <w:keepNext w:val="0"/>
        <w:keepLines w:val="0"/>
        <w:spacing w:before="0" w:line="440" w:lineRule="exact"/>
        <w:ind w:left="540" w:leftChars="257"/>
        <w:outlineLvl w:val="9"/>
        <w:rPr>
          <w:rFonts w:hint="eastAsia" w:ascii="仿宋" w:hAnsi="仿宋" w:eastAsia="仿宋" w:cs="仿宋"/>
          <w:bCs/>
          <w:color w:val="auto"/>
          <w:kern w:val="2"/>
          <w:sz w:val="36"/>
          <w:szCs w:val="36"/>
          <w:highlight w:val="none"/>
        </w:rPr>
      </w:pPr>
    </w:p>
    <w:p w14:paraId="26637842">
      <w:pPr>
        <w:pStyle w:val="5"/>
        <w:keepNext w:val="0"/>
        <w:keepLines w:val="0"/>
        <w:spacing w:before="0" w:line="440" w:lineRule="exact"/>
        <w:ind w:left="540" w:leftChars="257"/>
        <w:outlineLvl w:val="9"/>
        <w:rPr>
          <w:rFonts w:hint="eastAsia" w:ascii="仿宋" w:hAnsi="仿宋" w:eastAsia="仿宋" w:cs="仿宋"/>
          <w:bCs/>
          <w:color w:val="auto"/>
          <w:kern w:val="2"/>
          <w:sz w:val="36"/>
          <w:szCs w:val="36"/>
          <w:highlight w:val="none"/>
        </w:rPr>
      </w:pPr>
    </w:p>
    <w:p w14:paraId="78BDF63D">
      <w:pPr>
        <w:pStyle w:val="5"/>
        <w:keepNext w:val="0"/>
        <w:keepLines w:val="0"/>
        <w:spacing w:before="0" w:line="440" w:lineRule="exact"/>
        <w:ind w:left="540" w:leftChars="257"/>
        <w:outlineLvl w:val="9"/>
        <w:rPr>
          <w:rFonts w:hint="eastAsia" w:ascii="仿宋" w:hAnsi="仿宋" w:eastAsia="仿宋" w:cs="仿宋"/>
          <w:bCs/>
          <w:color w:val="auto"/>
          <w:kern w:val="2"/>
          <w:sz w:val="36"/>
          <w:szCs w:val="36"/>
          <w:highlight w:val="none"/>
        </w:rPr>
      </w:pPr>
    </w:p>
    <w:p w14:paraId="26FDC037">
      <w:pPr>
        <w:pStyle w:val="5"/>
        <w:keepNext w:val="0"/>
        <w:keepLines w:val="0"/>
        <w:spacing w:before="0" w:line="440" w:lineRule="exact"/>
        <w:ind w:left="540" w:leftChars="257"/>
        <w:outlineLvl w:val="9"/>
        <w:rPr>
          <w:rFonts w:hint="eastAsia" w:ascii="仿宋" w:hAnsi="仿宋" w:eastAsia="仿宋" w:cs="仿宋"/>
          <w:bCs/>
          <w:color w:val="auto"/>
          <w:kern w:val="2"/>
          <w:sz w:val="36"/>
          <w:szCs w:val="36"/>
          <w:highlight w:val="none"/>
        </w:rPr>
      </w:pPr>
    </w:p>
    <w:p w14:paraId="08F96D02">
      <w:pPr>
        <w:pStyle w:val="5"/>
        <w:keepNext w:val="0"/>
        <w:keepLines w:val="0"/>
        <w:spacing w:before="0" w:line="440" w:lineRule="exact"/>
        <w:ind w:left="540" w:leftChars="257"/>
        <w:outlineLvl w:val="9"/>
        <w:rPr>
          <w:rFonts w:hint="eastAsia" w:ascii="仿宋" w:hAnsi="仿宋" w:eastAsia="仿宋" w:cs="仿宋"/>
          <w:bCs/>
          <w:color w:val="auto"/>
          <w:kern w:val="2"/>
          <w:sz w:val="36"/>
          <w:szCs w:val="36"/>
          <w:highlight w:val="none"/>
        </w:rPr>
      </w:pPr>
    </w:p>
    <w:p w14:paraId="328A359C">
      <w:pPr>
        <w:pStyle w:val="5"/>
        <w:keepNext w:val="0"/>
        <w:keepLines w:val="0"/>
        <w:spacing w:before="0" w:line="440" w:lineRule="exact"/>
        <w:ind w:left="540" w:leftChars="257"/>
        <w:outlineLvl w:val="9"/>
        <w:rPr>
          <w:rFonts w:hint="eastAsia" w:ascii="仿宋" w:hAnsi="仿宋" w:eastAsia="仿宋" w:cs="仿宋"/>
          <w:bCs/>
          <w:color w:val="auto"/>
          <w:kern w:val="2"/>
          <w:sz w:val="36"/>
          <w:szCs w:val="36"/>
          <w:highlight w:val="none"/>
        </w:rPr>
      </w:pPr>
    </w:p>
    <w:p w14:paraId="4AA6D608">
      <w:pPr>
        <w:pStyle w:val="5"/>
        <w:keepNext w:val="0"/>
        <w:keepLines w:val="0"/>
        <w:spacing w:before="0" w:line="440" w:lineRule="exact"/>
        <w:ind w:left="540" w:leftChars="257"/>
        <w:outlineLvl w:val="9"/>
        <w:rPr>
          <w:rFonts w:hint="eastAsia" w:ascii="仿宋" w:hAnsi="仿宋" w:eastAsia="仿宋" w:cs="仿宋"/>
          <w:bCs/>
          <w:color w:val="auto"/>
          <w:kern w:val="2"/>
          <w:sz w:val="36"/>
          <w:szCs w:val="36"/>
          <w:highlight w:val="none"/>
        </w:rPr>
      </w:pPr>
    </w:p>
    <w:p w14:paraId="63D3D9B5">
      <w:pPr>
        <w:pStyle w:val="5"/>
        <w:keepNext w:val="0"/>
        <w:keepLines w:val="0"/>
        <w:spacing w:before="0" w:line="440" w:lineRule="exact"/>
        <w:ind w:left="540" w:leftChars="257"/>
        <w:outlineLvl w:val="9"/>
        <w:rPr>
          <w:rFonts w:hint="eastAsia" w:ascii="仿宋" w:hAnsi="仿宋" w:eastAsia="仿宋" w:cs="仿宋"/>
          <w:bCs/>
          <w:color w:val="auto"/>
          <w:kern w:val="2"/>
          <w:sz w:val="36"/>
          <w:szCs w:val="36"/>
          <w:highlight w:val="none"/>
        </w:rPr>
      </w:pPr>
    </w:p>
    <w:p w14:paraId="36F70B8F">
      <w:pPr>
        <w:pStyle w:val="5"/>
        <w:keepNext w:val="0"/>
        <w:keepLines w:val="0"/>
        <w:spacing w:before="0" w:line="440" w:lineRule="exact"/>
        <w:ind w:left="540" w:leftChars="257"/>
        <w:outlineLvl w:val="9"/>
        <w:rPr>
          <w:rFonts w:hint="eastAsia" w:ascii="仿宋" w:hAnsi="仿宋" w:eastAsia="仿宋" w:cs="仿宋"/>
          <w:bCs/>
          <w:color w:val="auto"/>
          <w:kern w:val="2"/>
          <w:sz w:val="36"/>
          <w:szCs w:val="36"/>
          <w:highlight w:val="none"/>
        </w:rPr>
      </w:pPr>
    </w:p>
    <w:p w14:paraId="7A3AF13E">
      <w:pPr>
        <w:pStyle w:val="5"/>
        <w:keepNext w:val="0"/>
        <w:keepLines w:val="0"/>
        <w:spacing w:before="0" w:line="440" w:lineRule="exact"/>
        <w:ind w:left="540" w:leftChars="257"/>
        <w:outlineLvl w:val="9"/>
        <w:rPr>
          <w:rFonts w:hint="eastAsia" w:ascii="仿宋" w:hAnsi="仿宋" w:eastAsia="仿宋" w:cs="仿宋"/>
          <w:bCs/>
          <w:color w:val="auto"/>
          <w:kern w:val="2"/>
          <w:sz w:val="36"/>
          <w:szCs w:val="36"/>
          <w:highlight w:val="none"/>
        </w:rPr>
      </w:pPr>
    </w:p>
    <w:p w14:paraId="292C6B45">
      <w:pPr>
        <w:pStyle w:val="4"/>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rPr>
          <w:rFonts w:hint="eastAsia" w:ascii="仿宋" w:hAnsi="仿宋" w:eastAsia="仿宋" w:cs="仿宋"/>
          <w:b/>
          <w:bCs w:val="0"/>
          <w:color w:val="auto"/>
          <w:sz w:val="36"/>
          <w:szCs w:val="36"/>
          <w:highlight w:val="none"/>
          <w:lang w:val="en-US" w:eastAsia="zh-CN"/>
        </w:rPr>
      </w:pPr>
      <w:bookmarkStart w:id="424" w:name="_Toc25468"/>
      <w:bookmarkStart w:id="425" w:name="_Toc16224"/>
      <w:r>
        <w:rPr>
          <w:rFonts w:hint="eastAsia" w:ascii="仿宋" w:hAnsi="仿宋" w:eastAsia="仿宋" w:cs="仿宋"/>
          <w:b/>
          <w:bCs w:val="0"/>
          <w:color w:val="auto"/>
          <w:sz w:val="36"/>
          <w:szCs w:val="36"/>
          <w:highlight w:val="none"/>
          <w:lang w:val="en-US" w:eastAsia="zh-CN"/>
        </w:rPr>
        <w:t xml:space="preserve">第二部分 </w:t>
      </w:r>
      <w:bookmarkStart w:id="426" w:name="_Toc26675"/>
      <w:r>
        <w:rPr>
          <w:rFonts w:hint="eastAsia" w:ascii="仿宋" w:hAnsi="仿宋" w:eastAsia="仿宋" w:cs="仿宋"/>
          <w:b/>
          <w:bCs w:val="0"/>
          <w:color w:val="auto"/>
          <w:sz w:val="36"/>
          <w:szCs w:val="36"/>
          <w:highlight w:val="none"/>
          <w:lang w:val="en-US" w:eastAsia="zh-CN"/>
        </w:rPr>
        <w:t>投标响应文件的编写</w:t>
      </w:r>
      <w:bookmarkEnd w:id="424"/>
      <w:bookmarkEnd w:id="425"/>
      <w:bookmarkEnd w:id="426"/>
      <w:r>
        <w:rPr>
          <w:rFonts w:hint="eastAsia" w:ascii="仿宋" w:hAnsi="仿宋" w:eastAsia="仿宋" w:cs="仿宋"/>
          <w:b/>
          <w:bCs w:val="0"/>
          <w:color w:val="auto"/>
          <w:sz w:val="36"/>
          <w:szCs w:val="36"/>
          <w:highlight w:val="none"/>
          <w:lang w:val="en-US" w:eastAsia="zh-CN"/>
        </w:rPr>
        <w:t xml:space="preserve"> </w:t>
      </w:r>
    </w:p>
    <w:p w14:paraId="307C4D87">
      <w:pPr>
        <w:pageBreakBefore w:val="0"/>
        <w:widowControl w:val="0"/>
        <w:kinsoku/>
        <w:wordWrap/>
        <w:overflowPunct/>
        <w:topLinePunct w:val="0"/>
        <w:bidi w:val="0"/>
        <w:snapToGrid/>
        <w:spacing w:line="48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投标文件的组成和编制顺序：</w:t>
      </w:r>
    </w:p>
    <w:p w14:paraId="231BEC96">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请各供应商严格按照以下顺序编制投标文件，如未按要求编制投标文件的，投标无效。</w:t>
      </w:r>
    </w:p>
    <w:p w14:paraId="0D00AD71">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1.投标函；【见投标文件格式】</w:t>
      </w:r>
    </w:p>
    <w:p w14:paraId="5A4C70AD">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2.投标声明函；【见投标文件格式】</w:t>
      </w:r>
    </w:p>
    <w:p w14:paraId="726E9BC8">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3.法</w:t>
      </w:r>
      <w:r>
        <w:rPr>
          <w:rFonts w:hint="eastAsia" w:ascii="仿宋" w:hAnsi="仿宋" w:eastAsia="仿宋" w:cs="仿宋"/>
          <w:color w:val="auto"/>
          <w:sz w:val="28"/>
          <w:szCs w:val="28"/>
          <w:highlight w:val="none"/>
          <w:lang w:val="en-US" w:eastAsia="zh-CN"/>
        </w:rPr>
        <w:t>定</w:t>
      </w:r>
      <w:r>
        <w:rPr>
          <w:rFonts w:hint="eastAsia" w:ascii="仿宋" w:hAnsi="仿宋" w:eastAsia="仿宋" w:cs="仿宋"/>
          <w:color w:val="auto"/>
          <w:sz w:val="28"/>
          <w:szCs w:val="28"/>
          <w:highlight w:val="none"/>
        </w:rPr>
        <w:t>代表</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授权委托书（法定代表人参加提供法定代表人身份证明书）；【见投标文件格式】</w:t>
      </w:r>
    </w:p>
    <w:p w14:paraId="406030A9">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4.开标一览表；【见投标文件格式】</w:t>
      </w:r>
    </w:p>
    <w:p w14:paraId="6D5593B1">
      <w:pPr>
        <w:pageBreakBefore w:val="0"/>
        <w:widowControl w:val="0"/>
        <w:kinsoku/>
        <w:wordWrap/>
        <w:overflowPunct/>
        <w:topLinePunct w:val="0"/>
        <w:bidi w:val="0"/>
        <w:snapToGrid/>
        <w:spacing w:line="480" w:lineRule="exact"/>
        <w:ind w:firstLine="560" w:firstLineChars="200"/>
        <w:textAlignment w:val="auto"/>
        <w:rPr>
          <w:rFonts w:hint="eastAsia"/>
          <w:color w:val="auto"/>
          <w:sz w:val="28"/>
          <w:szCs w:val="28"/>
          <w:highlight w:val="none"/>
        </w:rPr>
      </w:pPr>
      <w:r>
        <w:rPr>
          <w:rFonts w:hint="eastAsia" w:ascii="仿宋" w:hAnsi="仿宋" w:eastAsia="仿宋" w:cs="仿宋"/>
          <w:color w:val="auto"/>
          <w:sz w:val="28"/>
          <w:szCs w:val="28"/>
          <w:highlight w:val="none"/>
        </w:rPr>
        <w:t>5.报价明细表；【见投标文件格式】</w:t>
      </w:r>
    </w:p>
    <w:p w14:paraId="56122C90">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.技术参数偏离表；【见投标文件格式】</w:t>
      </w:r>
    </w:p>
    <w:p w14:paraId="488E98E1">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.商务要求偏离表；【见投标文件格式】</w:t>
      </w:r>
    </w:p>
    <w:p w14:paraId="2CC71070">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.项目负责人简历表及拟投入本项目主要成员表；【见投标文件格式】</w:t>
      </w:r>
    </w:p>
    <w:p w14:paraId="31E25B3E">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.根据本项目评分标准顺序编写；（自拟）</w:t>
      </w:r>
    </w:p>
    <w:p w14:paraId="481CDE47">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.类似业绩（</w:t>
      </w:r>
      <w:r>
        <w:rPr>
          <w:rFonts w:hint="eastAsia" w:ascii="仿宋" w:hAnsi="仿宋" w:eastAsia="仿宋" w:cs="仿宋"/>
          <w:color w:val="auto"/>
          <w:sz w:val="28"/>
          <w:szCs w:val="28"/>
          <w:highlight w:val="none"/>
          <w:lang w:val="en-US" w:eastAsia="zh-CN"/>
        </w:rPr>
        <w:t>附合同或中标（或成交）通知书复印件加盖企业公章</w:t>
      </w:r>
      <w:r>
        <w:rPr>
          <w:rFonts w:hint="eastAsia" w:ascii="仿宋" w:hAnsi="仿宋" w:eastAsia="仿宋" w:cs="仿宋"/>
          <w:color w:val="auto"/>
          <w:sz w:val="28"/>
          <w:szCs w:val="28"/>
          <w:highlight w:val="none"/>
        </w:rPr>
        <w:t>）；【见投标文件格式】</w:t>
      </w:r>
    </w:p>
    <w:p w14:paraId="58F960EA">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bookmarkStart w:id="427" w:name="_Toc20165"/>
      <w:bookmarkStart w:id="428" w:name="_Toc9111"/>
      <w:r>
        <w:rPr>
          <w:rFonts w:hint="eastAsia" w:ascii="仿宋" w:hAnsi="仿宋" w:eastAsia="仿宋" w:cs="仿宋"/>
          <w:color w:val="auto"/>
          <w:sz w:val="28"/>
          <w:szCs w:val="28"/>
          <w:highlight w:val="none"/>
          <w:lang w:val="en-US" w:eastAsia="zh-CN"/>
        </w:rPr>
        <w:t>11.无串通投标行为的承诺书；</w:t>
      </w:r>
      <w:r>
        <w:rPr>
          <w:rFonts w:hint="eastAsia" w:ascii="仿宋" w:hAnsi="仿宋" w:eastAsia="仿宋" w:cs="仿宋"/>
          <w:color w:val="auto"/>
          <w:sz w:val="28"/>
          <w:szCs w:val="28"/>
          <w:highlight w:val="none"/>
        </w:rPr>
        <w:t>【见投标文件格式】</w:t>
      </w:r>
    </w:p>
    <w:p w14:paraId="24121D80">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中小企业声明函（若有请如实填写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如不是无需附此函</w:t>
      </w:r>
      <w:r>
        <w:rPr>
          <w:rFonts w:hint="eastAsia" w:ascii="仿宋" w:hAnsi="仿宋" w:eastAsia="仿宋" w:cs="仿宋"/>
          <w:color w:val="auto"/>
          <w:sz w:val="28"/>
          <w:szCs w:val="28"/>
          <w:highlight w:val="none"/>
        </w:rPr>
        <w:t>）；【见投标文件格式】</w:t>
      </w:r>
    </w:p>
    <w:p w14:paraId="1CBDAE1A">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.残疾人福利性单位声明函（若有如实填写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如不是无需附此函</w:t>
      </w:r>
      <w:r>
        <w:rPr>
          <w:rFonts w:hint="eastAsia" w:ascii="仿宋" w:hAnsi="仿宋" w:eastAsia="仿宋" w:cs="仿宋"/>
          <w:color w:val="auto"/>
          <w:sz w:val="28"/>
          <w:szCs w:val="28"/>
          <w:highlight w:val="none"/>
        </w:rPr>
        <w:t>）；【见投标文件格式】</w:t>
      </w:r>
    </w:p>
    <w:p w14:paraId="3514013C">
      <w:pPr>
        <w:pageBreakBefore w:val="0"/>
        <w:widowControl w:val="0"/>
        <w:kinsoku/>
        <w:wordWrap/>
        <w:overflowPunct/>
        <w:topLinePunct w:val="0"/>
        <w:bidi w:val="0"/>
        <w:snapToGrid/>
        <w:spacing w:line="48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14.监狱企业证明</w:t>
      </w:r>
      <w:r>
        <w:rPr>
          <w:rFonts w:hint="eastAsia" w:ascii="仿宋" w:hAnsi="仿宋" w:eastAsia="仿宋" w:cs="仿宋"/>
          <w:color w:val="auto"/>
          <w:sz w:val="28"/>
          <w:szCs w:val="28"/>
          <w:highlight w:val="none"/>
        </w:rPr>
        <w:t>（若有如实填写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如不是无需附此证明</w:t>
      </w:r>
      <w:r>
        <w:rPr>
          <w:rFonts w:hint="eastAsia" w:ascii="仿宋" w:hAnsi="仿宋" w:eastAsia="仿宋" w:cs="仿宋"/>
          <w:color w:val="auto"/>
          <w:sz w:val="28"/>
          <w:szCs w:val="28"/>
          <w:highlight w:val="none"/>
        </w:rPr>
        <w:t>）；【见投标文件格式】</w:t>
      </w:r>
    </w:p>
    <w:p w14:paraId="00569654">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15.招标文件要求投标供应商提交的其它投标资料或者投标供应商认为有必要提供的资料；</w:t>
      </w:r>
    </w:p>
    <w:p w14:paraId="783F7996">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bookmarkStart w:id="429" w:name="_Toc3314"/>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.投标资质(2)-(</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)项资料复印件加盖公章。</w:t>
      </w:r>
    </w:p>
    <w:bookmarkEnd w:id="427"/>
    <w:bookmarkEnd w:id="429"/>
    <w:p w14:paraId="37126668">
      <w:pPr>
        <w:keepNext/>
        <w:keepLines/>
        <w:spacing w:line="380" w:lineRule="exact"/>
        <w:jc w:val="center"/>
        <w:rPr>
          <w:rFonts w:hint="eastAsia" w:ascii="仿宋" w:hAnsi="仿宋" w:eastAsia="仿宋" w:cs="仿宋"/>
          <w:b/>
          <w:bCs/>
          <w:color w:val="auto"/>
          <w:sz w:val="28"/>
          <w:szCs w:val="28"/>
          <w:highlight w:val="none"/>
        </w:rPr>
      </w:pPr>
      <w:bookmarkStart w:id="430" w:name="_Toc28441"/>
    </w:p>
    <w:p w14:paraId="7691E642">
      <w:pPr>
        <w:keepNext/>
        <w:keepLines/>
        <w:spacing w:line="380" w:lineRule="exact"/>
        <w:jc w:val="center"/>
        <w:rPr>
          <w:rFonts w:hint="eastAsia" w:ascii="仿宋" w:hAnsi="仿宋" w:eastAsia="仿宋" w:cs="仿宋"/>
          <w:b/>
          <w:bCs/>
          <w:color w:val="auto"/>
          <w:sz w:val="28"/>
          <w:szCs w:val="28"/>
          <w:highlight w:val="none"/>
        </w:rPr>
      </w:pPr>
    </w:p>
    <w:p w14:paraId="5A45F28E">
      <w:pPr>
        <w:rPr>
          <w:rFonts w:hint="eastAsia"/>
          <w:color w:val="auto"/>
          <w:sz w:val="28"/>
          <w:szCs w:val="28"/>
          <w:highlight w:val="none"/>
        </w:rPr>
      </w:pPr>
    </w:p>
    <w:p w14:paraId="31C5E3E6">
      <w:pPr>
        <w:keepNext w:val="0"/>
        <w:keepLines w:val="0"/>
        <w:pageBreakBefore w:val="0"/>
        <w:kinsoku/>
        <w:wordWrap/>
        <w:overflowPunct/>
        <w:topLinePunct w:val="0"/>
        <w:autoSpaceDE/>
        <w:autoSpaceDN/>
        <w:bidi w:val="0"/>
        <w:adjustRightInd/>
        <w:snapToGrid/>
        <w:spacing w:line="480" w:lineRule="exact"/>
        <w:ind w:firstLine="3654" w:firstLineChars="13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1.投 标 函</w:t>
      </w:r>
      <w:bookmarkEnd w:id="428"/>
      <w:bookmarkEnd w:id="430"/>
    </w:p>
    <w:p w14:paraId="7A7EF41A">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 w:hAnsi="仿宋" w:eastAsia="仿宋" w:cs="仿宋"/>
          <w:color w:val="auto"/>
          <w:kern w:val="2"/>
          <w:sz w:val="28"/>
          <w:szCs w:val="28"/>
          <w:highlight w:val="none"/>
          <w:u w:val="single"/>
        </w:rPr>
      </w:pPr>
      <w:r>
        <w:rPr>
          <w:rFonts w:hint="eastAsia" w:ascii="仿宋" w:hAnsi="仿宋" w:eastAsia="仿宋" w:cs="仿宋"/>
          <w:color w:val="auto"/>
          <w:kern w:val="2"/>
          <w:sz w:val="28"/>
          <w:szCs w:val="28"/>
          <w:highlight w:val="none"/>
          <w:u w:val="single"/>
          <w:lang w:eastAsia="zh-CN"/>
        </w:rPr>
        <w:t>察布查尔锡伯自治县公安局</w:t>
      </w:r>
      <w:r>
        <w:rPr>
          <w:rFonts w:hint="eastAsia" w:ascii="仿宋" w:hAnsi="仿宋" w:eastAsia="仿宋" w:cs="仿宋"/>
          <w:color w:val="auto"/>
          <w:kern w:val="2"/>
          <w:sz w:val="28"/>
          <w:szCs w:val="28"/>
          <w:highlight w:val="none"/>
          <w:u w:val="single"/>
        </w:rPr>
        <w:t>:</w:t>
      </w:r>
    </w:p>
    <w:p w14:paraId="2C8198FD">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根据贵方组织招标的</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rPr>
        <w:t>项目招标文号</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项目编号、标段号</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rPr>
        <w:t>（姓名、职务）</w:t>
      </w:r>
      <w:r>
        <w:rPr>
          <w:rFonts w:hint="eastAsia" w:ascii="仿宋" w:hAnsi="仿宋" w:eastAsia="仿宋" w:cs="仿宋"/>
          <w:color w:val="auto"/>
          <w:sz w:val="28"/>
          <w:szCs w:val="28"/>
          <w:highlight w:val="none"/>
        </w:rPr>
        <w:t>经正式授权并代表供应商（</w:t>
      </w:r>
      <w:r>
        <w:rPr>
          <w:rFonts w:hint="eastAsia" w:ascii="仿宋" w:hAnsi="仿宋" w:eastAsia="仿宋" w:cs="仿宋"/>
          <w:color w:val="auto"/>
          <w:sz w:val="28"/>
          <w:szCs w:val="28"/>
          <w:highlight w:val="none"/>
          <w:u w:val="single"/>
        </w:rPr>
        <w:t>供应商名称、地址</w:t>
      </w:r>
      <w:r>
        <w:rPr>
          <w:rFonts w:hint="eastAsia" w:ascii="仿宋" w:hAnsi="仿宋" w:eastAsia="仿宋" w:cs="仿宋"/>
          <w:color w:val="auto"/>
          <w:sz w:val="28"/>
          <w:szCs w:val="28"/>
          <w:highlight w:val="none"/>
        </w:rPr>
        <w:t>）处理本项目投标相关事宜</w:t>
      </w:r>
      <w:r>
        <w:rPr>
          <w:rFonts w:hint="eastAsia" w:ascii="仿宋" w:hAnsi="仿宋" w:eastAsia="仿宋" w:cs="仿宋"/>
          <w:b/>
          <w:bCs/>
          <w:color w:val="auto"/>
          <w:sz w:val="28"/>
          <w:szCs w:val="28"/>
          <w:highlight w:val="none"/>
        </w:rPr>
        <w:t>。</w:t>
      </w:r>
    </w:p>
    <w:p w14:paraId="361E432A">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1、投标声明函 </w:t>
      </w:r>
    </w:p>
    <w:p w14:paraId="44B7A62E">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color w:val="auto"/>
          <w:sz w:val="28"/>
          <w:szCs w:val="28"/>
          <w:highlight w:val="none"/>
        </w:rPr>
      </w:pPr>
      <w:r>
        <w:rPr>
          <w:rFonts w:hint="eastAsia" w:ascii="仿宋" w:hAnsi="仿宋" w:eastAsia="仿宋" w:cs="仿宋"/>
          <w:color w:val="auto"/>
          <w:sz w:val="28"/>
          <w:szCs w:val="28"/>
          <w:highlight w:val="none"/>
        </w:rPr>
        <w:t>2、法定代表人授权委托书/法定代表人身份证明书</w:t>
      </w:r>
    </w:p>
    <w:p w14:paraId="3D1521E3">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3、开标一览表</w:t>
      </w:r>
    </w:p>
    <w:p w14:paraId="41FAF947">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4、按招标文件供应商须知、技术规格要求及其他要求提供有关文件</w:t>
      </w:r>
    </w:p>
    <w:p w14:paraId="7FA3826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5、资格证明文件</w:t>
      </w:r>
    </w:p>
    <w:p w14:paraId="41441838">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6、投标保证金，形式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，金额为</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w:t>
      </w:r>
    </w:p>
    <w:p w14:paraId="2E0EE023">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据此函，我方宣布并同意如下：</w:t>
      </w:r>
    </w:p>
    <w:p w14:paraId="7F2436D5">
      <w:pPr>
        <w:pStyle w:val="16"/>
        <w:numPr>
          <w:ilvl w:val="0"/>
          <w:numId w:val="6"/>
        </w:numPr>
        <w:tabs>
          <w:tab w:val="left" w:pos="720"/>
          <w:tab w:val="left" w:pos="900"/>
        </w:tabs>
        <w:spacing w:line="440" w:lineRule="exact"/>
        <w:ind w:left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w:t>
      </w:r>
      <w:r>
        <w:rPr>
          <w:rFonts w:hint="eastAsia" w:ascii="仿宋" w:hAnsi="仿宋" w:eastAsia="仿宋" w:cs="仿宋"/>
          <w:color w:val="auto"/>
          <w:sz w:val="28"/>
          <w:szCs w:val="28"/>
          <w:highlight w:val="none"/>
        </w:rPr>
        <w:t>附投标价格表中规定的应提供货物的投标</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一览表。</w:t>
      </w:r>
    </w:p>
    <w:p w14:paraId="45B34DD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2、供应商将按招标文件的规定履行合同责任和义务</w:t>
      </w:r>
      <w:r>
        <w:rPr>
          <w:rFonts w:hint="eastAsia" w:ascii="仿宋" w:hAnsi="仿宋" w:eastAsia="仿宋" w:cs="仿宋"/>
          <w:color w:val="auto"/>
          <w:sz w:val="28"/>
          <w:szCs w:val="28"/>
          <w:highlight w:val="none"/>
          <w:lang w:eastAsia="zh-CN"/>
        </w:rPr>
        <w:t>。</w:t>
      </w:r>
    </w:p>
    <w:p w14:paraId="24C618C7">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3、供应商已详细阅读并理解了招标文件的全部，包括修改文件（如有的话）。我们完全理解并同意放弃对这方面有不明及误解的权利。</w:t>
      </w:r>
    </w:p>
    <w:p w14:paraId="4E99BAE7">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4、本投标有效期自开标之日起</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个日历日。</w:t>
      </w:r>
    </w:p>
    <w:p w14:paraId="4D17F3FB">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5、在规定的开标时间后，如果在投标有效期内撤回投标，同意按相关法律法规处理。</w:t>
      </w:r>
    </w:p>
    <w:p w14:paraId="7E870341">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6、供应商同意提供按照贵方可能要求的与其投标有关的一切数据或资料，完全理解贵方不一定接受最低价的投标或收到的任何投标的约定。</w:t>
      </w:r>
    </w:p>
    <w:p w14:paraId="48EC1C7A">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7、与本投标有关的一切正式往来信函请寄：</w:t>
      </w:r>
    </w:p>
    <w:p w14:paraId="106AD309">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　　　　　　　　    　　邮编：</w:t>
      </w:r>
    </w:p>
    <w:p w14:paraId="12091DB0">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　　　　　　　　　　    传真：</w:t>
      </w:r>
    </w:p>
    <w:p w14:paraId="709DF8AE">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供应商代表签字</w:t>
      </w:r>
      <w:r>
        <w:rPr>
          <w:rFonts w:hint="eastAsia" w:ascii="仿宋" w:hAnsi="仿宋" w:eastAsia="仿宋" w:cs="仿宋"/>
          <w:bCs/>
          <w:color w:val="auto"/>
          <w:sz w:val="28"/>
          <w:szCs w:val="28"/>
          <w:highlight w:val="none"/>
        </w:rPr>
        <w:t>或签章</w:t>
      </w:r>
      <w:r>
        <w:rPr>
          <w:rFonts w:hint="eastAsia" w:ascii="仿宋" w:hAnsi="仿宋" w:eastAsia="仿宋" w:cs="仿宋"/>
          <w:color w:val="auto"/>
          <w:sz w:val="28"/>
          <w:szCs w:val="28"/>
          <w:highlight w:val="none"/>
        </w:rPr>
        <w:t>：　　　　　　　　　　　　　</w:t>
      </w:r>
    </w:p>
    <w:p w14:paraId="4F8F0D66">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 标 人 名 称：　      　　　　　　　　　</w:t>
      </w:r>
    </w:p>
    <w:p w14:paraId="493E863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          章：　　　　　　　　　20 　年　   月   　日</w:t>
      </w:r>
    </w:p>
    <w:p w14:paraId="2E512134">
      <w:pPr>
        <w:keepNext w:val="0"/>
        <w:keepLines w:val="0"/>
        <w:pageBreakBefore w:val="0"/>
        <w:kinsoku/>
        <w:wordWrap/>
        <w:overflowPunct/>
        <w:topLinePunct w:val="0"/>
        <w:autoSpaceDE/>
        <w:autoSpaceDN/>
        <w:bidi w:val="0"/>
        <w:adjustRightInd/>
        <w:snapToGrid/>
        <w:spacing w:line="480" w:lineRule="exact"/>
        <w:ind w:firstLine="3654" w:firstLineChars="1300"/>
        <w:textAlignment w:val="auto"/>
        <w:rPr>
          <w:rFonts w:hint="eastAsia" w:ascii="仿宋" w:hAnsi="仿宋" w:eastAsia="仿宋"/>
          <w:b/>
          <w:color w:val="auto"/>
          <w:sz w:val="28"/>
          <w:szCs w:val="28"/>
          <w:highlight w:val="none"/>
        </w:rPr>
      </w:pPr>
    </w:p>
    <w:p w14:paraId="65B887C6">
      <w:pPr>
        <w:pStyle w:val="2"/>
        <w:rPr>
          <w:rFonts w:hint="eastAsia"/>
          <w:color w:val="auto"/>
          <w:highlight w:val="none"/>
        </w:rPr>
      </w:pPr>
    </w:p>
    <w:p w14:paraId="44FAC06C">
      <w:pPr>
        <w:keepNext w:val="0"/>
        <w:keepLines w:val="0"/>
        <w:pageBreakBefore w:val="0"/>
        <w:kinsoku/>
        <w:wordWrap/>
        <w:overflowPunct/>
        <w:topLinePunct w:val="0"/>
        <w:autoSpaceDE/>
        <w:autoSpaceDN/>
        <w:bidi w:val="0"/>
        <w:adjustRightInd/>
        <w:snapToGrid/>
        <w:spacing w:line="480" w:lineRule="exact"/>
        <w:ind w:firstLine="3654" w:firstLineChars="1300"/>
        <w:textAlignment w:val="auto"/>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2.投标声明函</w:t>
      </w:r>
    </w:p>
    <w:p w14:paraId="546DD18A">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 w:hAnsi="仿宋" w:eastAsia="仿宋" w:cs="仿宋"/>
          <w:color w:val="auto"/>
          <w:kern w:val="2"/>
          <w:sz w:val="28"/>
          <w:szCs w:val="28"/>
          <w:highlight w:val="none"/>
          <w:u w:val="single"/>
        </w:rPr>
      </w:pPr>
      <w:r>
        <w:rPr>
          <w:rFonts w:hint="eastAsia" w:ascii="仿宋" w:hAnsi="仿宋" w:eastAsia="仿宋" w:cs="仿宋"/>
          <w:color w:val="auto"/>
          <w:kern w:val="2"/>
          <w:sz w:val="28"/>
          <w:szCs w:val="28"/>
          <w:highlight w:val="none"/>
          <w:u w:val="single"/>
          <w:lang w:eastAsia="zh-CN"/>
        </w:rPr>
        <w:t>察布查尔锡伯自治县公安局</w:t>
      </w:r>
      <w:r>
        <w:rPr>
          <w:rFonts w:hint="eastAsia" w:ascii="仿宋" w:hAnsi="仿宋" w:eastAsia="仿宋" w:cs="仿宋"/>
          <w:color w:val="auto"/>
          <w:kern w:val="2"/>
          <w:sz w:val="28"/>
          <w:szCs w:val="28"/>
          <w:highlight w:val="none"/>
          <w:u w:val="single"/>
        </w:rPr>
        <w:t>:</w:t>
      </w:r>
    </w:p>
    <w:p w14:paraId="2722BAE5">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关于贵方20</w:t>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rPr>
        <w:t>日第</w:t>
      </w:r>
      <w:r>
        <w:rPr>
          <w:rFonts w:hint="eastAsia" w:ascii="仿宋" w:hAnsi="仿宋" w:eastAsia="仿宋"/>
          <w:color w:val="auto"/>
          <w:sz w:val="28"/>
          <w:szCs w:val="28"/>
          <w:highlight w:val="none"/>
          <w:u w:val="single"/>
        </w:rPr>
        <w:t>（项目编号</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lang w:val="en-US" w:eastAsia="zh-CN"/>
        </w:rPr>
        <w:t>标段号</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关于</w:t>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rPr>
        <w:t>的招标项目，我方愿意参加投标，并有能力提供</w:t>
      </w:r>
      <w:r>
        <w:rPr>
          <w:rFonts w:hint="eastAsia" w:ascii="仿宋" w:hAnsi="仿宋" w:eastAsia="仿宋"/>
          <w:color w:val="auto"/>
          <w:sz w:val="28"/>
          <w:szCs w:val="28"/>
          <w:highlight w:val="none"/>
          <w:u w:val="single"/>
        </w:rPr>
        <w:t xml:space="preserve">  （项目名称） </w:t>
      </w:r>
      <w:r>
        <w:rPr>
          <w:rFonts w:hint="eastAsia" w:ascii="仿宋" w:hAnsi="仿宋" w:eastAsia="仿宋"/>
          <w:color w:val="auto"/>
          <w:sz w:val="28"/>
          <w:szCs w:val="28"/>
          <w:highlight w:val="none"/>
        </w:rPr>
        <w:t>项目中的供货和售后服务，并保证所提交的所有文件和说明是真实和准确的。</w:t>
      </w:r>
    </w:p>
    <w:p w14:paraId="11415586">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供应商：</w:t>
      </w:r>
      <w:r>
        <w:rPr>
          <w:rFonts w:hint="eastAsia" w:ascii="仿宋" w:hAnsi="仿宋" w:eastAsia="仿宋"/>
          <w:color w:val="auto"/>
          <w:sz w:val="28"/>
          <w:szCs w:val="28"/>
          <w:highlight w:val="none"/>
          <w:u w:val="single"/>
        </w:rPr>
        <w:t>　供应商名称　</w:t>
      </w:r>
      <w:r>
        <w:rPr>
          <w:rFonts w:hint="eastAsia" w:ascii="仿宋" w:hAnsi="仿宋" w:eastAsia="仿宋"/>
          <w:color w:val="auto"/>
          <w:sz w:val="28"/>
          <w:szCs w:val="28"/>
          <w:highlight w:val="none"/>
        </w:rPr>
        <w:t>　　　　　　签字人职务：</w:t>
      </w:r>
    </w:p>
    <w:p w14:paraId="010722D5">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地址：　　　　　　　　　　　　 　 授权签署本资格文件人：</w:t>
      </w:r>
      <w:r>
        <w:rPr>
          <w:rFonts w:hint="eastAsia" w:ascii="仿宋" w:hAnsi="仿宋" w:eastAsia="仿宋"/>
          <w:color w:val="auto"/>
          <w:sz w:val="28"/>
          <w:szCs w:val="28"/>
          <w:highlight w:val="none"/>
          <w:u w:val="single"/>
        </w:rPr>
        <w:t>授权人姓名</w:t>
      </w:r>
    </w:p>
    <w:p w14:paraId="5008CAE8">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传真：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邮编：　　　　　　　　　　　　</w:t>
      </w:r>
    </w:p>
    <w:p w14:paraId="5F92F6EE">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盖章：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电话：　　　　　　　　</w:t>
      </w:r>
    </w:p>
    <w:p w14:paraId="76CCDB02">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hint="eastAsia" w:ascii="仿宋" w:hAnsi="仿宋" w:eastAsia="仿宋"/>
          <w:color w:val="auto"/>
          <w:sz w:val="28"/>
          <w:szCs w:val="28"/>
          <w:highlight w:val="none"/>
        </w:rPr>
      </w:pPr>
    </w:p>
    <w:p w14:paraId="5ED96C6A">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hint="eastAsia" w:ascii="仿宋" w:hAnsi="仿宋" w:eastAsia="仿宋"/>
          <w:color w:val="auto"/>
          <w:sz w:val="28"/>
          <w:szCs w:val="28"/>
          <w:highlight w:val="none"/>
        </w:rPr>
      </w:pPr>
    </w:p>
    <w:p w14:paraId="48B5ECC4">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hint="eastAsia" w:ascii="仿宋" w:hAnsi="仿宋" w:eastAsia="仿宋"/>
          <w:color w:val="auto"/>
          <w:sz w:val="28"/>
          <w:szCs w:val="28"/>
          <w:highlight w:val="none"/>
        </w:rPr>
      </w:pPr>
    </w:p>
    <w:p w14:paraId="6CE05359">
      <w:pPr>
        <w:keepNext w:val="0"/>
        <w:keepLines w:val="0"/>
        <w:pageBreakBefore w:val="0"/>
        <w:kinsoku/>
        <w:wordWrap/>
        <w:overflowPunct/>
        <w:topLinePunct w:val="0"/>
        <w:autoSpaceDE/>
        <w:autoSpaceDN/>
        <w:bidi w:val="0"/>
        <w:adjustRightInd/>
        <w:snapToGrid/>
        <w:spacing w:line="480" w:lineRule="exact"/>
        <w:ind w:left="420" w:leftChars="200" w:firstLine="5880" w:firstLineChars="2100"/>
        <w:textAlignment w:val="auto"/>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20</w:t>
      </w:r>
      <w:r>
        <w:rPr>
          <w:rFonts w:hint="eastAsia" w:ascii="仿宋" w:hAnsi="仿宋" w:eastAsia="仿宋"/>
          <w:bCs/>
          <w:color w:val="auto"/>
          <w:sz w:val="28"/>
          <w:szCs w:val="28"/>
          <w:highlight w:val="none"/>
          <w:u w:val="single"/>
        </w:rPr>
        <w:t>　</w:t>
      </w:r>
      <w:r>
        <w:rPr>
          <w:rFonts w:hint="eastAsia" w:ascii="仿宋" w:hAnsi="仿宋" w:eastAsia="仿宋"/>
          <w:bCs/>
          <w:color w:val="auto"/>
          <w:sz w:val="28"/>
          <w:szCs w:val="28"/>
          <w:highlight w:val="none"/>
        </w:rPr>
        <w:t>年</w:t>
      </w:r>
      <w:r>
        <w:rPr>
          <w:rFonts w:hint="eastAsia" w:ascii="仿宋" w:hAnsi="仿宋" w:eastAsia="仿宋"/>
          <w:bCs/>
          <w:color w:val="auto"/>
          <w:sz w:val="28"/>
          <w:szCs w:val="28"/>
          <w:highlight w:val="none"/>
          <w:u w:val="single"/>
        </w:rPr>
        <w:t>　</w:t>
      </w:r>
      <w:r>
        <w:rPr>
          <w:rFonts w:hint="eastAsia" w:ascii="仿宋" w:hAnsi="仿宋" w:eastAsia="仿宋"/>
          <w:bCs/>
          <w:color w:val="auto"/>
          <w:sz w:val="28"/>
          <w:szCs w:val="28"/>
          <w:highlight w:val="none"/>
        </w:rPr>
        <w:t>月</w:t>
      </w:r>
      <w:r>
        <w:rPr>
          <w:rFonts w:hint="eastAsia" w:ascii="仿宋" w:hAnsi="仿宋" w:eastAsia="仿宋"/>
          <w:bCs/>
          <w:color w:val="auto"/>
          <w:sz w:val="28"/>
          <w:szCs w:val="28"/>
          <w:highlight w:val="none"/>
          <w:u w:val="single"/>
        </w:rPr>
        <w:t>　</w:t>
      </w:r>
      <w:r>
        <w:rPr>
          <w:rFonts w:hint="eastAsia" w:ascii="仿宋" w:hAnsi="仿宋" w:eastAsia="仿宋"/>
          <w:bCs/>
          <w:color w:val="auto"/>
          <w:sz w:val="28"/>
          <w:szCs w:val="28"/>
          <w:highlight w:val="none"/>
        </w:rPr>
        <w:t>日</w:t>
      </w:r>
      <w:bookmarkStart w:id="431" w:name="_Toc913"/>
      <w:bookmarkStart w:id="432" w:name="_Toc22678_WPSOffice_Level2"/>
      <w:bookmarkStart w:id="433" w:name="_Toc17429"/>
      <w:bookmarkStart w:id="434" w:name="_Toc10792"/>
      <w:bookmarkStart w:id="435" w:name="_Toc1255"/>
      <w:bookmarkStart w:id="436" w:name="_Toc28959"/>
      <w:bookmarkStart w:id="437" w:name="_Toc3640"/>
      <w:bookmarkStart w:id="438" w:name="_Toc13542"/>
      <w:bookmarkStart w:id="439" w:name="_Toc16155"/>
      <w:bookmarkStart w:id="440" w:name="_Toc17568"/>
      <w:bookmarkStart w:id="441" w:name="_Toc6509"/>
      <w:bookmarkStart w:id="442" w:name="_Toc28992"/>
      <w:bookmarkStart w:id="443" w:name="_Toc10815"/>
      <w:bookmarkStart w:id="444" w:name="_Toc8441"/>
      <w:bookmarkStart w:id="445" w:name="_Toc10673"/>
    </w:p>
    <w:p w14:paraId="3FB3B5F0">
      <w:pPr>
        <w:pStyle w:val="65"/>
        <w:spacing w:line="440" w:lineRule="exact"/>
        <w:ind w:left="7108" w:firstLine="0" w:firstLineChars="0"/>
        <w:rPr>
          <w:rFonts w:hint="eastAsia"/>
          <w:color w:val="auto"/>
          <w:sz w:val="28"/>
          <w:szCs w:val="28"/>
          <w:highlight w:val="none"/>
        </w:rPr>
      </w:pPr>
    </w:p>
    <w:p w14:paraId="583B0496">
      <w:pPr>
        <w:pStyle w:val="5"/>
        <w:spacing w:before="0" w:line="360" w:lineRule="auto"/>
        <w:outlineLvl w:val="9"/>
        <w:rPr>
          <w:rFonts w:hint="eastAsia" w:ascii="仿宋" w:hAnsi="仿宋" w:eastAsia="仿宋" w:cs="仿宋"/>
          <w:bCs/>
          <w:color w:val="auto"/>
          <w:sz w:val="32"/>
          <w:szCs w:val="32"/>
          <w:highlight w:val="none"/>
        </w:rPr>
      </w:pPr>
    </w:p>
    <w:p w14:paraId="0256A4FD">
      <w:pPr>
        <w:pStyle w:val="5"/>
        <w:spacing w:before="0" w:line="360" w:lineRule="auto"/>
        <w:outlineLvl w:val="9"/>
        <w:rPr>
          <w:rFonts w:hint="eastAsia" w:ascii="仿宋" w:hAnsi="仿宋" w:eastAsia="仿宋" w:cs="仿宋"/>
          <w:bCs/>
          <w:color w:val="auto"/>
          <w:sz w:val="32"/>
          <w:szCs w:val="32"/>
          <w:highlight w:val="none"/>
        </w:rPr>
      </w:pPr>
    </w:p>
    <w:p w14:paraId="3EC04FA2">
      <w:pPr>
        <w:pStyle w:val="5"/>
        <w:spacing w:before="0" w:line="360" w:lineRule="auto"/>
        <w:jc w:val="both"/>
        <w:outlineLvl w:val="9"/>
        <w:rPr>
          <w:rFonts w:hint="eastAsia" w:ascii="仿宋" w:hAnsi="仿宋" w:eastAsia="仿宋" w:cs="仿宋"/>
          <w:bCs/>
          <w:color w:val="auto"/>
          <w:sz w:val="32"/>
          <w:szCs w:val="32"/>
          <w:highlight w:val="none"/>
        </w:rPr>
      </w:pPr>
      <w:bookmarkStart w:id="446" w:name="_Toc16547"/>
      <w:bookmarkStart w:id="447" w:name="_Toc20777"/>
      <w:bookmarkStart w:id="448" w:name="_Toc28642"/>
    </w:p>
    <w:p w14:paraId="2A32E072">
      <w:pPr>
        <w:rPr>
          <w:rFonts w:hint="eastAsia" w:ascii="仿宋" w:hAnsi="仿宋" w:eastAsia="仿宋" w:cs="仿宋"/>
          <w:b/>
          <w:bCs/>
          <w:color w:val="auto"/>
          <w:sz w:val="32"/>
          <w:szCs w:val="32"/>
          <w:highlight w:val="none"/>
        </w:rPr>
      </w:pPr>
    </w:p>
    <w:p w14:paraId="3C407726">
      <w:pPr>
        <w:pStyle w:val="25"/>
        <w:ind w:firstLine="321"/>
        <w:rPr>
          <w:rFonts w:hint="eastAsia" w:ascii="仿宋" w:hAnsi="仿宋" w:eastAsia="仿宋" w:cs="仿宋"/>
          <w:b/>
          <w:bCs/>
          <w:color w:val="auto"/>
          <w:sz w:val="32"/>
          <w:szCs w:val="32"/>
          <w:highlight w:val="none"/>
        </w:rPr>
      </w:pPr>
    </w:p>
    <w:p w14:paraId="3B860719">
      <w:pPr>
        <w:rPr>
          <w:rFonts w:hint="eastAsia" w:ascii="仿宋" w:hAnsi="仿宋" w:eastAsia="仿宋" w:cs="仿宋"/>
          <w:b/>
          <w:bCs/>
          <w:color w:val="auto"/>
          <w:sz w:val="32"/>
          <w:szCs w:val="32"/>
          <w:highlight w:val="none"/>
        </w:rPr>
      </w:pPr>
    </w:p>
    <w:p w14:paraId="6B11A02E">
      <w:pPr>
        <w:rPr>
          <w:rFonts w:hint="eastAsia" w:ascii="仿宋" w:hAnsi="仿宋" w:eastAsia="仿宋" w:cs="仿宋"/>
          <w:b/>
          <w:bCs/>
          <w:color w:val="auto"/>
          <w:sz w:val="32"/>
          <w:szCs w:val="32"/>
          <w:highlight w:val="none"/>
        </w:rPr>
      </w:pPr>
    </w:p>
    <w:p w14:paraId="6FB4B395">
      <w:pPr>
        <w:rPr>
          <w:rFonts w:hint="eastAsia" w:ascii="仿宋" w:hAnsi="仿宋" w:eastAsia="仿宋" w:cs="仿宋"/>
          <w:b/>
          <w:bCs/>
          <w:color w:val="auto"/>
          <w:sz w:val="32"/>
          <w:szCs w:val="32"/>
          <w:highlight w:val="none"/>
        </w:rPr>
      </w:pPr>
    </w:p>
    <w:p w14:paraId="6BE5B522">
      <w:pPr>
        <w:rPr>
          <w:rFonts w:hint="eastAsia" w:ascii="仿宋" w:hAnsi="仿宋" w:eastAsia="仿宋" w:cs="仿宋"/>
          <w:b/>
          <w:bCs/>
          <w:color w:val="auto"/>
          <w:sz w:val="32"/>
          <w:szCs w:val="32"/>
          <w:highlight w:val="none"/>
        </w:rPr>
      </w:pPr>
    </w:p>
    <w:p w14:paraId="7AE86377">
      <w:pPr>
        <w:pStyle w:val="2"/>
        <w:rPr>
          <w:rFonts w:hint="eastAsia"/>
          <w:highlight w:val="none"/>
        </w:rPr>
      </w:pPr>
    </w:p>
    <w:p w14:paraId="4A70522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Times New Roman"/>
          <w:b/>
          <w:color w:val="auto"/>
          <w:sz w:val="28"/>
          <w:szCs w:val="28"/>
          <w:highlight w:val="none"/>
        </w:rPr>
      </w:pPr>
      <w:bookmarkStart w:id="449" w:name="_Toc2920"/>
      <w:bookmarkStart w:id="450" w:name="_Toc11726"/>
      <w:bookmarkStart w:id="451" w:name="_Toc25538"/>
      <w:r>
        <w:rPr>
          <w:rFonts w:hint="eastAsia" w:ascii="仿宋" w:hAnsi="仿宋" w:eastAsia="仿宋" w:cs="Times New Roman"/>
          <w:b/>
          <w:color w:val="auto"/>
          <w:sz w:val="28"/>
          <w:szCs w:val="28"/>
          <w:highlight w:val="none"/>
        </w:rPr>
        <w:t>3.1法定代表人身份证明书</w:t>
      </w:r>
      <w:bookmarkEnd w:id="446"/>
      <w:bookmarkEnd w:id="447"/>
      <w:bookmarkEnd w:id="448"/>
      <w:bookmarkEnd w:id="449"/>
      <w:bookmarkEnd w:id="450"/>
      <w:bookmarkEnd w:id="451"/>
    </w:p>
    <w:p w14:paraId="1FD56A5D">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u w:val="single"/>
          <w:lang w:eastAsia="zh-CN"/>
        </w:rPr>
        <w:t>察布查尔锡伯自治县公安局</w:t>
      </w:r>
      <w:r>
        <w:rPr>
          <w:rFonts w:hint="eastAsia" w:ascii="仿宋" w:hAnsi="仿宋" w:eastAsia="仿宋" w:cs="仿宋"/>
          <w:color w:val="auto"/>
          <w:sz w:val="28"/>
          <w:szCs w:val="28"/>
          <w:highlight w:val="none"/>
        </w:rPr>
        <w:t>：</w:t>
      </w:r>
    </w:p>
    <w:p w14:paraId="43F9EC29">
      <w:pPr>
        <w:keepNext w:val="0"/>
        <w:keepLines w:val="0"/>
        <w:pageBreakBefore w:val="0"/>
        <w:kinsoku/>
        <w:wordWrap/>
        <w:overflowPunct/>
        <w:topLinePunct w:val="0"/>
        <w:autoSpaceDE/>
        <w:autoSpaceDN/>
        <w:bidi w:val="0"/>
        <w:adjustRightInd/>
        <w:snapToGrid/>
        <w:spacing w:line="480" w:lineRule="exact"/>
        <w:ind w:left="239" w:leftChars="114"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（姓名、性别、年龄、身份证号码）在我</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"https://baike.baidu.com/item/%E5%8D%95%E4%BD%8D/32292" \t "_blank"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单位</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（董事长、总经理等）职务，是我单位的法定代表人。</w:t>
      </w:r>
    </w:p>
    <w:p w14:paraId="0577AE88">
      <w:pPr>
        <w:keepNext w:val="0"/>
        <w:keepLines w:val="0"/>
        <w:pageBreakBefore w:val="0"/>
        <w:kinsoku/>
        <w:wordWrap/>
        <w:overflowPunct/>
        <w:topLinePunct w:val="0"/>
        <w:autoSpaceDE/>
        <w:autoSpaceDN/>
        <w:bidi w:val="0"/>
        <w:adjustRightInd/>
        <w:snapToGrid/>
        <w:spacing w:line="480" w:lineRule="exact"/>
        <w:ind w:left="239" w:leftChars="114" w:firstLine="560" w:firstLineChars="200"/>
        <w:textAlignment w:val="auto"/>
        <w:rPr>
          <w:rFonts w:hint="eastAsia" w:ascii="仿宋" w:hAnsi="仿宋" w:eastAsia="仿宋" w:cs="仿宋"/>
          <w:color w:val="auto"/>
          <w:sz w:val="28"/>
          <w:szCs w:val="28"/>
          <w:highlight w:val="none"/>
        </w:rPr>
      </w:pPr>
    </w:p>
    <w:p w14:paraId="744E44FC">
      <w:pPr>
        <w:keepNext w:val="0"/>
        <w:keepLines w:val="0"/>
        <w:pageBreakBefore w:val="0"/>
        <w:kinsoku/>
        <w:wordWrap/>
        <w:overflowPunct/>
        <w:topLinePunct w:val="0"/>
        <w:autoSpaceDE/>
        <w:autoSpaceDN/>
        <w:bidi w:val="0"/>
        <w:adjustRightInd/>
        <w:snapToGrid/>
        <w:spacing w:line="480" w:lineRule="exact"/>
        <w:ind w:left="239" w:leftChars="114"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5AFDBBCA">
      <w:pPr>
        <w:keepNext w:val="0"/>
        <w:keepLines w:val="0"/>
        <w:pageBreakBefore w:val="0"/>
        <w:kinsoku/>
        <w:wordWrap/>
        <w:overflowPunct/>
        <w:topLinePunct w:val="0"/>
        <w:autoSpaceDE/>
        <w:autoSpaceDN/>
        <w:bidi w:val="0"/>
        <w:adjustRightInd/>
        <w:snapToGrid/>
        <w:spacing w:line="480" w:lineRule="exact"/>
        <w:jc w:val="center"/>
        <w:textAlignment w:val="auto"/>
        <w:outlineLvl w:val="0"/>
        <w:rPr>
          <w:rFonts w:hint="eastAsia" w:ascii="仿宋" w:hAnsi="仿宋" w:eastAsia="仿宋" w:cs="仿宋"/>
          <w:color w:val="auto"/>
          <w:sz w:val="28"/>
          <w:szCs w:val="28"/>
          <w:highlight w:val="none"/>
        </w:rPr>
      </w:pPr>
      <w:bookmarkStart w:id="452" w:name="_Toc32683"/>
      <w:bookmarkStart w:id="453" w:name="_Toc9273"/>
      <w:bookmarkStart w:id="454" w:name="_Toc27443"/>
      <w:bookmarkStart w:id="455" w:name="_Toc20528"/>
      <w:bookmarkStart w:id="456" w:name="_Toc29380"/>
      <w:bookmarkStart w:id="457" w:name="_Toc23729"/>
      <w:bookmarkStart w:id="458" w:name="_Toc18532"/>
      <w:bookmarkStart w:id="459" w:name="_Toc20545"/>
      <w:r>
        <w:rPr>
          <w:rFonts w:hint="eastAsia" w:ascii="仿宋" w:hAnsi="仿宋" w:eastAsia="仿宋" w:cs="仿宋"/>
          <w:b/>
          <w:bCs/>
          <w:color w:val="auto"/>
          <w:sz w:val="28"/>
          <w:szCs w:val="28"/>
          <w:highlight w:val="none"/>
        </w:rPr>
        <w:t>法定代表人身份证复印件</w:t>
      </w:r>
      <w:bookmarkEnd w:id="452"/>
      <w:bookmarkEnd w:id="453"/>
      <w:bookmarkEnd w:id="454"/>
      <w:bookmarkEnd w:id="455"/>
      <w:bookmarkEnd w:id="456"/>
      <w:bookmarkEnd w:id="457"/>
      <w:bookmarkEnd w:id="458"/>
      <w:bookmarkEnd w:id="459"/>
    </w:p>
    <w:tbl>
      <w:tblPr>
        <w:tblStyle w:val="27"/>
        <w:tblpPr w:leftFromText="180" w:rightFromText="180" w:vertAnchor="text" w:horzAnchor="page" w:tblpX="2526" w:tblpY="5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7"/>
        <w:gridCol w:w="3949"/>
      </w:tblGrid>
      <w:tr w14:paraId="6DDD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4047" w:type="dxa"/>
            <w:noWrap w:val="0"/>
            <w:vAlign w:val="center"/>
          </w:tcPr>
          <w:p w14:paraId="08A14649">
            <w:pPr>
              <w:spacing w:line="440" w:lineRule="exact"/>
              <w:jc w:val="center"/>
              <w:outlineLvl w:val="0"/>
              <w:rPr>
                <w:rFonts w:hint="eastAsia" w:ascii="仿宋" w:hAnsi="仿宋" w:eastAsia="仿宋" w:cs="仿宋"/>
                <w:b/>
                <w:bCs/>
                <w:color w:val="auto"/>
                <w:sz w:val="28"/>
                <w:szCs w:val="28"/>
                <w:highlight w:val="none"/>
              </w:rPr>
            </w:pPr>
            <w:bookmarkStart w:id="460" w:name="_Toc12023"/>
            <w:bookmarkStart w:id="461" w:name="_Toc23942"/>
            <w:bookmarkStart w:id="462" w:name="_Toc31911"/>
            <w:bookmarkStart w:id="463" w:name="_Toc8067"/>
            <w:bookmarkStart w:id="464" w:name="_Toc32303"/>
            <w:bookmarkStart w:id="465" w:name="_Toc5265"/>
            <w:bookmarkStart w:id="466" w:name="_Toc30919"/>
            <w:bookmarkStart w:id="467" w:name="_Toc28489"/>
            <w:r>
              <w:rPr>
                <w:rFonts w:hint="eastAsia" w:ascii="仿宋" w:hAnsi="仿宋" w:eastAsia="仿宋" w:cs="仿宋"/>
                <w:b/>
                <w:bCs/>
                <w:color w:val="auto"/>
                <w:sz w:val="28"/>
                <w:szCs w:val="28"/>
                <w:highlight w:val="none"/>
              </w:rPr>
              <w:t>正面</w:t>
            </w:r>
            <w:bookmarkEnd w:id="460"/>
            <w:bookmarkEnd w:id="461"/>
            <w:bookmarkEnd w:id="462"/>
            <w:bookmarkEnd w:id="463"/>
            <w:bookmarkEnd w:id="464"/>
            <w:bookmarkEnd w:id="465"/>
            <w:bookmarkEnd w:id="466"/>
            <w:bookmarkEnd w:id="467"/>
            <w:r>
              <w:rPr>
                <w:rFonts w:hint="eastAsia" w:ascii="仿宋" w:hAnsi="仿宋" w:eastAsia="仿宋" w:cs="仿宋"/>
                <w:b/>
                <w:bCs/>
                <w:color w:val="auto"/>
                <w:sz w:val="28"/>
                <w:szCs w:val="28"/>
                <w:highlight w:val="none"/>
              </w:rPr>
              <w:t xml:space="preserve"> </w:t>
            </w:r>
          </w:p>
        </w:tc>
        <w:tc>
          <w:tcPr>
            <w:tcW w:w="3949" w:type="dxa"/>
            <w:noWrap w:val="0"/>
            <w:vAlign w:val="center"/>
          </w:tcPr>
          <w:p w14:paraId="577E9DD0">
            <w:pPr>
              <w:spacing w:line="440" w:lineRule="exact"/>
              <w:jc w:val="center"/>
              <w:outlineLvl w:val="0"/>
              <w:rPr>
                <w:rFonts w:hint="eastAsia" w:ascii="仿宋" w:hAnsi="仿宋" w:eastAsia="仿宋" w:cs="仿宋"/>
                <w:b/>
                <w:bCs/>
                <w:color w:val="auto"/>
                <w:sz w:val="28"/>
                <w:szCs w:val="28"/>
                <w:highlight w:val="none"/>
              </w:rPr>
            </w:pPr>
            <w:bookmarkStart w:id="468" w:name="_Toc6570"/>
            <w:bookmarkStart w:id="469" w:name="_Toc24639"/>
            <w:bookmarkStart w:id="470" w:name="_Toc25241"/>
            <w:bookmarkStart w:id="471" w:name="_Toc18256"/>
            <w:bookmarkStart w:id="472" w:name="_Toc22439"/>
            <w:bookmarkStart w:id="473" w:name="_Toc16716"/>
            <w:bookmarkStart w:id="474" w:name="_Toc1102"/>
            <w:bookmarkStart w:id="475" w:name="_Toc5780"/>
            <w:r>
              <w:rPr>
                <w:rFonts w:hint="eastAsia" w:ascii="仿宋" w:hAnsi="仿宋" w:eastAsia="仿宋" w:cs="仿宋"/>
                <w:b/>
                <w:bCs/>
                <w:color w:val="auto"/>
                <w:sz w:val="28"/>
                <w:szCs w:val="28"/>
                <w:highlight w:val="none"/>
              </w:rPr>
              <w:t>背面</w:t>
            </w:r>
            <w:bookmarkEnd w:id="468"/>
            <w:bookmarkEnd w:id="469"/>
            <w:bookmarkEnd w:id="470"/>
            <w:bookmarkEnd w:id="471"/>
            <w:bookmarkEnd w:id="472"/>
            <w:bookmarkEnd w:id="473"/>
            <w:bookmarkEnd w:id="474"/>
            <w:bookmarkEnd w:id="475"/>
            <w:r>
              <w:rPr>
                <w:rFonts w:hint="eastAsia" w:ascii="仿宋" w:hAnsi="仿宋" w:eastAsia="仿宋" w:cs="仿宋"/>
                <w:b/>
                <w:bCs/>
                <w:color w:val="auto"/>
                <w:sz w:val="28"/>
                <w:szCs w:val="28"/>
                <w:highlight w:val="none"/>
              </w:rPr>
              <w:t xml:space="preserve"> </w:t>
            </w:r>
          </w:p>
        </w:tc>
      </w:tr>
    </w:tbl>
    <w:p w14:paraId="10F38EA3">
      <w:pPr>
        <w:pStyle w:val="16"/>
        <w:tabs>
          <w:tab w:val="left" w:pos="5580"/>
        </w:tabs>
        <w:spacing w:line="440" w:lineRule="exact"/>
        <w:rPr>
          <w:rFonts w:hint="eastAsia" w:ascii="仿宋" w:hAnsi="仿宋" w:eastAsia="仿宋" w:cs="仿宋"/>
          <w:color w:val="auto"/>
          <w:sz w:val="28"/>
          <w:szCs w:val="28"/>
          <w:highlight w:val="none"/>
        </w:rPr>
      </w:pPr>
    </w:p>
    <w:p w14:paraId="158E21C7">
      <w:pPr>
        <w:spacing w:line="440" w:lineRule="exact"/>
        <w:rPr>
          <w:rFonts w:hint="eastAsia" w:ascii="仿宋" w:hAnsi="仿宋" w:eastAsia="仿宋" w:cs="仿宋"/>
          <w:color w:val="auto"/>
          <w:sz w:val="28"/>
          <w:szCs w:val="28"/>
          <w:highlight w:val="none"/>
        </w:rPr>
      </w:pPr>
    </w:p>
    <w:p w14:paraId="1CDC7A3A">
      <w:pPr>
        <w:spacing w:line="440" w:lineRule="exact"/>
        <w:rPr>
          <w:rFonts w:hint="eastAsia" w:ascii="仿宋" w:hAnsi="仿宋" w:eastAsia="仿宋" w:cs="仿宋"/>
          <w:color w:val="auto"/>
          <w:sz w:val="28"/>
          <w:szCs w:val="28"/>
          <w:highlight w:val="none"/>
        </w:rPr>
      </w:pPr>
    </w:p>
    <w:p w14:paraId="51C8F8A3">
      <w:pPr>
        <w:spacing w:line="440" w:lineRule="exact"/>
        <w:rPr>
          <w:rFonts w:hint="eastAsia" w:ascii="仿宋" w:hAnsi="仿宋" w:eastAsia="仿宋" w:cs="仿宋"/>
          <w:color w:val="auto"/>
          <w:sz w:val="28"/>
          <w:szCs w:val="28"/>
          <w:highlight w:val="none"/>
        </w:rPr>
      </w:pPr>
    </w:p>
    <w:p w14:paraId="3F301392">
      <w:pPr>
        <w:spacing w:line="440" w:lineRule="exact"/>
        <w:rPr>
          <w:rFonts w:hint="eastAsia" w:ascii="仿宋" w:hAnsi="仿宋" w:eastAsia="仿宋" w:cs="仿宋"/>
          <w:color w:val="auto"/>
          <w:sz w:val="28"/>
          <w:szCs w:val="28"/>
          <w:highlight w:val="none"/>
        </w:rPr>
      </w:pPr>
    </w:p>
    <w:p w14:paraId="0849DC2F">
      <w:pPr>
        <w:spacing w:line="440" w:lineRule="exact"/>
        <w:ind w:firstLine="1400" w:firstLineChars="500"/>
        <w:rPr>
          <w:rFonts w:hint="eastAsia" w:ascii="仿宋" w:hAnsi="仿宋" w:eastAsia="仿宋" w:cs="仿宋"/>
          <w:color w:val="auto"/>
          <w:sz w:val="28"/>
          <w:szCs w:val="28"/>
          <w:highlight w:val="none"/>
        </w:rPr>
      </w:pPr>
    </w:p>
    <w:p w14:paraId="7DA8CB75">
      <w:pPr>
        <w:spacing w:line="440" w:lineRule="exact"/>
        <w:ind w:firstLine="1400" w:firstLineChars="500"/>
        <w:rPr>
          <w:rFonts w:hint="eastAsia" w:ascii="仿宋" w:hAnsi="仿宋" w:eastAsia="仿宋" w:cs="仿宋"/>
          <w:color w:val="auto"/>
          <w:sz w:val="28"/>
          <w:szCs w:val="28"/>
          <w:highlight w:val="none"/>
        </w:rPr>
      </w:pPr>
    </w:p>
    <w:p w14:paraId="218CFDD0">
      <w:pPr>
        <w:spacing w:line="440" w:lineRule="exact"/>
        <w:rPr>
          <w:rFonts w:hint="eastAsia" w:ascii="仿宋" w:hAnsi="仿宋" w:eastAsia="仿宋" w:cs="仿宋"/>
          <w:color w:val="auto"/>
          <w:sz w:val="28"/>
          <w:szCs w:val="28"/>
          <w:highlight w:val="none"/>
        </w:rPr>
      </w:pPr>
    </w:p>
    <w:p w14:paraId="6543B86E">
      <w:pPr>
        <w:keepNext w:val="0"/>
        <w:keepLines w:val="0"/>
        <w:pageBreakBefore w:val="0"/>
        <w:kinsoku/>
        <w:wordWrap/>
        <w:overflowPunct/>
        <w:topLinePunct w:val="0"/>
        <w:bidi w:val="0"/>
        <w:adjustRightInd/>
        <w:snapToGrid/>
        <w:spacing w:line="48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w:t>
      </w:r>
      <w:r>
        <w:rPr>
          <w:rFonts w:hint="eastAsia" w:ascii="仿宋" w:hAnsi="仿宋" w:eastAsia="仿宋" w:cs="仿宋"/>
          <w:color w:val="auto"/>
          <w:sz w:val="28"/>
          <w:szCs w:val="28"/>
          <w:highlight w:val="none"/>
          <w:lang w:val="en-US" w:eastAsia="zh-CN"/>
        </w:rPr>
        <w:t>定</w:t>
      </w:r>
      <w:r>
        <w:rPr>
          <w:rFonts w:hint="eastAsia" w:ascii="仿宋" w:hAnsi="仿宋" w:eastAsia="仿宋" w:cs="仿宋"/>
          <w:color w:val="auto"/>
          <w:sz w:val="28"/>
          <w:szCs w:val="28"/>
          <w:highlight w:val="none"/>
        </w:rPr>
        <w:t>代表人签字</w:t>
      </w:r>
      <w:r>
        <w:rPr>
          <w:rFonts w:hint="eastAsia" w:ascii="仿宋" w:hAnsi="仿宋" w:eastAsia="仿宋" w:cs="仿宋"/>
          <w:bCs/>
          <w:color w:val="auto"/>
          <w:sz w:val="28"/>
          <w:szCs w:val="28"/>
          <w:highlight w:val="none"/>
        </w:rPr>
        <w:t>或签章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single"/>
        </w:rPr>
        <w:t xml:space="preserve">　                  </w:t>
      </w:r>
    </w:p>
    <w:p w14:paraId="27E33669">
      <w:pPr>
        <w:pStyle w:val="65"/>
        <w:keepNext w:val="0"/>
        <w:keepLines w:val="0"/>
        <w:pageBreakBefore w:val="0"/>
        <w:kinsoku/>
        <w:wordWrap/>
        <w:overflowPunct/>
        <w:topLinePunct w:val="0"/>
        <w:bidi w:val="0"/>
        <w:adjustRightInd/>
        <w:snapToGrid/>
        <w:spacing w:line="480" w:lineRule="exact"/>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rPr>
        <w:t xml:space="preserve">公   章： </w:t>
      </w:r>
      <w:r>
        <w:rPr>
          <w:rFonts w:hint="eastAsia" w:ascii="仿宋" w:hAnsi="仿宋" w:eastAsia="仿宋" w:cs="仿宋"/>
          <w:color w:val="auto"/>
          <w:kern w:val="2"/>
          <w:sz w:val="28"/>
          <w:szCs w:val="28"/>
          <w:highlight w:val="none"/>
          <w:u w:val="single"/>
        </w:rPr>
        <w:t xml:space="preserve">                  </w:t>
      </w:r>
      <w:r>
        <w:rPr>
          <w:rFonts w:hint="eastAsia" w:ascii="仿宋" w:hAnsi="仿宋" w:eastAsia="仿宋" w:cs="仿宋"/>
          <w:color w:val="auto"/>
          <w:kern w:val="2"/>
          <w:sz w:val="28"/>
          <w:szCs w:val="28"/>
          <w:highlight w:val="none"/>
        </w:rPr>
        <w:t xml:space="preserve"> </w:t>
      </w:r>
    </w:p>
    <w:p w14:paraId="10D938EE">
      <w:pPr>
        <w:keepNext w:val="0"/>
        <w:keepLines w:val="0"/>
        <w:pageBreakBefore w:val="0"/>
        <w:kinsoku/>
        <w:wordWrap/>
        <w:overflowPunct/>
        <w:topLinePunct w:val="0"/>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期：20</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日</w:t>
      </w:r>
    </w:p>
    <w:p w14:paraId="66F43136">
      <w:pPr>
        <w:pStyle w:val="65"/>
        <w:keepNext w:val="0"/>
        <w:keepLines w:val="0"/>
        <w:pageBreakBefore w:val="0"/>
        <w:kinsoku/>
        <w:wordWrap/>
        <w:overflowPunct/>
        <w:topLinePunct w:val="0"/>
        <w:bidi w:val="0"/>
        <w:adjustRightInd/>
        <w:snapToGrid/>
        <w:spacing w:line="480" w:lineRule="exact"/>
        <w:ind w:firstLine="562"/>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注：被授权人参加采购活动的，可不提供此项证明文件。</w:t>
      </w:r>
    </w:p>
    <w:p w14:paraId="356CCF90">
      <w:pPr>
        <w:keepNext/>
        <w:keepLines/>
        <w:spacing w:before="260" w:after="260" w:line="440" w:lineRule="exact"/>
        <w:jc w:val="center"/>
        <w:rPr>
          <w:rFonts w:hint="eastAsia" w:ascii="仿宋" w:hAnsi="仿宋" w:eastAsia="仿宋" w:cs="仿宋"/>
          <w:b/>
          <w:bCs/>
          <w:color w:val="auto"/>
          <w:sz w:val="28"/>
          <w:szCs w:val="28"/>
          <w:highlight w:val="none"/>
        </w:rPr>
      </w:pPr>
    </w:p>
    <w:p w14:paraId="716B3021">
      <w:pPr>
        <w:pStyle w:val="25"/>
        <w:ind w:firstLine="321"/>
        <w:rPr>
          <w:rFonts w:hint="eastAsia" w:ascii="仿宋" w:hAnsi="仿宋" w:eastAsia="仿宋" w:cs="仿宋"/>
          <w:b/>
          <w:bCs/>
          <w:color w:val="auto"/>
          <w:sz w:val="32"/>
          <w:szCs w:val="32"/>
          <w:highlight w:val="none"/>
        </w:rPr>
      </w:pPr>
    </w:p>
    <w:p w14:paraId="5DC4643E">
      <w:pPr>
        <w:rPr>
          <w:rFonts w:hint="eastAsia" w:ascii="仿宋" w:hAnsi="仿宋" w:eastAsia="仿宋" w:cs="仿宋"/>
          <w:b/>
          <w:bCs/>
          <w:color w:val="auto"/>
          <w:sz w:val="32"/>
          <w:szCs w:val="32"/>
          <w:highlight w:val="none"/>
        </w:rPr>
      </w:pPr>
    </w:p>
    <w:p w14:paraId="453EBE14">
      <w:pPr>
        <w:pStyle w:val="25"/>
        <w:ind w:firstLine="321"/>
        <w:rPr>
          <w:rFonts w:hint="eastAsia" w:ascii="仿宋" w:hAnsi="仿宋" w:eastAsia="仿宋" w:cs="仿宋"/>
          <w:b/>
          <w:bCs/>
          <w:color w:val="auto"/>
          <w:sz w:val="32"/>
          <w:szCs w:val="32"/>
          <w:highlight w:val="none"/>
        </w:rPr>
      </w:pPr>
    </w:p>
    <w:p w14:paraId="5D6BC518">
      <w:pPr>
        <w:pStyle w:val="25"/>
        <w:ind w:firstLine="321"/>
        <w:rPr>
          <w:rFonts w:hint="eastAsia" w:ascii="仿宋" w:hAnsi="仿宋" w:eastAsia="仿宋" w:cs="仿宋"/>
          <w:b/>
          <w:bCs/>
          <w:color w:val="auto"/>
          <w:sz w:val="32"/>
          <w:szCs w:val="32"/>
          <w:highlight w:val="none"/>
        </w:rPr>
      </w:pPr>
    </w:p>
    <w:p w14:paraId="5C47FC45">
      <w:pPr>
        <w:keepNext/>
        <w:keepLines/>
        <w:pageBreakBefore w:val="0"/>
        <w:kinsoku/>
        <w:wordWrap/>
        <w:overflowPunct/>
        <w:topLinePunct w:val="0"/>
        <w:autoSpaceDE/>
        <w:autoSpaceDN/>
        <w:bidi w:val="0"/>
        <w:adjustRightInd/>
        <w:snapToGrid/>
        <w:spacing w:before="260" w:after="260" w:line="480" w:lineRule="exact"/>
        <w:jc w:val="center"/>
        <w:textAlignment w:val="auto"/>
        <w:outlineLvl w:val="1"/>
        <w:rPr>
          <w:rFonts w:hint="eastAsia" w:ascii="仿宋" w:hAnsi="仿宋" w:eastAsia="仿宋" w:cs="仿宋"/>
          <w:b/>
          <w:color w:val="auto"/>
          <w:sz w:val="28"/>
          <w:szCs w:val="28"/>
          <w:highlight w:val="none"/>
        </w:rPr>
      </w:pPr>
      <w:bookmarkStart w:id="476" w:name="_Toc30116"/>
      <w:bookmarkStart w:id="477" w:name="_Toc11259"/>
      <w:bookmarkStart w:id="478" w:name="_Toc29771"/>
      <w:bookmarkStart w:id="479" w:name="_Toc5281"/>
      <w:bookmarkStart w:id="480" w:name="_Toc11342"/>
      <w:bookmarkStart w:id="481" w:name="_Toc29463"/>
      <w:bookmarkStart w:id="482" w:name="_Toc11091"/>
      <w:r>
        <w:rPr>
          <w:rFonts w:hint="eastAsia" w:ascii="仿宋" w:hAnsi="仿宋" w:eastAsia="仿宋" w:cs="仿宋"/>
          <w:b/>
          <w:bCs/>
          <w:color w:val="auto"/>
          <w:sz w:val="28"/>
          <w:szCs w:val="28"/>
          <w:highlight w:val="none"/>
        </w:rPr>
        <w:t>3.2</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76"/>
      <w:bookmarkEnd w:id="477"/>
      <w:bookmarkEnd w:id="478"/>
      <w:bookmarkEnd w:id="479"/>
      <w:bookmarkEnd w:id="480"/>
      <w:bookmarkEnd w:id="481"/>
      <w:r>
        <w:rPr>
          <w:rFonts w:hint="eastAsia" w:ascii="仿宋" w:hAnsi="仿宋" w:eastAsia="仿宋" w:cs="仿宋"/>
          <w:b/>
          <w:bCs/>
          <w:color w:val="auto"/>
          <w:sz w:val="28"/>
          <w:szCs w:val="28"/>
          <w:highlight w:val="none"/>
        </w:rPr>
        <w:t>法</w:t>
      </w:r>
      <w:r>
        <w:rPr>
          <w:rFonts w:hint="eastAsia" w:ascii="仿宋" w:hAnsi="仿宋" w:eastAsia="仿宋" w:cs="仿宋"/>
          <w:b/>
          <w:bCs/>
          <w:color w:val="auto"/>
          <w:sz w:val="28"/>
          <w:szCs w:val="28"/>
          <w:highlight w:val="none"/>
          <w:lang w:val="en-US" w:eastAsia="zh-CN"/>
        </w:rPr>
        <w:t>定</w:t>
      </w:r>
      <w:r>
        <w:rPr>
          <w:rFonts w:hint="eastAsia" w:ascii="仿宋" w:hAnsi="仿宋" w:eastAsia="仿宋" w:cs="仿宋"/>
          <w:b/>
          <w:bCs/>
          <w:color w:val="auto"/>
          <w:sz w:val="28"/>
          <w:szCs w:val="28"/>
          <w:highlight w:val="none"/>
        </w:rPr>
        <w:t>代表</w:t>
      </w:r>
      <w:r>
        <w:rPr>
          <w:rFonts w:hint="eastAsia" w:ascii="仿宋" w:hAnsi="仿宋" w:eastAsia="仿宋" w:cs="仿宋"/>
          <w:b/>
          <w:bCs/>
          <w:color w:val="auto"/>
          <w:sz w:val="28"/>
          <w:szCs w:val="28"/>
          <w:highlight w:val="none"/>
          <w:lang w:val="en-US" w:eastAsia="zh-CN"/>
        </w:rPr>
        <w:t>人</w:t>
      </w:r>
      <w:r>
        <w:rPr>
          <w:rFonts w:hint="eastAsia" w:ascii="仿宋" w:hAnsi="仿宋" w:eastAsia="仿宋" w:cs="仿宋"/>
          <w:b/>
          <w:bCs/>
          <w:color w:val="auto"/>
          <w:sz w:val="28"/>
          <w:szCs w:val="28"/>
          <w:highlight w:val="none"/>
        </w:rPr>
        <w:t>授权委托书</w:t>
      </w:r>
      <w:bookmarkEnd w:id="482"/>
    </w:p>
    <w:p w14:paraId="42FB935B">
      <w:pPr>
        <w:pStyle w:val="24"/>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u w:val="single"/>
          <w:lang w:eastAsia="zh-CN"/>
        </w:rPr>
        <w:t>察布查尔锡伯自治县公安局</w:t>
      </w:r>
      <w:r>
        <w:rPr>
          <w:rFonts w:hint="eastAsia" w:ascii="仿宋" w:hAnsi="仿宋" w:eastAsia="仿宋" w:cs="仿宋"/>
          <w:color w:val="auto"/>
          <w:kern w:val="2"/>
          <w:sz w:val="28"/>
          <w:szCs w:val="28"/>
          <w:highlight w:val="none"/>
          <w:u w:val="single"/>
        </w:rPr>
        <w:t>:</w:t>
      </w:r>
    </w:p>
    <w:p w14:paraId="3084831E">
      <w:pPr>
        <w:pageBreakBefore w:val="0"/>
        <w:kinsoku/>
        <w:wordWrap/>
        <w:overflowPunct/>
        <w:topLinePunct w:val="0"/>
        <w:autoSpaceDE/>
        <w:autoSpaceDN/>
        <w:bidi w:val="0"/>
        <w:adjustRightInd/>
        <w:snapToGrid/>
        <w:spacing w:line="480" w:lineRule="exact"/>
        <w:ind w:left="239" w:leftChars="114"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本授权书声明:我</w:t>
      </w:r>
      <w:r>
        <w:rPr>
          <w:rFonts w:hint="eastAsia" w:ascii="仿宋" w:hAnsi="仿宋" w:eastAsia="仿宋" w:cs="仿宋"/>
          <w:color w:val="auto"/>
          <w:sz w:val="28"/>
          <w:szCs w:val="28"/>
          <w:highlight w:val="none"/>
          <w:u w:val="single"/>
        </w:rPr>
        <w:t xml:space="preserve">（姓名）      </w:t>
      </w:r>
      <w:r>
        <w:rPr>
          <w:rFonts w:hint="eastAsia" w:ascii="仿宋" w:hAnsi="仿宋" w:eastAsia="仿宋" w:cs="仿宋"/>
          <w:color w:val="auto"/>
          <w:sz w:val="28"/>
          <w:szCs w:val="28"/>
          <w:highlight w:val="none"/>
        </w:rPr>
        <w:t>系注册于</w:t>
      </w:r>
      <w:r>
        <w:rPr>
          <w:rFonts w:hint="eastAsia" w:ascii="仿宋" w:hAnsi="仿宋" w:eastAsia="仿宋" w:cs="仿宋"/>
          <w:color w:val="auto"/>
          <w:sz w:val="28"/>
          <w:szCs w:val="28"/>
          <w:highlight w:val="none"/>
          <w:u w:val="single"/>
        </w:rPr>
        <w:t xml:space="preserve">（地区的名称）             （供应商名称）                                 </w:t>
      </w:r>
      <w:r>
        <w:rPr>
          <w:rFonts w:hint="eastAsia" w:ascii="仿宋" w:hAnsi="仿宋" w:eastAsia="仿宋" w:cs="仿宋"/>
          <w:color w:val="auto"/>
          <w:sz w:val="28"/>
          <w:szCs w:val="28"/>
          <w:highlight w:val="none"/>
        </w:rPr>
        <w:t>的法定代表人，现授权（</w:t>
      </w:r>
      <w:r>
        <w:rPr>
          <w:rFonts w:hint="eastAsia" w:ascii="仿宋" w:hAnsi="仿宋" w:eastAsia="仿宋" w:cs="仿宋"/>
          <w:color w:val="auto"/>
          <w:sz w:val="28"/>
          <w:szCs w:val="28"/>
          <w:highlight w:val="none"/>
          <w:u w:val="single"/>
        </w:rPr>
        <w:t xml:space="preserve">姓名）       </w:t>
      </w:r>
      <w:r>
        <w:rPr>
          <w:rFonts w:hint="eastAsia" w:ascii="仿宋" w:hAnsi="仿宋" w:eastAsia="仿宋" w:cs="仿宋"/>
          <w:color w:val="auto"/>
          <w:sz w:val="28"/>
          <w:szCs w:val="28"/>
          <w:highlight w:val="none"/>
        </w:rPr>
        <w:t>为我公司被授权人，以本公司的名义参加</w:t>
      </w:r>
      <w:r>
        <w:rPr>
          <w:rFonts w:hint="eastAsia" w:ascii="仿宋" w:hAnsi="仿宋" w:eastAsia="仿宋" w:cs="仿宋"/>
          <w:color w:val="auto"/>
          <w:sz w:val="28"/>
          <w:szCs w:val="28"/>
          <w:highlight w:val="none"/>
          <w:u w:val="single"/>
        </w:rPr>
        <w:t>（采购单位名称） （项目名称）（</w:t>
      </w:r>
      <w:r>
        <w:rPr>
          <w:rFonts w:hint="eastAsia" w:ascii="仿宋" w:hAnsi="仿宋" w:eastAsia="仿宋" w:cs="仿宋"/>
          <w:color w:val="auto"/>
          <w:sz w:val="28"/>
          <w:szCs w:val="28"/>
          <w:highlight w:val="none"/>
          <w:u w:val="single"/>
          <w:lang w:val="en-US" w:eastAsia="zh-CN"/>
        </w:rPr>
        <w:t>项目</w:t>
      </w:r>
      <w:r>
        <w:rPr>
          <w:rFonts w:hint="eastAsia" w:ascii="仿宋" w:hAnsi="仿宋" w:eastAsia="仿宋" w:cs="仿宋"/>
          <w:color w:val="auto"/>
          <w:sz w:val="28"/>
          <w:szCs w:val="28"/>
          <w:highlight w:val="none"/>
          <w:u w:val="single"/>
        </w:rPr>
        <w:t>编号）</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标段号</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的采购招标活动。被授权人在本次采购招标过程中所签署的一切文件和处理与之有关的一切事务,我均予以承认。</w:t>
      </w:r>
    </w:p>
    <w:p w14:paraId="7C244614">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本授权书于20</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日签字</w:t>
      </w:r>
      <w:r>
        <w:rPr>
          <w:rFonts w:hint="eastAsia" w:ascii="仿宋" w:hAnsi="仿宋" w:eastAsia="仿宋" w:cs="仿宋"/>
          <w:bCs/>
          <w:color w:val="auto"/>
          <w:sz w:val="28"/>
          <w:szCs w:val="28"/>
          <w:highlight w:val="none"/>
        </w:rPr>
        <w:t>或签章</w:t>
      </w:r>
      <w:r>
        <w:rPr>
          <w:rFonts w:hint="eastAsia" w:ascii="仿宋" w:hAnsi="仿宋" w:eastAsia="仿宋" w:cs="仿宋"/>
          <w:color w:val="auto"/>
          <w:sz w:val="28"/>
          <w:szCs w:val="28"/>
          <w:highlight w:val="none"/>
        </w:rPr>
        <w:t>生效，被授权人无转让权,特此授权。</w:t>
      </w:r>
    </w:p>
    <w:p w14:paraId="78020989">
      <w:pPr>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w:t>
      </w:r>
      <w:r>
        <w:rPr>
          <w:rFonts w:hint="eastAsia" w:ascii="仿宋" w:hAnsi="仿宋" w:eastAsia="仿宋" w:cs="仿宋"/>
          <w:color w:val="auto"/>
          <w:sz w:val="28"/>
          <w:szCs w:val="28"/>
          <w:highlight w:val="none"/>
          <w:lang w:val="en-US" w:eastAsia="zh-CN"/>
        </w:rPr>
        <w:t>定</w:t>
      </w:r>
      <w:r>
        <w:rPr>
          <w:rFonts w:hint="eastAsia" w:ascii="仿宋" w:hAnsi="仿宋" w:eastAsia="仿宋" w:cs="仿宋"/>
          <w:color w:val="auto"/>
          <w:sz w:val="28"/>
          <w:szCs w:val="28"/>
          <w:highlight w:val="none"/>
        </w:rPr>
        <w:t>代表人签字</w:t>
      </w:r>
      <w:r>
        <w:rPr>
          <w:rFonts w:hint="eastAsia" w:ascii="仿宋" w:hAnsi="仿宋" w:eastAsia="仿宋" w:cs="仿宋"/>
          <w:bCs/>
          <w:color w:val="auto"/>
          <w:sz w:val="28"/>
          <w:szCs w:val="28"/>
          <w:highlight w:val="none"/>
        </w:rPr>
        <w:t>或签章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single"/>
        </w:rPr>
        <w:t xml:space="preserve">　               </w:t>
      </w:r>
    </w:p>
    <w:p w14:paraId="3B9CF754">
      <w:pPr>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被授权人签字</w:t>
      </w:r>
      <w:r>
        <w:rPr>
          <w:rFonts w:hint="eastAsia" w:ascii="仿宋" w:hAnsi="仿宋" w:eastAsia="仿宋" w:cs="仿宋"/>
          <w:bCs/>
          <w:color w:val="auto"/>
          <w:sz w:val="28"/>
          <w:szCs w:val="28"/>
          <w:highlight w:val="none"/>
        </w:rPr>
        <w:t>或签章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single"/>
        </w:rPr>
        <w:t xml:space="preserve">             　　　</w:t>
      </w:r>
    </w:p>
    <w:p w14:paraId="06502D90">
      <w:pPr>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       章：</w:t>
      </w:r>
    </w:p>
    <w:p w14:paraId="15661BE5">
      <w:pPr>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授权日期：20</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日</w:t>
      </w:r>
    </w:p>
    <w:p w14:paraId="24EA4D71">
      <w:pPr>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注：法定代表人亲自参加采购活动的，可不提供此项证明文件。</w:t>
      </w:r>
    </w:p>
    <w:p w14:paraId="35C88DD5">
      <w:pPr>
        <w:pageBreakBefore w:val="0"/>
        <w:kinsoku/>
        <w:wordWrap/>
        <w:overflowPunct/>
        <w:topLinePunct w:val="0"/>
        <w:autoSpaceDE/>
        <w:autoSpaceDN/>
        <w:bidi w:val="0"/>
        <w:adjustRightInd/>
        <w:snapToGrid/>
        <w:spacing w:line="480" w:lineRule="exact"/>
        <w:jc w:val="center"/>
        <w:textAlignment w:val="auto"/>
        <w:outlineLvl w:val="0"/>
        <w:rPr>
          <w:rFonts w:hint="eastAsia" w:ascii="仿宋" w:hAnsi="仿宋" w:eastAsia="仿宋" w:cs="仿宋"/>
          <w:color w:val="auto"/>
          <w:sz w:val="28"/>
          <w:szCs w:val="28"/>
          <w:highlight w:val="none"/>
        </w:rPr>
      </w:pPr>
      <w:bookmarkStart w:id="483" w:name="_Toc10604"/>
      <w:bookmarkStart w:id="484" w:name="_Toc7107"/>
      <w:bookmarkStart w:id="485" w:name="_Toc26910"/>
      <w:bookmarkStart w:id="486" w:name="_Toc7744"/>
      <w:bookmarkStart w:id="487" w:name="_Toc17970"/>
      <w:bookmarkStart w:id="488" w:name="_Toc7689"/>
      <w:bookmarkStart w:id="489" w:name="_Toc15473"/>
      <w:bookmarkStart w:id="490" w:name="_Toc9439"/>
      <w:bookmarkStart w:id="491" w:name="_Toc15686"/>
      <w:r>
        <w:rPr>
          <w:rFonts w:hint="eastAsia" w:ascii="仿宋" w:hAnsi="仿宋" w:eastAsia="仿宋" w:cs="仿宋"/>
          <w:b/>
          <w:bCs/>
          <w:color w:val="auto"/>
          <w:sz w:val="28"/>
          <w:szCs w:val="28"/>
          <w:highlight w:val="none"/>
        </w:rPr>
        <w:t>法定代表人身份证复印件</w:t>
      </w:r>
      <w:bookmarkEnd w:id="483"/>
      <w:bookmarkEnd w:id="484"/>
      <w:bookmarkEnd w:id="485"/>
      <w:bookmarkEnd w:id="486"/>
      <w:bookmarkEnd w:id="487"/>
      <w:bookmarkEnd w:id="488"/>
      <w:bookmarkEnd w:id="489"/>
      <w:bookmarkEnd w:id="490"/>
      <w:bookmarkEnd w:id="491"/>
    </w:p>
    <w:tbl>
      <w:tblPr>
        <w:tblStyle w:val="27"/>
        <w:tblpPr w:leftFromText="180" w:rightFromText="180" w:vertAnchor="text" w:horzAnchor="page" w:tblpX="2358" w:tblpY="4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4"/>
        <w:gridCol w:w="3735"/>
      </w:tblGrid>
      <w:tr w14:paraId="5E8D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3764" w:type="dxa"/>
            <w:noWrap w:val="0"/>
            <w:vAlign w:val="center"/>
          </w:tcPr>
          <w:p w14:paraId="79AC0EB3">
            <w:pPr>
              <w:spacing w:line="440" w:lineRule="exact"/>
              <w:jc w:val="center"/>
              <w:outlineLvl w:val="0"/>
              <w:rPr>
                <w:rFonts w:hint="eastAsia" w:ascii="仿宋" w:hAnsi="仿宋" w:eastAsia="仿宋" w:cs="仿宋"/>
                <w:b/>
                <w:bCs/>
                <w:color w:val="auto"/>
                <w:sz w:val="28"/>
                <w:szCs w:val="28"/>
                <w:highlight w:val="none"/>
              </w:rPr>
            </w:pPr>
            <w:bookmarkStart w:id="492" w:name="_Toc1788"/>
            <w:bookmarkStart w:id="493" w:name="_Toc12022"/>
            <w:bookmarkStart w:id="494" w:name="_Toc27086"/>
            <w:bookmarkStart w:id="495" w:name="_Toc9532"/>
            <w:bookmarkStart w:id="496" w:name="_Toc10083"/>
            <w:bookmarkStart w:id="497" w:name="_Toc24348"/>
            <w:bookmarkStart w:id="498" w:name="_Toc1532"/>
            <w:bookmarkStart w:id="499" w:name="_Toc28558"/>
            <w:bookmarkStart w:id="500" w:name="_Toc17853"/>
            <w:r>
              <w:rPr>
                <w:rFonts w:hint="eastAsia" w:ascii="仿宋" w:hAnsi="仿宋" w:eastAsia="仿宋" w:cs="仿宋"/>
                <w:b/>
                <w:bCs/>
                <w:color w:val="auto"/>
                <w:sz w:val="28"/>
                <w:szCs w:val="28"/>
                <w:highlight w:val="none"/>
              </w:rPr>
              <w:t>正面</w:t>
            </w:r>
            <w:bookmarkEnd w:id="492"/>
            <w:bookmarkEnd w:id="493"/>
            <w:bookmarkEnd w:id="494"/>
            <w:bookmarkEnd w:id="495"/>
            <w:bookmarkEnd w:id="496"/>
            <w:bookmarkEnd w:id="497"/>
            <w:bookmarkEnd w:id="498"/>
            <w:bookmarkEnd w:id="499"/>
            <w:bookmarkEnd w:id="500"/>
            <w:r>
              <w:rPr>
                <w:rFonts w:hint="eastAsia" w:ascii="仿宋" w:hAnsi="仿宋" w:eastAsia="仿宋" w:cs="仿宋"/>
                <w:b/>
                <w:bCs/>
                <w:color w:val="auto"/>
                <w:sz w:val="28"/>
                <w:szCs w:val="28"/>
                <w:highlight w:val="none"/>
              </w:rPr>
              <w:t xml:space="preserve"> </w:t>
            </w:r>
          </w:p>
        </w:tc>
        <w:tc>
          <w:tcPr>
            <w:tcW w:w="3735" w:type="dxa"/>
            <w:noWrap w:val="0"/>
            <w:vAlign w:val="center"/>
          </w:tcPr>
          <w:p w14:paraId="7E102438">
            <w:pPr>
              <w:spacing w:line="440" w:lineRule="exact"/>
              <w:jc w:val="center"/>
              <w:outlineLvl w:val="0"/>
              <w:rPr>
                <w:rFonts w:hint="eastAsia" w:ascii="仿宋" w:hAnsi="仿宋" w:eastAsia="仿宋" w:cs="仿宋"/>
                <w:b/>
                <w:bCs/>
                <w:color w:val="auto"/>
                <w:sz w:val="28"/>
                <w:szCs w:val="28"/>
                <w:highlight w:val="none"/>
              </w:rPr>
            </w:pPr>
            <w:bookmarkStart w:id="501" w:name="_Toc9693"/>
            <w:bookmarkStart w:id="502" w:name="_Toc21046"/>
            <w:bookmarkStart w:id="503" w:name="_Toc9509"/>
            <w:bookmarkStart w:id="504" w:name="_Toc21167"/>
            <w:bookmarkStart w:id="505" w:name="_Toc8028"/>
            <w:bookmarkStart w:id="506" w:name="_Toc27278"/>
            <w:bookmarkStart w:id="507" w:name="_Toc29392"/>
            <w:bookmarkStart w:id="508" w:name="_Toc10231"/>
            <w:bookmarkStart w:id="509" w:name="_Toc24429"/>
            <w:r>
              <w:rPr>
                <w:rFonts w:hint="eastAsia" w:ascii="仿宋" w:hAnsi="仿宋" w:eastAsia="仿宋" w:cs="仿宋"/>
                <w:b/>
                <w:bCs/>
                <w:color w:val="auto"/>
                <w:sz w:val="28"/>
                <w:szCs w:val="28"/>
                <w:highlight w:val="none"/>
              </w:rPr>
              <w:t>背面</w:t>
            </w:r>
            <w:bookmarkEnd w:id="501"/>
            <w:bookmarkEnd w:id="502"/>
            <w:bookmarkEnd w:id="503"/>
            <w:bookmarkEnd w:id="504"/>
            <w:bookmarkEnd w:id="505"/>
            <w:bookmarkEnd w:id="506"/>
            <w:bookmarkEnd w:id="507"/>
            <w:bookmarkEnd w:id="508"/>
            <w:bookmarkEnd w:id="509"/>
            <w:r>
              <w:rPr>
                <w:rFonts w:hint="eastAsia" w:ascii="仿宋" w:hAnsi="仿宋" w:eastAsia="仿宋" w:cs="仿宋"/>
                <w:b/>
                <w:bCs/>
                <w:color w:val="auto"/>
                <w:sz w:val="28"/>
                <w:szCs w:val="28"/>
                <w:highlight w:val="none"/>
              </w:rPr>
              <w:t xml:space="preserve"> </w:t>
            </w:r>
          </w:p>
        </w:tc>
      </w:tr>
    </w:tbl>
    <w:p w14:paraId="6562C539">
      <w:pPr>
        <w:spacing w:line="440" w:lineRule="exact"/>
        <w:jc w:val="center"/>
        <w:rPr>
          <w:rFonts w:hint="eastAsia" w:ascii="仿宋" w:hAnsi="仿宋" w:eastAsia="仿宋" w:cs="仿宋"/>
          <w:b/>
          <w:bCs/>
          <w:color w:val="auto"/>
          <w:sz w:val="28"/>
          <w:szCs w:val="28"/>
          <w:highlight w:val="none"/>
        </w:rPr>
      </w:pPr>
      <w:bookmarkStart w:id="510" w:name="_Toc19940"/>
    </w:p>
    <w:p w14:paraId="70722654">
      <w:pPr>
        <w:spacing w:line="440" w:lineRule="exact"/>
        <w:jc w:val="center"/>
        <w:outlineLvl w:val="9"/>
        <w:rPr>
          <w:rFonts w:hint="eastAsia" w:ascii="仿宋" w:hAnsi="仿宋" w:eastAsia="仿宋" w:cs="仿宋"/>
          <w:b/>
          <w:bCs/>
          <w:color w:val="auto"/>
          <w:sz w:val="28"/>
          <w:szCs w:val="28"/>
          <w:highlight w:val="none"/>
        </w:rPr>
      </w:pPr>
      <w:bookmarkStart w:id="511" w:name="_Toc2062"/>
      <w:bookmarkStart w:id="512" w:name="_Toc16338"/>
      <w:bookmarkStart w:id="513" w:name="_Toc2287"/>
      <w:bookmarkStart w:id="514" w:name="_Toc15463"/>
      <w:bookmarkStart w:id="515" w:name="_Toc27602"/>
      <w:bookmarkStart w:id="516" w:name="_Toc22668"/>
    </w:p>
    <w:p w14:paraId="48BA3768">
      <w:pPr>
        <w:spacing w:line="440" w:lineRule="exact"/>
        <w:jc w:val="center"/>
        <w:outlineLvl w:val="9"/>
        <w:rPr>
          <w:rFonts w:hint="eastAsia" w:ascii="仿宋" w:hAnsi="仿宋" w:eastAsia="仿宋" w:cs="仿宋"/>
          <w:b/>
          <w:bCs/>
          <w:color w:val="auto"/>
          <w:sz w:val="28"/>
          <w:szCs w:val="28"/>
          <w:highlight w:val="none"/>
        </w:rPr>
      </w:pPr>
    </w:p>
    <w:p w14:paraId="74BACA11">
      <w:pPr>
        <w:spacing w:line="440" w:lineRule="exact"/>
        <w:jc w:val="center"/>
        <w:outlineLvl w:val="9"/>
        <w:rPr>
          <w:rFonts w:hint="eastAsia" w:ascii="仿宋" w:hAnsi="仿宋" w:eastAsia="仿宋" w:cs="仿宋"/>
          <w:b/>
          <w:bCs/>
          <w:color w:val="auto"/>
          <w:sz w:val="28"/>
          <w:szCs w:val="28"/>
          <w:highlight w:val="none"/>
        </w:rPr>
      </w:pPr>
    </w:p>
    <w:p w14:paraId="36D7ECE9">
      <w:pPr>
        <w:spacing w:line="440" w:lineRule="exact"/>
        <w:jc w:val="center"/>
        <w:outlineLvl w:val="9"/>
        <w:rPr>
          <w:rFonts w:hint="eastAsia" w:ascii="仿宋" w:hAnsi="仿宋" w:eastAsia="仿宋" w:cs="仿宋"/>
          <w:b/>
          <w:bCs/>
          <w:color w:val="auto"/>
          <w:sz w:val="28"/>
          <w:szCs w:val="28"/>
          <w:highlight w:val="none"/>
        </w:rPr>
      </w:pPr>
    </w:p>
    <w:p w14:paraId="374A3D2D">
      <w:pPr>
        <w:spacing w:line="440" w:lineRule="exact"/>
        <w:jc w:val="center"/>
        <w:outlineLvl w:val="9"/>
        <w:rPr>
          <w:rFonts w:hint="eastAsia" w:ascii="仿宋" w:hAnsi="仿宋" w:eastAsia="仿宋" w:cs="仿宋"/>
          <w:b/>
          <w:bCs/>
          <w:color w:val="auto"/>
          <w:sz w:val="28"/>
          <w:szCs w:val="28"/>
          <w:highlight w:val="none"/>
        </w:rPr>
      </w:pPr>
    </w:p>
    <w:p w14:paraId="169605CB">
      <w:pPr>
        <w:spacing w:line="440" w:lineRule="exact"/>
        <w:jc w:val="center"/>
        <w:outlineLvl w:val="0"/>
        <w:rPr>
          <w:rFonts w:hint="eastAsia" w:ascii="仿宋" w:hAnsi="仿宋" w:eastAsia="仿宋" w:cs="仿宋"/>
          <w:b/>
          <w:bCs/>
          <w:color w:val="auto"/>
          <w:sz w:val="28"/>
          <w:szCs w:val="28"/>
          <w:highlight w:val="none"/>
        </w:rPr>
      </w:pPr>
      <w:bookmarkStart w:id="517" w:name="_Toc14005"/>
      <w:bookmarkStart w:id="518" w:name="_Toc22820"/>
      <w:r>
        <w:rPr>
          <w:rFonts w:hint="eastAsia" w:ascii="仿宋" w:hAnsi="仿宋" w:eastAsia="仿宋" w:cs="仿宋"/>
          <w:b/>
          <w:bCs/>
          <w:color w:val="auto"/>
          <w:sz w:val="28"/>
          <w:szCs w:val="28"/>
          <w:highlight w:val="none"/>
        </w:rPr>
        <w:t>被授权人身份证复印件</w:t>
      </w:r>
      <w:bookmarkEnd w:id="510"/>
      <w:bookmarkEnd w:id="511"/>
      <w:bookmarkEnd w:id="512"/>
      <w:bookmarkEnd w:id="513"/>
      <w:bookmarkEnd w:id="514"/>
      <w:bookmarkEnd w:id="515"/>
      <w:bookmarkEnd w:id="516"/>
      <w:bookmarkEnd w:id="517"/>
      <w:bookmarkEnd w:id="518"/>
    </w:p>
    <w:tbl>
      <w:tblPr>
        <w:tblStyle w:val="27"/>
        <w:tblpPr w:leftFromText="180" w:rightFromText="180" w:vertAnchor="text" w:horzAnchor="page" w:tblpX="2356"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8"/>
        <w:gridCol w:w="3705"/>
      </w:tblGrid>
      <w:tr w14:paraId="4C0B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3808" w:type="dxa"/>
            <w:noWrap w:val="0"/>
            <w:vAlign w:val="center"/>
          </w:tcPr>
          <w:p w14:paraId="0523C529">
            <w:pPr>
              <w:spacing w:line="440" w:lineRule="exact"/>
              <w:jc w:val="center"/>
              <w:outlineLvl w:val="0"/>
              <w:rPr>
                <w:rFonts w:hint="eastAsia" w:ascii="仿宋" w:hAnsi="仿宋" w:eastAsia="仿宋" w:cs="仿宋"/>
                <w:b/>
                <w:bCs/>
                <w:color w:val="auto"/>
                <w:sz w:val="28"/>
                <w:szCs w:val="28"/>
                <w:highlight w:val="none"/>
              </w:rPr>
            </w:pPr>
            <w:bookmarkStart w:id="519" w:name="_Toc28900"/>
            <w:bookmarkStart w:id="520" w:name="_Toc14527"/>
            <w:bookmarkStart w:id="521" w:name="_Toc23153"/>
            <w:bookmarkStart w:id="522" w:name="_Toc16864"/>
            <w:bookmarkStart w:id="523" w:name="_Toc8414"/>
            <w:bookmarkStart w:id="524" w:name="_Toc9965"/>
            <w:bookmarkStart w:id="525" w:name="_Toc29873"/>
            <w:bookmarkStart w:id="526" w:name="_Toc19052"/>
            <w:bookmarkStart w:id="527" w:name="_Toc12008"/>
            <w:bookmarkStart w:id="528" w:name="_Toc27144"/>
            <w:bookmarkStart w:id="529" w:name="_Toc2380"/>
            <w:bookmarkStart w:id="530" w:name="_Toc9107"/>
            <w:bookmarkStart w:id="531" w:name="_Toc18894"/>
            <w:bookmarkStart w:id="532" w:name="_Toc13738_WPSOffice_Level2"/>
            <w:bookmarkStart w:id="533" w:name="_Toc5285"/>
            <w:bookmarkStart w:id="534" w:name="_Toc23835"/>
            <w:bookmarkStart w:id="535" w:name="_Toc21239"/>
            <w:bookmarkStart w:id="536" w:name="_Toc17248"/>
            <w:bookmarkStart w:id="537" w:name="_Toc31819"/>
            <w:bookmarkStart w:id="538" w:name="_Toc29612"/>
            <w:bookmarkStart w:id="539" w:name="_Toc27024"/>
            <w:bookmarkStart w:id="540" w:name="_Toc12866"/>
            <w:bookmarkStart w:id="541" w:name="_Toc31120"/>
            <w:bookmarkStart w:id="542" w:name="_Toc14188"/>
            <w:r>
              <w:rPr>
                <w:rFonts w:hint="eastAsia" w:ascii="仿宋" w:hAnsi="仿宋" w:eastAsia="仿宋" w:cs="仿宋"/>
                <w:b/>
                <w:bCs/>
                <w:color w:val="auto"/>
                <w:sz w:val="28"/>
                <w:szCs w:val="28"/>
                <w:highlight w:val="none"/>
              </w:rPr>
              <w:t>正面</w:t>
            </w:r>
            <w:bookmarkEnd w:id="519"/>
            <w:bookmarkEnd w:id="520"/>
            <w:bookmarkEnd w:id="521"/>
            <w:bookmarkEnd w:id="522"/>
            <w:bookmarkEnd w:id="523"/>
            <w:bookmarkEnd w:id="524"/>
            <w:bookmarkEnd w:id="525"/>
            <w:bookmarkEnd w:id="526"/>
            <w:bookmarkEnd w:id="527"/>
            <w:r>
              <w:rPr>
                <w:rFonts w:hint="eastAsia" w:ascii="仿宋" w:hAnsi="仿宋" w:eastAsia="仿宋" w:cs="仿宋"/>
                <w:b/>
                <w:bCs/>
                <w:color w:val="auto"/>
                <w:sz w:val="28"/>
                <w:szCs w:val="28"/>
                <w:highlight w:val="none"/>
              </w:rPr>
              <w:t xml:space="preserve"> </w:t>
            </w:r>
          </w:p>
        </w:tc>
        <w:tc>
          <w:tcPr>
            <w:tcW w:w="3705" w:type="dxa"/>
            <w:noWrap w:val="0"/>
            <w:vAlign w:val="center"/>
          </w:tcPr>
          <w:p w14:paraId="7EF8BAEC">
            <w:pPr>
              <w:spacing w:line="440" w:lineRule="exact"/>
              <w:jc w:val="center"/>
              <w:outlineLvl w:val="0"/>
              <w:rPr>
                <w:rFonts w:hint="eastAsia" w:ascii="仿宋" w:hAnsi="仿宋" w:eastAsia="仿宋" w:cs="仿宋"/>
                <w:b/>
                <w:bCs/>
                <w:color w:val="auto"/>
                <w:sz w:val="28"/>
                <w:szCs w:val="28"/>
                <w:highlight w:val="none"/>
              </w:rPr>
            </w:pPr>
            <w:bookmarkStart w:id="543" w:name="_Toc13879"/>
            <w:bookmarkStart w:id="544" w:name="_Toc739"/>
            <w:bookmarkStart w:id="545" w:name="_Toc26231"/>
            <w:bookmarkStart w:id="546" w:name="_Toc29191"/>
            <w:bookmarkStart w:id="547" w:name="_Toc20642"/>
            <w:bookmarkStart w:id="548" w:name="_Toc1774"/>
            <w:bookmarkStart w:id="549" w:name="_Toc19871"/>
            <w:bookmarkStart w:id="550" w:name="_Toc15814"/>
            <w:bookmarkStart w:id="551" w:name="_Toc20436"/>
            <w:r>
              <w:rPr>
                <w:rFonts w:hint="eastAsia" w:ascii="仿宋" w:hAnsi="仿宋" w:eastAsia="仿宋" w:cs="仿宋"/>
                <w:b/>
                <w:bCs/>
                <w:color w:val="auto"/>
                <w:sz w:val="28"/>
                <w:szCs w:val="28"/>
                <w:highlight w:val="none"/>
              </w:rPr>
              <w:t>背面</w:t>
            </w:r>
            <w:bookmarkEnd w:id="543"/>
            <w:bookmarkEnd w:id="544"/>
            <w:bookmarkEnd w:id="545"/>
            <w:bookmarkEnd w:id="546"/>
            <w:bookmarkEnd w:id="547"/>
            <w:bookmarkEnd w:id="548"/>
            <w:bookmarkEnd w:id="549"/>
            <w:bookmarkEnd w:id="550"/>
            <w:bookmarkEnd w:id="551"/>
            <w:r>
              <w:rPr>
                <w:rFonts w:hint="eastAsia" w:ascii="仿宋" w:hAnsi="仿宋" w:eastAsia="仿宋" w:cs="仿宋"/>
                <w:b/>
                <w:bCs/>
                <w:color w:val="auto"/>
                <w:sz w:val="28"/>
                <w:szCs w:val="28"/>
                <w:highlight w:val="none"/>
              </w:rPr>
              <w:t xml:space="preserve"> </w:t>
            </w:r>
          </w:p>
        </w:tc>
      </w:tr>
    </w:tbl>
    <w:p w14:paraId="74C7F9F8">
      <w:pPr>
        <w:pStyle w:val="16"/>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highlight w:val="none"/>
          <w:lang w:val="en-US" w:eastAsia="zh-CN"/>
        </w:rPr>
      </w:pPr>
      <w:bookmarkStart w:id="552" w:name="_Toc10508"/>
      <w:bookmarkStart w:id="553" w:name="_Toc15264"/>
    </w:p>
    <w:p w14:paraId="3195A8D3">
      <w:pPr>
        <w:pStyle w:val="16"/>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highlight w:val="none"/>
          <w:lang w:val="en-US" w:eastAsia="zh-CN"/>
        </w:rPr>
      </w:pPr>
    </w:p>
    <w:p w14:paraId="3FAA0355">
      <w:pPr>
        <w:pStyle w:val="16"/>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highlight w:val="none"/>
          <w:lang w:val="en-US" w:eastAsia="zh-CN"/>
        </w:rPr>
      </w:pPr>
    </w:p>
    <w:p w14:paraId="2E0066E5">
      <w:pPr>
        <w:pStyle w:val="16"/>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highlight w:val="none"/>
          <w:lang w:val="en-US" w:eastAsia="zh-CN"/>
        </w:rPr>
      </w:pPr>
    </w:p>
    <w:p w14:paraId="62E58068">
      <w:pPr>
        <w:pStyle w:val="16"/>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highlight w:val="none"/>
          <w:lang w:val="en-US" w:eastAsia="zh-CN"/>
        </w:rPr>
      </w:pPr>
    </w:p>
    <w:p w14:paraId="695BE4D0">
      <w:pPr>
        <w:pStyle w:val="16"/>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highlight w:val="none"/>
          <w:lang w:val="en-US" w:eastAsia="zh-CN"/>
        </w:rPr>
      </w:pPr>
    </w:p>
    <w:p w14:paraId="1FBB9E60">
      <w:pPr>
        <w:pStyle w:val="16"/>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4.开标一览表</w:t>
      </w:r>
      <w:bookmarkEnd w:id="552"/>
    </w:p>
    <w:p w14:paraId="0FBE6D00">
      <w:pPr>
        <w:pStyle w:val="16"/>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4.1第一标段开标一览表</w:t>
      </w:r>
    </w:p>
    <w:p w14:paraId="3EA35513">
      <w:pPr>
        <w:pageBreakBefore w:val="0"/>
        <w:widowControl w:val="0"/>
        <w:kinsoku/>
        <w:wordWrap/>
        <w:overflowPunct/>
        <w:topLinePunct w:val="0"/>
        <w:autoSpaceDE/>
        <w:autoSpaceDN/>
        <w:bidi w:val="0"/>
        <w:adjustRightInd/>
        <w:snapToGrid/>
        <w:spacing w:line="480" w:lineRule="exact"/>
        <w:textAlignment w:val="auto"/>
        <w:rPr>
          <w:color w:val="auto"/>
          <w:highlight w:val="none"/>
        </w:rPr>
      </w:pPr>
      <w:bookmarkStart w:id="554" w:name="_Toc20912"/>
      <w:bookmarkStart w:id="555" w:name="_Toc27893"/>
      <w:bookmarkStart w:id="556" w:name="_Toc4326"/>
      <w:bookmarkStart w:id="557" w:name="_Toc26776"/>
      <w:r>
        <w:rPr>
          <w:rFonts w:hint="eastAsia" w:ascii="仿宋" w:hAnsi="仿宋" w:eastAsia="仿宋" w:cs="仿宋"/>
          <w:b/>
          <w:bCs/>
          <w:color w:val="auto"/>
          <w:sz w:val="28"/>
          <w:szCs w:val="28"/>
          <w:highlight w:val="none"/>
        </w:rPr>
        <w:t>项目名称：                 项目编号</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color w:val="auto"/>
          <w:kern w:val="2"/>
          <w:sz w:val="28"/>
          <w:szCs w:val="28"/>
          <w:highlight w:val="none"/>
        </w:rPr>
        <w:t xml:space="preserve">     </w:t>
      </w:r>
      <w:r>
        <w:rPr>
          <w:rStyle w:val="49"/>
          <w:rFonts w:hint="eastAsia" w:ascii="仿宋" w:hAnsi="仿宋" w:eastAsia="仿宋" w:cs="仿宋"/>
          <w:color w:val="auto"/>
          <w:kern w:val="2"/>
          <w:sz w:val="28"/>
          <w:szCs w:val="28"/>
          <w:highlight w:val="none"/>
          <w:lang w:val="en-US"/>
        </w:rPr>
        <w:t xml:space="preserve">  </w:t>
      </w:r>
      <w:r>
        <w:rPr>
          <w:rStyle w:val="49"/>
          <w:rFonts w:hint="eastAsia" w:ascii="仿宋" w:hAnsi="仿宋" w:eastAsia="仿宋" w:cs="仿宋"/>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lang w:val="en-US"/>
        </w:rPr>
        <w:t xml:space="preserve"> </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lang w:val="en-US"/>
        </w:rPr>
        <w:t>标段号：</w:t>
      </w:r>
      <w:r>
        <w:rPr>
          <w:rStyle w:val="49"/>
          <w:rFonts w:hint="eastAsia" w:ascii="仿宋" w:hAnsi="仿宋" w:eastAsia="仿宋" w:cs="仿宋"/>
          <w:b/>
          <w:bCs/>
          <w:color w:val="auto"/>
          <w:kern w:val="2"/>
          <w:sz w:val="28"/>
          <w:szCs w:val="28"/>
          <w:highlight w:val="non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5117"/>
      </w:tblGrid>
      <w:tr w14:paraId="39EB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6DE803BB">
            <w:pPr>
              <w:pStyle w:val="1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w:t>
            </w:r>
          </w:p>
        </w:tc>
        <w:tc>
          <w:tcPr>
            <w:tcW w:w="5117" w:type="dxa"/>
            <w:noWrap w:val="0"/>
            <w:vAlign w:val="center"/>
          </w:tcPr>
          <w:p w14:paraId="2BC91404">
            <w:pPr>
              <w:pStyle w:val="16"/>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r>
      <w:tr w14:paraId="546D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802" w:type="dxa"/>
            <w:noWrap w:val="0"/>
            <w:vAlign w:val="center"/>
          </w:tcPr>
          <w:p w14:paraId="62CD0D26">
            <w:pPr>
              <w:pStyle w:val="16"/>
              <w:jc w:val="center"/>
              <w:rPr>
                <w:rFonts w:hint="eastAsia" w:ascii="仿宋" w:hAnsi="仿宋" w:eastAsia="仿宋" w:cs="仿宋"/>
                <w:color w:val="auto"/>
                <w:sz w:val="28"/>
                <w:szCs w:val="28"/>
                <w:highlight w:val="none"/>
              </w:rPr>
            </w:pPr>
            <w:r>
              <w:rPr>
                <w:rStyle w:val="61"/>
                <w:rFonts w:hint="eastAsia" w:ascii="仿宋" w:hAnsi="仿宋" w:eastAsia="仿宋" w:cs="仿宋"/>
                <w:b w:val="0"/>
                <w:i w:val="0"/>
                <w:caps w:val="0"/>
                <w:color w:val="auto"/>
                <w:spacing w:val="0"/>
                <w:w w:val="100"/>
                <w:kern w:val="2"/>
                <w:sz w:val="28"/>
                <w:szCs w:val="28"/>
                <w:highlight w:val="none"/>
                <w:lang w:val="en-US" w:eastAsia="zh-CN" w:bidi="ar-SA"/>
              </w:rPr>
              <w:t>统一平均折扣率（%）</w:t>
            </w:r>
          </w:p>
        </w:tc>
        <w:tc>
          <w:tcPr>
            <w:tcW w:w="5117" w:type="dxa"/>
            <w:noWrap w:val="0"/>
            <w:vAlign w:val="center"/>
          </w:tcPr>
          <w:p w14:paraId="0E73C1F2">
            <w:pPr>
              <w:pStyle w:val="16"/>
              <w:rPr>
                <w:rFonts w:ascii="仿宋" w:hAnsi="仿宋" w:eastAsia="仿宋" w:cs="仿宋"/>
                <w:color w:val="auto"/>
                <w:sz w:val="28"/>
                <w:szCs w:val="28"/>
                <w:highlight w:val="none"/>
              </w:rPr>
            </w:pPr>
          </w:p>
        </w:tc>
      </w:tr>
      <w:tr w14:paraId="22FB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26F4D169">
            <w:pPr>
              <w:pStyle w:val="16"/>
              <w:jc w:val="center"/>
              <w:rPr>
                <w:rFonts w:ascii="仿宋" w:hAnsi="仿宋" w:eastAsia="仿宋" w:cs="仿宋"/>
                <w:color w:val="auto"/>
                <w:sz w:val="28"/>
                <w:szCs w:val="28"/>
                <w:highlight w:val="none"/>
              </w:rPr>
            </w:pPr>
            <w:r>
              <w:rPr>
                <w:rStyle w:val="61"/>
                <w:rFonts w:hint="eastAsia" w:ascii="仿宋" w:hAnsi="仿宋" w:eastAsia="仿宋" w:cs="仿宋"/>
                <w:b w:val="0"/>
                <w:i w:val="0"/>
                <w:caps w:val="0"/>
                <w:color w:val="auto"/>
                <w:spacing w:val="0"/>
                <w:w w:val="100"/>
                <w:kern w:val="2"/>
                <w:sz w:val="28"/>
                <w:szCs w:val="28"/>
                <w:highlight w:val="none"/>
                <w:lang w:val="en-US" w:eastAsia="zh-CN" w:bidi="ar-SA"/>
              </w:rPr>
              <w:t>保质期限</w:t>
            </w:r>
          </w:p>
        </w:tc>
        <w:tc>
          <w:tcPr>
            <w:tcW w:w="5117" w:type="dxa"/>
            <w:noWrap w:val="0"/>
            <w:vAlign w:val="center"/>
          </w:tcPr>
          <w:p w14:paraId="4DA859C9">
            <w:pPr>
              <w:pStyle w:val="16"/>
              <w:jc w:val="center"/>
              <w:rPr>
                <w:rFonts w:ascii="仿宋" w:hAnsi="仿宋" w:eastAsia="仿宋" w:cs="仿宋"/>
                <w:color w:val="auto"/>
                <w:sz w:val="28"/>
                <w:szCs w:val="28"/>
                <w:highlight w:val="none"/>
              </w:rPr>
            </w:pPr>
          </w:p>
        </w:tc>
      </w:tr>
      <w:tr w14:paraId="16A4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5C46CD79">
            <w:pPr>
              <w:pStyle w:val="16"/>
              <w:jc w:val="center"/>
              <w:rPr>
                <w:rFonts w:ascii="仿宋" w:hAnsi="仿宋" w:eastAsia="仿宋" w:cs="仿宋"/>
                <w:color w:val="auto"/>
                <w:sz w:val="28"/>
                <w:szCs w:val="28"/>
                <w:highlight w:val="none"/>
              </w:rPr>
            </w:pPr>
            <w:r>
              <w:rPr>
                <w:rStyle w:val="61"/>
                <w:rFonts w:hint="eastAsia" w:ascii="仿宋" w:hAnsi="仿宋" w:eastAsia="仿宋" w:cs="仿宋"/>
                <w:b w:val="0"/>
                <w:i w:val="0"/>
                <w:caps w:val="0"/>
                <w:color w:val="auto"/>
                <w:spacing w:val="0"/>
                <w:w w:val="100"/>
                <w:kern w:val="2"/>
                <w:sz w:val="28"/>
                <w:szCs w:val="28"/>
                <w:highlight w:val="none"/>
                <w:lang w:val="en-US" w:eastAsia="zh-CN" w:bidi="ar-SA"/>
              </w:rPr>
              <w:t>交货时间</w:t>
            </w:r>
          </w:p>
        </w:tc>
        <w:tc>
          <w:tcPr>
            <w:tcW w:w="5117" w:type="dxa"/>
            <w:noWrap w:val="0"/>
            <w:vAlign w:val="center"/>
          </w:tcPr>
          <w:p w14:paraId="51094B62">
            <w:pPr>
              <w:pStyle w:val="16"/>
              <w:jc w:val="center"/>
              <w:rPr>
                <w:rFonts w:ascii="仿宋" w:hAnsi="仿宋" w:eastAsia="仿宋" w:cs="仿宋"/>
                <w:color w:val="auto"/>
                <w:sz w:val="28"/>
                <w:szCs w:val="28"/>
                <w:highlight w:val="none"/>
              </w:rPr>
            </w:pPr>
          </w:p>
        </w:tc>
      </w:tr>
      <w:tr w14:paraId="6754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075EA716">
            <w:pPr>
              <w:pStyle w:val="16"/>
              <w:jc w:val="center"/>
              <w:rPr>
                <w:rStyle w:val="61"/>
                <w:rFonts w:hint="eastAsia" w:ascii="仿宋" w:hAnsi="仿宋" w:eastAsia="仿宋" w:cs="仿宋"/>
                <w:b w:val="0"/>
                <w:i w:val="0"/>
                <w:caps w:val="0"/>
                <w:color w:val="auto"/>
                <w:spacing w:val="0"/>
                <w:w w:val="100"/>
                <w:kern w:val="2"/>
                <w:sz w:val="28"/>
                <w:szCs w:val="28"/>
                <w:highlight w:val="none"/>
                <w:lang w:val="en-US" w:eastAsia="zh-CN" w:bidi="ar-SA"/>
              </w:rPr>
            </w:pPr>
            <w:r>
              <w:rPr>
                <w:rStyle w:val="61"/>
                <w:rFonts w:hint="eastAsia" w:ascii="仿宋" w:hAnsi="仿宋" w:eastAsia="仿宋" w:cs="仿宋"/>
                <w:b w:val="0"/>
                <w:i w:val="0"/>
                <w:caps w:val="0"/>
                <w:color w:val="auto"/>
                <w:spacing w:val="0"/>
                <w:w w:val="100"/>
                <w:kern w:val="2"/>
                <w:sz w:val="28"/>
                <w:szCs w:val="28"/>
                <w:highlight w:val="none"/>
                <w:lang w:val="en-US" w:eastAsia="zh-CN" w:bidi="ar-SA"/>
              </w:rPr>
              <w:t>合同期限</w:t>
            </w:r>
          </w:p>
        </w:tc>
        <w:tc>
          <w:tcPr>
            <w:tcW w:w="5117" w:type="dxa"/>
            <w:noWrap w:val="0"/>
            <w:vAlign w:val="center"/>
          </w:tcPr>
          <w:p w14:paraId="2E208DD3">
            <w:pPr>
              <w:pStyle w:val="16"/>
              <w:jc w:val="center"/>
              <w:rPr>
                <w:rFonts w:ascii="仿宋" w:hAnsi="仿宋" w:eastAsia="仿宋" w:cs="仿宋"/>
                <w:color w:val="auto"/>
                <w:sz w:val="28"/>
                <w:szCs w:val="28"/>
                <w:highlight w:val="none"/>
              </w:rPr>
            </w:pPr>
          </w:p>
        </w:tc>
      </w:tr>
      <w:tr w14:paraId="44BF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3BDD891A">
            <w:pPr>
              <w:pStyle w:val="16"/>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报价总说明</w:t>
            </w:r>
          </w:p>
        </w:tc>
        <w:tc>
          <w:tcPr>
            <w:tcW w:w="5117" w:type="dxa"/>
            <w:noWrap w:val="0"/>
            <w:vAlign w:val="center"/>
          </w:tcPr>
          <w:p w14:paraId="3DDABB1D">
            <w:pPr>
              <w:pStyle w:val="16"/>
              <w:jc w:val="center"/>
              <w:rPr>
                <w:rFonts w:ascii="仿宋" w:hAnsi="仿宋" w:eastAsia="仿宋" w:cs="仿宋"/>
                <w:color w:val="auto"/>
                <w:sz w:val="28"/>
                <w:szCs w:val="28"/>
                <w:highlight w:val="none"/>
              </w:rPr>
            </w:pPr>
          </w:p>
        </w:tc>
      </w:tr>
    </w:tbl>
    <w:p w14:paraId="25DAEFB6">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投标人名称（单位盖章）：</w:t>
      </w:r>
      <w:r>
        <w:rPr>
          <w:rFonts w:hint="eastAsia" w:ascii="仿宋" w:hAnsi="仿宋" w:eastAsia="仿宋" w:cs="仿宋"/>
          <w:color w:val="auto"/>
          <w:sz w:val="28"/>
          <w:szCs w:val="28"/>
          <w:highlight w:val="none"/>
          <w:u w:val="single"/>
        </w:rPr>
        <w:t xml:space="preserve">                </w:t>
      </w:r>
    </w:p>
    <w:p w14:paraId="0D526D72">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法定代表人或被授权人(签字或签章):</w:t>
      </w:r>
      <w:r>
        <w:rPr>
          <w:rFonts w:hint="eastAsia" w:ascii="仿宋" w:hAnsi="仿宋" w:eastAsia="仿宋" w:cs="仿宋"/>
          <w:color w:val="auto"/>
          <w:sz w:val="28"/>
          <w:szCs w:val="28"/>
          <w:highlight w:val="none"/>
          <w:u w:val="single"/>
        </w:rPr>
        <w:tab/>
      </w:r>
    </w:p>
    <w:p w14:paraId="46F05D40">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13F60FCE">
      <w:pPr>
        <w:keepNext w:val="0"/>
        <w:keepLines w:val="0"/>
        <w:pageBreakBefore w:val="0"/>
        <w:kinsoku/>
        <w:wordWrap/>
        <w:overflowPunct/>
        <w:topLinePunct w:val="0"/>
        <w:autoSpaceDE w:val="0"/>
        <w:autoSpaceDN w:val="0"/>
        <w:bidi w:val="0"/>
        <w:adjustRightInd w:val="0"/>
        <w:spacing w:after="0" w:line="480" w:lineRule="exact"/>
        <w:textAlignment w:val="auto"/>
        <w:rPr>
          <w:rFonts w:hint="eastAsia" w:ascii="仿宋" w:hAnsi="仿宋" w:eastAsia="仿宋" w:cs="仿宋"/>
          <w:color w:val="auto"/>
          <w:sz w:val="28"/>
          <w:szCs w:val="28"/>
          <w:highlight w:val="none"/>
          <w:lang w:val="en-US" w:eastAsia="zh-CN"/>
        </w:rPr>
      </w:pPr>
      <w:bookmarkStart w:id="558" w:name="_Toc29462"/>
      <w:bookmarkStart w:id="559" w:name="_Toc17913"/>
      <w:bookmarkStart w:id="560" w:name="_Toc13372"/>
      <w:bookmarkStart w:id="561" w:name="_Toc31611"/>
      <w:bookmarkStart w:id="562" w:name="_Toc2941"/>
      <w:r>
        <w:rPr>
          <w:rFonts w:hint="eastAsia" w:ascii="仿宋" w:hAnsi="仿宋" w:eastAsia="仿宋" w:cs="仿宋"/>
          <w:color w:val="auto"/>
          <w:sz w:val="28"/>
          <w:szCs w:val="28"/>
          <w:highlight w:val="none"/>
          <w:lang w:val="en-US" w:eastAsia="zh-CN"/>
        </w:rPr>
        <w:t>备注：</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如果需要对投标报价或其它内容加以说明，可在报价</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rPr>
        <w:t>说明中填写。</w:t>
      </w:r>
      <w:bookmarkEnd w:id="558"/>
      <w:bookmarkEnd w:id="559"/>
      <w:bookmarkEnd w:id="560"/>
      <w:bookmarkEnd w:id="561"/>
      <w:bookmarkEnd w:id="562"/>
      <w:r>
        <w:rPr>
          <w:rFonts w:hint="eastAsia" w:ascii="仿宋" w:hAnsi="仿宋" w:eastAsia="仿宋" w:cs="仿宋"/>
          <w:color w:val="auto"/>
          <w:sz w:val="28"/>
          <w:szCs w:val="28"/>
          <w:highlight w:val="none"/>
          <w:lang w:val="en-US" w:eastAsia="zh-CN"/>
        </w:rPr>
        <w:t>此报价必须包括完成此项目所有内容的费用。此报价包含招标文件中采购需求里所有产品的报价。</w:t>
      </w:r>
    </w:p>
    <w:p w14:paraId="514A8736">
      <w:pPr>
        <w:pStyle w:val="16"/>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4.2第二标段开标一览表</w:t>
      </w:r>
    </w:p>
    <w:p w14:paraId="7E636D61">
      <w:pPr>
        <w:pageBreakBefore w:val="0"/>
        <w:widowControl w:val="0"/>
        <w:kinsoku/>
        <w:wordWrap/>
        <w:overflowPunct/>
        <w:topLinePunct w:val="0"/>
        <w:autoSpaceDE/>
        <w:autoSpaceDN/>
        <w:bidi w:val="0"/>
        <w:adjustRightInd/>
        <w:snapToGrid/>
        <w:spacing w:line="480" w:lineRule="exact"/>
        <w:textAlignment w:val="auto"/>
        <w:rPr>
          <w:color w:val="auto"/>
          <w:highlight w:val="none"/>
        </w:rPr>
      </w:pPr>
      <w:r>
        <w:rPr>
          <w:rFonts w:hint="eastAsia" w:ascii="仿宋" w:hAnsi="仿宋" w:eastAsia="仿宋" w:cs="仿宋"/>
          <w:b/>
          <w:bCs/>
          <w:color w:val="auto"/>
          <w:sz w:val="28"/>
          <w:szCs w:val="28"/>
          <w:highlight w:val="none"/>
        </w:rPr>
        <w:t>项目名称：                 项目编号</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color w:val="auto"/>
          <w:kern w:val="2"/>
          <w:sz w:val="28"/>
          <w:szCs w:val="28"/>
          <w:highlight w:val="none"/>
        </w:rPr>
        <w:t xml:space="preserve">     </w:t>
      </w:r>
      <w:r>
        <w:rPr>
          <w:rStyle w:val="49"/>
          <w:rFonts w:hint="eastAsia" w:ascii="仿宋" w:hAnsi="仿宋" w:eastAsia="仿宋" w:cs="仿宋"/>
          <w:color w:val="auto"/>
          <w:kern w:val="2"/>
          <w:sz w:val="28"/>
          <w:szCs w:val="28"/>
          <w:highlight w:val="none"/>
          <w:lang w:val="en-US"/>
        </w:rPr>
        <w:t xml:space="preserve">  </w:t>
      </w:r>
      <w:r>
        <w:rPr>
          <w:rStyle w:val="49"/>
          <w:rFonts w:hint="eastAsia" w:ascii="仿宋" w:hAnsi="仿宋" w:eastAsia="仿宋" w:cs="仿宋"/>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lang w:val="en-US"/>
        </w:rPr>
        <w:t xml:space="preserve"> </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lang w:val="en-US"/>
        </w:rPr>
        <w:t>标段号：</w:t>
      </w:r>
      <w:r>
        <w:rPr>
          <w:rStyle w:val="49"/>
          <w:rFonts w:hint="eastAsia" w:ascii="仿宋" w:hAnsi="仿宋" w:eastAsia="仿宋" w:cs="仿宋"/>
          <w:b/>
          <w:bCs/>
          <w:color w:val="auto"/>
          <w:kern w:val="2"/>
          <w:sz w:val="28"/>
          <w:szCs w:val="28"/>
          <w:highlight w:val="non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5117"/>
      </w:tblGrid>
      <w:tr w14:paraId="1A34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76B8FBD1">
            <w:pPr>
              <w:pStyle w:val="1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w:t>
            </w:r>
          </w:p>
        </w:tc>
        <w:tc>
          <w:tcPr>
            <w:tcW w:w="5117" w:type="dxa"/>
            <w:noWrap w:val="0"/>
            <w:vAlign w:val="center"/>
          </w:tcPr>
          <w:p w14:paraId="1E1EA22B">
            <w:pPr>
              <w:pStyle w:val="16"/>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r>
      <w:tr w14:paraId="7584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802" w:type="dxa"/>
            <w:noWrap w:val="0"/>
            <w:vAlign w:val="center"/>
          </w:tcPr>
          <w:p w14:paraId="2CF0CB56">
            <w:pPr>
              <w:pStyle w:val="16"/>
              <w:jc w:val="center"/>
              <w:rPr>
                <w:rFonts w:hint="eastAsia" w:ascii="仿宋" w:hAnsi="仿宋" w:eastAsia="仿宋" w:cs="仿宋"/>
                <w:color w:val="auto"/>
                <w:sz w:val="28"/>
                <w:szCs w:val="28"/>
                <w:highlight w:val="none"/>
              </w:rPr>
            </w:pPr>
            <w:r>
              <w:rPr>
                <w:rStyle w:val="61"/>
                <w:rFonts w:hint="eastAsia" w:ascii="仿宋" w:hAnsi="仿宋" w:eastAsia="仿宋" w:cs="仿宋"/>
                <w:b w:val="0"/>
                <w:i w:val="0"/>
                <w:caps w:val="0"/>
                <w:color w:val="auto"/>
                <w:spacing w:val="0"/>
                <w:w w:val="100"/>
                <w:kern w:val="2"/>
                <w:sz w:val="28"/>
                <w:szCs w:val="28"/>
                <w:highlight w:val="none"/>
                <w:lang w:val="en-US" w:eastAsia="zh-CN" w:bidi="ar-SA"/>
              </w:rPr>
              <w:t>投标单价（元/天/人）</w:t>
            </w:r>
          </w:p>
        </w:tc>
        <w:tc>
          <w:tcPr>
            <w:tcW w:w="5117" w:type="dxa"/>
            <w:noWrap w:val="0"/>
            <w:vAlign w:val="center"/>
          </w:tcPr>
          <w:p w14:paraId="328270DC">
            <w:pPr>
              <w:pStyle w:val="16"/>
              <w:rPr>
                <w:rFonts w:ascii="仿宋" w:hAnsi="仿宋" w:eastAsia="仿宋" w:cs="仿宋"/>
                <w:color w:val="auto"/>
                <w:sz w:val="28"/>
                <w:szCs w:val="28"/>
                <w:highlight w:val="none"/>
              </w:rPr>
            </w:pPr>
          </w:p>
        </w:tc>
      </w:tr>
      <w:tr w14:paraId="4B30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3E1FDF87">
            <w:pPr>
              <w:pStyle w:val="16"/>
              <w:jc w:val="center"/>
              <w:rPr>
                <w:rFonts w:ascii="仿宋" w:hAnsi="仿宋" w:eastAsia="仿宋" w:cs="仿宋"/>
                <w:color w:val="auto"/>
                <w:sz w:val="28"/>
                <w:szCs w:val="28"/>
                <w:highlight w:val="none"/>
              </w:rPr>
            </w:pPr>
            <w:r>
              <w:rPr>
                <w:rStyle w:val="61"/>
                <w:rFonts w:hint="eastAsia" w:ascii="仿宋" w:hAnsi="仿宋" w:eastAsia="仿宋" w:cs="仿宋"/>
                <w:b w:val="0"/>
                <w:i w:val="0"/>
                <w:caps w:val="0"/>
                <w:color w:val="auto"/>
                <w:spacing w:val="0"/>
                <w:w w:val="100"/>
                <w:kern w:val="2"/>
                <w:sz w:val="28"/>
                <w:szCs w:val="28"/>
                <w:highlight w:val="none"/>
                <w:lang w:val="en-US" w:eastAsia="zh-CN" w:bidi="ar-SA"/>
              </w:rPr>
              <w:t>保质期限</w:t>
            </w:r>
          </w:p>
        </w:tc>
        <w:tc>
          <w:tcPr>
            <w:tcW w:w="5117" w:type="dxa"/>
            <w:noWrap w:val="0"/>
            <w:vAlign w:val="center"/>
          </w:tcPr>
          <w:p w14:paraId="08E1EBEC">
            <w:pPr>
              <w:pStyle w:val="16"/>
              <w:jc w:val="center"/>
              <w:rPr>
                <w:rFonts w:ascii="仿宋" w:hAnsi="仿宋" w:eastAsia="仿宋" w:cs="仿宋"/>
                <w:color w:val="auto"/>
                <w:sz w:val="28"/>
                <w:szCs w:val="28"/>
                <w:highlight w:val="none"/>
              </w:rPr>
            </w:pPr>
          </w:p>
        </w:tc>
      </w:tr>
      <w:tr w14:paraId="74FF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413A77B6">
            <w:pPr>
              <w:pStyle w:val="16"/>
              <w:jc w:val="center"/>
              <w:rPr>
                <w:rFonts w:ascii="仿宋" w:hAnsi="仿宋" w:eastAsia="仿宋" w:cs="仿宋"/>
                <w:color w:val="auto"/>
                <w:sz w:val="28"/>
                <w:szCs w:val="28"/>
                <w:highlight w:val="none"/>
              </w:rPr>
            </w:pPr>
            <w:r>
              <w:rPr>
                <w:rStyle w:val="61"/>
                <w:rFonts w:hint="eastAsia" w:ascii="仿宋" w:hAnsi="仿宋" w:eastAsia="仿宋" w:cs="仿宋"/>
                <w:b w:val="0"/>
                <w:i w:val="0"/>
                <w:caps w:val="0"/>
                <w:color w:val="auto"/>
                <w:spacing w:val="0"/>
                <w:w w:val="100"/>
                <w:kern w:val="2"/>
                <w:sz w:val="28"/>
                <w:szCs w:val="28"/>
                <w:highlight w:val="none"/>
                <w:lang w:val="en-US" w:eastAsia="zh-CN" w:bidi="ar-SA"/>
              </w:rPr>
              <w:t>交货时间</w:t>
            </w:r>
          </w:p>
        </w:tc>
        <w:tc>
          <w:tcPr>
            <w:tcW w:w="5117" w:type="dxa"/>
            <w:noWrap w:val="0"/>
            <w:vAlign w:val="center"/>
          </w:tcPr>
          <w:p w14:paraId="42F43A9D">
            <w:pPr>
              <w:pStyle w:val="16"/>
              <w:jc w:val="center"/>
              <w:rPr>
                <w:rFonts w:ascii="仿宋" w:hAnsi="仿宋" w:eastAsia="仿宋" w:cs="仿宋"/>
                <w:color w:val="auto"/>
                <w:sz w:val="28"/>
                <w:szCs w:val="28"/>
                <w:highlight w:val="none"/>
              </w:rPr>
            </w:pPr>
          </w:p>
        </w:tc>
      </w:tr>
      <w:tr w14:paraId="2E03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19F7C4A3">
            <w:pPr>
              <w:pStyle w:val="16"/>
              <w:jc w:val="center"/>
              <w:rPr>
                <w:rStyle w:val="61"/>
                <w:rFonts w:hint="eastAsia" w:ascii="仿宋" w:hAnsi="仿宋" w:eastAsia="仿宋" w:cs="仿宋"/>
                <w:b w:val="0"/>
                <w:i w:val="0"/>
                <w:caps w:val="0"/>
                <w:color w:val="auto"/>
                <w:spacing w:val="0"/>
                <w:w w:val="100"/>
                <w:kern w:val="2"/>
                <w:sz w:val="28"/>
                <w:szCs w:val="28"/>
                <w:highlight w:val="none"/>
                <w:lang w:val="en-US" w:eastAsia="zh-CN" w:bidi="ar-SA"/>
              </w:rPr>
            </w:pPr>
            <w:r>
              <w:rPr>
                <w:rStyle w:val="61"/>
                <w:rFonts w:hint="eastAsia" w:ascii="仿宋" w:hAnsi="仿宋" w:eastAsia="仿宋" w:cs="仿宋"/>
                <w:b w:val="0"/>
                <w:i w:val="0"/>
                <w:caps w:val="0"/>
                <w:color w:val="auto"/>
                <w:spacing w:val="0"/>
                <w:w w:val="100"/>
                <w:kern w:val="2"/>
                <w:sz w:val="28"/>
                <w:szCs w:val="28"/>
                <w:highlight w:val="none"/>
                <w:lang w:val="en-US" w:eastAsia="zh-CN" w:bidi="ar-SA"/>
              </w:rPr>
              <w:t>合同期限</w:t>
            </w:r>
          </w:p>
        </w:tc>
        <w:tc>
          <w:tcPr>
            <w:tcW w:w="5117" w:type="dxa"/>
            <w:noWrap w:val="0"/>
            <w:vAlign w:val="center"/>
          </w:tcPr>
          <w:p w14:paraId="67B65BDC">
            <w:pPr>
              <w:pStyle w:val="16"/>
              <w:jc w:val="center"/>
              <w:rPr>
                <w:rFonts w:ascii="仿宋" w:hAnsi="仿宋" w:eastAsia="仿宋" w:cs="仿宋"/>
                <w:color w:val="auto"/>
                <w:sz w:val="28"/>
                <w:szCs w:val="28"/>
                <w:highlight w:val="none"/>
              </w:rPr>
            </w:pPr>
          </w:p>
        </w:tc>
      </w:tr>
      <w:tr w14:paraId="1130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50C0286B">
            <w:pPr>
              <w:pStyle w:val="16"/>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报价总说明</w:t>
            </w:r>
          </w:p>
        </w:tc>
        <w:tc>
          <w:tcPr>
            <w:tcW w:w="5117" w:type="dxa"/>
            <w:noWrap w:val="0"/>
            <w:vAlign w:val="center"/>
          </w:tcPr>
          <w:p w14:paraId="0C523D13">
            <w:pPr>
              <w:pStyle w:val="16"/>
              <w:jc w:val="center"/>
              <w:rPr>
                <w:rFonts w:ascii="仿宋" w:hAnsi="仿宋" w:eastAsia="仿宋" w:cs="仿宋"/>
                <w:color w:val="auto"/>
                <w:sz w:val="28"/>
                <w:szCs w:val="28"/>
                <w:highlight w:val="none"/>
              </w:rPr>
            </w:pPr>
          </w:p>
        </w:tc>
      </w:tr>
    </w:tbl>
    <w:p w14:paraId="3290C167">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投标人名称（单位盖章）：</w:t>
      </w:r>
      <w:r>
        <w:rPr>
          <w:rFonts w:hint="eastAsia" w:ascii="仿宋" w:hAnsi="仿宋" w:eastAsia="仿宋" w:cs="仿宋"/>
          <w:color w:val="auto"/>
          <w:sz w:val="28"/>
          <w:szCs w:val="28"/>
          <w:highlight w:val="none"/>
          <w:u w:val="single"/>
        </w:rPr>
        <w:t xml:space="preserve">                </w:t>
      </w:r>
    </w:p>
    <w:p w14:paraId="419EC3D8">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法定代表人或被授权人(签字或签章):</w:t>
      </w:r>
      <w:r>
        <w:rPr>
          <w:rFonts w:hint="eastAsia" w:ascii="仿宋" w:hAnsi="仿宋" w:eastAsia="仿宋" w:cs="仿宋"/>
          <w:color w:val="auto"/>
          <w:sz w:val="28"/>
          <w:szCs w:val="28"/>
          <w:highlight w:val="none"/>
          <w:u w:val="single"/>
        </w:rPr>
        <w:tab/>
      </w:r>
    </w:p>
    <w:p w14:paraId="2BB9A654">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3C96EDFB">
      <w:pPr>
        <w:keepNext w:val="0"/>
        <w:keepLines w:val="0"/>
        <w:pageBreakBefore w:val="0"/>
        <w:kinsoku/>
        <w:wordWrap/>
        <w:overflowPunct/>
        <w:topLinePunct w:val="0"/>
        <w:autoSpaceDE w:val="0"/>
        <w:autoSpaceDN w:val="0"/>
        <w:bidi w:val="0"/>
        <w:adjustRightInd w:val="0"/>
        <w:spacing w:after="0" w:line="48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备注：</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如果需要对投标报价或其它内容加以说明，可在报价</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rPr>
        <w:t>说明中填写。</w:t>
      </w:r>
      <w:r>
        <w:rPr>
          <w:rFonts w:hint="eastAsia" w:ascii="仿宋" w:hAnsi="仿宋" w:eastAsia="仿宋" w:cs="仿宋"/>
          <w:color w:val="auto"/>
          <w:sz w:val="28"/>
          <w:szCs w:val="28"/>
          <w:highlight w:val="none"/>
          <w:lang w:val="en-US" w:eastAsia="zh-CN"/>
        </w:rPr>
        <w:t>此报价必须包括完成此项目所有内容的费用。此报价包含招标文件中采购需求里所有产品的报价。</w:t>
      </w:r>
    </w:p>
    <w:p w14:paraId="20440553">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hint="eastAsia"/>
          <w:color w:val="auto"/>
          <w:highlight w:val="none"/>
          <w:lang w:val="en-US" w:eastAsia="zh-CN"/>
        </w:rPr>
      </w:pPr>
    </w:p>
    <w:p w14:paraId="28C91DC8">
      <w:pPr>
        <w:rPr>
          <w:rFonts w:hint="eastAsia"/>
          <w:color w:val="auto"/>
          <w:highlight w:val="none"/>
          <w:lang w:val="en-US" w:eastAsia="zh-CN"/>
        </w:rPr>
      </w:pPr>
    </w:p>
    <w:p w14:paraId="7D276D07">
      <w:pPr>
        <w:pStyle w:val="2"/>
        <w:rPr>
          <w:rFonts w:hint="eastAsia"/>
          <w:highlight w:val="none"/>
          <w:lang w:val="en-US" w:eastAsia="zh-CN"/>
        </w:rPr>
      </w:pPr>
    </w:p>
    <w:p w14:paraId="0638E7B3">
      <w:pPr>
        <w:pStyle w:val="16"/>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5.报价明细表</w:t>
      </w:r>
    </w:p>
    <w:p w14:paraId="19B262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eastAsia="zh-CN"/>
        </w:rPr>
        <w:t>5.1第一标段报价明细表</w:t>
      </w:r>
    </w:p>
    <w:p w14:paraId="0611D005">
      <w:pPr>
        <w:keepNext w:val="0"/>
        <w:keepLines w:val="0"/>
        <w:pageBreakBefore w:val="0"/>
        <w:widowControl w:val="0"/>
        <w:kinsoku/>
        <w:wordWrap/>
        <w:overflowPunct/>
        <w:topLinePunct w:val="0"/>
        <w:autoSpaceDE/>
        <w:autoSpaceDN/>
        <w:bidi w:val="0"/>
        <w:adjustRightInd/>
        <w:snapToGrid/>
        <w:spacing w:line="480" w:lineRule="exact"/>
        <w:textAlignment w:val="auto"/>
        <w:rPr>
          <w:color w:val="auto"/>
          <w:highlight w:val="none"/>
        </w:rPr>
      </w:pPr>
      <w:r>
        <w:rPr>
          <w:rFonts w:hint="eastAsia" w:ascii="仿宋" w:hAnsi="仿宋" w:eastAsia="仿宋" w:cs="仿宋"/>
          <w:b/>
          <w:bCs/>
          <w:color w:val="auto"/>
          <w:sz w:val="28"/>
          <w:szCs w:val="28"/>
          <w:highlight w:val="none"/>
        </w:rPr>
        <w:t>项目名称：                 项目编号</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color w:val="auto"/>
          <w:kern w:val="2"/>
          <w:sz w:val="28"/>
          <w:szCs w:val="28"/>
          <w:highlight w:val="none"/>
        </w:rPr>
        <w:t xml:space="preserve">     </w:t>
      </w:r>
      <w:r>
        <w:rPr>
          <w:rStyle w:val="49"/>
          <w:rFonts w:hint="eastAsia" w:ascii="仿宋" w:hAnsi="仿宋" w:eastAsia="仿宋" w:cs="仿宋"/>
          <w:color w:val="auto"/>
          <w:kern w:val="2"/>
          <w:sz w:val="28"/>
          <w:szCs w:val="28"/>
          <w:highlight w:val="none"/>
          <w:lang w:val="en-US"/>
        </w:rPr>
        <w:t xml:space="preserve">  </w:t>
      </w:r>
      <w:r>
        <w:rPr>
          <w:rStyle w:val="49"/>
          <w:rFonts w:hint="eastAsia" w:ascii="仿宋" w:hAnsi="仿宋" w:eastAsia="仿宋" w:cs="仿宋"/>
          <w:color w:val="auto"/>
          <w:kern w:val="2"/>
          <w:sz w:val="28"/>
          <w:szCs w:val="28"/>
          <w:highlight w:val="none"/>
        </w:rPr>
        <w:t xml:space="preserve"> </w:t>
      </w:r>
      <w:r>
        <w:rPr>
          <w:rStyle w:val="49"/>
          <w:rFonts w:hint="eastAsia" w:ascii="仿宋" w:hAnsi="仿宋" w:eastAsia="仿宋" w:cs="仿宋"/>
          <w:color w:val="auto"/>
          <w:kern w:val="2"/>
          <w:sz w:val="28"/>
          <w:szCs w:val="28"/>
          <w:highlight w:val="none"/>
          <w:lang w:val="en-US"/>
        </w:rPr>
        <w:t xml:space="preserve"> </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lang w:val="en-US"/>
        </w:rPr>
        <w:t xml:space="preserve"> </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lang w:val="en-US"/>
        </w:rPr>
        <w:t>标段号：</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color w:val="auto"/>
          <w:kern w:val="2"/>
          <w:sz w:val="28"/>
          <w:szCs w:val="28"/>
          <w:highlight w:val="none"/>
        </w:rPr>
        <w:t xml:space="preserve">         </w:t>
      </w:r>
      <w:r>
        <w:rPr>
          <w:rFonts w:hint="eastAsia" w:ascii="仿宋" w:hAnsi="仿宋" w:eastAsia="仿宋" w:cs="仿宋"/>
          <w:color w:val="auto"/>
          <w:sz w:val="28"/>
          <w:szCs w:val="28"/>
          <w:highlight w:val="none"/>
        </w:rPr>
        <w:t xml:space="preserve">  </w:t>
      </w:r>
      <w:r>
        <w:rPr>
          <w:rFonts w:hint="eastAsia"/>
          <w:color w:val="auto"/>
          <w:highlight w:val="none"/>
        </w:rPr>
        <w:t xml:space="preserve">        </w:t>
      </w:r>
    </w:p>
    <w:tbl>
      <w:tblPr>
        <w:tblStyle w:val="27"/>
        <w:tblW w:w="9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2006"/>
        <w:gridCol w:w="735"/>
        <w:gridCol w:w="885"/>
        <w:gridCol w:w="2040"/>
        <w:gridCol w:w="1272"/>
        <w:gridCol w:w="1272"/>
      </w:tblGrid>
      <w:tr w14:paraId="7D03D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14:paraId="3634E0B5">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序号</w:t>
            </w: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02D6B9DE">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名称（标的物名称）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A4FE074">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品牌</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9E4DC4D">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规格</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F53DF92">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制造商名称</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077CA45">
            <w:pPr>
              <w:pageBreakBefore w:val="0"/>
              <w:kinsoku/>
              <w:overflowPunct/>
              <w:topLinePunct w:val="0"/>
              <w:bidi w:val="0"/>
              <w:snapToGrid w:val="0"/>
              <w:spacing w:before="0" w:beforeAutospacing="0" w:after="0" w:afterAutospacing="0" w:line="500" w:lineRule="exact"/>
              <w:jc w:val="center"/>
              <w:textAlignment w:val="baseline"/>
              <w:rPr>
                <w:rStyle w:val="61"/>
                <w:rFonts w:hint="default"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折扣率</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17FF3D9B">
            <w:pPr>
              <w:pageBreakBefore w:val="0"/>
              <w:kinsoku/>
              <w:overflowPunct/>
              <w:topLinePunct w:val="0"/>
              <w:bidi w:val="0"/>
              <w:snapToGrid w:val="0"/>
              <w:spacing w:before="0" w:beforeAutospacing="0" w:after="0" w:afterAutospacing="0" w:line="500" w:lineRule="exact"/>
              <w:jc w:val="center"/>
              <w:textAlignment w:val="baseline"/>
              <w:rPr>
                <w:rStyle w:val="61"/>
                <w:rFonts w:hint="default"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备注</w:t>
            </w:r>
          </w:p>
        </w:tc>
      </w:tr>
      <w:tr w14:paraId="2F076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noWrap w:val="0"/>
            <w:vAlign w:val="center"/>
          </w:tcPr>
          <w:p w14:paraId="07DDFCB8">
            <w:pPr>
              <w:pageBreakBefore w:val="0"/>
              <w:kinsoku/>
              <w:overflowPunct/>
              <w:topLinePunct w:val="0"/>
              <w:bidi w:val="0"/>
              <w:snapToGrid w:val="0"/>
              <w:spacing w:before="0" w:beforeAutospacing="0" w:after="0" w:afterAutospacing="0" w:line="500" w:lineRule="exact"/>
              <w:jc w:val="center"/>
              <w:textAlignment w:val="baseline"/>
              <w:rPr>
                <w:rStyle w:val="61"/>
                <w:rFonts w:hint="default"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类目一：米、面、油等食材采购</w:t>
            </w:r>
          </w:p>
        </w:tc>
      </w:tr>
      <w:tr w14:paraId="2B4C5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14:paraId="6AB8A6CD">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3CBE7317">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540D1A5">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B64669C">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20506E3">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0214A90">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CE1B7DA">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r>
      <w:tr w14:paraId="425FE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14:paraId="40E5CEBB">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4FF4ED31">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0A47BF8">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F61A95B">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FDB5674">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F2D93FA">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1DF11EC">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r>
      <w:tr w14:paraId="139FF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14:paraId="28BE747A">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62D8D4BE">
            <w:pPr>
              <w:pageBreakBefore w:val="0"/>
              <w:kinsoku/>
              <w:overflowPunct/>
              <w:topLinePunct w:val="0"/>
              <w:bidi w:val="0"/>
              <w:snapToGrid w:val="0"/>
              <w:spacing w:before="0" w:beforeAutospacing="0" w:after="0" w:afterAutospacing="0" w:line="500" w:lineRule="exact"/>
              <w:jc w:val="both"/>
              <w:textAlignment w:val="baseline"/>
              <w:rPr>
                <w:rStyle w:val="61"/>
                <w:rFonts w:hint="default"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26AF120">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5E94EFF">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6539426">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CF313EE">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C28CCF0">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p>
        </w:tc>
      </w:tr>
      <w:tr w14:paraId="37409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noWrap w:val="0"/>
            <w:vAlign w:val="center"/>
          </w:tcPr>
          <w:p w14:paraId="0E544710">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类目二、</w:t>
            </w:r>
            <w:r>
              <w:rPr>
                <w:rFonts w:hint="eastAsia" w:ascii="仿宋" w:hAnsi="仿宋" w:eastAsia="仿宋" w:cs="仿宋"/>
                <w:b/>
                <w:bCs/>
                <w:color w:val="auto"/>
                <w:sz w:val="28"/>
                <w:szCs w:val="28"/>
                <w:highlight w:val="none"/>
                <w:lang w:val="en-US" w:eastAsia="zh-CN"/>
              </w:rPr>
              <w:t>蔬菜类、水果类</w:t>
            </w:r>
          </w:p>
        </w:tc>
      </w:tr>
      <w:tr w14:paraId="7F55C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14:paraId="6BE2AFBC">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33AA1C79">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16C9212">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85" w:type="dxa"/>
            <w:tcBorders>
              <w:top w:val="single" w:color="auto" w:sz="4" w:space="0"/>
              <w:left w:val="single" w:color="000000" w:sz="4" w:space="0"/>
              <w:bottom w:val="single" w:color="auto" w:sz="4" w:space="0"/>
              <w:right w:val="single" w:color="000000" w:sz="4" w:space="0"/>
            </w:tcBorders>
            <w:noWrap w:val="0"/>
            <w:vAlign w:val="center"/>
          </w:tcPr>
          <w:p w14:paraId="654CA281">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2B48F63">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vMerge w:val="restart"/>
            <w:tcBorders>
              <w:top w:val="single" w:color="000000" w:sz="4" w:space="0"/>
              <w:left w:val="single" w:color="000000" w:sz="4" w:space="0"/>
              <w:right w:val="single" w:color="000000" w:sz="4" w:space="0"/>
            </w:tcBorders>
            <w:noWrap w:val="0"/>
            <w:vAlign w:val="center"/>
          </w:tcPr>
          <w:p w14:paraId="4631836A">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tcBorders>
              <w:top w:val="single" w:color="000000" w:sz="4" w:space="0"/>
              <w:left w:val="single" w:color="000000" w:sz="4" w:space="0"/>
              <w:right w:val="single" w:color="000000" w:sz="4" w:space="0"/>
            </w:tcBorders>
            <w:noWrap w:val="0"/>
            <w:vAlign w:val="center"/>
          </w:tcPr>
          <w:p w14:paraId="260E55F9">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r>
      <w:tr w14:paraId="45FA2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14:paraId="222AEC3C">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0A1B2DCB">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42D4F88">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85" w:type="dxa"/>
            <w:tcBorders>
              <w:top w:val="single" w:color="auto" w:sz="4" w:space="0"/>
              <w:left w:val="single" w:color="000000" w:sz="4" w:space="0"/>
              <w:bottom w:val="single" w:color="auto" w:sz="4" w:space="0"/>
              <w:right w:val="single" w:color="000000" w:sz="4" w:space="0"/>
            </w:tcBorders>
            <w:noWrap w:val="0"/>
            <w:vAlign w:val="center"/>
          </w:tcPr>
          <w:p w14:paraId="78AAEB04">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B2034CA">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vMerge w:val="continue"/>
            <w:tcBorders>
              <w:left w:val="single" w:color="000000" w:sz="4" w:space="0"/>
              <w:right w:val="single" w:color="000000" w:sz="4" w:space="0"/>
            </w:tcBorders>
            <w:noWrap w:val="0"/>
            <w:vAlign w:val="center"/>
          </w:tcPr>
          <w:p w14:paraId="43D609CF">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tcBorders>
              <w:left w:val="single" w:color="000000" w:sz="4" w:space="0"/>
              <w:right w:val="single" w:color="000000" w:sz="4" w:space="0"/>
            </w:tcBorders>
            <w:noWrap w:val="0"/>
            <w:vAlign w:val="center"/>
          </w:tcPr>
          <w:p w14:paraId="2A0154FF">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r>
      <w:tr w14:paraId="21152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14:paraId="7F95F493">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1475A53B">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r>
              <w:rPr>
                <w:rStyle w:val="61"/>
                <w:rFonts w:hint="eastAsia" w:ascii="仿宋" w:hAnsi="仿宋" w:eastAsia="仿宋" w:cs="仿宋"/>
                <w:b w:val="0"/>
                <w:i w:val="0"/>
                <w:caps w:val="0"/>
                <w:color w:val="auto"/>
                <w:spacing w:val="0"/>
                <w:w w:val="100"/>
                <w:kern w:val="2"/>
                <w:sz w:val="28"/>
                <w:szCs w:val="28"/>
                <w:highlight w:val="none"/>
                <w:lang w:val="en-US" w:eastAsia="zh-CN" w:bidi="ar-SA"/>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0F661D3">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85" w:type="dxa"/>
            <w:tcBorders>
              <w:top w:val="single" w:color="auto" w:sz="4" w:space="0"/>
              <w:left w:val="single" w:color="000000" w:sz="4" w:space="0"/>
              <w:bottom w:val="single" w:color="auto" w:sz="4" w:space="0"/>
              <w:right w:val="single" w:color="000000" w:sz="4" w:space="0"/>
            </w:tcBorders>
            <w:noWrap w:val="0"/>
            <w:vAlign w:val="center"/>
          </w:tcPr>
          <w:p w14:paraId="181D2921">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4C64A6B">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vMerge w:val="continue"/>
            <w:tcBorders>
              <w:left w:val="single" w:color="000000" w:sz="4" w:space="0"/>
              <w:right w:val="single" w:color="000000" w:sz="4" w:space="0"/>
            </w:tcBorders>
            <w:noWrap w:val="0"/>
            <w:vAlign w:val="center"/>
          </w:tcPr>
          <w:p w14:paraId="44D4AAEB">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tcBorders>
              <w:left w:val="single" w:color="000000" w:sz="4" w:space="0"/>
              <w:right w:val="single" w:color="000000" w:sz="4" w:space="0"/>
            </w:tcBorders>
            <w:noWrap w:val="0"/>
            <w:vAlign w:val="center"/>
          </w:tcPr>
          <w:p w14:paraId="498A49A8">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r>
      <w:tr w14:paraId="240F8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noWrap w:val="0"/>
            <w:vAlign w:val="center"/>
          </w:tcPr>
          <w:p w14:paraId="51614A02">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类目三、</w:t>
            </w:r>
            <w:r>
              <w:rPr>
                <w:rFonts w:hint="eastAsia" w:ascii="仿宋" w:hAnsi="仿宋" w:eastAsia="仿宋" w:cs="仿宋"/>
                <w:b/>
                <w:bCs/>
                <w:color w:val="auto"/>
                <w:sz w:val="28"/>
                <w:szCs w:val="28"/>
                <w:highlight w:val="none"/>
                <w:lang w:val="en-US" w:eastAsia="zh-CN"/>
              </w:rPr>
              <w:t>副食品类</w:t>
            </w:r>
          </w:p>
        </w:tc>
      </w:tr>
      <w:tr w14:paraId="7294D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14:paraId="7B806BD3">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565F7EF2">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B41C9DC">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85" w:type="dxa"/>
            <w:tcBorders>
              <w:top w:val="single" w:color="auto" w:sz="4" w:space="0"/>
              <w:left w:val="single" w:color="000000" w:sz="4" w:space="0"/>
              <w:bottom w:val="single" w:color="auto" w:sz="4" w:space="0"/>
              <w:right w:val="single" w:color="000000" w:sz="4" w:space="0"/>
            </w:tcBorders>
            <w:noWrap w:val="0"/>
            <w:vAlign w:val="center"/>
          </w:tcPr>
          <w:p w14:paraId="52485DB3">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2D84610">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vMerge w:val="restart"/>
            <w:tcBorders>
              <w:left w:val="single" w:color="000000" w:sz="4" w:space="0"/>
              <w:right w:val="single" w:color="000000" w:sz="4" w:space="0"/>
            </w:tcBorders>
            <w:noWrap w:val="0"/>
            <w:vAlign w:val="center"/>
          </w:tcPr>
          <w:p w14:paraId="20CB24E6">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tcBorders>
              <w:left w:val="single" w:color="000000" w:sz="4" w:space="0"/>
              <w:right w:val="single" w:color="000000" w:sz="4" w:space="0"/>
            </w:tcBorders>
            <w:noWrap w:val="0"/>
            <w:vAlign w:val="center"/>
          </w:tcPr>
          <w:p w14:paraId="0E49C509">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r>
      <w:tr w14:paraId="7166C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14:paraId="15BE1C8B">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6D39B55A">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F21D7AE">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85" w:type="dxa"/>
            <w:tcBorders>
              <w:top w:val="single" w:color="auto" w:sz="4" w:space="0"/>
              <w:left w:val="single" w:color="000000" w:sz="4" w:space="0"/>
              <w:bottom w:val="single" w:color="auto" w:sz="4" w:space="0"/>
              <w:right w:val="single" w:color="000000" w:sz="4" w:space="0"/>
            </w:tcBorders>
            <w:noWrap w:val="0"/>
            <w:vAlign w:val="center"/>
          </w:tcPr>
          <w:p w14:paraId="5BAA05D7">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DD64A52">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vMerge w:val="continue"/>
            <w:tcBorders>
              <w:left w:val="single" w:color="000000" w:sz="4" w:space="0"/>
              <w:right w:val="single" w:color="000000" w:sz="4" w:space="0"/>
            </w:tcBorders>
            <w:noWrap w:val="0"/>
            <w:vAlign w:val="center"/>
          </w:tcPr>
          <w:p w14:paraId="296A29C0">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tcBorders>
              <w:left w:val="single" w:color="000000" w:sz="4" w:space="0"/>
              <w:right w:val="single" w:color="000000" w:sz="4" w:space="0"/>
            </w:tcBorders>
            <w:noWrap w:val="0"/>
            <w:vAlign w:val="center"/>
          </w:tcPr>
          <w:p w14:paraId="1639BA5A">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r>
      <w:tr w14:paraId="61F55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14:paraId="0742B3F5">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2A1DE332">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r>
              <w:rPr>
                <w:rStyle w:val="61"/>
                <w:rFonts w:hint="eastAsia" w:ascii="仿宋" w:hAnsi="仿宋" w:eastAsia="仿宋" w:cs="仿宋"/>
                <w:b w:val="0"/>
                <w:i w:val="0"/>
                <w:caps w:val="0"/>
                <w:color w:val="auto"/>
                <w:spacing w:val="0"/>
                <w:w w:val="100"/>
                <w:kern w:val="2"/>
                <w:sz w:val="28"/>
                <w:szCs w:val="28"/>
                <w:highlight w:val="none"/>
                <w:lang w:val="en-US" w:eastAsia="zh-CN" w:bidi="ar-SA"/>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C717703">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85" w:type="dxa"/>
            <w:tcBorders>
              <w:top w:val="single" w:color="auto" w:sz="4" w:space="0"/>
              <w:left w:val="single" w:color="000000" w:sz="4" w:space="0"/>
              <w:bottom w:val="single" w:color="auto" w:sz="4" w:space="0"/>
              <w:right w:val="single" w:color="000000" w:sz="4" w:space="0"/>
            </w:tcBorders>
            <w:noWrap w:val="0"/>
            <w:vAlign w:val="center"/>
          </w:tcPr>
          <w:p w14:paraId="5D889AAE">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DD33D48">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vMerge w:val="continue"/>
            <w:tcBorders>
              <w:left w:val="single" w:color="000000" w:sz="4" w:space="0"/>
              <w:right w:val="single" w:color="000000" w:sz="4" w:space="0"/>
            </w:tcBorders>
            <w:noWrap w:val="0"/>
            <w:vAlign w:val="center"/>
          </w:tcPr>
          <w:p w14:paraId="3A1384DF">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tcBorders>
              <w:left w:val="single" w:color="000000" w:sz="4" w:space="0"/>
              <w:right w:val="single" w:color="000000" w:sz="4" w:space="0"/>
            </w:tcBorders>
            <w:noWrap w:val="0"/>
            <w:vAlign w:val="center"/>
          </w:tcPr>
          <w:p w14:paraId="5D294AC3">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r>
      <w:tr w14:paraId="759C3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noWrap w:val="0"/>
            <w:vAlign w:val="center"/>
          </w:tcPr>
          <w:p w14:paraId="7102F405">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类目四、</w:t>
            </w:r>
            <w:r>
              <w:rPr>
                <w:rFonts w:hint="eastAsia" w:ascii="仿宋" w:hAnsi="仿宋" w:eastAsia="仿宋" w:cs="仿宋"/>
                <w:b/>
                <w:bCs/>
                <w:color w:val="auto"/>
                <w:sz w:val="28"/>
                <w:szCs w:val="28"/>
                <w:highlight w:val="none"/>
                <w:lang w:val="en-US" w:eastAsia="zh-CN"/>
              </w:rPr>
              <w:t>肉类</w:t>
            </w:r>
          </w:p>
        </w:tc>
      </w:tr>
      <w:tr w14:paraId="67065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14:paraId="450410DD">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227B764C">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C3D9405">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85" w:type="dxa"/>
            <w:tcBorders>
              <w:top w:val="single" w:color="auto" w:sz="4" w:space="0"/>
              <w:left w:val="single" w:color="000000" w:sz="4" w:space="0"/>
              <w:bottom w:val="single" w:color="auto" w:sz="4" w:space="0"/>
              <w:right w:val="single" w:color="000000" w:sz="4" w:space="0"/>
            </w:tcBorders>
            <w:noWrap w:val="0"/>
            <w:vAlign w:val="center"/>
          </w:tcPr>
          <w:p w14:paraId="3B79A112">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EF5DC83">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vMerge w:val="restart"/>
            <w:tcBorders>
              <w:left w:val="single" w:color="000000" w:sz="4" w:space="0"/>
              <w:right w:val="single" w:color="000000" w:sz="4" w:space="0"/>
            </w:tcBorders>
            <w:noWrap w:val="0"/>
            <w:vAlign w:val="center"/>
          </w:tcPr>
          <w:p w14:paraId="7F418838">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tcBorders>
              <w:left w:val="single" w:color="000000" w:sz="4" w:space="0"/>
              <w:right w:val="single" w:color="000000" w:sz="4" w:space="0"/>
            </w:tcBorders>
            <w:noWrap w:val="0"/>
            <w:vAlign w:val="center"/>
          </w:tcPr>
          <w:p w14:paraId="736204D7">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r>
      <w:tr w14:paraId="6C447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14:paraId="04BD19D5">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286B8DBB">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6F48E46">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85" w:type="dxa"/>
            <w:tcBorders>
              <w:top w:val="single" w:color="auto" w:sz="4" w:space="0"/>
              <w:left w:val="single" w:color="000000" w:sz="4" w:space="0"/>
              <w:bottom w:val="single" w:color="auto" w:sz="4" w:space="0"/>
              <w:right w:val="single" w:color="000000" w:sz="4" w:space="0"/>
            </w:tcBorders>
            <w:noWrap w:val="0"/>
            <w:vAlign w:val="center"/>
          </w:tcPr>
          <w:p w14:paraId="3BFE03C4">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306C8CA">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vMerge w:val="continue"/>
            <w:tcBorders>
              <w:left w:val="single" w:color="000000" w:sz="4" w:space="0"/>
              <w:right w:val="single" w:color="000000" w:sz="4" w:space="0"/>
            </w:tcBorders>
            <w:noWrap w:val="0"/>
            <w:vAlign w:val="center"/>
          </w:tcPr>
          <w:p w14:paraId="5BEE7BC7">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tcBorders>
              <w:left w:val="single" w:color="000000" w:sz="4" w:space="0"/>
              <w:right w:val="single" w:color="000000" w:sz="4" w:space="0"/>
            </w:tcBorders>
            <w:noWrap w:val="0"/>
            <w:vAlign w:val="center"/>
          </w:tcPr>
          <w:p w14:paraId="79688C01">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r>
      <w:tr w14:paraId="72201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48" w:type="dxa"/>
            <w:tcBorders>
              <w:top w:val="single" w:color="000000" w:sz="4" w:space="0"/>
              <w:left w:val="single" w:color="000000" w:sz="4" w:space="0"/>
              <w:bottom w:val="single" w:color="000000" w:sz="4" w:space="0"/>
              <w:right w:val="single" w:color="000000" w:sz="4" w:space="0"/>
            </w:tcBorders>
            <w:noWrap w:val="0"/>
            <w:vAlign w:val="center"/>
          </w:tcPr>
          <w:p w14:paraId="09B3A684">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06" w:type="dxa"/>
            <w:tcBorders>
              <w:top w:val="single" w:color="000000" w:sz="4" w:space="0"/>
              <w:left w:val="single" w:color="000000" w:sz="4" w:space="0"/>
              <w:bottom w:val="single" w:color="000000" w:sz="4" w:space="0"/>
              <w:right w:val="single" w:color="000000" w:sz="4" w:space="0"/>
            </w:tcBorders>
            <w:noWrap w:val="0"/>
            <w:vAlign w:val="center"/>
          </w:tcPr>
          <w:p w14:paraId="32E46E1A">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r>
              <w:rPr>
                <w:rStyle w:val="61"/>
                <w:rFonts w:hint="eastAsia" w:ascii="仿宋" w:hAnsi="仿宋" w:eastAsia="仿宋" w:cs="仿宋"/>
                <w:b w:val="0"/>
                <w:i w:val="0"/>
                <w:caps w:val="0"/>
                <w:color w:val="auto"/>
                <w:spacing w:val="0"/>
                <w:w w:val="100"/>
                <w:kern w:val="2"/>
                <w:sz w:val="28"/>
                <w:szCs w:val="28"/>
                <w:highlight w:val="none"/>
                <w:lang w:val="en-US" w:eastAsia="zh-CN" w:bidi="ar-SA"/>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F1A03B3">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85" w:type="dxa"/>
            <w:tcBorders>
              <w:top w:val="single" w:color="auto" w:sz="4" w:space="0"/>
              <w:left w:val="single" w:color="000000" w:sz="4" w:space="0"/>
              <w:bottom w:val="single" w:color="auto" w:sz="4" w:space="0"/>
              <w:right w:val="single" w:color="000000" w:sz="4" w:space="0"/>
            </w:tcBorders>
            <w:noWrap w:val="0"/>
            <w:vAlign w:val="center"/>
          </w:tcPr>
          <w:p w14:paraId="4CE38A45">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ABEF331">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vMerge w:val="continue"/>
            <w:tcBorders>
              <w:left w:val="single" w:color="000000" w:sz="4" w:space="0"/>
              <w:right w:val="single" w:color="000000" w:sz="4" w:space="0"/>
            </w:tcBorders>
            <w:noWrap w:val="0"/>
            <w:vAlign w:val="center"/>
          </w:tcPr>
          <w:p w14:paraId="5C2679C0">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272" w:type="dxa"/>
            <w:tcBorders>
              <w:left w:val="single" w:color="000000" w:sz="4" w:space="0"/>
              <w:right w:val="single" w:color="000000" w:sz="4" w:space="0"/>
            </w:tcBorders>
            <w:noWrap w:val="0"/>
            <w:vAlign w:val="center"/>
          </w:tcPr>
          <w:p w14:paraId="0478909C">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r>
      <w:tr w14:paraId="3684F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noWrap w:val="0"/>
            <w:vAlign w:val="center"/>
          </w:tcPr>
          <w:p w14:paraId="6826956F">
            <w:pPr>
              <w:pageBreakBefore w:val="0"/>
              <w:kinsoku/>
              <w:overflowPunct/>
              <w:topLinePunct w:val="0"/>
              <w:bidi w:val="0"/>
              <w:snapToGrid w:val="0"/>
              <w:spacing w:before="0" w:beforeAutospacing="0" w:after="0" w:afterAutospacing="0" w:line="500" w:lineRule="exact"/>
              <w:jc w:val="both"/>
              <w:textAlignment w:val="baseline"/>
              <w:rPr>
                <w:rStyle w:val="61"/>
                <w:rFonts w:hint="default" w:ascii="仿宋" w:hAnsi="仿宋" w:eastAsia="仿宋" w:cs="仿宋"/>
                <w:b w:val="0"/>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统一平均折扣率（%）：</w:t>
            </w:r>
          </w:p>
        </w:tc>
      </w:tr>
    </w:tbl>
    <w:p w14:paraId="56F0D2AB">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投标人名称（单位盖章）：</w:t>
      </w:r>
      <w:r>
        <w:rPr>
          <w:rFonts w:hint="eastAsia" w:ascii="仿宋" w:hAnsi="仿宋" w:eastAsia="仿宋" w:cs="仿宋"/>
          <w:color w:val="auto"/>
          <w:sz w:val="28"/>
          <w:szCs w:val="28"/>
          <w:highlight w:val="none"/>
          <w:u w:val="single"/>
        </w:rPr>
        <w:t xml:space="preserve">                </w:t>
      </w:r>
    </w:p>
    <w:p w14:paraId="6B86BC13">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法定代表人或被授权人(签字或签章):</w:t>
      </w:r>
      <w:r>
        <w:rPr>
          <w:rFonts w:hint="eastAsia" w:ascii="仿宋" w:hAnsi="仿宋" w:eastAsia="仿宋" w:cs="仿宋"/>
          <w:color w:val="auto"/>
          <w:sz w:val="28"/>
          <w:szCs w:val="28"/>
          <w:highlight w:val="none"/>
          <w:u w:val="single"/>
        </w:rPr>
        <w:tab/>
      </w:r>
    </w:p>
    <w:p w14:paraId="00BCB346">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1ADD0E0A">
      <w:pPr>
        <w:pStyle w:val="26"/>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黑体"/>
          <w:b/>
          <w:color w:val="auto"/>
          <w:kern w:val="2"/>
          <w:sz w:val="32"/>
          <w:szCs w:val="32"/>
          <w:highlight w:val="none"/>
        </w:rPr>
      </w:pPr>
      <w:r>
        <w:rPr>
          <w:rFonts w:hint="eastAsia" w:ascii="仿宋" w:hAnsi="仿宋" w:eastAsia="仿宋" w:cs="仿宋"/>
          <w:color w:val="auto"/>
          <w:sz w:val="28"/>
          <w:szCs w:val="28"/>
          <w:highlight w:val="none"/>
          <w:lang w:val="en-US" w:eastAsia="zh-CN"/>
        </w:rPr>
        <w:t>备</w:t>
      </w:r>
      <w:r>
        <w:rPr>
          <w:rFonts w:hint="eastAsia" w:ascii="仿宋" w:hAnsi="仿宋" w:eastAsia="仿宋" w:cs="仿宋"/>
          <w:color w:val="auto"/>
          <w:sz w:val="28"/>
          <w:szCs w:val="28"/>
          <w:highlight w:val="none"/>
        </w:rPr>
        <w:t>注:如果不提供详细报价明细表将视为没有实质性响应采购文件。</w:t>
      </w:r>
    </w:p>
    <w:p w14:paraId="172C71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eastAsia="zh-CN"/>
        </w:rPr>
        <w:t>5.3第二标段报价明细表</w:t>
      </w:r>
    </w:p>
    <w:p w14:paraId="01729DF6">
      <w:pPr>
        <w:keepNext w:val="0"/>
        <w:keepLines w:val="0"/>
        <w:pageBreakBefore w:val="0"/>
        <w:widowControl w:val="0"/>
        <w:kinsoku/>
        <w:wordWrap/>
        <w:overflowPunct/>
        <w:topLinePunct w:val="0"/>
        <w:autoSpaceDE/>
        <w:autoSpaceDN/>
        <w:bidi w:val="0"/>
        <w:adjustRightInd/>
        <w:snapToGrid/>
        <w:spacing w:line="480" w:lineRule="exact"/>
        <w:textAlignment w:val="auto"/>
        <w:rPr>
          <w:color w:val="auto"/>
          <w:highlight w:val="none"/>
        </w:rPr>
      </w:pPr>
      <w:r>
        <w:rPr>
          <w:rFonts w:hint="eastAsia" w:ascii="仿宋" w:hAnsi="仿宋" w:eastAsia="仿宋" w:cs="仿宋"/>
          <w:b/>
          <w:bCs/>
          <w:color w:val="auto"/>
          <w:sz w:val="28"/>
          <w:szCs w:val="28"/>
          <w:highlight w:val="none"/>
        </w:rPr>
        <w:t>项目名称：                 项目编号</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color w:val="auto"/>
          <w:kern w:val="2"/>
          <w:sz w:val="28"/>
          <w:szCs w:val="28"/>
          <w:highlight w:val="none"/>
        </w:rPr>
        <w:t xml:space="preserve">     </w:t>
      </w:r>
      <w:r>
        <w:rPr>
          <w:rStyle w:val="49"/>
          <w:rFonts w:hint="eastAsia" w:ascii="仿宋" w:hAnsi="仿宋" w:eastAsia="仿宋" w:cs="仿宋"/>
          <w:color w:val="auto"/>
          <w:kern w:val="2"/>
          <w:sz w:val="28"/>
          <w:szCs w:val="28"/>
          <w:highlight w:val="none"/>
          <w:lang w:val="en-US"/>
        </w:rPr>
        <w:t xml:space="preserve">  </w:t>
      </w:r>
      <w:r>
        <w:rPr>
          <w:rStyle w:val="49"/>
          <w:rFonts w:hint="eastAsia" w:ascii="仿宋" w:hAnsi="仿宋" w:eastAsia="仿宋" w:cs="仿宋"/>
          <w:color w:val="auto"/>
          <w:kern w:val="2"/>
          <w:sz w:val="28"/>
          <w:szCs w:val="28"/>
          <w:highlight w:val="none"/>
        </w:rPr>
        <w:t xml:space="preserve"> </w:t>
      </w:r>
      <w:r>
        <w:rPr>
          <w:rStyle w:val="49"/>
          <w:rFonts w:hint="eastAsia" w:ascii="仿宋" w:hAnsi="仿宋" w:eastAsia="仿宋" w:cs="仿宋"/>
          <w:color w:val="auto"/>
          <w:kern w:val="2"/>
          <w:sz w:val="28"/>
          <w:szCs w:val="28"/>
          <w:highlight w:val="none"/>
          <w:lang w:val="en-US"/>
        </w:rPr>
        <w:t xml:space="preserve"> </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lang w:val="en-US"/>
        </w:rPr>
        <w:t xml:space="preserve"> </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lang w:val="en-US"/>
        </w:rPr>
        <w:t>标段号：</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color w:val="auto"/>
          <w:kern w:val="2"/>
          <w:sz w:val="28"/>
          <w:szCs w:val="28"/>
          <w:highlight w:val="none"/>
        </w:rPr>
        <w:t xml:space="preserve">         </w:t>
      </w:r>
      <w:r>
        <w:rPr>
          <w:rFonts w:hint="eastAsia" w:ascii="仿宋" w:hAnsi="仿宋" w:eastAsia="仿宋" w:cs="仿宋"/>
          <w:color w:val="auto"/>
          <w:sz w:val="28"/>
          <w:szCs w:val="28"/>
          <w:highlight w:val="none"/>
        </w:rPr>
        <w:t xml:space="preserve">  </w:t>
      </w:r>
      <w:r>
        <w:rPr>
          <w:rFonts w:hint="eastAsia"/>
          <w:color w:val="auto"/>
          <w:highlight w:val="none"/>
        </w:rPr>
        <w:t xml:space="preserve">        </w:t>
      </w:r>
    </w:p>
    <w:tbl>
      <w:tblPr>
        <w:tblStyle w:val="27"/>
        <w:tblW w:w="90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2522"/>
        <w:gridCol w:w="735"/>
        <w:gridCol w:w="885"/>
        <w:gridCol w:w="2040"/>
        <w:gridCol w:w="1018"/>
        <w:gridCol w:w="825"/>
      </w:tblGrid>
      <w:tr w14:paraId="38BE6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0A9C7FC">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序号</w:t>
            </w: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52A1BB72">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名称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A94578F">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品牌</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947FDD2">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规格</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EAE2DBD">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制造商名称</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A49D054">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单价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F6499A2">
            <w:pPr>
              <w:pageBreakBefore w:val="0"/>
              <w:kinsoku/>
              <w:overflowPunct/>
              <w:topLinePunct w:val="0"/>
              <w:bidi w:val="0"/>
              <w:snapToGrid w:val="0"/>
              <w:spacing w:before="0" w:beforeAutospacing="0" w:after="0" w:afterAutospacing="0" w:line="500" w:lineRule="exact"/>
              <w:jc w:val="center"/>
              <w:textAlignment w:val="baseline"/>
              <w:rPr>
                <w:rStyle w:val="61"/>
                <w:rFonts w:hint="eastAsia" w:ascii="仿宋" w:hAnsi="仿宋" w:eastAsia="仿宋" w:cs="仿宋"/>
                <w:b/>
                <w:bCs/>
                <w:i w:val="0"/>
                <w:caps w:val="0"/>
                <w:color w:val="auto"/>
                <w:spacing w:val="0"/>
                <w:w w:val="100"/>
                <w:kern w:val="2"/>
                <w:sz w:val="28"/>
                <w:szCs w:val="28"/>
                <w:highlight w:val="none"/>
                <w:lang w:val="en-US" w:eastAsia="zh-CN" w:bidi="ar-SA"/>
              </w:rPr>
            </w:pPr>
            <w:r>
              <w:rPr>
                <w:rStyle w:val="61"/>
                <w:rFonts w:hint="eastAsia" w:ascii="仿宋" w:hAnsi="仿宋" w:eastAsia="仿宋" w:cs="仿宋"/>
                <w:b/>
                <w:bCs/>
                <w:i w:val="0"/>
                <w:caps w:val="0"/>
                <w:color w:val="auto"/>
                <w:spacing w:val="0"/>
                <w:w w:val="100"/>
                <w:kern w:val="2"/>
                <w:sz w:val="28"/>
                <w:szCs w:val="28"/>
                <w:highlight w:val="none"/>
                <w:lang w:val="en-US" w:eastAsia="zh-CN" w:bidi="ar-SA"/>
              </w:rPr>
              <w:t>备注</w:t>
            </w:r>
          </w:p>
        </w:tc>
      </w:tr>
      <w:tr w14:paraId="6CD73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D468B53">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1E0435C4">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062E215">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85" w:type="dxa"/>
            <w:tcBorders>
              <w:top w:val="single" w:color="000000" w:sz="4" w:space="0"/>
              <w:left w:val="single" w:color="000000" w:sz="4" w:space="0"/>
              <w:bottom w:val="single" w:color="auto" w:sz="4" w:space="0"/>
              <w:right w:val="single" w:color="000000" w:sz="4" w:space="0"/>
            </w:tcBorders>
            <w:noWrap w:val="0"/>
            <w:vAlign w:val="center"/>
          </w:tcPr>
          <w:p w14:paraId="7B3D62EB">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EF0B6CE">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AB1CE81">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02F72CA">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r>
      <w:tr w14:paraId="321A1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91C2FD8">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62AD6C9D">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6CD08CD">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85" w:type="dxa"/>
            <w:tcBorders>
              <w:top w:val="single" w:color="auto" w:sz="4" w:space="0"/>
              <w:left w:val="single" w:color="000000" w:sz="4" w:space="0"/>
              <w:bottom w:val="single" w:color="auto" w:sz="4" w:space="0"/>
              <w:right w:val="single" w:color="000000" w:sz="4" w:space="0"/>
            </w:tcBorders>
            <w:noWrap w:val="0"/>
            <w:vAlign w:val="center"/>
          </w:tcPr>
          <w:p w14:paraId="2F95A4C9">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A70C361">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DCE4794">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F189255">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r>
      <w:tr w14:paraId="75DD8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B623250">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5C849BC6">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EDE4168">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85" w:type="dxa"/>
            <w:tcBorders>
              <w:top w:val="single" w:color="auto" w:sz="4" w:space="0"/>
              <w:left w:val="single" w:color="000000" w:sz="4" w:space="0"/>
              <w:bottom w:val="single" w:color="auto" w:sz="4" w:space="0"/>
              <w:right w:val="single" w:color="000000" w:sz="4" w:space="0"/>
            </w:tcBorders>
            <w:noWrap w:val="0"/>
            <w:vAlign w:val="center"/>
          </w:tcPr>
          <w:p w14:paraId="1E25A52E">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30ABDA5">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8B9D50F">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7A82C3A">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r>
      <w:tr w14:paraId="75509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3CA02A5">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799ABD83">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47ABA36">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85" w:type="dxa"/>
            <w:tcBorders>
              <w:top w:val="single" w:color="auto" w:sz="4" w:space="0"/>
              <w:left w:val="single" w:color="000000" w:sz="4" w:space="0"/>
              <w:bottom w:val="single" w:color="auto" w:sz="4" w:space="0"/>
              <w:right w:val="single" w:color="000000" w:sz="4" w:space="0"/>
            </w:tcBorders>
            <w:noWrap w:val="0"/>
            <w:vAlign w:val="center"/>
          </w:tcPr>
          <w:p w14:paraId="36C759B0">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9CB47F9">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B012337">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42033AD">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r>
      <w:tr w14:paraId="0A5F2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738C3BD">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3F82DFF6">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303390E">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85" w:type="dxa"/>
            <w:tcBorders>
              <w:top w:val="single" w:color="auto" w:sz="4" w:space="0"/>
              <w:left w:val="single" w:color="000000" w:sz="4" w:space="0"/>
              <w:bottom w:val="single" w:color="auto" w:sz="4" w:space="0"/>
              <w:right w:val="single" w:color="000000" w:sz="4" w:space="0"/>
            </w:tcBorders>
            <w:noWrap w:val="0"/>
            <w:vAlign w:val="center"/>
          </w:tcPr>
          <w:p w14:paraId="194D668F">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D905747">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5926899E">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8A34D9E">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r>
      <w:tr w14:paraId="1E77D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0E7E9AA">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14:paraId="0966552B">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r>
              <w:rPr>
                <w:rStyle w:val="61"/>
                <w:rFonts w:hint="eastAsia" w:ascii="仿宋" w:hAnsi="仿宋" w:eastAsia="仿宋" w:cs="仿宋"/>
                <w:b w:val="0"/>
                <w:i w:val="0"/>
                <w:caps w:val="0"/>
                <w:color w:val="auto"/>
                <w:spacing w:val="0"/>
                <w:w w:val="100"/>
                <w:kern w:val="2"/>
                <w:sz w:val="28"/>
                <w:szCs w:val="28"/>
                <w:highlight w:val="none"/>
                <w:lang w:val="en-US" w:eastAsia="zh-CN" w:bidi="ar-SA"/>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7C7B84">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85" w:type="dxa"/>
            <w:tcBorders>
              <w:top w:val="single" w:color="auto" w:sz="4" w:space="0"/>
              <w:left w:val="single" w:color="000000" w:sz="4" w:space="0"/>
              <w:bottom w:val="single" w:color="auto" w:sz="4" w:space="0"/>
              <w:right w:val="single" w:color="000000" w:sz="4" w:space="0"/>
            </w:tcBorders>
            <w:noWrap w:val="0"/>
            <w:vAlign w:val="center"/>
          </w:tcPr>
          <w:p w14:paraId="1D4F1D8B">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CA54347">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21F3B1A">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F84E8A1">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p>
        </w:tc>
      </w:tr>
      <w:tr w14:paraId="3502C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B465503">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r>
              <w:rPr>
                <w:rStyle w:val="61"/>
                <w:rFonts w:hint="eastAsia" w:ascii="仿宋" w:hAnsi="仿宋" w:eastAsia="仿宋" w:cs="仿宋"/>
                <w:b w:val="0"/>
                <w:i w:val="0"/>
                <w:caps w:val="0"/>
                <w:color w:val="auto"/>
                <w:spacing w:val="0"/>
                <w:w w:val="100"/>
                <w:kern w:val="2"/>
                <w:sz w:val="28"/>
                <w:szCs w:val="28"/>
                <w:highlight w:val="none"/>
                <w:lang w:val="en-US" w:eastAsia="zh-CN" w:bidi="ar-SA"/>
              </w:rPr>
              <w:t>总价</w:t>
            </w:r>
          </w:p>
        </w:tc>
        <w:tc>
          <w:tcPr>
            <w:tcW w:w="8025" w:type="dxa"/>
            <w:gridSpan w:val="6"/>
            <w:tcBorders>
              <w:top w:val="single" w:color="000000" w:sz="4" w:space="0"/>
              <w:left w:val="single" w:color="000000" w:sz="4" w:space="0"/>
              <w:bottom w:val="single" w:color="000000" w:sz="4" w:space="0"/>
              <w:right w:val="single" w:color="000000" w:sz="4" w:space="0"/>
            </w:tcBorders>
            <w:noWrap w:val="0"/>
            <w:vAlign w:val="center"/>
          </w:tcPr>
          <w:p w14:paraId="61B65C85">
            <w:pPr>
              <w:pageBreakBefore w:val="0"/>
              <w:kinsoku/>
              <w:overflowPunct/>
              <w:topLinePunct w:val="0"/>
              <w:bidi w:val="0"/>
              <w:snapToGrid w:val="0"/>
              <w:spacing w:before="0" w:beforeAutospacing="0" w:after="0" w:afterAutospacing="0" w:line="500" w:lineRule="exact"/>
              <w:jc w:val="both"/>
              <w:textAlignment w:val="baseline"/>
              <w:rPr>
                <w:rStyle w:val="61"/>
                <w:rFonts w:hint="eastAsia" w:ascii="仿宋" w:hAnsi="仿宋" w:eastAsia="仿宋" w:cs="仿宋"/>
                <w:b w:val="0"/>
                <w:i w:val="0"/>
                <w:caps w:val="0"/>
                <w:color w:val="auto"/>
                <w:spacing w:val="0"/>
                <w:w w:val="100"/>
                <w:kern w:val="2"/>
                <w:sz w:val="28"/>
                <w:szCs w:val="28"/>
                <w:highlight w:val="none"/>
                <w:lang w:val="en-US" w:eastAsia="zh-CN" w:bidi="ar-SA"/>
              </w:rPr>
            </w:pPr>
            <w:r>
              <w:rPr>
                <w:rStyle w:val="61"/>
                <w:rFonts w:hint="eastAsia" w:ascii="仿宋" w:hAnsi="仿宋" w:eastAsia="仿宋" w:cs="仿宋"/>
                <w:b w:val="0"/>
                <w:i w:val="0"/>
                <w:caps w:val="0"/>
                <w:color w:val="auto"/>
                <w:spacing w:val="0"/>
                <w:w w:val="100"/>
                <w:kern w:val="2"/>
                <w:sz w:val="28"/>
                <w:szCs w:val="28"/>
                <w:highlight w:val="none"/>
                <w:lang w:val="en-US" w:eastAsia="zh-CN" w:bidi="ar-SA"/>
              </w:rPr>
              <w:t xml:space="preserve">人民币大写：              合计小写： </w:t>
            </w:r>
          </w:p>
        </w:tc>
      </w:tr>
    </w:tbl>
    <w:p w14:paraId="1870B205">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投标人名称（单位盖章）：</w:t>
      </w:r>
      <w:r>
        <w:rPr>
          <w:rFonts w:hint="eastAsia" w:ascii="仿宋" w:hAnsi="仿宋" w:eastAsia="仿宋" w:cs="仿宋"/>
          <w:color w:val="auto"/>
          <w:sz w:val="28"/>
          <w:szCs w:val="28"/>
          <w:highlight w:val="none"/>
          <w:u w:val="single"/>
        </w:rPr>
        <w:t xml:space="preserve">                </w:t>
      </w:r>
    </w:p>
    <w:p w14:paraId="115C2F51">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法定代表人或被授权人(签字或签章):</w:t>
      </w:r>
      <w:r>
        <w:rPr>
          <w:rFonts w:hint="eastAsia" w:ascii="仿宋" w:hAnsi="仿宋" w:eastAsia="仿宋" w:cs="仿宋"/>
          <w:color w:val="auto"/>
          <w:sz w:val="28"/>
          <w:szCs w:val="28"/>
          <w:highlight w:val="none"/>
          <w:u w:val="single"/>
        </w:rPr>
        <w:tab/>
      </w:r>
    </w:p>
    <w:p w14:paraId="41C0CC24">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38A3F493">
      <w:pPr>
        <w:pStyle w:val="26"/>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黑体"/>
          <w:b/>
          <w:color w:val="auto"/>
          <w:kern w:val="2"/>
          <w:sz w:val="32"/>
          <w:szCs w:val="32"/>
          <w:highlight w:val="none"/>
        </w:rPr>
      </w:pPr>
      <w:r>
        <w:rPr>
          <w:rFonts w:hint="eastAsia" w:ascii="仿宋" w:hAnsi="仿宋" w:eastAsia="仿宋" w:cs="仿宋"/>
          <w:color w:val="auto"/>
          <w:sz w:val="28"/>
          <w:szCs w:val="28"/>
          <w:highlight w:val="none"/>
          <w:lang w:val="en-US" w:eastAsia="zh-CN"/>
        </w:rPr>
        <w:t>备</w:t>
      </w:r>
      <w:r>
        <w:rPr>
          <w:rFonts w:hint="eastAsia" w:ascii="仿宋" w:hAnsi="仿宋" w:eastAsia="仿宋" w:cs="仿宋"/>
          <w:color w:val="auto"/>
          <w:sz w:val="28"/>
          <w:szCs w:val="28"/>
          <w:highlight w:val="none"/>
        </w:rPr>
        <w:t>注:如果不提供详细报价明细表将视为没有实质性响应采购文件。</w:t>
      </w:r>
    </w:p>
    <w:p w14:paraId="66A045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28"/>
          <w:szCs w:val="28"/>
          <w:highlight w:val="none"/>
          <w:lang w:val="en-US" w:eastAsia="zh-CN"/>
        </w:rPr>
      </w:pPr>
    </w:p>
    <w:p w14:paraId="3EB3BB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28"/>
          <w:szCs w:val="28"/>
          <w:highlight w:val="none"/>
          <w:lang w:val="en-US" w:eastAsia="zh-CN"/>
        </w:rPr>
      </w:pPr>
    </w:p>
    <w:p w14:paraId="05B78EF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28"/>
          <w:szCs w:val="28"/>
          <w:highlight w:val="none"/>
          <w:lang w:val="en-US" w:eastAsia="zh-CN"/>
        </w:rPr>
      </w:pPr>
    </w:p>
    <w:p w14:paraId="61F3A8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28"/>
          <w:szCs w:val="28"/>
          <w:highlight w:val="none"/>
          <w:lang w:val="en-US" w:eastAsia="zh-CN"/>
        </w:rPr>
      </w:pPr>
    </w:p>
    <w:p w14:paraId="3139C9C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28"/>
          <w:szCs w:val="28"/>
          <w:highlight w:val="none"/>
          <w:lang w:val="en-US" w:eastAsia="zh-CN"/>
        </w:rPr>
      </w:pPr>
    </w:p>
    <w:p w14:paraId="222696BF">
      <w:pPr>
        <w:pStyle w:val="26"/>
        <w:ind w:firstLine="643"/>
        <w:rPr>
          <w:rFonts w:hint="eastAsia" w:ascii="仿宋" w:hAnsi="仿宋" w:eastAsia="仿宋" w:cs="黑体"/>
          <w:b/>
          <w:color w:val="auto"/>
          <w:kern w:val="2"/>
          <w:sz w:val="32"/>
          <w:szCs w:val="32"/>
          <w:highlight w:val="none"/>
        </w:rPr>
      </w:pPr>
    </w:p>
    <w:bookmarkEnd w:id="554"/>
    <w:p w14:paraId="31BEED27">
      <w:pPr>
        <w:pStyle w:val="5"/>
        <w:spacing w:line="240" w:lineRule="auto"/>
        <w:ind w:left="5460"/>
        <w:jc w:val="both"/>
        <w:outlineLvl w:val="9"/>
        <w:rPr>
          <w:rFonts w:hint="eastAsia" w:ascii="仿宋" w:hAnsi="仿宋" w:eastAsia="仿宋" w:cs="黑体"/>
          <w:color w:val="auto"/>
          <w:kern w:val="2"/>
          <w:sz w:val="32"/>
          <w:szCs w:val="32"/>
          <w:highlight w:val="none"/>
        </w:rPr>
      </w:pPr>
      <w:bookmarkStart w:id="563" w:name="_Toc16808"/>
      <w:bookmarkStart w:id="564" w:name="_Toc23626"/>
      <w:bookmarkStart w:id="565" w:name="_Toc26864"/>
    </w:p>
    <w:p w14:paraId="65112B28">
      <w:pPr>
        <w:rPr>
          <w:rFonts w:hint="eastAsia" w:ascii="仿宋" w:hAnsi="仿宋" w:eastAsia="仿宋" w:cs="黑体"/>
          <w:color w:val="auto"/>
          <w:kern w:val="2"/>
          <w:sz w:val="32"/>
          <w:szCs w:val="32"/>
          <w:highlight w:val="none"/>
        </w:rPr>
      </w:pPr>
      <w:r>
        <w:rPr>
          <w:rFonts w:hint="eastAsia" w:ascii="仿宋" w:hAnsi="仿宋" w:eastAsia="仿宋" w:cs="黑体"/>
          <w:color w:val="auto"/>
          <w:kern w:val="2"/>
          <w:sz w:val="32"/>
          <w:szCs w:val="32"/>
          <w:highlight w:val="none"/>
        </w:rPr>
        <w:br w:type="page"/>
      </w:r>
    </w:p>
    <w:p w14:paraId="5F85AE99">
      <w:pPr>
        <w:pStyle w:val="5"/>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kern w:val="2"/>
          <w:sz w:val="28"/>
          <w:szCs w:val="28"/>
          <w:highlight w:val="none"/>
          <w:lang w:val="en-US" w:eastAsia="zh-CN" w:bidi="ar-SA"/>
        </w:rPr>
      </w:pPr>
      <w:bookmarkStart w:id="566" w:name="_Toc280"/>
      <w:r>
        <w:rPr>
          <w:rFonts w:hint="eastAsia" w:ascii="仿宋" w:hAnsi="仿宋" w:eastAsia="仿宋" w:cs="仿宋"/>
          <w:b/>
          <w:color w:val="auto"/>
          <w:kern w:val="2"/>
          <w:sz w:val="28"/>
          <w:szCs w:val="28"/>
          <w:highlight w:val="none"/>
          <w:lang w:val="en-US" w:eastAsia="zh-CN" w:bidi="ar-SA"/>
        </w:rPr>
        <w:t>6.技术参数偏离表</w:t>
      </w:r>
      <w:bookmarkEnd w:id="553"/>
      <w:bookmarkEnd w:id="555"/>
      <w:bookmarkEnd w:id="556"/>
      <w:bookmarkEnd w:id="557"/>
      <w:bookmarkEnd w:id="563"/>
      <w:bookmarkEnd w:id="564"/>
      <w:bookmarkEnd w:id="565"/>
      <w:bookmarkEnd w:id="566"/>
    </w:p>
    <w:p w14:paraId="6B960DC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b/>
          <w:bCs/>
          <w:color w:val="auto"/>
          <w:sz w:val="28"/>
          <w:szCs w:val="28"/>
          <w:highlight w:val="none"/>
        </w:rPr>
        <w:t>项目名称：                 项目编号</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color w:val="auto"/>
          <w:kern w:val="2"/>
          <w:sz w:val="28"/>
          <w:szCs w:val="28"/>
          <w:highlight w:val="none"/>
        </w:rPr>
        <w:t xml:space="preserve">     </w:t>
      </w:r>
      <w:r>
        <w:rPr>
          <w:rStyle w:val="49"/>
          <w:rFonts w:hint="eastAsia" w:ascii="仿宋" w:hAnsi="仿宋" w:eastAsia="仿宋" w:cs="仿宋"/>
          <w:color w:val="auto"/>
          <w:kern w:val="2"/>
          <w:sz w:val="28"/>
          <w:szCs w:val="28"/>
          <w:highlight w:val="none"/>
          <w:lang w:val="en-US"/>
        </w:rPr>
        <w:t xml:space="preserve">  </w:t>
      </w:r>
      <w:r>
        <w:rPr>
          <w:rStyle w:val="49"/>
          <w:rFonts w:hint="eastAsia" w:ascii="仿宋" w:hAnsi="仿宋" w:eastAsia="仿宋" w:cs="仿宋"/>
          <w:color w:val="auto"/>
          <w:kern w:val="2"/>
          <w:sz w:val="28"/>
          <w:szCs w:val="28"/>
          <w:highlight w:val="none"/>
        </w:rPr>
        <w:t xml:space="preserve"> </w:t>
      </w:r>
      <w:r>
        <w:rPr>
          <w:rStyle w:val="49"/>
          <w:rFonts w:hint="eastAsia" w:ascii="仿宋" w:hAnsi="仿宋" w:eastAsia="仿宋" w:cs="仿宋"/>
          <w:color w:val="auto"/>
          <w:kern w:val="2"/>
          <w:sz w:val="28"/>
          <w:szCs w:val="28"/>
          <w:highlight w:val="none"/>
          <w:lang w:val="en-US"/>
        </w:rPr>
        <w:t xml:space="preserve"> </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lang w:val="en-US"/>
        </w:rPr>
        <w:t xml:space="preserve"> </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lang w:val="en-US"/>
        </w:rPr>
        <w:t>标段号：</w:t>
      </w:r>
      <w:r>
        <w:rPr>
          <w:rStyle w:val="49"/>
          <w:rFonts w:hint="eastAsia" w:ascii="仿宋" w:hAnsi="仿宋" w:eastAsia="仿宋" w:cs="仿宋"/>
          <w:b/>
          <w:bCs/>
          <w:color w:val="auto"/>
          <w:kern w:val="2"/>
          <w:sz w:val="28"/>
          <w:szCs w:val="28"/>
          <w:highlight w:val="none"/>
        </w:rPr>
        <w:t xml:space="preserve"> </w:t>
      </w:r>
      <w:r>
        <w:rPr>
          <w:rFonts w:hint="eastAsia" w:ascii="仿宋" w:hAnsi="仿宋" w:eastAsia="仿宋" w:cs="仿宋"/>
          <w:b/>
          <w:bCs/>
          <w:color w:val="auto"/>
          <w:sz w:val="28"/>
          <w:szCs w:val="28"/>
          <w:highlight w:val="none"/>
        </w:rPr>
        <w:t xml:space="preserve">       </w:t>
      </w:r>
    </w:p>
    <w:tbl>
      <w:tblPr>
        <w:tblStyle w:val="27"/>
        <w:tblW w:w="0" w:type="auto"/>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573"/>
        <w:gridCol w:w="2046"/>
        <w:gridCol w:w="2049"/>
        <w:gridCol w:w="2100"/>
        <w:gridCol w:w="662"/>
      </w:tblGrid>
      <w:tr w14:paraId="1460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614" w:type="dxa"/>
            <w:noWrap w:val="0"/>
            <w:vAlign w:val="center"/>
          </w:tcPr>
          <w:p w14:paraId="586B6B23">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1573" w:type="dxa"/>
            <w:noWrap w:val="0"/>
            <w:vAlign w:val="center"/>
          </w:tcPr>
          <w:p w14:paraId="3D841C2B">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投标产品名称</w:t>
            </w:r>
          </w:p>
        </w:tc>
        <w:tc>
          <w:tcPr>
            <w:tcW w:w="2046" w:type="dxa"/>
            <w:noWrap w:val="0"/>
            <w:vAlign w:val="center"/>
          </w:tcPr>
          <w:p w14:paraId="2B20D47A">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招标规格参数</w:t>
            </w:r>
          </w:p>
        </w:tc>
        <w:tc>
          <w:tcPr>
            <w:tcW w:w="2049" w:type="dxa"/>
            <w:noWrap w:val="0"/>
            <w:vAlign w:val="center"/>
          </w:tcPr>
          <w:p w14:paraId="71A09635">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投标规格参数</w:t>
            </w:r>
          </w:p>
        </w:tc>
        <w:tc>
          <w:tcPr>
            <w:tcW w:w="2100" w:type="dxa"/>
            <w:noWrap w:val="0"/>
            <w:vAlign w:val="center"/>
          </w:tcPr>
          <w:p w14:paraId="444F6C5E">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偏离</w:t>
            </w:r>
          </w:p>
          <w:p w14:paraId="67A97B03">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（正/无/负）</w:t>
            </w:r>
          </w:p>
        </w:tc>
        <w:tc>
          <w:tcPr>
            <w:tcW w:w="662" w:type="dxa"/>
            <w:noWrap w:val="0"/>
            <w:vAlign w:val="center"/>
          </w:tcPr>
          <w:p w14:paraId="1F441754">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说明</w:t>
            </w:r>
          </w:p>
        </w:tc>
      </w:tr>
      <w:tr w14:paraId="79B0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614" w:type="dxa"/>
            <w:noWrap w:val="0"/>
            <w:vAlign w:val="top"/>
          </w:tcPr>
          <w:p w14:paraId="5F0862E8">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573" w:type="dxa"/>
            <w:noWrap w:val="0"/>
            <w:vAlign w:val="top"/>
          </w:tcPr>
          <w:p w14:paraId="1F65D15A">
            <w:pPr>
              <w:spacing w:line="440" w:lineRule="exact"/>
              <w:rPr>
                <w:rFonts w:hint="eastAsia" w:ascii="仿宋" w:hAnsi="仿宋" w:eastAsia="仿宋" w:cs="仿宋"/>
                <w:color w:val="auto"/>
                <w:sz w:val="28"/>
                <w:szCs w:val="28"/>
                <w:highlight w:val="none"/>
              </w:rPr>
            </w:pPr>
          </w:p>
        </w:tc>
        <w:tc>
          <w:tcPr>
            <w:tcW w:w="2046" w:type="dxa"/>
            <w:noWrap w:val="0"/>
            <w:vAlign w:val="top"/>
          </w:tcPr>
          <w:p w14:paraId="54E346BB">
            <w:pPr>
              <w:spacing w:line="440" w:lineRule="exact"/>
              <w:rPr>
                <w:rFonts w:hint="eastAsia" w:ascii="仿宋" w:hAnsi="仿宋" w:eastAsia="仿宋" w:cs="仿宋"/>
                <w:color w:val="auto"/>
                <w:sz w:val="28"/>
                <w:szCs w:val="28"/>
                <w:highlight w:val="none"/>
              </w:rPr>
            </w:pPr>
          </w:p>
        </w:tc>
        <w:tc>
          <w:tcPr>
            <w:tcW w:w="2049" w:type="dxa"/>
            <w:noWrap w:val="0"/>
            <w:vAlign w:val="top"/>
          </w:tcPr>
          <w:p w14:paraId="3D5144A5">
            <w:pPr>
              <w:spacing w:line="440" w:lineRule="exact"/>
              <w:rPr>
                <w:rFonts w:hint="eastAsia" w:ascii="仿宋" w:hAnsi="仿宋" w:eastAsia="仿宋" w:cs="仿宋"/>
                <w:color w:val="auto"/>
                <w:sz w:val="28"/>
                <w:szCs w:val="28"/>
                <w:highlight w:val="none"/>
              </w:rPr>
            </w:pPr>
          </w:p>
        </w:tc>
        <w:tc>
          <w:tcPr>
            <w:tcW w:w="2100" w:type="dxa"/>
            <w:noWrap w:val="0"/>
            <w:vAlign w:val="top"/>
          </w:tcPr>
          <w:p w14:paraId="3339BA48">
            <w:pPr>
              <w:spacing w:line="440" w:lineRule="exact"/>
              <w:rPr>
                <w:rFonts w:hint="eastAsia" w:ascii="仿宋" w:hAnsi="仿宋" w:eastAsia="仿宋" w:cs="仿宋"/>
                <w:color w:val="auto"/>
                <w:sz w:val="28"/>
                <w:szCs w:val="28"/>
                <w:highlight w:val="none"/>
              </w:rPr>
            </w:pPr>
          </w:p>
        </w:tc>
        <w:tc>
          <w:tcPr>
            <w:tcW w:w="662" w:type="dxa"/>
            <w:noWrap w:val="0"/>
            <w:vAlign w:val="top"/>
          </w:tcPr>
          <w:p w14:paraId="0CE2C729">
            <w:pPr>
              <w:spacing w:line="440" w:lineRule="exact"/>
              <w:rPr>
                <w:rFonts w:hint="eastAsia" w:ascii="仿宋" w:hAnsi="仿宋" w:eastAsia="仿宋" w:cs="仿宋"/>
                <w:color w:val="auto"/>
                <w:sz w:val="28"/>
                <w:szCs w:val="28"/>
                <w:highlight w:val="none"/>
              </w:rPr>
            </w:pPr>
          </w:p>
        </w:tc>
      </w:tr>
      <w:tr w14:paraId="54AF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14" w:type="dxa"/>
            <w:noWrap w:val="0"/>
            <w:vAlign w:val="top"/>
          </w:tcPr>
          <w:p w14:paraId="0586A3AD">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573" w:type="dxa"/>
            <w:noWrap w:val="0"/>
            <w:vAlign w:val="top"/>
          </w:tcPr>
          <w:p w14:paraId="1669CA09">
            <w:pPr>
              <w:spacing w:line="440" w:lineRule="exact"/>
              <w:rPr>
                <w:rFonts w:hint="eastAsia" w:ascii="仿宋" w:hAnsi="仿宋" w:eastAsia="仿宋" w:cs="仿宋"/>
                <w:color w:val="auto"/>
                <w:sz w:val="28"/>
                <w:szCs w:val="28"/>
                <w:highlight w:val="none"/>
              </w:rPr>
            </w:pPr>
          </w:p>
        </w:tc>
        <w:tc>
          <w:tcPr>
            <w:tcW w:w="2046" w:type="dxa"/>
            <w:noWrap w:val="0"/>
            <w:vAlign w:val="top"/>
          </w:tcPr>
          <w:p w14:paraId="331D8F25">
            <w:pPr>
              <w:spacing w:line="440" w:lineRule="exact"/>
              <w:rPr>
                <w:rFonts w:hint="eastAsia" w:ascii="仿宋" w:hAnsi="仿宋" w:eastAsia="仿宋" w:cs="仿宋"/>
                <w:color w:val="auto"/>
                <w:sz w:val="28"/>
                <w:szCs w:val="28"/>
                <w:highlight w:val="none"/>
              </w:rPr>
            </w:pPr>
          </w:p>
        </w:tc>
        <w:tc>
          <w:tcPr>
            <w:tcW w:w="2049" w:type="dxa"/>
            <w:noWrap w:val="0"/>
            <w:vAlign w:val="top"/>
          </w:tcPr>
          <w:p w14:paraId="6971EACC">
            <w:pPr>
              <w:spacing w:line="440" w:lineRule="exact"/>
              <w:rPr>
                <w:rFonts w:hint="eastAsia" w:ascii="仿宋" w:hAnsi="仿宋" w:eastAsia="仿宋" w:cs="仿宋"/>
                <w:color w:val="auto"/>
                <w:sz w:val="28"/>
                <w:szCs w:val="28"/>
                <w:highlight w:val="none"/>
              </w:rPr>
            </w:pPr>
          </w:p>
        </w:tc>
        <w:tc>
          <w:tcPr>
            <w:tcW w:w="2100" w:type="dxa"/>
            <w:noWrap w:val="0"/>
            <w:vAlign w:val="top"/>
          </w:tcPr>
          <w:p w14:paraId="144D9816">
            <w:pPr>
              <w:spacing w:line="440" w:lineRule="exact"/>
              <w:rPr>
                <w:rFonts w:hint="eastAsia" w:ascii="仿宋" w:hAnsi="仿宋" w:eastAsia="仿宋" w:cs="仿宋"/>
                <w:color w:val="auto"/>
                <w:sz w:val="28"/>
                <w:szCs w:val="28"/>
                <w:highlight w:val="none"/>
              </w:rPr>
            </w:pPr>
          </w:p>
        </w:tc>
        <w:tc>
          <w:tcPr>
            <w:tcW w:w="662" w:type="dxa"/>
            <w:noWrap w:val="0"/>
            <w:vAlign w:val="top"/>
          </w:tcPr>
          <w:p w14:paraId="20E25AC1">
            <w:pPr>
              <w:spacing w:line="440" w:lineRule="exact"/>
              <w:rPr>
                <w:rFonts w:hint="eastAsia" w:ascii="仿宋" w:hAnsi="仿宋" w:eastAsia="仿宋" w:cs="仿宋"/>
                <w:color w:val="auto"/>
                <w:sz w:val="28"/>
                <w:szCs w:val="28"/>
                <w:highlight w:val="none"/>
              </w:rPr>
            </w:pPr>
          </w:p>
        </w:tc>
      </w:tr>
      <w:tr w14:paraId="484A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14" w:type="dxa"/>
            <w:noWrap w:val="0"/>
            <w:vAlign w:val="top"/>
          </w:tcPr>
          <w:p w14:paraId="1FF5638A">
            <w:pPr>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573" w:type="dxa"/>
            <w:noWrap w:val="0"/>
            <w:vAlign w:val="top"/>
          </w:tcPr>
          <w:p w14:paraId="7BE09BAD">
            <w:pPr>
              <w:spacing w:line="440" w:lineRule="exact"/>
              <w:rPr>
                <w:rFonts w:hint="eastAsia" w:ascii="仿宋" w:hAnsi="仿宋" w:eastAsia="仿宋" w:cs="仿宋"/>
                <w:color w:val="auto"/>
                <w:sz w:val="28"/>
                <w:szCs w:val="28"/>
                <w:highlight w:val="none"/>
              </w:rPr>
            </w:pPr>
          </w:p>
        </w:tc>
        <w:tc>
          <w:tcPr>
            <w:tcW w:w="2046" w:type="dxa"/>
            <w:noWrap w:val="0"/>
            <w:vAlign w:val="top"/>
          </w:tcPr>
          <w:p w14:paraId="3AB480A0">
            <w:pPr>
              <w:spacing w:line="440" w:lineRule="exact"/>
              <w:rPr>
                <w:rFonts w:hint="eastAsia" w:ascii="仿宋" w:hAnsi="仿宋" w:eastAsia="仿宋" w:cs="仿宋"/>
                <w:color w:val="auto"/>
                <w:sz w:val="28"/>
                <w:szCs w:val="28"/>
                <w:highlight w:val="none"/>
              </w:rPr>
            </w:pPr>
          </w:p>
        </w:tc>
        <w:tc>
          <w:tcPr>
            <w:tcW w:w="2049" w:type="dxa"/>
            <w:noWrap w:val="0"/>
            <w:vAlign w:val="top"/>
          </w:tcPr>
          <w:p w14:paraId="49A3521D">
            <w:pPr>
              <w:spacing w:line="440" w:lineRule="exact"/>
              <w:rPr>
                <w:rFonts w:hint="eastAsia" w:ascii="仿宋" w:hAnsi="仿宋" w:eastAsia="仿宋" w:cs="仿宋"/>
                <w:color w:val="auto"/>
                <w:sz w:val="28"/>
                <w:szCs w:val="28"/>
                <w:highlight w:val="none"/>
              </w:rPr>
            </w:pPr>
          </w:p>
        </w:tc>
        <w:tc>
          <w:tcPr>
            <w:tcW w:w="2100" w:type="dxa"/>
            <w:noWrap w:val="0"/>
            <w:vAlign w:val="top"/>
          </w:tcPr>
          <w:p w14:paraId="7AABAE33">
            <w:pPr>
              <w:spacing w:line="440" w:lineRule="exact"/>
              <w:rPr>
                <w:rFonts w:hint="eastAsia" w:ascii="仿宋" w:hAnsi="仿宋" w:eastAsia="仿宋" w:cs="仿宋"/>
                <w:color w:val="auto"/>
                <w:sz w:val="28"/>
                <w:szCs w:val="28"/>
                <w:highlight w:val="none"/>
              </w:rPr>
            </w:pPr>
          </w:p>
        </w:tc>
        <w:tc>
          <w:tcPr>
            <w:tcW w:w="662" w:type="dxa"/>
            <w:noWrap w:val="0"/>
            <w:vAlign w:val="top"/>
          </w:tcPr>
          <w:p w14:paraId="316A64D7">
            <w:pPr>
              <w:spacing w:line="440" w:lineRule="exact"/>
              <w:rPr>
                <w:rFonts w:hint="eastAsia" w:ascii="仿宋" w:hAnsi="仿宋" w:eastAsia="仿宋" w:cs="仿宋"/>
                <w:color w:val="auto"/>
                <w:sz w:val="28"/>
                <w:szCs w:val="28"/>
                <w:highlight w:val="none"/>
              </w:rPr>
            </w:pPr>
          </w:p>
        </w:tc>
      </w:t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tbl>
    <w:p w14:paraId="50385BDD">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u w:val="single"/>
        </w:rPr>
      </w:pPr>
      <w:bookmarkStart w:id="567" w:name="_Toc25633"/>
      <w:bookmarkStart w:id="568" w:name="_Toc22349"/>
      <w:bookmarkStart w:id="569" w:name="_Toc6453_WPSOffice_Level2"/>
      <w:bookmarkStart w:id="570" w:name="_Toc19355"/>
      <w:bookmarkStart w:id="571" w:name="_Toc8728"/>
      <w:bookmarkStart w:id="572" w:name="_Toc4564"/>
      <w:bookmarkStart w:id="573" w:name="_Toc3339"/>
      <w:bookmarkStart w:id="574" w:name="_Toc18576"/>
      <w:bookmarkStart w:id="575" w:name="_Toc17736"/>
      <w:bookmarkStart w:id="576" w:name="_Toc28734"/>
      <w:bookmarkStart w:id="577" w:name="_Toc8972"/>
      <w:bookmarkStart w:id="578" w:name="_Toc2509"/>
      <w:bookmarkStart w:id="579" w:name="_Toc2882"/>
      <w:bookmarkStart w:id="580" w:name="_Toc24493"/>
      <w:bookmarkStart w:id="581" w:name="_Toc7502"/>
      <w:bookmarkStart w:id="582" w:name="_Toc7997"/>
      <w:r>
        <w:rPr>
          <w:rFonts w:hint="eastAsia" w:ascii="仿宋" w:hAnsi="仿宋" w:eastAsia="仿宋" w:cs="仿宋"/>
          <w:color w:val="auto"/>
          <w:sz w:val="28"/>
          <w:szCs w:val="28"/>
          <w:highlight w:val="none"/>
        </w:rPr>
        <w:t>投标人名称（单位盖章）：</w:t>
      </w:r>
      <w:r>
        <w:rPr>
          <w:rFonts w:hint="eastAsia" w:ascii="仿宋" w:hAnsi="仿宋" w:eastAsia="仿宋" w:cs="仿宋"/>
          <w:color w:val="auto"/>
          <w:sz w:val="28"/>
          <w:szCs w:val="28"/>
          <w:highlight w:val="none"/>
          <w:u w:val="single"/>
        </w:rPr>
        <w:t xml:space="preserve">                </w:t>
      </w:r>
    </w:p>
    <w:p w14:paraId="7A2CFC5E">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法定代表人或被授权人(签字或签章):</w:t>
      </w:r>
      <w:r>
        <w:rPr>
          <w:rFonts w:hint="eastAsia" w:ascii="仿宋" w:hAnsi="仿宋" w:eastAsia="仿宋" w:cs="仿宋"/>
          <w:color w:val="auto"/>
          <w:sz w:val="28"/>
          <w:szCs w:val="28"/>
          <w:highlight w:val="none"/>
          <w:u w:val="single"/>
        </w:rPr>
        <w:tab/>
      </w:r>
    </w:p>
    <w:p w14:paraId="1F3CA9C5">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737F3F22">
      <w:pPr>
        <w:pStyle w:val="2"/>
        <w:spacing w:line="440" w:lineRule="exact"/>
        <w:rPr>
          <w:rFonts w:hint="eastAsia" w:ascii="仿宋" w:hAnsi="仿宋" w:eastAsia="仿宋" w:cs="黑体"/>
          <w:b/>
          <w:color w:val="auto"/>
          <w:kern w:val="2"/>
          <w:sz w:val="28"/>
          <w:szCs w:val="28"/>
          <w:highlight w:val="none"/>
        </w:rPr>
      </w:pPr>
    </w:p>
    <w:p w14:paraId="3530FDC5">
      <w:pPr>
        <w:pStyle w:val="2"/>
        <w:rPr>
          <w:rFonts w:hint="eastAsia" w:ascii="仿宋" w:hAnsi="仿宋" w:eastAsia="仿宋" w:cs="黑体"/>
          <w:b/>
          <w:color w:val="auto"/>
          <w:kern w:val="2"/>
          <w:sz w:val="32"/>
          <w:szCs w:val="32"/>
          <w:highlight w:val="none"/>
        </w:rPr>
      </w:pPr>
    </w:p>
    <w:p w14:paraId="0357D931">
      <w:pPr>
        <w:pStyle w:val="2"/>
        <w:rPr>
          <w:rFonts w:hint="eastAsia" w:ascii="仿宋" w:hAnsi="仿宋" w:eastAsia="仿宋" w:cs="黑体"/>
          <w:b/>
          <w:color w:val="auto"/>
          <w:kern w:val="2"/>
          <w:sz w:val="32"/>
          <w:szCs w:val="32"/>
          <w:highlight w:val="none"/>
        </w:rPr>
      </w:pPr>
    </w:p>
    <w:p w14:paraId="2EBEF190">
      <w:pPr>
        <w:pStyle w:val="2"/>
        <w:jc w:val="center"/>
        <w:rPr>
          <w:rFonts w:hint="eastAsia" w:ascii="仿宋" w:hAnsi="仿宋" w:eastAsia="仿宋" w:cs="黑体"/>
          <w:b/>
          <w:color w:val="auto"/>
          <w:kern w:val="2"/>
          <w:sz w:val="32"/>
          <w:szCs w:val="32"/>
          <w:highlight w:val="none"/>
        </w:rPr>
      </w:pPr>
    </w:p>
    <w:p w14:paraId="2A431509">
      <w:pPr>
        <w:pStyle w:val="2"/>
        <w:jc w:val="center"/>
        <w:rPr>
          <w:rFonts w:hint="eastAsia" w:ascii="仿宋" w:hAnsi="仿宋" w:eastAsia="仿宋" w:cs="黑体"/>
          <w:b/>
          <w:color w:val="auto"/>
          <w:kern w:val="2"/>
          <w:sz w:val="32"/>
          <w:szCs w:val="32"/>
          <w:highlight w:val="none"/>
        </w:rPr>
      </w:pPr>
    </w:p>
    <w:p w14:paraId="5696F0F4">
      <w:pPr>
        <w:pStyle w:val="2"/>
        <w:jc w:val="center"/>
        <w:rPr>
          <w:rFonts w:hint="eastAsia" w:ascii="仿宋" w:hAnsi="仿宋" w:eastAsia="仿宋" w:cs="黑体"/>
          <w:b/>
          <w:color w:val="auto"/>
          <w:kern w:val="2"/>
          <w:sz w:val="32"/>
          <w:szCs w:val="32"/>
          <w:highlight w:val="none"/>
        </w:rPr>
      </w:pPr>
    </w:p>
    <w:p w14:paraId="701E3D36">
      <w:pPr>
        <w:pStyle w:val="2"/>
        <w:jc w:val="center"/>
        <w:rPr>
          <w:rFonts w:hint="eastAsia" w:ascii="仿宋" w:hAnsi="仿宋" w:eastAsia="仿宋" w:cs="黑体"/>
          <w:b/>
          <w:color w:val="auto"/>
          <w:kern w:val="2"/>
          <w:sz w:val="32"/>
          <w:szCs w:val="32"/>
          <w:highlight w:val="none"/>
        </w:rPr>
      </w:pPr>
    </w:p>
    <w:p w14:paraId="4515EE7D">
      <w:pPr>
        <w:pStyle w:val="2"/>
        <w:jc w:val="center"/>
        <w:rPr>
          <w:rFonts w:hint="eastAsia" w:ascii="仿宋" w:hAnsi="仿宋" w:eastAsia="仿宋" w:cs="黑体"/>
          <w:b/>
          <w:color w:val="auto"/>
          <w:kern w:val="2"/>
          <w:sz w:val="32"/>
          <w:szCs w:val="32"/>
          <w:highlight w:val="none"/>
        </w:rPr>
      </w:pPr>
    </w:p>
    <w:p w14:paraId="713CA81E">
      <w:pPr>
        <w:pStyle w:val="2"/>
        <w:jc w:val="center"/>
        <w:rPr>
          <w:rFonts w:hint="eastAsia" w:ascii="仿宋" w:hAnsi="仿宋" w:eastAsia="仿宋" w:cs="黑体"/>
          <w:b/>
          <w:color w:val="auto"/>
          <w:kern w:val="2"/>
          <w:sz w:val="32"/>
          <w:szCs w:val="32"/>
          <w:highlight w:val="none"/>
        </w:rPr>
      </w:pPr>
    </w:p>
    <w:p w14:paraId="5D901B20">
      <w:pPr>
        <w:pStyle w:val="2"/>
        <w:jc w:val="center"/>
        <w:rPr>
          <w:rFonts w:hint="eastAsia" w:ascii="仿宋" w:hAnsi="仿宋" w:eastAsia="仿宋" w:cs="黑体"/>
          <w:b/>
          <w:color w:val="auto"/>
          <w:kern w:val="2"/>
          <w:sz w:val="32"/>
          <w:szCs w:val="32"/>
          <w:highlight w:val="none"/>
        </w:rPr>
      </w:pPr>
    </w:p>
    <w:p w14:paraId="756B998F">
      <w:pPr>
        <w:pStyle w:val="2"/>
        <w:jc w:val="center"/>
        <w:rPr>
          <w:rFonts w:hint="eastAsia" w:ascii="仿宋" w:hAnsi="仿宋" w:eastAsia="仿宋" w:cs="黑体"/>
          <w:b/>
          <w:color w:val="auto"/>
          <w:kern w:val="2"/>
          <w:sz w:val="32"/>
          <w:szCs w:val="32"/>
          <w:highlight w:val="none"/>
        </w:rPr>
      </w:pPr>
    </w:p>
    <w:p w14:paraId="7287F402">
      <w:pPr>
        <w:pStyle w:val="2"/>
        <w:jc w:val="center"/>
        <w:rPr>
          <w:rFonts w:hint="eastAsia" w:ascii="仿宋" w:hAnsi="仿宋" w:eastAsia="仿宋" w:cs="黑体"/>
          <w:b/>
          <w:color w:val="auto"/>
          <w:kern w:val="2"/>
          <w:sz w:val="32"/>
          <w:szCs w:val="32"/>
          <w:highlight w:val="none"/>
        </w:rPr>
      </w:pPr>
    </w:p>
    <w:p w14:paraId="3567EE8C">
      <w:pPr>
        <w:pStyle w:val="2"/>
        <w:jc w:val="center"/>
        <w:rPr>
          <w:rFonts w:hint="eastAsia" w:ascii="仿宋" w:hAnsi="仿宋" w:eastAsia="仿宋" w:cs="黑体"/>
          <w:b/>
          <w:color w:val="auto"/>
          <w:kern w:val="2"/>
          <w:sz w:val="32"/>
          <w:szCs w:val="32"/>
          <w:highlight w:val="none"/>
        </w:rPr>
      </w:pPr>
    </w:p>
    <w:p w14:paraId="05851B49">
      <w:pPr>
        <w:rPr>
          <w:rFonts w:hint="eastAsia" w:ascii="仿宋" w:hAnsi="仿宋" w:eastAsia="仿宋" w:cs="黑体"/>
          <w:b/>
          <w:color w:val="auto"/>
          <w:sz w:val="32"/>
          <w:szCs w:val="32"/>
          <w:highlight w:val="none"/>
        </w:rPr>
      </w:pPr>
    </w:p>
    <w:p w14:paraId="6F97A901">
      <w:pPr>
        <w:pStyle w:val="26"/>
        <w:ind w:firstLine="400"/>
        <w:rPr>
          <w:rFonts w:hint="eastAsia"/>
          <w:color w:val="auto"/>
          <w:highlight w:val="none"/>
        </w:rPr>
      </w:pPr>
    </w:p>
    <w:p w14:paraId="190CE448">
      <w:pPr>
        <w:pStyle w:val="2"/>
        <w:jc w:val="center"/>
        <w:rPr>
          <w:rFonts w:hint="eastAsia" w:ascii="仿宋" w:hAnsi="仿宋" w:eastAsia="仿宋" w:cs="黑体"/>
          <w:b/>
          <w:color w:val="auto"/>
          <w:kern w:val="2"/>
          <w:sz w:val="32"/>
          <w:szCs w:val="32"/>
          <w:highlight w:val="none"/>
        </w:rPr>
      </w:pPr>
    </w:p>
    <w:p w14:paraId="07BC4C6B">
      <w:pPr>
        <w:pStyle w:val="2"/>
        <w:jc w:val="center"/>
        <w:rPr>
          <w:rFonts w:hint="eastAsia" w:ascii="仿宋" w:hAnsi="仿宋" w:eastAsia="仿宋" w:cs="黑体"/>
          <w:b/>
          <w:color w:val="auto"/>
          <w:kern w:val="2"/>
          <w:sz w:val="32"/>
          <w:szCs w:val="32"/>
          <w:highlight w:val="none"/>
        </w:rPr>
      </w:pPr>
    </w:p>
    <w:p w14:paraId="7F7FC213">
      <w:pPr>
        <w:pStyle w:val="2"/>
        <w:jc w:val="center"/>
        <w:rPr>
          <w:rFonts w:hint="eastAsia" w:ascii="仿宋" w:hAnsi="仿宋" w:eastAsia="仿宋" w:cs="黑体"/>
          <w:b/>
          <w:color w:val="auto"/>
          <w:kern w:val="2"/>
          <w:sz w:val="32"/>
          <w:szCs w:val="32"/>
          <w:highlight w:val="none"/>
        </w:rPr>
      </w:pPr>
    </w:p>
    <w:p w14:paraId="4235C9AA">
      <w:pPr>
        <w:pStyle w:val="2"/>
        <w:jc w:val="center"/>
        <w:rPr>
          <w:rFonts w:hint="eastAsia" w:ascii="仿宋" w:hAnsi="仿宋" w:eastAsia="仿宋" w:cs="黑体"/>
          <w:b/>
          <w:color w:val="auto"/>
          <w:kern w:val="2"/>
          <w:sz w:val="32"/>
          <w:szCs w:val="32"/>
          <w:highlight w:val="none"/>
        </w:rPr>
      </w:pPr>
    </w:p>
    <w:p w14:paraId="78F50F3A">
      <w:pPr>
        <w:pStyle w:val="2"/>
        <w:jc w:val="center"/>
        <w:rPr>
          <w:rFonts w:hint="eastAsia" w:ascii="仿宋" w:hAnsi="仿宋" w:eastAsia="仿宋" w:cs="黑体"/>
          <w:b/>
          <w:color w:val="auto"/>
          <w:kern w:val="2"/>
          <w:sz w:val="32"/>
          <w:szCs w:val="32"/>
          <w:highlight w:val="none"/>
        </w:rPr>
      </w:pPr>
    </w:p>
    <w:p w14:paraId="2597EE85">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黑体"/>
          <w:b/>
          <w:color w:val="auto"/>
          <w:kern w:val="2"/>
          <w:sz w:val="28"/>
          <w:szCs w:val="28"/>
          <w:highlight w:val="none"/>
        </w:rPr>
      </w:pPr>
      <w:r>
        <w:rPr>
          <w:rFonts w:hint="eastAsia" w:ascii="仿宋" w:hAnsi="仿宋" w:eastAsia="仿宋" w:cs="黑体"/>
          <w:b/>
          <w:color w:val="auto"/>
          <w:kern w:val="2"/>
          <w:sz w:val="28"/>
          <w:szCs w:val="28"/>
          <w:highlight w:val="none"/>
          <w:lang w:val="en-US" w:eastAsia="zh-CN"/>
        </w:rPr>
        <w:t>7</w:t>
      </w:r>
      <w:r>
        <w:rPr>
          <w:rFonts w:hint="eastAsia" w:ascii="仿宋" w:hAnsi="仿宋" w:eastAsia="仿宋" w:cs="黑体"/>
          <w:b/>
          <w:color w:val="auto"/>
          <w:kern w:val="2"/>
          <w:sz w:val="28"/>
          <w:szCs w:val="28"/>
          <w:highlight w:val="none"/>
        </w:rPr>
        <w:t>.商务要求偏离表</w:t>
      </w:r>
    </w:p>
    <w:p w14:paraId="59CC5A4A">
      <w:pPr>
        <w:pStyle w:val="2"/>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sz w:val="28"/>
          <w:szCs w:val="28"/>
          <w:highlight w:val="none"/>
        </w:rPr>
        <w:t>项目名称：                 项目编号</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color w:val="auto"/>
          <w:kern w:val="2"/>
          <w:sz w:val="28"/>
          <w:szCs w:val="28"/>
          <w:highlight w:val="none"/>
        </w:rPr>
        <w:t xml:space="preserve">     </w:t>
      </w:r>
      <w:r>
        <w:rPr>
          <w:rStyle w:val="49"/>
          <w:rFonts w:hint="eastAsia" w:ascii="仿宋" w:hAnsi="仿宋" w:eastAsia="仿宋" w:cs="仿宋"/>
          <w:color w:val="auto"/>
          <w:kern w:val="2"/>
          <w:sz w:val="28"/>
          <w:szCs w:val="28"/>
          <w:highlight w:val="none"/>
          <w:lang w:val="en-US"/>
        </w:rPr>
        <w:t xml:space="preserve">  </w:t>
      </w:r>
      <w:r>
        <w:rPr>
          <w:rStyle w:val="49"/>
          <w:rFonts w:hint="eastAsia" w:ascii="仿宋" w:hAnsi="仿宋" w:eastAsia="仿宋" w:cs="仿宋"/>
          <w:color w:val="auto"/>
          <w:kern w:val="2"/>
          <w:sz w:val="28"/>
          <w:szCs w:val="28"/>
          <w:highlight w:val="none"/>
        </w:rPr>
        <w:t xml:space="preserve"> </w:t>
      </w:r>
      <w:r>
        <w:rPr>
          <w:rStyle w:val="49"/>
          <w:rFonts w:hint="eastAsia" w:ascii="仿宋" w:hAnsi="仿宋" w:eastAsia="仿宋" w:cs="仿宋"/>
          <w:color w:val="auto"/>
          <w:kern w:val="2"/>
          <w:sz w:val="28"/>
          <w:szCs w:val="28"/>
          <w:highlight w:val="none"/>
          <w:lang w:val="en-US"/>
        </w:rPr>
        <w:t xml:space="preserve"> </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lang w:val="en-US"/>
        </w:rPr>
        <w:t xml:space="preserve"> </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lang w:val="en-US"/>
        </w:rPr>
        <w:t>标段号：</w:t>
      </w:r>
      <w:r>
        <w:rPr>
          <w:rFonts w:hint="eastAsia" w:ascii="仿宋" w:hAnsi="仿宋" w:eastAsia="仿宋" w:cs="仿宋"/>
          <w:b/>
          <w:bCs/>
          <w:color w:val="auto"/>
          <w:kern w:val="2"/>
          <w:sz w:val="28"/>
          <w:szCs w:val="28"/>
          <w:highlight w:val="none"/>
        </w:rPr>
        <w:t xml:space="preserve">       </w:t>
      </w:r>
    </w:p>
    <w:tbl>
      <w:tblPr>
        <w:tblStyle w:val="27"/>
        <w:tblW w:w="0" w:type="auto"/>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455"/>
        <w:gridCol w:w="1957"/>
        <w:gridCol w:w="2309"/>
        <w:gridCol w:w="1225"/>
      </w:tblGrid>
      <w:tr w14:paraId="08A1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trPr>
        <w:tc>
          <w:tcPr>
            <w:tcW w:w="736" w:type="dxa"/>
            <w:noWrap w:val="0"/>
            <w:vAlign w:val="center"/>
          </w:tcPr>
          <w:p w14:paraId="166CE954">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2455" w:type="dxa"/>
            <w:noWrap w:val="0"/>
            <w:vAlign w:val="center"/>
          </w:tcPr>
          <w:p w14:paraId="6F117758">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招标商务要求</w:t>
            </w:r>
          </w:p>
        </w:tc>
        <w:tc>
          <w:tcPr>
            <w:tcW w:w="1957" w:type="dxa"/>
            <w:noWrap w:val="0"/>
            <w:vAlign w:val="center"/>
          </w:tcPr>
          <w:p w14:paraId="2FCE4660">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投标商务要求</w:t>
            </w:r>
          </w:p>
        </w:tc>
        <w:tc>
          <w:tcPr>
            <w:tcW w:w="2309" w:type="dxa"/>
            <w:noWrap w:val="0"/>
            <w:vAlign w:val="center"/>
          </w:tcPr>
          <w:p w14:paraId="57835C05">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偏离</w:t>
            </w:r>
          </w:p>
          <w:p w14:paraId="28E66824">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（正/无/负）</w:t>
            </w:r>
          </w:p>
        </w:tc>
        <w:tc>
          <w:tcPr>
            <w:tcW w:w="1225" w:type="dxa"/>
            <w:noWrap w:val="0"/>
            <w:vAlign w:val="center"/>
          </w:tcPr>
          <w:p w14:paraId="55C181F8">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说明</w:t>
            </w:r>
          </w:p>
        </w:tc>
      </w:tr>
      <w:tr w14:paraId="1F81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736" w:type="dxa"/>
            <w:noWrap w:val="0"/>
            <w:vAlign w:val="top"/>
          </w:tcPr>
          <w:p w14:paraId="70805691">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455" w:type="dxa"/>
            <w:noWrap w:val="0"/>
            <w:vAlign w:val="top"/>
          </w:tcPr>
          <w:p w14:paraId="098C124D">
            <w:pPr>
              <w:spacing w:line="440" w:lineRule="exact"/>
              <w:jc w:val="center"/>
              <w:rPr>
                <w:rFonts w:hint="eastAsia" w:ascii="仿宋" w:hAnsi="仿宋" w:eastAsia="仿宋" w:cs="仿宋"/>
                <w:color w:val="auto"/>
                <w:sz w:val="28"/>
                <w:szCs w:val="28"/>
                <w:highlight w:val="none"/>
              </w:rPr>
            </w:pPr>
          </w:p>
        </w:tc>
        <w:tc>
          <w:tcPr>
            <w:tcW w:w="1957" w:type="dxa"/>
            <w:noWrap w:val="0"/>
            <w:vAlign w:val="top"/>
          </w:tcPr>
          <w:p w14:paraId="59D09A4C">
            <w:pPr>
              <w:spacing w:line="440" w:lineRule="exact"/>
              <w:jc w:val="center"/>
              <w:rPr>
                <w:rFonts w:hint="eastAsia" w:ascii="仿宋" w:hAnsi="仿宋" w:eastAsia="仿宋" w:cs="仿宋"/>
                <w:color w:val="auto"/>
                <w:sz w:val="28"/>
                <w:szCs w:val="28"/>
                <w:highlight w:val="none"/>
              </w:rPr>
            </w:pPr>
          </w:p>
        </w:tc>
        <w:tc>
          <w:tcPr>
            <w:tcW w:w="2309" w:type="dxa"/>
            <w:noWrap w:val="0"/>
            <w:vAlign w:val="top"/>
          </w:tcPr>
          <w:p w14:paraId="638A38D9">
            <w:pPr>
              <w:spacing w:line="440" w:lineRule="exact"/>
              <w:jc w:val="center"/>
              <w:rPr>
                <w:rFonts w:hint="eastAsia" w:ascii="仿宋" w:hAnsi="仿宋" w:eastAsia="仿宋" w:cs="仿宋"/>
                <w:color w:val="auto"/>
                <w:sz w:val="28"/>
                <w:szCs w:val="28"/>
                <w:highlight w:val="none"/>
              </w:rPr>
            </w:pPr>
          </w:p>
        </w:tc>
        <w:tc>
          <w:tcPr>
            <w:tcW w:w="1225" w:type="dxa"/>
            <w:noWrap w:val="0"/>
            <w:vAlign w:val="top"/>
          </w:tcPr>
          <w:p w14:paraId="4BC649A2">
            <w:pPr>
              <w:spacing w:line="440" w:lineRule="exact"/>
              <w:jc w:val="center"/>
              <w:rPr>
                <w:rFonts w:hint="eastAsia" w:ascii="仿宋" w:hAnsi="仿宋" w:eastAsia="仿宋" w:cs="仿宋"/>
                <w:color w:val="auto"/>
                <w:sz w:val="28"/>
                <w:szCs w:val="28"/>
                <w:highlight w:val="none"/>
              </w:rPr>
            </w:pPr>
          </w:p>
        </w:tc>
      </w:tr>
      <w:tr w14:paraId="0500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736" w:type="dxa"/>
            <w:noWrap w:val="0"/>
            <w:vAlign w:val="top"/>
          </w:tcPr>
          <w:p w14:paraId="1D64B088">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455" w:type="dxa"/>
            <w:noWrap w:val="0"/>
            <w:vAlign w:val="top"/>
          </w:tcPr>
          <w:p w14:paraId="66A6F937">
            <w:pPr>
              <w:spacing w:line="440" w:lineRule="exact"/>
              <w:jc w:val="center"/>
              <w:rPr>
                <w:rFonts w:hint="eastAsia" w:ascii="仿宋" w:hAnsi="仿宋" w:eastAsia="仿宋" w:cs="仿宋"/>
                <w:color w:val="auto"/>
                <w:sz w:val="28"/>
                <w:szCs w:val="28"/>
                <w:highlight w:val="none"/>
              </w:rPr>
            </w:pPr>
          </w:p>
        </w:tc>
        <w:tc>
          <w:tcPr>
            <w:tcW w:w="1957" w:type="dxa"/>
            <w:noWrap w:val="0"/>
            <w:vAlign w:val="top"/>
          </w:tcPr>
          <w:p w14:paraId="253ACA28">
            <w:pPr>
              <w:spacing w:line="440" w:lineRule="exact"/>
              <w:jc w:val="center"/>
              <w:rPr>
                <w:rFonts w:hint="eastAsia" w:ascii="仿宋" w:hAnsi="仿宋" w:eastAsia="仿宋" w:cs="仿宋"/>
                <w:color w:val="auto"/>
                <w:sz w:val="28"/>
                <w:szCs w:val="28"/>
                <w:highlight w:val="none"/>
              </w:rPr>
            </w:pPr>
          </w:p>
        </w:tc>
        <w:tc>
          <w:tcPr>
            <w:tcW w:w="2309" w:type="dxa"/>
            <w:noWrap w:val="0"/>
            <w:vAlign w:val="top"/>
          </w:tcPr>
          <w:p w14:paraId="78451C9C">
            <w:pPr>
              <w:spacing w:line="440" w:lineRule="exact"/>
              <w:jc w:val="center"/>
              <w:rPr>
                <w:rFonts w:hint="eastAsia" w:ascii="仿宋" w:hAnsi="仿宋" w:eastAsia="仿宋" w:cs="仿宋"/>
                <w:color w:val="auto"/>
                <w:sz w:val="28"/>
                <w:szCs w:val="28"/>
                <w:highlight w:val="none"/>
              </w:rPr>
            </w:pPr>
          </w:p>
        </w:tc>
        <w:tc>
          <w:tcPr>
            <w:tcW w:w="1225" w:type="dxa"/>
            <w:noWrap w:val="0"/>
            <w:vAlign w:val="top"/>
          </w:tcPr>
          <w:p w14:paraId="32E4987E">
            <w:pPr>
              <w:spacing w:line="440" w:lineRule="exact"/>
              <w:jc w:val="center"/>
              <w:rPr>
                <w:rFonts w:hint="eastAsia" w:ascii="仿宋" w:hAnsi="仿宋" w:eastAsia="仿宋" w:cs="仿宋"/>
                <w:color w:val="auto"/>
                <w:sz w:val="28"/>
                <w:szCs w:val="28"/>
                <w:highlight w:val="none"/>
              </w:rPr>
            </w:pPr>
          </w:p>
        </w:tc>
      </w:tr>
      <w:tr w14:paraId="4B52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736" w:type="dxa"/>
            <w:noWrap w:val="0"/>
            <w:vAlign w:val="top"/>
          </w:tcPr>
          <w:p w14:paraId="3F3F4AD3">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2455" w:type="dxa"/>
            <w:noWrap w:val="0"/>
            <w:vAlign w:val="top"/>
          </w:tcPr>
          <w:p w14:paraId="12F61884">
            <w:pPr>
              <w:spacing w:line="440" w:lineRule="exact"/>
              <w:jc w:val="center"/>
              <w:rPr>
                <w:rFonts w:hint="eastAsia" w:ascii="仿宋" w:hAnsi="仿宋" w:eastAsia="仿宋" w:cs="仿宋"/>
                <w:color w:val="auto"/>
                <w:sz w:val="28"/>
                <w:szCs w:val="28"/>
                <w:highlight w:val="none"/>
              </w:rPr>
            </w:pPr>
          </w:p>
        </w:tc>
        <w:tc>
          <w:tcPr>
            <w:tcW w:w="1957" w:type="dxa"/>
            <w:noWrap w:val="0"/>
            <w:vAlign w:val="top"/>
          </w:tcPr>
          <w:p w14:paraId="380DE29F">
            <w:pPr>
              <w:spacing w:line="440" w:lineRule="exact"/>
              <w:jc w:val="center"/>
              <w:rPr>
                <w:rFonts w:hint="eastAsia" w:ascii="仿宋" w:hAnsi="仿宋" w:eastAsia="仿宋" w:cs="仿宋"/>
                <w:color w:val="auto"/>
                <w:sz w:val="28"/>
                <w:szCs w:val="28"/>
                <w:highlight w:val="none"/>
              </w:rPr>
            </w:pPr>
          </w:p>
        </w:tc>
        <w:tc>
          <w:tcPr>
            <w:tcW w:w="2309" w:type="dxa"/>
            <w:noWrap w:val="0"/>
            <w:vAlign w:val="top"/>
          </w:tcPr>
          <w:p w14:paraId="665ECECC">
            <w:pPr>
              <w:spacing w:line="440" w:lineRule="exact"/>
              <w:jc w:val="center"/>
              <w:rPr>
                <w:rFonts w:hint="eastAsia" w:ascii="仿宋" w:hAnsi="仿宋" w:eastAsia="仿宋" w:cs="仿宋"/>
                <w:color w:val="auto"/>
                <w:sz w:val="28"/>
                <w:szCs w:val="28"/>
                <w:highlight w:val="none"/>
              </w:rPr>
            </w:pPr>
          </w:p>
        </w:tc>
        <w:tc>
          <w:tcPr>
            <w:tcW w:w="1225" w:type="dxa"/>
            <w:noWrap w:val="0"/>
            <w:vAlign w:val="top"/>
          </w:tcPr>
          <w:p w14:paraId="21506010">
            <w:pPr>
              <w:spacing w:line="440" w:lineRule="exact"/>
              <w:jc w:val="center"/>
              <w:rPr>
                <w:rFonts w:hint="eastAsia" w:ascii="仿宋" w:hAnsi="仿宋" w:eastAsia="仿宋" w:cs="仿宋"/>
                <w:color w:val="auto"/>
                <w:sz w:val="28"/>
                <w:szCs w:val="28"/>
                <w:highlight w:val="none"/>
              </w:rPr>
            </w:pPr>
          </w:p>
        </w:tc>
      </w:tr>
    </w:tbl>
    <w:p w14:paraId="2D476593">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投标人名称（单位盖章）：</w:t>
      </w:r>
      <w:r>
        <w:rPr>
          <w:rFonts w:hint="eastAsia" w:ascii="仿宋" w:hAnsi="仿宋" w:eastAsia="仿宋" w:cs="仿宋"/>
          <w:color w:val="auto"/>
          <w:sz w:val="28"/>
          <w:szCs w:val="28"/>
          <w:highlight w:val="none"/>
          <w:u w:val="single"/>
        </w:rPr>
        <w:t xml:space="preserve">                </w:t>
      </w:r>
    </w:p>
    <w:p w14:paraId="03BF20EB">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法定代表人或被授权人(签字或签章):</w:t>
      </w:r>
      <w:r>
        <w:rPr>
          <w:rFonts w:hint="eastAsia" w:ascii="仿宋" w:hAnsi="仿宋" w:eastAsia="仿宋" w:cs="仿宋"/>
          <w:color w:val="auto"/>
          <w:sz w:val="28"/>
          <w:szCs w:val="28"/>
          <w:highlight w:val="none"/>
          <w:u w:val="single"/>
        </w:rPr>
        <w:tab/>
      </w:r>
    </w:p>
    <w:p w14:paraId="34C9342D">
      <w:pPr>
        <w:pStyle w:val="2"/>
        <w:spacing w:line="440" w:lineRule="exact"/>
        <w:ind w:firstLine="0"/>
        <w:jc w:val="left"/>
        <w:rPr>
          <w:rFonts w:hint="eastAsia" w:ascii="仿宋" w:hAnsi="仿宋" w:eastAsia="仿宋" w:cs="黑体"/>
          <w:b/>
          <w:color w:val="auto"/>
          <w:kern w:val="2"/>
          <w:sz w:val="28"/>
          <w:szCs w:val="28"/>
          <w:highlight w:val="none"/>
        </w:rPr>
      </w:pPr>
      <w:r>
        <w:rPr>
          <w:rFonts w:hint="eastAsia" w:ascii="仿宋" w:hAnsi="仿宋" w:eastAsia="仿宋" w:cs="仿宋"/>
          <w:color w:val="auto"/>
          <w:sz w:val="28"/>
          <w:szCs w:val="28"/>
          <w:highlight w:val="none"/>
        </w:rPr>
        <w:t>日期：</w:t>
      </w:r>
    </w:p>
    <w:p w14:paraId="1E68EC30">
      <w:pPr>
        <w:pStyle w:val="2"/>
        <w:spacing w:line="440" w:lineRule="exact"/>
        <w:ind w:firstLine="0"/>
        <w:jc w:val="center"/>
        <w:rPr>
          <w:rFonts w:hint="eastAsia" w:ascii="仿宋" w:hAnsi="仿宋" w:eastAsia="仿宋" w:cs="黑体"/>
          <w:b/>
          <w:color w:val="auto"/>
          <w:kern w:val="2"/>
          <w:sz w:val="28"/>
          <w:szCs w:val="28"/>
          <w:highlight w:val="none"/>
        </w:rPr>
      </w:pPr>
    </w:p>
    <w:p w14:paraId="313571CC">
      <w:pPr>
        <w:pStyle w:val="2"/>
        <w:spacing w:line="440" w:lineRule="exact"/>
        <w:ind w:firstLine="0"/>
        <w:jc w:val="both"/>
        <w:rPr>
          <w:rFonts w:hint="eastAsia" w:ascii="仿宋" w:hAnsi="仿宋" w:eastAsia="仿宋" w:cs="黑体"/>
          <w:b/>
          <w:color w:val="auto"/>
          <w:kern w:val="2"/>
          <w:sz w:val="28"/>
          <w:szCs w:val="28"/>
          <w:highlight w:val="none"/>
        </w:rPr>
      </w:pPr>
    </w:p>
    <w:p w14:paraId="5CC58CC7">
      <w:pPr>
        <w:widowControl/>
        <w:jc w:val="center"/>
        <w:rPr>
          <w:rFonts w:hint="eastAsia" w:ascii="仿宋" w:hAnsi="仿宋" w:eastAsia="仿宋" w:cs="黑体"/>
          <w:b/>
          <w:color w:val="auto"/>
          <w:sz w:val="32"/>
          <w:szCs w:val="32"/>
          <w:highlight w:val="none"/>
        </w:rPr>
      </w:pPr>
    </w:p>
    <w:p w14:paraId="2150DD0F">
      <w:pPr>
        <w:widowControl/>
        <w:jc w:val="center"/>
        <w:rPr>
          <w:rFonts w:hint="eastAsia" w:ascii="仿宋" w:hAnsi="仿宋" w:eastAsia="仿宋" w:cs="黑体"/>
          <w:b/>
          <w:color w:val="auto"/>
          <w:sz w:val="32"/>
          <w:szCs w:val="32"/>
          <w:highlight w:val="none"/>
        </w:rPr>
      </w:pPr>
    </w:p>
    <w:p w14:paraId="54DC35E8">
      <w:pPr>
        <w:widowControl/>
        <w:jc w:val="center"/>
        <w:rPr>
          <w:rFonts w:hint="eastAsia" w:ascii="仿宋" w:hAnsi="仿宋" w:eastAsia="仿宋" w:cs="黑体"/>
          <w:b/>
          <w:color w:val="auto"/>
          <w:sz w:val="32"/>
          <w:szCs w:val="32"/>
          <w:highlight w:val="none"/>
        </w:rPr>
      </w:pPr>
    </w:p>
    <w:p w14:paraId="74DC605F">
      <w:pPr>
        <w:widowControl/>
        <w:jc w:val="center"/>
        <w:rPr>
          <w:rFonts w:hint="eastAsia" w:ascii="仿宋" w:hAnsi="仿宋" w:eastAsia="仿宋" w:cs="黑体"/>
          <w:b/>
          <w:color w:val="auto"/>
          <w:sz w:val="32"/>
          <w:szCs w:val="32"/>
          <w:highlight w:val="none"/>
        </w:rPr>
      </w:pPr>
    </w:p>
    <w:p w14:paraId="28CE5CD2">
      <w:pPr>
        <w:widowControl/>
        <w:jc w:val="center"/>
        <w:rPr>
          <w:rFonts w:hint="eastAsia" w:ascii="仿宋" w:hAnsi="仿宋" w:eastAsia="仿宋" w:cs="黑体"/>
          <w:b/>
          <w:color w:val="auto"/>
          <w:sz w:val="32"/>
          <w:szCs w:val="32"/>
          <w:highlight w:val="none"/>
        </w:rPr>
      </w:pPr>
    </w:p>
    <w:p w14:paraId="789912EF">
      <w:pPr>
        <w:widowControl/>
        <w:jc w:val="center"/>
        <w:rPr>
          <w:rFonts w:hint="eastAsia" w:ascii="仿宋" w:hAnsi="仿宋" w:eastAsia="仿宋" w:cs="黑体"/>
          <w:b/>
          <w:color w:val="auto"/>
          <w:sz w:val="32"/>
          <w:szCs w:val="32"/>
          <w:highlight w:val="none"/>
        </w:rPr>
      </w:pPr>
    </w:p>
    <w:p w14:paraId="5DF22B60">
      <w:pPr>
        <w:widowControl/>
        <w:jc w:val="center"/>
        <w:rPr>
          <w:rFonts w:hint="eastAsia" w:ascii="仿宋" w:hAnsi="仿宋" w:eastAsia="仿宋" w:cs="黑体"/>
          <w:b/>
          <w:color w:val="auto"/>
          <w:sz w:val="32"/>
          <w:szCs w:val="32"/>
          <w:highlight w:val="none"/>
        </w:rPr>
      </w:pPr>
    </w:p>
    <w:p w14:paraId="1FD5BEA3">
      <w:pPr>
        <w:widowControl/>
        <w:jc w:val="center"/>
        <w:rPr>
          <w:rFonts w:hint="eastAsia" w:ascii="仿宋" w:hAnsi="仿宋" w:eastAsia="仿宋" w:cs="黑体"/>
          <w:b/>
          <w:color w:val="auto"/>
          <w:sz w:val="32"/>
          <w:szCs w:val="32"/>
          <w:highlight w:val="none"/>
        </w:rPr>
      </w:pPr>
    </w:p>
    <w:p w14:paraId="1B34D101">
      <w:pPr>
        <w:widowControl/>
        <w:jc w:val="center"/>
        <w:rPr>
          <w:rFonts w:hint="eastAsia" w:ascii="仿宋" w:hAnsi="仿宋" w:eastAsia="仿宋" w:cs="黑体"/>
          <w:b/>
          <w:color w:val="auto"/>
          <w:sz w:val="32"/>
          <w:szCs w:val="32"/>
          <w:highlight w:val="none"/>
        </w:rPr>
      </w:pPr>
    </w:p>
    <w:p w14:paraId="6BAB7DC2">
      <w:pPr>
        <w:widowControl/>
        <w:jc w:val="center"/>
        <w:rPr>
          <w:rFonts w:hint="eastAsia" w:ascii="仿宋" w:hAnsi="仿宋" w:eastAsia="仿宋" w:cs="黑体"/>
          <w:b/>
          <w:color w:val="auto"/>
          <w:sz w:val="32"/>
          <w:szCs w:val="32"/>
          <w:highlight w:val="none"/>
        </w:rPr>
      </w:pPr>
    </w:p>
    <w:p w14:paraId="0B086407">
      <w:pPr>
        <w:widowControl/>
        <w:jc w:val="center"/>
        <w:rPr>
          <w:rFonts w:hint="eastAsia" w:ascii="仿宋" w:hAnsi="仿宋" w:eastAsia="仿宋" w:cs="黑体"/>
          <w:b/>
          <w:color w:val="auto"/>
          <w:sz w:val="32"/>
          <w:szCs w:val="32"/>
          <w:highlight w:val="none"/>
        </w:rPr>
      </w:pPr>
    </w:p>
    <w:p w14:paraId="4F7E8018">
      <w:pPr>
        <w:widowControl/>
        <w:jc w:val="center"/>
        <w:rPr>
          <w:rFonts w:hint="eastAsia" w:ascii="仿宋" w:hAnsi="仿宋" w:eastAsia="仿宋" w:cs="黑体"/>
          <w:b/>
          <w:color w:val="auto"/>
          <w:sz w:val="32"/>
          <w:szCs w:val="32"/>
          <w:highlight w:val="none"/>
        </w:rPr>
      </w:pPr>
    </w:p>
    <w:p w14:paraId="6E2E41B5">
      <w:pPr>
        <w:widowControl/>
        <w:jc w:val="center"/>
        <w:rPr>
          <w:rFonts w:hint="eastAsia" w:ascii="仿宋" w:hAnsi="仿宋" w:eastAsia="仿宋" w:cs="黑体"/>
          <w:b/>
          <w:color w:val="auto"/>
          <w:sz w:val="32"/>
          <w:szCs w:val="32"/>
          <w:highlight w:val="none"/>
        </w:rPr>
      </w:pPr>
    </w:p>
    <w:p w14:paraId="3374E367">
      <w:pPr>
        <w:widowControl/>
        <w:jc w:val="center"/>
        <w:rPr>
          <w:rFonts w:hint="eastAsia" w:ascii="仿宋" w:hAnsi="仿宋" w:eastAsia="仿宋" w:cs="黑体"/>
          <w:b/>
          <w:color w:val="auto"/>
          <w:sz w:val="32"/>
          <w:szCs w:val="32"/>
          <w:highlight w:val="none"/>
        </w:rPr>
      </w:pPr>
    </w:p>
    <w:p w14:paraId="4C5399FD">
      <w:pPr>
        <w:widowControl/>
        <w:jc w:val="center"/>
        <w:rPr>
          <w:rFonts w:hint="eastAsia" w:ascii="仿宋" w:hAnsi="仿宋" w:eastAsia="仿宋" w:cs="黑体"/>
          <w:b/>
          <w:color w:val="auto"/>
          <w:sz w:val="32"/>
          <w:szCs w:val="32"/>
          <w:highlight w:val="none"/>
        </w:rPr>
      </w:pPr>
    </w:p>
    <w:p w14:paraId="4F82ADA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8</w:t>
      </w:r>
      <w:r>
        <w:rPr>
          <w:rFonts w:hint="eastAsia" w:ascii="仿宋" w:hAnsi="仿宋" w:eastAsia="仿宋" w:cs="仿宋"/>
          <w:b/>
          <w:color w:val="auto"/>
          <w:sz w:val="28"/>
          <w:szCs w:val="28"/>
          <w:highlight w:val="none"/>
        </w:rPr>
        <w:t>.项目负责人简历表及拟投入本项目主要成员表</w:t>
      </w:r>
    </w:p>
    <w:p w14:paraId="689A598E">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b/>
          <w:bCs/>
          <w:color w:val="auto"/>
          <w:sz w:val="28"/>
          <w:szCs w:val="28"/>
          <w:highlight w:val="none"/>
        </w:rPr>
        <w:t>项目名称：                 项目编号</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color w:val="auto"/>
          <w:kern w:val="2"/>
          <w:sz w:val="28"/>
          <w:szCs w:val="28"/>
          <w:highlight w:val="none"/>
        </w:rPr>
        <w:t xml:space="preserve">     </w:t>
      </w:r>
      <w:r>
        <w:rPr>
          <w:rStyle w:val="49"/>
          <w:rFonts w:hint="eastAsia" w:ascii="仿宋" w:hAnsi="仿宋" w:eastAsia="仿宋" w:cs="仿宋"/>
          <w:color w:val="auto"/>
          <w:kern w:val="2"/>
          <w:sz w:val="28"/>
          <w:szCs w:val="28"/>
          <w:highlight w:val="none"/>
          <w:lang w:val="en-US"/>
        </w:rPr>
        <w:t xml:space="preserve">  </w:t>
      </w:r>
      <w:r>
        <w:rPr>
          <w:rStyle w:val="49"/>
          <w:rFonts w:hint="eastAsia" w:ascii="仿宋" w:hAnsi="仿宋" w:eastAsia="仿宋" w:cs="仿宋"/>
          <w:color w:val="auto"/>
          <w:kern w:val="2"/>
          <w:sz w:val="28"/>
          <w:szCs w:val="28"/>
          <w:highlight w:val="none"/>
        </w:rPr>
        <w:t xml:space="preserve"> </w:t>
      </w:r>
      <w:r>
        <w:rPr>
          <w:rStyle w:val="49"/>
          <w:rFonts w:hint="eastAsia" w:ascii="仿宋" w:hAnsi="仿宋" w:eastAsia="仿宋" w:cs="仿宋"/>
          <w:color w:val="auto"/>
          <w:kern w:val="2"/>
          <w:sz w:val="28"/>
          <w:szCs w:val="28"/>
          <w:highlight w:val="none"/>
          <w:lang w:val="en-US"/>
        </w:rPr>
        <w:t xml:space="preserve"> </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lang w:val="en-US"/>
        </w:rPr>
        <w:t xml:space="preserve"> </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lang w:val="en-US"/>
        </w:rPr>
        <w:t>标段号：</w:t>
      </w:r>
      <w:r>
        <w:rPr>
          <w:rFonts w:hint="eastAsia" w:ascii="仿宋" w:hAnsi="仿宋" w:eastAsia="仿宋" w:cs="仿宋"/>
          <w:b/>
          <w:bCs/>
          <w:color w:val="auto"/>
          <w:kern w:val="2"/>
          <w:sz w:val="28"/>
          <w:szCs w:val="28"/>
          <w:highlight w:val="none"/>
        </w:rPr>
        <w:t xml:space="preserve"> </w:t>
      </w:r>
      <w:r>
        <w:rPr>
          <w:rFonts w:hint="eastAsia" w:ascii="仿宋" w:hAnsi="仿宋" w:eastAsia="仿宋" w:cs="仿宋"/>
          <w:b/>
          <w:color w:val="auto"/>
          <w:sz w:val="28"/>
          <w:szCs w:val="28"/>
          <w:highlight w:val="none"/>
        </w:rPr>
        <w:t xml:space="preserve">       </w:t>
      </w:r>
    </w:p>
    <w:tbl>
      <w:tblPr>
        <w:tblStyle w:val="27"/>
        <w:tblW w:w="95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0"/>
        <w:gridCol w:w="937"/>
        <w:gridCol w:w="888"/>
        <w:gridCol w:w="912"/>
        <w:gridCol w:w="813"/>
        <w:gridCol w:w="775"/>
        <w:gridCol w:w="1462"/>
        <w:gridCol w:w="963"/>
        <w:gridCol w:w="1025"/>
        <w:gridCol w:w="842"/>
      </w:tblGrid>
      <w:tr w14:paraId="1E713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exact"/>
          <w:jc w:val="center"/>
        </w:trPr>
        <w:tc>
          <w:tcPr>
            <w:tcW w:w="930" w:type="dxa"/>
            <w:noWrap w:val="0"/>
            <w:vAlign w:val="center"/>
          </w:tcPr>
          <w:p w14:paraId="7D6323D9">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职责分工</w:t>
            </w:r>
          </w:p>
        </w:tc>
        <w:tc>
          <w:tcPr>
            <w:tcW w:w="937" w:type="dxa"/>
            <w:noWrap w:val="0"/>
            <w:vAlign w:val="center"/>
          </w:tcPr>
          <w:p w14:paraId="49652001">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888" w:type="dxa"/>
            <w:tcBorders>
              <w:right w:val="single" w:color="auto" w:sz="4" w:space="0"/>
            </w:tcBorders>
            <w:noWrap w:val="0"/>
            <w:vAlign w:val="center"/>
          </w:tcPr>
          <w:p w14:paraId="35E5628B">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年龄</w:t>
            </w:r>
          </w:p>
        </w:tc>
        <w:tc>
          <w:tcPr>
            <w:tcW w:w="912" w:type="dxa"/>
            <w:tcBorders>
              <w:left w:val="single" w:color="auto" w:sz="4" w:space="0"/>
            </w:tcBorders>
            <w:noWrap w:val="0"/>
            <w:vAlign w:val="center"/>
          </w:tcPr>
          <w:p w14:paraId="167E1B90">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学历</w:t>
            </w:r>
          </w:p>
        </w:tc>
        <w:tc>
          <w:tcPr>
            <w:tcW w:w="813" w:type="dxa"/>
            <w:noWrap w:val="0"/>
            <w:vAlign w:val="center"/>
          </w:tcPr>
          <w:p w14:paraId="1639B238">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w:t>
            </w:r>
          </w:p>
        </w:tc>
        <w:tc>
          <w:tcPr>
            <w:tcW w:w="775" w:type="dxa"/>
            <w:tcBorders>
              <w:right w:val="single" w:color="auto" w:sz="4" w:space="0"/>
            </w:tcBorders>
            <w:noWrap w:val="0"/>
            <w:vAlign w:val="center"/>
          </w:tcPr>
          <w:p w14:paraId="285967D0">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462" w:type="dxa"/>
            <w:tcBorders>
              <w:left w:val="single" w:color="auto" w:sz="4" w:space="0"/>
            </w:tcBorders>
            <w:noWrap w:val="0"/>
            <w:vAlign w:val="center"/>
          </w:tcPr>
          <w:p w14:paraId="0CDAA300">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在本项目中担任的岗位</w:t>
            </w:r>
          </w:p>
        </w:tc>
        <w:tc>
          <w:tcPr>
            <w:tcW w:w="963" w:type="dxa"/>
            <w:tcBorders>
              <w:left w:val="single" w:color="auto" w:sz="4" w:space="0"/>
            </w:tcBorders>
            <w:noWrap w:val="0"/>
            <w:vAlign w:val="center"/>
          </w:tcPr>
          <w:p w14:paraId="6E4F71DD">
            <w:pPr>
              <w:spacing w:line="44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从业证件</w:t>
            </w:r>
          </w:p>
        </w:tc>
        <w:tc>
          <w:tcPr>
            <w:tcW w:w="1025" w:type="dxa"/>
            <w:noWrap w:val="0"/>
            <w:vAlign w:val="center"/>
          </w:tcPr>
          <w:p w14:paraId="4287F92E">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从事类似工作年限</w:t>
            </w:r>
          </w:p>
        </w:tc>
        <w:tc>
          <w:tcPr>
            <w:tcW w:w="842" w:type="dxa"/>
            <w:noWrap w:val="0"/>
            <w:vAlign w:val="center"/>
          </w:tcPr>
          <w:p w14:paraId="393EB6BE">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02D42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exact"/>
          <w:jc w:val="center"/>
        </w:trPr>
        <w:tc>
          <w:tcPr>
            <w:tcW w:w="930" w:type="dxa"/>
            <w:noWrap w:val="0"/>
            <w:vAlign w:val="center"/>
          </w:tcPr>
          <w:p w14:paraId="1B3E6DFE">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项目负责人</w:t>
            </w:r>
          </w:p>
        </w:tc>
        <w:tc>
          <w:tcPr>
            <w:tcW w:w="937" w:type="dxa"/>
            <w:noWrap w:val="0"/>
            <w:vAlign w:val="center"/>
          </w:tcPr>
          <w:p w14:paraId="21128216">
            <w:pPr>
              <w:spacing w:line="440" w:lineRule="exact"/>
              <w:jc w:val="center"/>
              <w:rPr>
                <w:rFonts w:hint="eastAsia" w:ascii="仿宋" w:hAnsi="仿宋" w:eastAsia="仿宋" w:cs="仿宋"/>
                <w:color w:val="auto"/>
                <w:sz w:val="28"/>
                <w:szCs w:val="28"/>
                <w:highlight w:val="none"/>
              </w:rPr>
            </w:pPr>
          </w:p>
        </w:tc>
        <w:tc>
          <w:tcPr>
            <w:tcW w:w="888" w:type="dxa"/>
            <w:tcBorders>
              <w:right w:val="single" w:color="auto" w:sz="4" w:space="0"/>
            </w:tcBorders>
            <w:noWrap w:val="0"/>
            <w:vAlign w:val="center"/>
          </w:tcPr>
          <w:p w14:paraId="6022FB27">
            <w:pPr>
              <w:spacing w:line="440" w:lineRule="exact"/>
              <w:jc w:val="center"/>
              <w:rPr>
                <w:rFonts w:hint="eastAsia" w:ascii="仿宋" w:hAnsi="仿宋" w:eastAsia="仿宋" w:cs="仿宋"/>
                <w:color w:val="auto"/>
                <w:sz w:val="28"/>
                <w:szCs w:val="28"/>
                <w:highlight w:val="none"/>
              </w:rPr>
            </w:pPr>
          </w:p>
        </w:tc>
        <w:tc>
          <w:tcPr>
            <w:tcW w:w="912" w:type="dxa"/>
            <w:tcBorders>
              <w:left w:val="single" w:color="auto" w:sz="4" w:space="0"/>
            </w:tcBorders>
            <w:noWrap w:val="0"/>
            <w:vAlign w:val="center"/>
          </w:tcPr>
          <w:p w14:paraId="6E549933">
            <w:pPr>
              <w:spacing w:line="440" w:lineRule="exact"/>
              <w:jc w:val="center"/>
              <w:rPr>
                <w:rFonts w:hint="eastAsia" w:ascii="仿宋" w:hAnsi="仿宋" w:eastAsia="仿宋" w:cs="仿宋"/>
                <w:color w:val="auto"/>
                <w:sz w:val="28"/>
                <w:szCs w:val="28"/>
                <w:highlight w:val="none"/>
              </w:rPr>
            </w:pPr>
          </w:p>
        </w:tc>
        <w:tc>
          <w:tcPr>
            <w:tcW w:w="813" w:type="dxa"/>
            <w:noWrap w:val="0"/>
            <w:vAlign w:val="center"/>
          </w:tcPr>
          <w:p w14:paraId="33A6F7F4">
            <w:pPr>
              <w:spacing w:line="440" w:lineRule="exact"/>
              <w:jc w:val="center"/>
              <w:rPr>
                <w:rFonts w:hint="eastAsia" w:ascii="仿宋" w:hAnsi="仿宋" w:eastAsia="仿宋" w:cs="仿宋"/>
                <w:color w:val="auto"/>
                <w:sz w:val="28"/>
                <w:szCs w:val="28"/>
                <w:highlight w:val="none"/>
              </w:rPr>
            </w:pPr>
          </w:p>
        </w:tc>
        <w:tc>
          <w:tcPr>
            <w:tcW w:w="775" w:type="dxa"/>
            <w:tcBorders>
              <w:right w:val="single" w:color="auto" w:sz="4" w:space="0"/>
            </w:tcBorders>
            <w:noWrap w:val="0"/>
            <w:vAlign w:val="center"/>
          </w:tcPr>
          <w:p w14:paraId="59B2843A">
            <w:pPr>
              <w:spacing w:line="440" w:lineRule="exact"/>
              <w:jc w:val="center"/>
              <w:rPr>
                <w:rFonts w:hint="eastAsia" w:ascii="仿宋" w:hAnsi="仿宋" w:eastAsia="仿宋" w:cs="仿宋"/>
                <w:color w:val="auto"/>
                <w:sz w:val="28"/>
                <w:szCs w:val="28"/>
                <w:highlight w:val="none"/>
              </w:rPr>
            </w:pPr>
          </w:p>
        </w:tc>
        <w:tc>
          <w:tcPr>
            <w:tcW w:w="1462" w:type="dxa"/>
            <w:tcBorders>
              <w:left w:val="single" w:color="auto" w:sz="4" w:space="0"/>
            </w:tcBorders>
            <w:noWrap w:val="0"/>
            <w:vAlign w:val="center"/>
          </w:tcPr>
          <w:p w14:paraId="37E306EF">
            <w:pPr>
              <w:spacing w:line="440" w:lineRule="exact"/>
              <w:jc w:val="center"/>
              <w:rPr>
                <w:rFonts w:hint="eastAsia" w:ascii="仿宋" w:hAnsi="仿宋" w:eastAsia="仿宋" w:cs="仿宋"/>
                <w:color w:val="auto"/>
                <w:sz w:val="28"/>
                <w:szCs w:val="28"/>
                <w:highlight w:val="none"/>
              </w:rPr>
            </w:pPr>
          </w:p>
        </w:tc>
        <w:tc>
          <w:tcPr>
            <w:tcW w:w="963" w:type="dxa"/>
            <w:tcBorders>
              <w:left w:val="single" w:color="auto" w:sz="4" w:space="0"/>
            </w:tcBorders>
            <w:noWrap w:val="0"/>
            <w:vAlign w:val="center"/>
          </w:tcPr>
          <w:p w14:paraId="0FAACA31">
            <w:pPr>
              <w:spacing w:line="440" w:lineRule="exact"/>
              <w:jc w:val="center"/>
              <w:rPr>
                <w:rFonts w:hint="eastAsia" w:ascii="仿宋" w:hAnsi="仿宋" w:eastAsia="仿宋" w:cs="仿宋"/>
                <w:color w:val="auto"/>
                <w:sz w:val="28"/>
                <w:szCs w:val="28"/>
                <w:highlight w:val="none"/>
              </w:rPr>
            </w:pPr>
          </w:p>
        </w:tc>
        <w:tc>
          <w:tcPr>
            <w:tcW w:w="1025" w:type="dxa"/>
            <w:noWrap w:val="0"/>
            <w:vAlign w:val="center"/>
          </w:tcPr>
          <w:p w14:paraId="53E24EE5">
            <w:pPr>
              <w:spacing w:line="440" w:lineRule="exact"/>
              <w:jc w:val="center"/>
              <w:rPr>
                <w:rFonts w:hint="eastAsia" w:ascii="仿宋" w:hAnsi="仿宋" w:eastAsia="仿宋" w:cs="仿宋"/>
                <w:color w:val="auto"/>
                <w:sz w:val="28"/>
                <w:szCs w:val="28"/>
                <w:highlight w:val="none"/>
              </w:rPr>
            </w:pPr>
          </w:p>
        </w:tc>
        <w:tc>
          <w:tcPr>
            <w:tcW w:w="842" w:type="dxa"/>
            <w:noWrap w:val="0"/>
            <w:vAlign w:val="center"/>
          </w:tcPr>
          <w:p w14:paraId="2E886CD0">
            <w:pPr>
              <w:spacing w:line="440" w:lineRule="exact"/>
              <w:jc w:val="center"/>
              <w:rPr>
                <w:rFonts w:hint="eastAsia" w:ascii="仿宋" w:hAnsi="仿宋" w:eastAsia="仿宋" w:cs="仿宋"/>
                <w:color w:val="auto"/>
                <w:sz w:val="28"/>
                <w:szCs w:val="28"/>
                <w:highlight w:val="none"/>
              </w:rPr>
            </w:pPr>
          </w:p>
        </w:tc>
      </w:tr>
      <w:tr w14:paraId="72CB4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30" w:type="dxa"/>
            <w:vMerge w:val="restart"/>
            <w:noWrap w:val="0"/>
            <w:vAlign w:val="center"/>
          </w:tcPr>
          <w:p w14:paraId="3F1D912C">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其他人员</w:t>
            </w:r>
          </w:p>
        </w:tc>
        <w:tc>
          <w:tcPr>
            <w:tcW w:w="937" w:type="dxa"/>
            <w:noWrap w:val="0"/>
            <w:vAlign w:val="center"/>
          </w:tcPr>
          <w:p w14:paraId="1C8E784D">
            <w:pPr>
              <w:spacing w:line="440" w:lineRule="exact"/>
              <w:jc w:val="center"/>
              <w:rPr>
                <w:rFonts w:hint="eastAsia" w:ascii="仿宋" w:hAnsi="仿宋" w:eastAsia="仿宋" w:cs="仿宋"/>
                <w:color w:val="auto"/>
                <w:sz w:val="28"/>
                <w:szCs w:val="28"/>
                <w:highlight w:val="none"/>
              </w:rPr>
            </w:pPr>
          </w:p>
        </w:tc>
        <w:tc>
          <w:tcPr>
            <w:tcW w:w="888" w:type="dxa"/>
            <w:tcBorders>
              <w:right w:val="single" w:color="auto" w:sz="4" w:space="0"/>
            </w:tcBorders>
            <w:noWrap w:val="0"/>
            <w:vAlign w:val="center"/>
          </w:tcPr>
          <w:p w14:paraId="62491593">
            <w:pPr>
              <w:spacing w:line="440" w:lineRule="exact"/>
              <w:jc w:val="center"/>
              <w:rPr>
                <w:rFonts w:hint="eastAsia" w:ascii="仿宋" w:hAnsi="仿宋" w:eastAsia="仿宋" w:cs="仿宋"/>
                <w:color w:val="auto"/>
                <w:sz w:val="28"/>
                <w:szCs w:val="28"/>
                <w:highlight w:val="none"/>
              </w:rPr>
            </w:pPr>
          </w:p>
        </w:tc>
        <w:tc>
          <w:tcPr>
            <w:tcW w:w="912" w:type="dxa"/>
            <w:tcBorders>
              <w:left w:val="single" w:color="auto" w:sz="4" w:space="0"/>
            </w:tcBorders>
            <w:noWrap w:val="0"/>
            <w:vAlign w:val="center"/>
          </w:tcPr>
          <w:p w14:paraId="30E74AE7">
            <w:pPr>
              <w:spacing w:line="440" w:lineRule="exact"/>
              <w:jc w:val="center"/>
              <w:rPr>
                <w:rFonts w:hint="eastAsia" w:ascii="仿宋" w:hAnsi="仿宋" w:eastAsia="仿宋" w:cs="仿宋"/>
                <w:color w:val="auto"/>
                <w:sz w:val="28"/>
                <w:szCs w:val="28"/>
                <w:highlight w:val="none"/>
              </w:rPr>
            </w:pPr>
          </w:p>
        </w:tc>
        <w:tc>
          <w:tcPr>
            <w:tcW w:w="813" w:type="dxa"/>
            <w:noWrap w:val="0"/>
            <w:vAlign w:val="center"/>
          </w:tcPr>
          <w:p w14:paraId="600DE365">
            <w:pPr>
              <w:spacing w:line="440" w:lineRule="exact"/>
              <w:jc w:val="center"/>
              <w:rPr>
                <w:rFonts w:hint="eastAsia" w:ascii="仿宋" w:hAnsi="仿宋" w:eastAsia="仿宋" w:cs="仿宋"/>
                <w:color w:val="auto"/>
                <w:sz w:val="28"/>
                <w:szCs w:val="28"/>
                <w:highlight w:val="none"/>
              </w:rPr>
            </w:pPr>
          </w:p>
        </w:tc>
        <w:tc>
          <w:tcPr>
            <w:tcW w:w="775" w:type="dxa"/>
            <w:tcBorders>
              <w:right w:val="single" w:color="auto" w:sz="4" w:space="0"/>
            </w:tcBorders>
            <w:noWrap w:val="0"/>
            <w:vAlign w:val="center"/>
          </w:tcPr>
          <w:p w14:paraId="74D6E0D6">
            <w:pPr>
              <w:spacing w:line="440" w:lineRule="exact"/>
              <w:jc w:val="center"/>
              <w:rPr>
                <w:rFonts w:hint="eastAsia" w:ascii="仿宋" w:hAnsi="仿宋" w:eastAsia="仿宋" w:cs="仿宋"/>
                <w:color w:val="auto"/>
                <w:sz w:val="28"/>
                <w:szCs w:val="28"/>
                <w:highlight w:val="none"/>
              </w:rPr>
            </w:pPr>
          </w:p>
        </w:tc>
        <w:tc>
          <w:tcPr>
            <w:tcW w:w="1462" w:type="dxa"/>
            <w:tcBorders>
              <w:left w:val="single" w:color="auto" w:sz="4" w:space="0"/>
            </w:tcBorders>
            <w:noWrap w:val="0"/>
            <w:vAlign w:val="center"/>
          </w:tcPr>
          <w:p w14:paraId="04ED8D2F">
            <w:pPr>
              <w:spacing w:line="440" w:lineRule="exact"/>
              <w:jc w:val="center"/>
              <w:rPr>
                <w:rFonts w:hint="eastAsia" w:ascii="仿宋" w:hAnsi="仿宋" w:eastAsia="仿宋" w:cs="仿宋"/>
                <w:color w:val="auto"/>
                <w:sz w:val="28"/>
                <w:szCs w:val="28"/>
                <w:highlight w:val="none"/>
              </w:rPr>
            </w:pPr>
          </w:p>
        </w:tc>
        <w:tc>
          <w:tcPr>
            <w:tcW w:w="963" w:type="dxa"/>
            <w:tcBorders>
              <w:left w:val="single" w:color="auto" w:sz="4" w:space="0"/>
            </w:tcBorders>
            <w:noWrap w:val="0"/>
            <w:vAlign w:val="center"/>
          </w:tcPr>
          <w:p w14:paraId="2937917F">
            <w:pPr>
              <w:spacing w:line="440" w:lineRule="exact"/>
              <w:jc w:val="center"/>
              <w:rPr>
                <w:rFonts w:hint="eastAsia" w:ascii="仿宋" w:hAnsi="仿宋" w:eastAsia="仿宋" w:cs="仿宋"/>
                <w:color w:val="auto"/>
                <w:sz w:val="28"/>
                <w:szCs w:val="28"/>
                <w:highlight w:val="none"/>
              </w:rPr>
            </w:pPr>
          </w:p>
        </w:tc>
        <w:tc>
          <w:tcPr>
            <w:tcW w:w="1025" w:type="dxa"/>
            <w:noWrap w:val="0"/>
            <w:vAlign w:val="center"/>
          </w:tcPr>
          <w:p w14:paraId="790C6886">
            <w:pPr>
              <w:spacing w:line="440" w:lineRule="exact"/>
              <w:jc w:val="center"/>
              <w:rPr>
                <w:rFonts w:hint="eastAsia" w:ascii="仿宋" w:hAnsi="仿宋" w:eastAsia="仿宋" w:cs="仿宋"/>
                <w:color w:val="auto"/>
                <w:sz w:val="28"/>
                <w:szCs w:val="28"/>
                <w:highlight w:val="none"/>
              </w:rPr>
            </w:pPr>
          </w:p>
        </w:tc>
        <w:tc>
          <w:tcPr>
            <w:tcW w:w="842" w:type="dxa"/>
            <w:noWrap w:val="0"/>
            <w:vAlign w:val="center"/>
          </w:tcPr>
          <w:p w14:paraId="44307B30">
            <w:pPr>
              <w:spacing w:line="440" w:lineRule="exact"/>
              <w:jc w:val="center"/>
              <w:rPr>
                <w:rFonts w:hint="eastAsia" w:ascii="仿宋" w:hAnsi="仿宋" w:eastAsia="仿宋" w:cs="仿宋"/>
                <w:color w:val="auto"/>
                <w:sz w:val="28"/>
                <w:szCs w:val="28"/>
                <w:highlight w:val="none"/>
              </w:rPr>
            </w:pPr>
          </w:p>
        </w:tc>
      </w:tr>
      <w:tr w14:paraId="08834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30" w:type="dxa"/>
            <w:vMerge w:val="continue"/>
            <w:noWrap w:val="0"/>
            <w:vAlign w:val="center"/>
          </w:tcPr>
          <w:p w14:paraId="750E7C29">
            <w:pPr>
              <w:spacing w:line="440" w:lineRule="exact"/>
              <w:jc w:val="center"/>
              <w:rPr>
                <w:rFonts w:hint="eastAsia" w:ascii="仿宋" w:hAnsi="仿宋" w:eastAsia="仿宋" w:cs="仿宋"/>
                <w:color w:val="auto"/>
                <w:sz w:val="28"/>
                <w:szCs w:val="28"/>
                <w:highlight w:val="none"/>
              </w:rPr>
            </w:pPr>
          </w:p>
        </w:tc>
        <w:tc>
          <w:tcPr>
            <w:tcW w:w="937" w:type="dxa"/>
            <w:noWrap w:val="0"/>
            <w:vAlign w:val="center"/>
          </w:tcPr>
          <w:p w14:paraId="580465A7">
            <w:pPr>
              <w:spacing w:line="440" w:lineRule="exact"/>
              <w:jc w:val="center"/>
              <w:rPr>
                <w:rFonts w:hint="eastAsia" w:ascii="仿宋" w:hAnsi="仿宋" w:eastAsia="仿宋" w:cs="仿宋"/>
                <w:color w:val="auto"/>
                <w:sz w:val="28"/>
                <w:szCs w:val="28"/>
                <w:highlight w:val="none"/>
              </w:rPr>
            </w:pPr>
          </w:p>
        </w:tc>
        <w:tc>
          <w:tcPr>
            <w:tcW w:w="888" w:type="dxa"/>
            <w:tcBorders>
              <w:right w:val="single" w:color="auto" w:sz="4" w:space="0"/>
            </w:tcBorders>
            <w:noWrap w:val="0"/>
            <w:vAlign w:val="center"/>
          </w:tcPr>
          <w:p w14:paraId="2943C675">
            <w:pPr>
              <w:spacing w:line="440" w:lineRule="exact"/>
              <w:jc w:val="center"/>
              <w:rPr>
                <w:rFonts w:hint="eastAsia" w:ascii="仿宋" w:hAnsi="仿宋" w:eastAsia="仿宋" w:cs="仿宋"/>
                <w:color w:val="auto"/>
                <w:sz w:val="28"/>
                <w:szCs w:val="28"/>
                <w:highlight w:val="none"/>
              </w:rPr>
            </w:pPr>
          </w:p>
        </w:tc>
        <w:tc>
          <w:tcPr>
            <w:tcW w:w="912" w:type="dxa"/>
            <w:tcBorders>
              <w:left w:val="single" w:color="auto" w:sz="4" w:space="0"/>
            </w:tcBorders>
            <w:noWrap w:val="0"/>
            <w:vAlign w:val="center"/>
          </w:tcPr>
          <w:p w14:paraId="6A317B38">
            <w:pPr>
              <w:spacing w:line="440" w:lineRule="exact"/>
              <w:jc w:val="center"/>
              <w:rPr>
                <w:rFonts w:hint="eastAsia" w:ascii="仿宋" w:hAnsi="仿宋" w:eastAsia="仿宋" w:cs="仿宋"/>
                <w:color w:val="auto"/>
                <w:sz w:val="28"/>
                <w:szCs w:val="28"/>
                <w:highlight w:val="none"/>
              </w:rPr>
            </w:pPr>
          </w:p>
        </w:tc>
        <w:tc>
          <w:tcPr>
            <w:tcW w:w="813" w:type="dxa"/>
            <w:noWrap w:val="0"/>
            <w:vAlign w:val="center"/>
          </w:tcPr>
          <w:p w14:paraId="0731FEDF">
            <w:pPr>
              <w:spacing w:line="440" w:lineRule="exact"/>
              <w:jc w:val="center"/>
              <w:rPr>
                <w:rFonts w:hint="eastAsia" w:ascii="仿宋" w:hAnsi="仿宋" w:eastAsia="仿宋" w:cs="仿宋"/>
                <w:color w:val="auto"/>
                <w:sz w:val="28"/>
                <w:szCs w:val="28"/>
                <w:highlight w:val="none"/>
              </w:rPr>
            </w:pPr>
          </w:p>
        </w:tc>
        <w:tc>
          <w:tcPr>
            <w:tcW w:w="775" w:type="dxa"/>
            <w:tcBorders>
              <w:right w:val="single" w:color="auto" w:sz="4" w:space="0"/>
            </w:tcBorders>
            <w:noWrap w:val="0"/>
            <w:vAlign w:val="center"/>
          </w:tcPr>
          <w:p w14:paraId="455859F6">
            <w:pPr>
              <w:spacing w:line="440" w:lineRule="exact"/>
              <w:jc w:val="center"/>
              <w:rPr>
                <w:rFonts w:hint="eastAsia" w:ascii="仿宋" w:hAnsi="仿宋" w:eastAsia="仿宋" w:cs="仿宋"/>
                <w:color w:val="auto"/>
                <w:sz w:val="28"/>
                <w:szCs w:val="28"/>
                <w:highlight w:val="none"/>
              </w:rPr>
            </w:pPr>
          </w:p>
        </w:tc>
        <w:tc>
          <w:tcPr>
            <w:tcW w:w="1462" w:type="dxa"/>
            <w:tcBorders>
              <w:left w:val="single" w:color="auto" w:sz="4" w:space="0"/>
            </w:tcBorders>
            <w:noWrap w:val="0"/>
            <w:vAlign w:val="center"/>
          </w:tcPr>
          <w:p w14:paraId="665FDFF0">
            <w:pPr>
              <w:spacing w:line="440" w:lineRule="exact"/>
              <w:jc w:val="center"/>
              <w:rPr>
                <w:rFonts w:hint="eastAsia" w:ascii="仿宋" w:hAnsi="仿宋" w:eastAsia="仿宋" w:cs="仿宋"/>
                <w:color w:val="auto"/>
                <w:sz w:val="28"/>
                <w:szCs w:val="28"/>
                <w:highlight w:val="none"/>
              </w:rPr>
            </w:pPr>
          </w:p>
        </w:tc>
        <w:tc>
          <w:tcPr>
            <w:tcW w:w="963" w:type="dxa"/>
            <w:tcBorders>
              <w:left w:val="single" w:color="auto" w:sz="4" w:space="0"/>
            </w:tcBorders>
            <w:noWrap w:val="0"/>
            <w:vAlign w:val="center"/>
          </w:tcPr>
          <w:p w14:paraId="26F639E8">
            <w:pPr>
              <w:spacing w:line="440" w:lineRule="exact"/>
              <w:jc w:val="center"/>
              <w:rPr>
                <w:rFonts w:hint="eastAsia" w:ascii="仿宋" w:hAnsi="仿宋" w:eastAsia="仿宋" w:cs="仿宋"/>
                <w:color w:val="auto"/>
                <w:sz w:val="28"/>
                <w:szCs w:val="28"/>
                <w:highlight w:val="none"/>
              </w:rPr>
            </w:pPr>
          </w:p>
        </w:tc>
        <w:tc>
          <w:tcPr>
            <w:tcW w:w="1025" w:type="dxa"/>
            <w:noWrap w:val="0"/>
            <w:vAlign w:val="center"/>
          </w:tcPr>
          <w:p w14:paraId="243DE665">
            <w:pPr>
              <w:spacing w:line="440" w:lineRule="exact"/>
              <w:jc w:val="center"/>
              <w:rPr>
                <w:rFonts w:hint="eastAsia" w:ascii="仿宋" w:hAnsi="仿宋" w:eastAsia="仿宋" w:cs="仿宋"/>
                <w:color w:val="auto"/>
                <w:sz w:val="28"/>
                <w:szCs w:val="28"/>
                <w:highlight w:val="none"/>
              </w:rPr>
            </w:pPr>
          </w:p>
        </w:tc>
        <w:tc>
          <w:tcPr>
            <w:tcW w:w="842" w:type="dxa"/>
            <w:noWrap w:val="0"/>
            <w:vAlign w:val="center"/>
          </w:tcPr>
          <w:p w14:paraId="040B9108">
            <w:pPr>
              <w:spacing w:line="440" w:lineRule="exact"/>
              <w:jc w:val="center"/>
              <w:rPr>
                <w:rFonts w:hint="eastAsia" w:ascii="仿宋" w:hAnsi="仿宋" w:eastAsia="仿宋" w:cs="仿宋"/>
                <w:color w:val="auto"/>
                <w:sz w:val="28"/>
                <w:szCs w:val="28"/>
                <w:highlight w:val="none"/>
              </w:rPr>
            </w:pPr>
          </w:p>
        </w:tc>
      </w:tr>
      <w:tr w14:paraId="4FD94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30" w:type="dxa"/>
            <w:vMerge w:val="continue"/>
            <w:noWrap w:val="0"/>
            <w:vAlign w:val="center"/>
          </w:tcPr>
          <w:p w14:paraId="2D41A844">
            <w:pPr>
              <w:spacing w:line="440" w:lineRule="exact"/>
              <w:jc w:val="center"/>
              <w:rPr>
                <w:rFonts w:hint="eastAsia" w:ascii="仿宋" w:hAnsi="仿宋" w:eastAsia="仿宋" w:cs="仿宋"/>
                <w:color w:val="auto"/>
                <w:sz w:val="28"/>
                <w:szCs w:val="28"/>
                <w:highlight w:val="none"/>
              </w:rPr>
            </w:pPr>
          </w:p>
        </w:tc>
        <w:tc>
          <w:tcPr>
            <w:tcW w:w="937" w:type="dxa"/>
            <w:noWrap w:val="0"/>
            <w:vAlign w:val="center"/>
          </w:tcPr>
          <w:p w14:paraId="412E9DD1">
            <w:pPr>
              <w:spacing w:line="440" w:lineRule="exact"/>
              <w:jc w:val="center"/>
              <w:rPr>
                <w:rFonts w:hint="eastAsia" w:ascii="仿宋" w:hAnsi="仿宋" w:eastAsia="仿宋" w:cs="仿宋"/>
                <w:color w:val="auto"/>
                <w:sz w:val="28"/>
                <w:szCs w:val="28"/>
                <w:highlight w:val="none"/>
              </w:rPr>
            </w:pPr>
          </w:p>
        </w:tc>
        <w:tc>
          <w:tcPr>
            <w:tcW w:w="888" w:type="dxa"/>
            <w:tcBorders>
              <w:right w:val="single" w:color="auto" w:sz="4" w:space="0"/>
            </w:tcBorders>
            <w:noWrap w:val="0"/>
            <w:vAlign w:val="center"/>
          </w:tcPr>
          <w:p w14:paraId="164969F6">
            <w:pPr>
              <w:spacing w:line="440" w:lineRule="exact"/>
              <w:jc w:val="center"/>
              <w:rPr>
                <w:rFonts w:hint="eastAsia" w:ascii="仿宋" w:hAnsi="仿宋" w:eastAsia="仿宋" w:cs="仿宋"/>
                <w:color w:val="auto"/>
                <w:sz w:val="28"/>
                <w:szCs w:val="28"/>
                <w:highlight w:val="none"/>
              </w:rPr>
            </w:pPr>
          </w:p>
        </w:tc>
        <w:tc>
          <w:tcPr>
            <w:tcW w:w="912" w:type="dxa"/>
            <w:tcBorders>
              <w:left w:val="single" w:color="auto" w:sz="4" w:space="0"/>
            </w:tcBorders>
            <w:noWrap w:val="0"/>
            <w:vAlign w:val="center"/>
          </w:tcPr>
          <w:p w14:paraId="755F53A3">
            <w:pPr>
              <w:spacing w:line="440" w:lineRule="exact"/>
              <w:jc w:val="center"/>
              <w:rPr>
                <w:rFonts w:hint="eastAsia" w:ascii="仿宋" w:hAnsi="仿宋" w:eastAsia="仿宋" w:cs="仿宋"/>
                <w:color w:val="auto"/>
                <w:sz w:val="28"/>
                <w:szCs w:val="28"/>
                <w:highlight w:val="none"/>
              </w:rPr>
            </w:pPr>
          </w:p>
        </w:tc>
        <w:tc>
          <w:tcPr>
            <w:tcW w:w="813" w:type="dxa"/>
            <w:noWrap w:val="0"/>
            <w:vAlign w:val="center"/>
          </w:tcPr>
          <w:p w14:paraId="57682D02">
            <w:pPr>
              <w:spacing w:line="440" w:lineRule="exact"/>
              <w:jc w:val="center"/>
              <w:rPr>
                <w:rFonts w:hint="eastAsia" w:ascii="仿宋" w:hAnsi="仿宋" w:eastAsia="仿宋" w:cs="仿宋"/>
                <w:color w:val="auto"/>
                <w:sz w:val="28"/>
                <w:szCs w:val="28"/>
                <w:highlight w:val="none"/>
              </w:rPr>
            </w:pPr>
          </w:p>
        </w:tc>
        <w:tc>
          <w:tcPr>
            <w:tcW w:w="775" w:type="dxa"/>
            <w:tcBorders>
              <w:right w:val="single" w:color="auto" w:sz="4" w:space="0"/>
            </w:tcBorders>
            <w:noWrap w:val="0"/>
            <w:vAlign w:val="center"/>
          </w:tcPr>
          <w:p w14:paraId="48A0CAB1">
            <w:pPr>
              <w:spacing w:line="440" w:lineRule="exact"/>
              <w:jc w:val="center"/>
              <w:rPr>
                <w:rFonts w:hint="eastAsia" w:ascii="仿宋" w:hAnsi="仿宋" w:eastAsia="仿宋" w:cs="仿宋"/>
                <w:color w:val="auto"/>
                <w:sz w:val="28"/>
                <w:szCs w:val="28"/>
                <w:highlight w:val="none"/>
              </w:rPr>
            </w:pPr>
          </w:p>
        </w:tc>
        <w:tc>
          <w:tcPr>
            <w:tcW w:w="1462" w:type="dxa"/>
            <w:tcBorders>
              <w:left w:val="single" w:color="auto" w:sz="4" w:space="0"/>
            </w:tcBorders>
            <w:noWrap w:val="0"/>
            <w:vAlign w:val="center"/>
          </w:tcPr>
          <w:p w14:paraId="47757B1F">
            <w:pPr>
              <w:spacing w:line="440" w:lineRule="exact"/>
              <w:jc w:val="center"/>
              <w:rPr>
                <w:rFonts w:hint="eastAsia" w:ascii="仿宋" w:hAnsi="仿宋" w:eastAsia="仿宋" w:cs="仿宋"/>
                <w:color w:val="auto"/>
                <w:sz w:val="28"/>
                <w:szCs w:val="28"/>
                <w:highlight w:val="none"/>
              </w:rPr>
            </w:pPr>
          </w:p>
        </w:tc>
        <w:tc>
          <w:tcPr>
            <w:tcW w:w="963" w:type="dxa"/>
            <w:tcBorders>
              <w:left w:val="single" w:color="auto" w:sz="4" w:space="0"/>
            </w:tcBorders>
            <w:noWrap w:val="0"/>
            <w:vAlign w:val="center"/>
          </w:tcPr>
          <w:p w14:paraId="64CDD0F5">
            <w:pPr>
              <w:spacing w:line="440" w:lineRule="exact"/>
              <w:jc w:val="center"/>
              <w:rPr>
                <w:rFonts w:hint="eastAsia" w:ascii="仿宋" w:hAnsi="仿宋" w:eastAsia="仿宋" w:cs="仿宋"/>
                <w:color w:val="auto"/>
                <w:sz w:val="28"/>
                <w:szCs w:val="28"/>
                <w:highlight w:val="none"/>
              </w:rPr>
            </w:pPr>
          </w:p>
        </w:tc>
        <w:tc>
          <w:tcPr>
            <w:tcW w:w="1025" w:type="dxa"/>
            <w:noWrap w:val="0"/>
            <w:vAlign w:val="center"/>
          </w:tcPr>
          <w:p w14:paraId="2BAF4057">
            <w:pPr>
              <w:spacing w:line="440" w:lineRule="exact"/>
              <w:jc w:val="center"/>
              <w:rPr>
                <w:rFonts w:hint="eastAsia" w:ascii="仿宋" w:hAnsi="仿宋" w:eastAsia="仿宋" w:cs="仿宋"/>
                <w:color w:val="auto"/>
                <w:sz w:val="28"/>
                <w:szCs w:val="28"/>
                <w:highlight w:val="none"/>
              </w:rPr>
            </w:pPr>
          </w:p>
        </w:tc>
        <w:tc>
          <w:tcPr>
            <w:tcW w:w="842" w:type="dxa"/>
            <w:noWrap w:val="0"/>
            <w:vAlign w:val="center"/>
          </w:tcPr>
          <w:p w14:paraId="4CDD192C">
            <w:pPr>
              <w:spacing w:line="440" w:lineRule="exact"/>
              <w:jc w:val="center"/>
              <w:rPr>
                <w:rFonts w:hint="eastAsia" w:ascii="仿宋" w:hAnsi="仿宋" w:eastAsia="仿宋" w:cs="仿宋"/>
                <w:color w:val="auto"/>
                <w:sz w:val="28"/>
                <w:szCs w:val="28"/>
                <w:highlight w:val="none"/>
              </w:rPr>
            </w:pPr>
          </w:p>
        </w:tc>
      </w:tr>
      <w:tr w14:paraId="02264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30" w:type="dxa"/>
            <w:vMerge w:val="continue"/>
            <w:tcBorders>
              <w:bottom w:val="single" w:color="auto" w:sz="4" w:space="0"/>
            </w:tcBorders>
            <w:noWrap w:val="0"/>
            <w:vAlign w:val="center"/>
          </w:tcPr>
          <w:p w14:paraId="3D93F960">
            <w:pPr>
              <w:spacing w:line="440" w:lineRule="exact"/>
              <w:jc w:val="center"/>
              <w:rPr>
                <w:rFonts w:hint="eastAsia" w:ascii="仿宋" w:hAnsi="仿宋" w:eastAsia="仿宋" w:cs="仿宋"/>
                <w:color w:val="auto"/>
                <w:sz w:val="28"/>
                <w:szCs w:val="28"/>
                <w:highlight w:val="none"/>
              </w:rPr>
            </w:pPr>
            <w:bookmarkStart w:id="583" w:name="_Toc26038"/>
          </w:p>
        </w:tc>
        <w:tc>
          <w:tcPr>
            <w:tcW w:w="937" w:type="dxa"/>
            <w:tcBorders>
              <w:bottom w:val="single" w:color="auto" w:sz="4" w:space="0"/>
            </w:tcBorders>
            <w:noWrap w:val="0"/>
            <w:vAlign w:val="center"/>
          </w:tcPr>
          <w:p w14:paraId="6F8ABBE1">
            <w:pPr>
              <w:spacing w:line="44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888" w:type="dxa"/>
            <w:tcBorders>
              <w:right w:val="single" w:color="auto" w:sz="4" w:space="0"/>
            </w:tcBorders>
            <w:noWrap w:val="0"/>
            <w:vAlign w:val="center"/>
          </w:tcPr>
          <w:p w14:paraId="05009915">
            <w:pPr>
              <w:spacing w:line="440" w:lineRule="exact"/>
              <w:jc w:val="center"/>
              <w:rPr>
                <w:rFonts w:hint="eastAsia" w:ascii="仿宋" w:hAnsi="仿宋" w:eastAsia="仿宋" w:cs="仿宋"/>
                <w:color w:val="auto"/>
                <w:sz w:val="28"/>
                <w:szCs w:val="28"/>
                <w:highlight w:val="none"/>
              </w:rPr>
            </w:pPr>
          </w:p>
        </w:tc>
        <w:tc>
          <w:tcPr>
            <w:tcW w:w="912" w:type="dxa"/>
            <w:tcBorders>
              <w:left w:val="single" w:color="auto" w:sz="4" w:space="0"/>
            </w:tcBorders>
            <w:noWrap w:val="0"/>
            <w:vAlign w:val="center"/>
          </w:tcPr>
          <w:p w14:paraId="07447171">
            <w:pPr>
              <w:spacing w:line="440" w:lineRule="exact"/>
              <w:jc w:val="center"/>
              <w:rPr>
                <w:rFonts w:hint="eastAsia" w:ascii="仿宋" w:hAnsi="仿宋" w:eastAsia="仿宋" w:cs="仿宋"/>
                <w:color w:val="auto"/>
                <w:sz w:val="28"/>
                <w:szCs w:val="28"/>
                <w:highlight w:val="none"/>
              </w:rPr>
            </w:pPr>
          </w:p>
        </w:tc>
        <w:tc>
          <w:tcPr>
            <w:tcW w:w="813" w:type="dxa"/>
            <w:noWrap w:val="0"/>
            <w:vAlign w:val="center"/>
          </w:tcPr>
          <w:p w14:paraId="50790789">
            <w:pPr>
              <w:spacing w:line="440" w:lineRule="exact"/>
              <w:jc w:val="center"/>
              <w:rPr>
                <w:rFonts w:hint="eastAsia" w:ascii="仿宋" w:hAnsi="仿宋" w:eastAsia="仿宋" w:cs="仿宋"/>
                <w:color w:val="auto"/>
                <w:sz w:val="28"/>
                <w:szCs w:val="28"/>
                <w:highlight w:val="none"/>
              </w:rPr>
            </w:pPr>
          </w:p>
        </w:tc>
        <w:tc>
          <w:tcPr>
            <w:tcW w:w="775" w:type="dxa"/>
            <w:tcBorders>
              <w:right w:val="single" w:color="auto" w:sz="4" w:space="0"/>
            </w:tcBorders>
            <w:noWrap w:val="0"/>
            <w:vAlign w:val="center"/>
          </w:tcPr>
          <w:p w14:paraId="51AB7861">
            <w:pPr>
              <w:spacing w:line="440" w:lineRule="exact"/>
              <w:jc w:val="center"/>
              <w:rPr>
                <w:rFonts w:hint="eastAsia" w:ascii="仿宋" w:hAnsi="仿宋" w:eastAsia="仿宋" w:cs="仿宋"/>
                <w:color w:val="auto"/>
                <w:sz w:val="28"/>
                <w:szCs w:val="28"/>
                <w:highlight w:val="none"/>
              </w:rPr>
            </w:pPr>
          </w:p>
        </w:tc>
        <w:tc>
          <w:tcPr>
            <w:tcW w:w="1462" w:type="dxa"/>
            <w:tcBorders>
              <w:left w:val="single" w:color="auto" w:sz="4" w:space="0"/>
            </w:tcBorders>
            <w:noWrap w:val="0"/>
            <w:vAlign w:val="center"/>
          </w:tcPr>
          <w:p w14:paraId="2E73A49B">
            <w:pPr>
              <w:spacing w:line="440" w:lineRule="exact"/>
              <w:jc w:val="center"/>
              <w:rPr>
                <w:rFonts w:hint="eastAsia" w:ascii="仿宋" w:hAnsi="仿宋" w:eastAsia="仿宋" w:cs="仿宋"/>
                <w:color w:val="auto"/>
                <w:sz w:val="28"/>
                <w:szCs w:val="28"/>
                <w:highlight w:val="none"/>
              </w:rPr>
            </w:pPr>
          </w:p>
        </w:tc>
        <w:tc>
          <w:tcPr>
            <w:tcW w:w="963" w:type="dxa"/>
            <w:tcBorders>
              <w:left w:val="single" w:color="auto" w:sz="4" w:space="0"/>
            </w:tcBorders>
            <w:noWrap w:val="0"/>
            <w:vAlign w:val="center"/>
          </w:tcPr>
          <w:p w14:paraId="60C99BA9">
            <w:pPr>
              <w:spacing w:line="440" w:lineRule="exact"/>
              <w:jc w:val="center"/>
              <w:rPr>
                <w:rFonts w:hint="eastAsia" w:ascii="仿宋" w:hAnsi="仿宋" w:eastAsia="仿宋" w:cs="仿宋"/>
                <w:color w:val="auto"/>
                <w:sz w:val="28"/>
                <w:szCs w:val="28"/>
                <w:highlight w:val="none"/>
              </w:rPr>
            </w:pPr>
          </w:p>
        </w:tc>
        <w:tc>
          <w:tcPr>
            <w:tcW w:w="1025" w:type="dxa"/>
            <w:noWrap w:val="0"/>
            <w:vAlign w:val="center"/>
          </w:tcPr>
          <w:p w14:paraId="49E8C77B">
            <w:pPr>
              <w:spacing w:line="440" w:lineRule="exact"/>
              <w:jc w:val="center"/>
              <w:rPr>
                <w:rFonts w:hint="eastAsia" w:ascii="仿宋" w:hAnsi="仿宋" w:eastAsia="仿宋" w:cs="仿宋"/>
                <w:color w:val="auto"/>
                <w:sz w:val="28"/>
                <w:szCs w:val="28"/>
                <w:highlight w:val="none"/>
              </w:rPr>
            </w:pPr>
          </w:p>
        </w:tc>
        <w:tc>
          <w:tcPr>
            <w:tcW w:w="842" w:type="dxa"/>
            <w:noWrap w:val="0"/>
            <w:vAlign w:val="center"/>
          </w:tcPr>
          <w:p w14:paraId="78745A06">
            <w:pPr>
              <w:spacing w:line="440" w:lineRule="exact"/>
              <w:jc w:val="center"/>
              <w:rPr>
                <w:rFonts w:hint="eastAsia" w:ascii="仿宋" w:hAnsi="仿宋" w:eastAsia="仿宋" w:cs="仿宋"/>
                <w:color w:val="auto"/>
                <w:sz w:val="28"/>
                <w:szCs w:val="28"/>
                <w:highlight w:val="none"/>
              </w:rPr>
            </w:pPr>
          </w:p>
        </w:tc>
      </w:tr>
    </w:tbl>
    <w:p w14:paraId="35751E64">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投标人名称（单位盖章）：</w:t>
      </w:r>
      <w:r>
        <w:rPr>
          <w:rFonts w:hint="eastAsia" w:ascii="仿宋" w:hAnsi="仿宋" w:eastAsia="仿宋" w:cs="仿宋"/>
          <w:color w:val="auto"/>
          <w:sz w:val="28"/>
          <w:szCs w:val="28"/>
          <w:highlight w:val="none"/>
          <w:u w:val="single"/>
        </w:rPr>
        <w:t xml:space="preserve">                </w:t>
      </w:r>
    </w:p>
    <w:p w14:paraId="37E512D8">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法定代表人或被授权人(签字或签章):</w:t>
      </w:r>
      <w:r>
        <w:rPr>
          <w:rFonts w:hint="eastAsia" w:ascii="仿宋" w:hAnsi="仿宋" w:eastAsia="仿宋" w:cs="仿宋"/>
          <w:color w:val="auto"/>
          <w:sz w:val="28"/>
          <w:szCs w:val="28"/>
          <w:highlight w:val="none"/>
          <w:u w:val="single"/>
        </w:rPr>
        <w:tab/>
      </w:r>
    </w:p>
    <w:p w14:paraId="5048C29A">
      <w:pPr>
        <w:pStyle w:val="2"/>
        <w:keepNext w:val="0"/>
        <w:keepLines w:val="0"/>
        <w:pageBreakBefore w:val="0"/>
        <w:widowControl w:val="0"/>
        <w:kinsoku/>
        <w:wordWrap/>
        <w:overflowPunct/>
        <w:topLinePunct w:val="0"/>
        <w:autoSpaceDE/>
        <w:autoSpaceDN/>
        <w:bidi w:val="0"/>
        <w:adjustRightInd/>
        <w:snapToGrid/>
        <w:spacing w:line="480" w:lineRule="exact"/>
        <w:ind w:firstLine="0"/>
        <w:jc w:val="left"/>
        <w:textAlignment w:val="auto"/>
        <w:rPr>
          <w:rFonts w:hint="eastAsia" w:ascii="仿宋" w:hAnsi="仿宋" w:eastAsia="仿宋" w:cs="黑体"/>
          <w:b/>
          <w:color w:val="auto"/>
          <w:kern w:val="2"/>
          <w:sz w:val="28"/>
          <w:szCs w:val="28"/>
          <w:highlight w:val="none"/>
        </w:rPr>
      </w:pPr>
      <w:r>
        <w:rPr>
          <w:rFonts w:hint="eastAsia" w:ascii="仿宋" w:hAnsi="仿宋" w:eastAsia="仿宋" w:cs="仿宋"/>
          <w:color w:val="auto"/>
          <w:sz w:val="28"/>
          <w:szCs w:val="28"/>
          <w:highlight w:val="none"/>
        </w:rPr>
        <w:t>日期：</w:t>
      </w:r>
    </w:p>
    <w:p w14:paraId="6D313B21">
      <w:pPr>
        <w:spacing w:line="440" w:lineRule="exact"/>
        <w:rPr>
          <w:rFonts w:hint="eastAsia" w:ascii="仿宋" w:hAnsi="仿宋" w:eastAsia="仿宋" w:cs="仿宋"/>
          <w:b/>
          <w:bCs/>
          <w:color w:val="auto"/>
          <w:sz w:val="28"/>
          <w:szCs w:val="28"/>
          <w:highlight w:val="none"/>
        </w:rPr>
      </w:pPr>
    </w:p>
    <w:p w14:paraId="0CB6A8A5">
      <w:pPr>
        <w:spacing w:line="440" w:lineRule="exact"/>
        <w:jc w:val="center"/>
        <w:rPr>
          <w:rFonts w:hint="eastAsia" w:ascii="仿宋" w:hAnsi="仿宋" w:eastAsia="仿宋" w:cs="仿宋"/>
          <w:b/>
          <w:bCs/>
          <w:color w:val="auto"/>
          <w:sz w:val="28"/>
          <w:szCs w:val="28"/>
          <w:highlight w:val="none"/>
        </w:rPr>
      </w:pPr>
    </w:p>
    <w:p w14:paraId="1A827187">
      <w:pPr>
        <w:pStyle w:val="6"/>
        <w:spacing w:line="440" w:lineRule="exact"/>
        <w:outlineLvl w:val="9"/>
        <w:rPr>
          <w:rFonts w:hint="eastAsia" w:ascii="仿宋" w:hAnsi="仿宋" w:eastAsia="仿宋" w:cs="仿宋"/>
          <w:bCs/>
          <w:color w:val="auto"/>
          <w:sz w:val="28"/>
          <w:szCs w:val="28"/>
          <w:highlight w:val="none"/>
        </w:rPr>
      </w:pPr>
    </w:p>
    <w:p w14:paraId="489CDCF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highlight w:val="none"/>
        </w:rPr>
      </w:pPr>
    </w:p>
    <w:p w14:paraId="52E27386">
      <w:pP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br w:type="page"/>
      </w:r>
    </w:p>
    <w:p w14:paraId="6578195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9.</w:t>
      </w:r>
      <w:r>
        <w:rPr>
          <w:rFonts w:hint="eastAsia" w:ascii="仿宋" w:hAnsi="仿宋" w:eastAsia="仿宋" w:cs="仿宋"/>
          <w:b/>
          <w:color w:val="auto"/>
          <w:sz w:val="28"/>
          <w:szCs w:val="28"/>
          <w:highlight w:val="none"/>
        </w:rPr>
        <w:t>根据本项目评分标准顺序编写；（自拟）</w:t>
      </w:r>
    </w:p>
    <w:p w14:paraId="3699D5EF">
      <w:pPr>
        <w:spacing w:line="380" w:lineRule="exact"/>
        <w:jc w:val="center"/>
        <w:rPr>
          <w:rFonts w:hint="eastAsia" w:ascii="仿宋" w:hAnsi="仿宋" w:eastAsia="仿宋" w:cs="仿宋"/>
          <w:b/>
          <w:bCs/>
          <w:color w:val="auto"/>
          <w:sz w:val="30"/>
          <w:szCs w:val="30"/>
          <w:highlight w:val="none"/>
        </w:rPr>
      </w:pPr>
    </w:p>
    <w:p w14:paraId="78F5E282">
      <w:pPr>
        <w:spacing w:line="380" w:lineRule="exact"/>
        <w:jc w:val="center"/>
        <w:rPr>
          <w:rFonts w:hint="eastAsia" w:ascii="仿宋" w:hAnsi="仿宋" w:eastAsia="仿宋" w:cs="仿宋"/>
          <w:b/>
          <w:bCs/>
          <w:color w:val="auto"/>
          <w:sz w:val="30"/>
          <w:szCs w:val="30"/>
          <w:highlight w:val="none"/>
        </w:rPr>
      </w:pPr>
    </w:p>
    <w:p w14:paraId="5DF64172">
      <w:pPr>
        <w:spacing w:line="380" w:lineRule="exact"/>
        <w:jc w:val="center"/>
        <w:rPr>
          <w:rFonts w:hint="eastAsia" w:ascii="仿宋" w:hAnsi="仿宋" w:eastAsia="仿宋" w:cs="仿宋"/>
          <w:b/>
          <w:bCs/>
          <w:color w:val="auto"/>
          <w:sz w:val="30"/>
          <w:szCs w:val="30"/>
          <w:highlight w:val="none"/>
        </w:rPr>
      </w:pPr>
    </w:p>
    <w:p w14:paraId="44071B86">
      <w:pPr>
        <w:spacing w:line="380" w:lineRule="exact"/>
        <w:jc w:val="center"/>
        <w:outlineLvl w:val="9"/>
        <w:rPr>
          <w:rFonts w:hint="eastAsia" w:ascii="仿宋" w:hAnsi="仿宋" w:eastAsia="仿宋" w:cs="仿宋"/>
          <w:b/>
          <w:bCs/>
          <w:color w:val="auto"/>
          <w:sz w:val="30"/>
          <w:szCs w:val="30"/>
          <w:highlight w:val="none"/>
        </w:rPr>
      </w:pPr>
      <w:bookmarkStart w:id="584" w:name="_Toc24632"/>
      <w:bookmarkStart w:id="585" w:name="_Toc13594"/>
      <w:bookmarkStart w:id="586" w:name="_Toc30853"/>
      <w:bookmarkStart w:id="587" w:name="_Toc17360"/>
      <w:bookmarkStart w:id="588" w:name="_Toc8277"/>
      <w:bookmarkStart w:id="589" w:name="_Toc6160"/>
    </w:p>
    <w:p w14:paraId="1BA66080">
      <w:pPr>
        <w:pStyle w:val="26"/>
        <w:ind w:firstLine="602"/>
        <w:rPr>
          <w:rFonts w:hint="eastAsia" w:ascii="仿宋" w:hAnsi="仿宋" w:eastAsia="仿宋" w:cs="仿宋"/>
          <w:b/>
          <w:bCs/>
          <w:color w:val="auto"/>
          <w:sz w:val="30"/>
          <w:szCs w:val="30"/>
          <w:highlight w:val="none"/>
        </w:rPr>
      </w:pPr>
    </w:p>
    <w:p w14:paraId="226066AA">
      <w:pPr>
        <w:pStyle w:val="26"/>
        <w:ind w:firstLine="602"/>
        <w:rPr>
          <w:rFonts w:hint="eastAsia" w:ascii="仿宋" w:hAnsi="仿宋" w:eastAsia="仿宋" w:cs="仿宋"/>
          <w:b/>
          <w:bCs/>
          <w:color w:val="auto"/>
          <w:sz w:val="30"/>
          <w:szCs w:val="30"/>
          <w:highlight w:val="none"/>
        </w:rPr>
      </w:pPr>
    </w:p>
    <w:p w14:paraId="5EB96E63">
      <w:pPr>
        <w:pStyle w:val="26"/>
        <w:ind w:firstLine="602"/>
        <w:rPr>
          <w:rFonts w:hint="eastAsia" w:ascii="仿宋" w:hAnsi="仿宋" w:eastAsia="仿宋" w:cs="仿宋"/>
          <w:b/>
          <w:bCs/>
          <w:color w:val="auto"/>
          <w:sz w:val="30"/>
          <w:szCs w:val="30"/>
          <w:highlight w:val="none"/>
        </w:rPr>
      </w:pPr>
    </w:p>
    <w:p w14:paraId="30E7C376">
      <w:pPr>
        <w:pStyle w:val="26"/>
        <w:ind w:firstLine="602"/>
        <w:rPr>
          <w:rFonts w:hint="eastAsia" w:ascii="仿宋" w:hAnsi="仿宋" w:eastAsia="仿宋" w:cs="仿宋"/>
          <w:b/>
          <w:bCs/>
          <w:color w:val="auto"/>
          <w:sz w:val="30"/>
          <w:szCs w:val="30"/>
          <w:highlight w:val="none"/>
        </w:rPr>
      </w:pPr>
    </w:p>
    <w:p w14:paraId="69CB8989">
      <w:pPr>
        <w:rPr>
          <w:rFonts w:hint="eastAsia" w:ascii="仿宋" w:hAnsi="仿宋" w:eastAsia="仿宋" w:cs="仿宋"/>
          <w:b/>
          <w:bCs/>
          <w:color w:val="auto"/>
          <w:sz w:val="28"/>
          <w:szCs w:val="28"/>
          <w:highlight w:val="none"/>
        </w:rPr>
      </w:pPr>
      <w:bookmarkStart w:id="590" w:name="_Toc6549"/>
      <w:r>
        <w:rPr>
          <w:rFonts w:hint="eastAsia" w:ascii="仿宋" w:hAnsi="仿宋" w:eastAsia="仿宋" w:cs="仿宋"/>
          <w:b/>
          <w:bCs/>
          <w:color w:val="auto"/>
          <w:sz w:val="28"/>
          <w:szCs w:val="28"/>
          <w:highlight w:val="none"/>
        </w:rPr>
        <w:br w:type="page"/>
      </w:r>
    </w:p>
    <w:p w14:paraId="766C9C39">
      <w:pPr>
        <w:spacing w:line="440" w:lineRule="exact"/>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0</w:t>
      </w:r>
      <w:r>
        <w:rPr>
          <w:rFonts w:hint="eastAsia" w:ascii="仿宋" w:hAnsi="仿宋" w:eastAsia="仿宋" w:cs="仿宋"/>
          <w:b/>
          <w:bCs/>
          <w:color w:val="auto"/>
          <w:sz w:val="28"/>
          <w:szCs w:val="28"/>
          <w:highlight w:val="none"/>
        </w:rPr>
        <w:t>.类似业绩表</w:t>
      </w:r>
      <w:bookmarkEnd w:id="567"/>
      <w:bookmarkEnd w:id="583"/>
      <w:bookmarkEnd w:id="584"/>
      <w:bookmarkEnd w:id="585"/>
      <w:bookmarkEnd w:id="586"/>
      <w:bookmarkEnd w:id="587"/>
      <w:bookmarkEnd w:id="588"/>
      <w:bookmarkEnd w:id="589"/>
      <w:bookmarkEnd w:id="590"/>
    </w:p>
    <w:p w14:paraId="4A1CC9C6">
      <w:pPr>
        <w:autoSpaceDE w:val="0"/>
        <w:autoSpaceDN w:val="0"/>
        <w:adjustRightInd w:val="0"/>
        <w:spacing w:line="440" w:lineRule="exact"/>
        <w:rPr>
          <w:rFonts w:ascii="仿宋" w:hAnsi="仿宋" w:eastAsia="仿宋" w:cs="仿宋"/>
          <w:b/>
          <w:bCs/>
          <w:color w:val="auto"/>
          <w:kern w:val="0"/>
          <w:sz w:val="28"/>
          <w:szCs w:val="28"/>
          <w:highlight w:val="none"/>
        </w:rPr>
      </w:pPr>
      <w:r>
        <w:rPr>
          <w:rFonts w:hint="eastAsia" w:ascii="仿宋" w:hAnsi="仿宋" w:eastAsia="仿宋" w:cs="仿宋"/>
          <w:b/>
          <w:bCs/>
          <w:color w:val="auto"/>
          <w:sz w:val="28"/>
          <w:szCs w:val="28"/>
          <w:highlight w:val="none"/>
        </w:rPr>
        <w:t>项目名称：                 项目编号</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color w:val="auto"/>
          <w:kern w:val="2"/>
          <w:sz w:val="28"/>
          <w:szCs w:val="28"/>
          <w:highlight w:val="none"/>
        </w:rPr>
        <w:t xml:space="preserve">     </w:t>
      </w:r>
      <w:r>
        <w:rPr>
          <w:rStyle w:val="49"/>
          <w:rFonts w:hint="eastAsia" w:ascii="仿宋" w:hAnsi="仿宋" w:eastAsia="仿宋" w:cs="仿宋"/>
          <w:color w:val="auto"/>
          <w:kern w:val="2"/>
          <w:sz w:val="28"/>
          <w:szCs w:val="28"/>
          <w:highlight w:val="none"/>
          <w:lang w:val="en-US"/>
        </w:rPr>
        <w:t xml:space="preserve">  </w:t>
      </w:r>
      <w:r>
        <w:rPr>
          <w:rStyle w:val="49"/>
          <w:rFonts w:hint="eastAsia" w:ascii="仿宋" w:hAnsi="仿宋" w:eastAsia="仿宋" w:cs="仿宋"/>
          <w:color w:val="auto"/>
          <w:kern w:val="2"/>
          <w:sz w:val="28"/>
          <w:szCs w:val="28"/>
          <w:highlight w:val="none"/>
        </w:rPr>
        <w:t xml:space="preserve"> </w:t>
      </w:r>
      <w:r>
        <w:rPr>
          <w:rStyle w:val="49"/>
          <w:rFonts w:hint="eastAsia" w:ascii="仿宋" w:hAnsi="仿宋" w:eastAsia="仿宋" w:cs="仿宋"/>
          <w:color w:val="auto"/>
          <w:kern w:val="2"/>
          <w:sz w:val="28"/>
          <w:szCs w:val="28"/>
          <w:highlight w:val="none"/>
          <w:lang w:val="en-US"/>
        </w:rPr>
        <w:t xml:space="preserve"> </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lang w:val="en-US"/>
        </w:rPr>
        <w:t xml:space="preserve"> </w:t>
      </w:r>
      <w:r>
        <w:rPr>
          <w:rStyle w:val="49"/>
          <w:rFonts w:hint="eastAsia" w:ascii="仿宋" w:hAnsi="仿宋" w:eastAsia="仿宋" w:cs="仿宋"/>
          <w:b/>
          <w:bCs/>
          <w:color w:val="auto"/>
          <w:kern w:val="2"/>
          <w:sz w:val="28"/>
          <w:szCs w:val="28"/>
          <w:highlight w:val="none"/>
        </w:rPr>
        <w:t xml:space="preserve"> </w:t>
      </w:r>
      <w:r>
        <w:rPr>
          <w:rStyle w:val="49"/>
          <w:rFonts w:hint="eastAsia" w:ascii="仿宋" w:hAnsi="仿宋" w:eastAsia="仿宋" w:cs="仿宋"/>
          <w:b/>
          <w:bCs/>
          <w:color w:val="auto"/>
          <w:kern w:val="2"/>
          <w:sz w:val="28"/>
          <w:szCs w:val="28"/>
          <w:highlight w:val="none"/>
          <w:lang w:val="en-US"/>
        </w:rPr>
        <w:t>标段号：</w:t>
      </w:r>
      <w:r>
        <w:rPr>
          <w:rFonts w:hint="eastAsia" w:ascii="仿宋" w:hAnsi="仿宋" w:eastAsia="仿宋" w:cs="仿宋"/>
          <w:b/>
          <w:bCs/>
          <w:color w:val="auto"/>
          <w:kern w:val="2"/>
          <w:sz w:val="28"/>
          <w:szCs w:val="28"/>
          <w:highlight w:val="none"/>
        </w:rPr>
        <w:t xml:space="preserve"> </w:t>
      </w:r>
      <w:r>
        <w:rPr>
          <w:rFonts w:hint="eastAsia" w:ascii="仿宋" w:hAnsi="仿宋" w:eastAsia="仿宋" w:cs="仿宋"/>
          <w:b/>
          <w:color w:val="auto"/>
          <w:sz w:val="28"/>
          <w:szCs w:val="28"/>
          <w:highlight w:val="none"/>
        </w:rPr>
        <w:t xml:space="preserve"> </w:t>
      </w:r>
      <w:r>
        <w:rPr>
          <w:rFonts w:hint="eastAsia" w:ascii="仿宋" w:hAnsi="仿宋" w:eastAsia="仿宋" w:cs="仿宋"/>
          <w:b/>
          <w:bCs/>
          <w:color w:val="auto"/>
          <w:kern w:val="0"/>
          <w:sz w:val="28"/>
          <w:szCs w:val="28"/>
          <w:highlight w:val="non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296"/>
        <w:gridCol w:w="1251"/>
        <w:gridCol w:w="1963"/>
        <w:gridCol w:w="1251"/>
      </w:tblGrid>
      <w:tr w14:paraId="272C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1" w:type="dxa"/>
            <w:noWrap w:val="0"/>
            <w:vAlign w:val="center"/>
          </w:tcPr>
          <w:p w14:paraId="16939F85">
            <w:pPr>
              <w:autoSpaceDE w:val="0"/>
              <w:autoSpaceDN w:val="0"/>
              <w:adjustRightInd w:val="0"/>
              <w:spacing w:line="44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地区</w:t>
            </w:r>
          </w:p>
        </w:tc>
        <w:tc>
          <w:tcPr>
            <w:tcW w:w="3296" w:type="dxa"/>
            <w:noWrap w:val="0"/>
            <w:vAlign w:val="center"/>
          </w:tcPr>
          <w:p w14:paraId="0355A8E8">
            <w:pPr>
              <w:autoSpaceDE w:val="0"/>
              <w:autoSpaceDN w:val="0"/>
              <w:adjustRightInd w:val="0"/>
              <w:spacing w:line="440" w:lineRule="exact"/>
              <w:ind w:right="-107" w:rightChars="-51"/>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项目名称</w:t>
            </w:r>
          </w:p>
        </w:tc>
        <w:tc>
          <w:tcPr>
            <w:tcW w:w="1251" w:type="dxa"/>
            <w:noWrap w:val="0"/>
            <w:vAlign w:val="center"/>
          </w:tcPr>
          <w:p w14:paraId="2206EDF0">
            <w:pPr>
              <w:autoSpaceDE w:val="0"/>
              <w:autoSpaceDN w:val="0"/>
              <w:adjustRightInd w:val="0"/>
              <w:spacing w:line="44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中标、成交金额(万元)</w:t>
            </w:r>
          </w:p>
        </w:tc>
        <w:tc>
          <w:tcPr>
            <w:tcW w:w="1963" w:type="dxa"/>
            <w:noWrap w:val="0"/>
            <w:vAlign w:val="center"/>
          </w:tcPr>
          <w:p w14:paraId="0BC05136">
            <w:pPr>
              <w:autoSpaceDE w:val="0"/>
              <w:autoSpaceDN w:val="0"/>
              <w:adjustRightInd w:val="0"/>
              <w:spacing w:line="44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验收结果</w:t>
            </w:r>
          </w:p>
        </w:tc>
        <w:tc>
          <w:tcPr>
            <w:tcW w:w="1251" w:type="dxa"/>
            <w:noWrap w:val="0"/>
            <w:vAlign w:val="center"/>
          </w:tcPr>
          <w:p w14:paraId="70B97605">
            <w:pPr>
              <w:autoSpaceDE w:val="0"/>
              <w:autoSpaceDN w:val="0"/>
              <w:adjustRightInd w:val="0"/>
              <w:spacing w:line="44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 注</w:t>
            </w:r>
          </w:p>
        </w:tc>
      </w:tr>
      <w:tr w14:paraId="5714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21" w:type="dxa"/>
            <w:noWrap w:val="0"/>
            <w:vAlign w:val="top"/>
          </w:tcPr>
          <w:p w14:paraId="052265A7">
            <w:pPr>
              <w:spacing w:line="440" w:lineRule="exact"/>
              <w:rPr>
                <w:rFonts w:ascii="仿宋" w:hAnsi="仿宋" w:eastAsia="仿宋" w:cs="仿宋"/>
                <w:color w:val="auto"/>
                <w:sz w:val="28"/>
                <w:szCs w:val="28"/>
                <w:highlight w:val="none"/>
              </w:rPr>
            </w:pPr>
          </w:p>
        </w:tc>
        <w:tc>
          <w:tcPr>
            <w:tcW w:w="3296" w:type="dxa"/>
            <w:noWrap w:val="0"/>
            <w:vAlign w:val="top"/>
          </w:tcPr>
          <w:p w14:paraId="701DA780">
            <w:pPr>
              <w:spacing w:line="440" w:lineRule="exact"/>
              <w:rPr>
                <w:rFonts w:ascii="仿宋" w:hAnsi="仿宋" w:eastAsia="仿宋" w:cs="仿宋"/>
                <w:color w:val="auto"/>
                <w:sz w:val="28"/>
                <w:szCs w:val="28"/>
                <w:highlight w:val="none"/>
              </w:rPr>
            </w:pPr>
          </w:p>
        </w:tc>
        <w:tc>
          <w:tcPr>
            <w:tcW w:w="1251" w:type="dxa"/>
            <w:noWrap w:val="0"/>
            <w:vAlign w:val="top"/>
          </w:tcPr>
          <w:p w14:paraId="36F1907D">
            <w:pPr>
              <w:spacing w:line="440" w:lineRule="exact"/>
              <w:rPr>
                <w:rFonts w:ascii="仿宋" w:hAnsi="仿宋" w:eastAsia="仿宋" w:cs="仿宋"/>
                <w:color w:val="auto"/>
                <w:sz w:val="28"/>
                <w:szCs w:val="28"/>
                <w:highlight w:val="none"/>
              </w:rPr>
            </w:pPr>
          </w:p>
        </w:tc>
        <w:tc>
          <w:tcPr>
            <w:tcW w:w="1963" w:type="dxa"/>
            <w:noWrap w:val="0"/>
            <w:vAlign w:val="top"/>
          </w:tcPr>
          <w:p w14:paraId="6D481E18">
            <w:pPr>
              <w:spacing w:line="440" w:lineRule="exact"/>
              <w:rPr>
                <w:rFonts w:ascii="仿宋" w:hAnsi="仿宋" w:eastAsia="仿宋" w:cs="仿宋"/>
                <w:color w:val="auto"/>
                <w:sz w:val="28"/>
                <w:szCs w:val="28"/>
                <w:highlight w:val="none"/>
              </w:rPr>
            </w:pPr>
          </w:p>
        </w:tc>
        <w:tc>
          <w:tcPr>
            <w:tcW w:w="1251" w:type="dxa"/>
            <w:noWrap w:val="0"/>
            <w:vAlign w:val="top"/>
          </w:tcPr>
          <w:p w14:paraId="2905E44F">
            <w:pPr>
              <w:spacing w:line="440" w:lineRule="exact"/>
              <w:rPr>
                <w:rFonts w:ascii="仿宋" w:hAnsi="仿宋" w:eastAsia="仿宋" w:cs="仿宋"/>
                <w:color w:val="auto"/>
                <w:sz w:val="28"/>
                <w:szCs w:val="28"/>
                <w:highlight w:val="none"/>
              </w:rPr>
            </w:pPr>
          </w:p>
        </w:tc>
      </w:tr>
      <w:tr w14:paraId="4DF7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21" w:type="dxa"/>
            <w:noWrap w:val="0"/>
            <w:vAlign w:val="top"/>
          </w:tcPr>
          <w:p w14:paraId="3540BAC9">
            <w:pPr>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3296" w:type="dxa"/>
            <w:noWrap w:val="0"/>
            <w:vAlign w:val="top"/>
          </w:tcPr>
          <w:p w14:paraId="77557725">
            <w:pPr>
              <w:spacing w:line="440" w:lineRule="exact"/>
              <w:rPr>
                <w:rFonts w:ascii="仿宋" w:hAnsi="仿宋" w:eastAsia="仿宋" w:cs="仿宋"/>
                <w:color w:val="auto"/>
                <w:sz w:val="28"/>
                <w:szCs w:val="28"/>
                <w:highlight w:val="none"/>
              </w:rPr>
            </w:pPr>
          </w:p>
        </w:tc>
        <w:tc>
          <w:tcPr>
            <w:tcW w:w="1251" w:type="dxa"/>
            <w:noWrap w:val="0"/>
            <w:vAlign w:val="top"/>
          </w:tcPr>
          <w:p w14:paraId="635224E0">
            <w:pPr>
              <w:spacing w:line="440" w:lineRule="exact"/>
              <w:rPr>
                <w:rFonts w:ascii="仿宋" w:hAnsi="仿宋" w:eastAsia="仿宋" w:cs="仿宋"/>
                <w:color w:val="auto"/>
                <w:sz w:val="28"/>
                <w:szCs w:val="28"/>
                <w:highlight w:val="none"/>
              </w:rPr>
            </w:pPr>
          </w:p>
        </w:tc>
        <w:tc>
          <w:tcPr>
            <w:tcW w:w="1963" w:type="dxa"/>
            <w:noWrap w:val="0"/>
            <w:vAlign w:val="top"/>
          </w:tcPr>
          <w:p w14:paraId="49DF6A21">
            <w:pPr>
              <w:spacing w:line="440" w:lineRule="exact"/>
              <w:rPr>
                <w:rFonts w:ascii="仿宋" w:hAnsi="仿宋" w:eastAsia="仿宋" w:cs="仿宋"/>
                <w:color w:val="auto"/>
                <w:sz w:val="28"/>
                <w:szCs w:val="28"/>
                <w:highlight w:val="none"/>
              </w:rPr>
            </w:pPr>
          </w:p>
        </w:tc>
        <w:tc>
          <w:tcPr>
            <w:tcW w:w="1251" w:type="dxa"/>
            <w:noWrap w:val="0"/>
            <w:vAlign w:val="top"/>
          </w:tcPr>
          <w:p w14:paraId="4E364DF4">
            <w:pPr>
              <w:spacing w:line="440" w:lineRule="exact"/>
              <w:rPr>
                <w:rFonts w:ascii="仿宋" w:hAnsi="仿宋" w:eastAsia="仿宋" w:cs="仿宋"/>
                <w:color w:val="auto"/>
                <w:sz w:val="28"/>
                <w:szCs w:val="28"/>
                <w:highlight w:val="none"/>
              </w:rPr>
            </w:pPr>
          </w:p>
        </w:tc>
      </w:tr>
    </w:tbl>
    <w:p w14:paraId="62E65998">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投标人名称（单位盖章）：</w:t>
      </w:r>
      <w:r>
        <w:rPr>
          <w:rFonts w:hint="eastAsia" w:ascii="仿宋" w:hAnsi="仿宋" w:eastAsia="仿宋" w:cs="仿宋"/>
          <w:color w:val="auto"/>
          <w:sz w:val="28"/>
          <w:szCs w:val="28"/>
          <w:highlight w:val="none"/>
          <w:u w:val="single"/>
        </w:rPr>
        <w:t xml:space="preserve">                </w:t>
      </w:r>
    </w:p>
    <w:p w14:paraId="7CC9BDB9">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法定代表人或被授权人(签字或签章):</w:t>
      </w:r>
      <w:r>
        <w:rPr>
          <w:rFonts w:hint="eastAsia" w:ascii="仿宋" w:hAnsi="仿宋" w:eastAsia="仿宋" w:cs="仿宋"/>
          <w:color w:val="auto"/>
          <w:sz w:val="28"/>
          <w:szCs w:val="28"/>
          <w:highlight w:val="none"/>
          <w:u w:val="single"/>
        </w:rPr>
        <w:tab/>
      </w:r>
    </w:p>
    <w:p w14:paraId="108C7301">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306EC891">
      <w:pPr>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备</w:t>
      </w:r>
      <w:r>
        <w:rPr>
          <w:rFonts w:hint="eastAsia" w:ascii="仿宋" w:hAnsi="仿宋" w:eastAsia="仿宋" w:cs="仿宋"/>
          <w:color w:val="auto"/>
          <w:sz w:val="28"/>
          <w:szCs w:val="28"/>
          <w:highlight w:val="none"/>
        </w:rPr>
        <w:t>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供应商（仅限于供应商自己实施的）以上业绩需提供有关书面证明材料</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Start w:id="591" w:name="_Toc10015_WPSOffice_Level2"/>
      <w:bookmarkStart w:id="592" w:name="_Toc5813"/>
      <w:bookmarkStart w:id="593" w:name="_Toc19247"/>
      <w:bookmarkStart w:id="594" w:name="_Toc288"/>
      <w:bookmarkStart w:id="595" w:name="_Toc25174"/>
      <w:bookmarkStart w:id="596" w:name="_Toc27671"/>
      <w:bookmarkStart w:id="597" w:name="_Toc531"/>
      <w:bookmarkStart w:id="598" w:name="_Toc21899"/>
      <w:bookmarkStart w:id="599" w:name="_Toc8343"/>
      <w:bookmarkStart w:id="600" w:name="_Toc32375"/>
      <w:bookmarkStart w:id="601" w:name="_Toc29509"/>
      <w:bookmarkStart w:id="602" w:name="_Toc5115"/>
      <w:bookmarkStart w:id="603" w:name="_Toc22369"/>
      <w:bookmarkStart w:id="604" w:name="_Toc1365"/>
      <w:bookmarkStart w:id="605" w:name="_Toc17340"/>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val="en-US" w:eastAsia="zh-CN" w:bidi="ar"/>
        </w:rPr>
        <w:t>附合同或中标（或成交）通知书复印件加盖企业公章。</w:t>
      </w:r>
    </w:p>
    <w:bookmarkEnd w:id="591"/>
    <w:p w14:paraId="7247C8B0">
      <w:pPr>
        <w:pStyle w:val="6"/>
        <w:spacing w:line="440" w:lineRule="exact"/>
        <w:outlineLvl w:val="9"/>
        <w:rPr>
          <w:rFonts w:hint="eastAsia"/>
          <w:color w:val="auto"/>
          <w:sz w:val="28"/>
          <w:szCs w:val="28"/>
          <w:highlight w:val="none"/>
        </w:rPr>
      </w:pPr>
    </w:p>
    <w:p w14:paraId="09604DB3">
      <w:pPr>
        <w:rPr>
          <w:rFonts w:hint="eastAsia"/>
          <w:color w:val="auto"/>
          <w:sz w:val="28"/>
          <w:szCs w:val="28"/>
          <w:highlight w:val="none"/>
        </w:rPr>
      </w:pPr>
    </w:p>
    <w:p w14:paraId="792AE29C">
      <w:pPr>
        <w:pStyle w:val="13"/>
        <w:rPr>
          <w:rFonts w:hint="eastAsia"/>
          <w:color w:val="auto"/>
          <w:sz w:val="28"/>
          <w:szCs w:val="28"/>
          <w:highlight w:val="none"/>
        </w:rPr>
      </w:pPr>
    </w:p>
    <w:p w14:paraId="7B1A1839">
      <w:pPr>
        <w:rPr>
          <w:rFonts w:hint="eastAsia"/>
          <w:color w:val="auto"/>
          <w:sz w:val="28"/>
          <w:szCs w:val="28"/>
          <w:highlight w:val="none"/>
        </w:rPr>
      </w:pPr>
    </w:p>
    <w:p w14:paraId="723A4891">
      <w:pPr>
        <w:pStyle w:val="13"/>
        <w:rPr>
          <w:rFonts w:hint="eastAsia"/>
          <w:color w:val="auto"/>
          <w:sz w:val="28"/>
          <w:szCs w:val="28"/>
          <w:highlight w:val="none"/>
        </w:rPr>
      </w:pPr>
    </w:p>
    <w:p w14:paraId="71A9552A">
      <w:pPr>
        <w:rPr>
          <w:rFonts w:hint="eastAsia"/>
          <w:color w:val="auto"/>
          <w:sz w:val="28"/>
          <w:szCs w:val="28"/>
          <w:highlight w:val="none"/>
        </w:rPr>
      </w:pPr>
    </w:p>
    <w:p w14:paraId="5880CB12">
      <w:pPr>
        <w:pStyle w:val="13"/>
        <w:rPr>
          <w:rFonts w:hint="eastAsia"/>
          <w:color w:val="auto"/>
          <w:sz w:val="28"/>
          <w:szCs w:val="28"/>
          <w:highlight w:val="none"/>
        </w:rPr>
      </w:pPr>
    </w:p>
    <w:p w14:paraId="1B9C43A3">
      <w:pPr>
        <w:rPr>
          <w:rFonts w:hint="eastAsia"/>
          <w:color w:val="auto"/>
          <w:sz w:val="28"/>
          <w:szCs w:val="28"/>
          <w:highlight w:val="none"/>
        </w:rPr>
      </w:pPr>
    </w:p>
    <w:p w14:paraId="0C85282C">
      <w:pPr>
        <w:pStyle w:val="13"/>
        <w:rPr>
          <w:rFonts w:hint="eastAsia"/>
          <w:color w:val="auto"/>
          <w:sz w:val="28"/>
          <w:szCs w:val="28"/>
          <w:highlight w:val="none"/>
        </w:rPr>
      </w:pPr>
    </w:p>
    <w:p w14:paraId="1AEC5FB1">
      <w:pPr>
        <w:rPr>
          <w:rFonts w:hint="eastAsia"/>
          <w:color w:val="auto"/>
          <w:highlight w:val="none"/>
        </w:rPr>
      </w:pPr>
    </w:p>
    <w:p w14:paraId="3188DC67">
      <w:pPr>
        <w:rPr>
          <w:rFonts w:hint="eastAsia"/>
          <w:color w:val="auto"/>
          <w:highlight w:val="none"/>
        </w:rPr>
      </w:pPr>
    </w:p>
    <w:p w14:paraId="2D8E75ED">
      <w:pPr>
        <w:keepNext w:val="0"/>
        <w:keepLines w:val="0"/>
        <w:pageBreakBefore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bCs/>
          <w:color w:val="auto"/>
          <w:sz w:val="28"/>
          <w:szCs w:val="28"/>
          <w:highlight w:val="none"/>
        </w:rPr>
      </w:pPr>
      <w:bookmarkStart w:id="606" w:name="_Toc23489"/>
      <w:r>
        <w:rPr>
          <w:rFonts w:hint="eastAsia" w:ascii="仿宋" w:hAnsi="仿宋" w:eastAsia="仿宋" w:cs="仿宋"/>
          <w:b/>
          <w:bCs/>
          <w:color w:val="auto"/>
          <w:sz w:val="28"/>
          <w:szCs w:val="28"/>
          <w:highlight w:val="none"/>
          <w:lang w:val="en-US" w:eastAsia="zh-CN"/>
        </w:rPr>
        <w:t>11.无串通投标行为的承诺书</w:t>
      </w:r>
      <w:bookmarkEnd w:id="606"/>
    </w:p>
    <w:p w14:paraId="6244C152">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b/>
          <w:bCs/>
          <w:color w:val="auto"/>
          <w:sz w:val="28"/>
          <w:szCs w:val="28"/>
          <w:highlight w:val="none"/>
        </w:rPr>
      </w:pPr>
      <w:r>
        <w:rPr>
          <w:rFonts w:hint="eastAsia" w:ascii="仿宋" w:hAnsi="仿宋" w:eastAsia="仿宋" w:cs="仿宋"/>
          <w:b/>
          <w:bCs/>
          <w:color w:val="auto"/>
          <w:kern w:val="2"/>
          <w:sz w:val="28"/>
          <w:szCs w:val="28"/>
          <w:highlight w:val="none"/>
          <w:u w:val="single"/>
          <w:lang w:eastAsia="zh-CN"/>
        </w:rPr>
        <w:t>察布查尔锡伯自治县公安局</w:t>
      </w:r>
      <w:r>
        <w:rPr>
          <w:rFonts w:hint="eastAsia" w:ascii="仿宋" w:hAnsi="仿宋" w:eastAsia="仿宋" w:cs="仿宋"/>
          <w:b/>
          <w:bCs/>
          <w:color w:val="auto"/>
          <w:kern w:val="2"/>
          <w:sz w:val="28"/>
          <w:szCs w:val="28"/>
          <w:highlight w:val="none"/>
          <w:u w:val="single"/>
        </w:rPr>
        <w:t>:</w:t>
      </w:r>
    </w:p>
    <w:p w14:paraId="7D75E3F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我公司参与</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标段号</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的采购招标活动，我公司郑重声明：我公司</w:t>
      </w:r>
      <w:r>
        <w:rPr>
          <w:rFonts w:hint="eastAsia" w:ascii="仿宋" w:hAnsi="仿宋" w:eastAsia="仿宋" w:cs="仿宋"/>
          <w:color w:val="auto"/>
          <w:sz w:val="28"/>
          <w:szCs w:val="28"/>
          <w:highlight w:val="none"/>
          <w:lang w:val="en-US" w:eastAsia="zh-CN"/>
        </w:rPr>
        <w:t>不组织、不参与任何串通投标的行为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自觉遵守</w:t>
      </w:r>
      <w:r>
        <w:rPr>
          <w:rFonts w:hint="eastAsia" w:ascii="仿宋" w:hAnsi="仿宋" w:eastAsia="仿宋" w:cs="仿宋"/>
          <w:color w:val="auto"/>
          <w:sz w:val="28"/>
          <w:szCs w:val="28"/>
          <w:highlight w:val="none"/>
        </w:rPr>
        <w:t>《中华人民共和国政府采购法》和《中华人民共和国政府采购法实施条例》</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规定。我公司对此声明负全部法律责任。</w:t>
      </w:r>
    </w:p>
    <w:p w14:paraId="0E706F9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特此声明。</w:t>
      </w:r>
    </w:p>
    <w:p w14:paraId="479417F2">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 xml:space="preserve"> </w:t>
      </w:r>
      <w:r>
        <w:rPr>
          <w:rFonts w:hint="eastAsia" w:ascii="仿宋" w:hAnsi="仿宋" w:eastAsia="仿宋" w:cs="仿宋"/>
          <w:b w:val="0"/>
          <w:bCs w:val="0"/>
          <w:color w:val="auto"/>
          <w:sz w:val="28"/>
          <w:szCs w:val="28"/>
          <w:highlight w:val="none"/>
        </w:rPr>
        <w:t>承</w:t>
      </w:r>
      <w:r>
        <w:rPr>
          <w:rFonts w:hint="eastAsia" w:ascii="仿宋" w:hAnsi="仿宋" w:eastAsia="仿宋" w:cs="仿宋"/>
          <w:color w:val="auto"/>
          <w:sz w:val="28"/>
          <w:szCs w:val="28"/>
          <w:highlight w:val="none"/>
          <w:lang w:val="en-US" w:eastAsia="zh-CN"/>
        </w:rPr>
        <w:t>诺单位：           公司（公章）</w:t>
      </w:r>
    </w:p>
    <w:p w14:paraId="14C4B497">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法定代表人：（签字或签章）</w:t>
      </w:r>
    </w:p>
    <w:p w14:paraId="0A3749B0">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法定代表人身份证号：</w:t>
      </w:r>
    </w:p>
    <w:p w14:paraId="75DC6155">
      <w:pPr>
        <w:keepNext w:val="0"/>
        <w:keepLines w:val="0"/>
        <w:pageBreakBefore w:val="0"/>
        <w:kinsoku/>
        <w:wordWrap/>
        <w:overflowPunct/>
        <w:topLinePunct w:val="0"/>
        <w:autoSpaceDE/>
        <w:autoSpaceDN/>
        <w:bidi w:val="0"/>
        <w:adjustRightInd/>
        <w:snapToGrid/>
        <w:spacing w:line="48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20  年  月  日</w:t>
      </w:r>
    </w:p>
    <w:p w14:paraId="65526AA4">
      <w:pPr>
        <w:rPr>
          <w:rFonts w:hint="eastAsia"/>
          <w:color w:val="auto"/>
          <w:highlight w:val="none"/>
        </w:rPr>
      </w:pPr>
    </w:p>
    <w:p w14:paraId="78DF8FED">
      <w:pPr>
        <w:pStyle w:val="6"/>
        <w:outlineLvl w:val="9"/>
        <w:rPr>
          <w:rFonts w:hint="eastAsia"/>
          <w:color w:val="auto"/>
          <w:highlight w:val="none"/>
        </w:rPr>
      </w:pPr>
    </w:p>
    <w:p w14:paraId="3B670D55">
      <w:pPr>
        <w:rPr>
          <w:rFonts w:hint="eastAsia"/>
          <w:color w:val="auto"/>
          <w:highlight w:val="none"/>
        </w:rPr>
      </w:pPr>
    </w:p>
    <w:p w14:paraId="45FB86EA">
      <w:pPr>
        <w:pStyle w:val="6"/>
        <w:outlineLvl w:val="9"/>
        <w:rPr>
          <w:rFonts w:hint="eastAsia"/>
          <w:color w:val="auto"/>
          <w:highlight w:val="none"/>
        </w:rPr>
      </w:pPr>
    </w:p>
    <w:p w14:paraId="1B98D6DE">
      <w:pPr>
        <w:rPr>
          <w:rFonts w:hint="eastAsia"/>
          <w:color w:val="auto"/>
          <w:highlight w:val="none"/>
        </w:rPr>
      </w:pPr>
    </w:p>
    <w:p w14:paraId="33D7EE0D">
      <w:pPr>
        <w:pStyle w:val="6"/>
        <w:outlineLvl w:val="9"/>
        <w:rPr>
          <w:rFonts w:hint="eastAsia"/>
          <w:color w:val="auto"/>
          <w:highlight w:val="none"/>
        </w:rPr>
      </w:pPr>
    </w:p>
    <w:p w14:paraId="166B52CD">
      <w:pPr>
        <w:rPr>
          <w:rFonts w:hint="eastAsia"/>
          <w:color w:val="auto"/>
          <w:highlight w:val="none"/>
        </w:rPr>
      </w:pPr>
    </w:p>
    <w:p w14:paraId="6D348FE9">
      <w:pPr>
        <w:rPr>
          <w:rFonts w:hint="eastAsia"/>
          <w:color w:val="auto"/>
          <w:highlight w:val="none"/>
        </w:rPr>
      </w:pPr>
    </w:p>
    <w:p w14:paraId="109AD4BF">
      <w:pPr>
        <w:pStyle w:val="25"/>
        <w:ind w:firstLine="210"/>
        <w:rPr>
          <w:rFonts w:hint="eastAsia"/>
          <w:color w:val="auto"/>
          <w:highlight w:val="none"/>
        </w:rPr>
      </w:pPr>
    </w:p>
    <w:p w14:paraId="4DF4B755">
      <w:pPr>
        <w:pStyle w:val="25"/>
        <w:ind w:firstLine="210"/>
        <w:rPr>
          <w:rFonts w:hint="eastAsia"/>
          <w:color w:val="auto"/>
          <w:highlight w:val="none"/>
        </w:rPr>
      </w:pPr>
    </w:p>
    <w:p w14:paraId="1D70915C">
      <w:pPr>
        <w:pStyle w:val="25"/>
        <w:ind w:firstLine="210"/>
        <w:rPr>
          <w:rFonts w:hint="eastAsia"/>
          <w:color w:val="auto"/>
          <w:highlight w:val="none"/>
        </w:rPr>
      </w:pPr>
    </w:p>
    <w:p w14:paraId="5FAF0EFF">
      <w:pPr>
        <w:pStyle w:val="25"/>
        <w:ind w:firstLine="210"/>
        <w:rPr>
          <w:rFonts w:hint="eastAsia"/>
          <w:color w:val="auto"/>
          <w:highlight w:val="none"/>
        </w:rPr>
      </w:pPr>
    </w:p>
    <w:p w14:paraId="43AC0031">
      <w:pPr>
        <w:keepNext w:val="0"/>
        <w:keepLines w:val="0"/>
        <w:pageBreakBefore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bCs/>
          <w:color w:val="auto"/>
          <w:sz w:val="28"/>
          <w:szCs w:val="28"/>
          <w:highlight w:val="none"/>
          <w:lang w:val="en-US" w:eastAsia="zh-CN"/>
        </w:rPr>
      </w:pPr>
      <w:bookmarkStart w:id="607" w:name="_Toc9476"/>
      <w:bookmarkStart w:id="608" w:name="_Toc7660"/>
      <w:r>
        <w:rPr>
          <w:rFonts w:hint="eastAsia" w:ascii="仿宋" w:hAnsi="仿宋" w:eastAsia="仿宋" w:cs="仿宋"/>
          <w:b/>
          <w:bCs/>
          <w:color w:val="auto"/>
          <w:sz w:val="28"/>
          <w:szCs w:val="28"/>
          <w:highlight w:val="none"/>
          <w:lang w:val="en-US" w:eastAsia="zh-CN"/>
        </w:rPr>
        <w:t>12.中小企业声明函（货物）</w:t>
      </w:r>
      <w:bookmarkEnd w:id="607"/>
      <w:bookmarkEnd w:id="608"/>
    </w:p>
    <w:p w14:paraId="39C5EC98">
      <w:pPr>
        <w:keepNext w:val="0"/>
        <w:keepLines w:val="0"/>
        <w:pageBreakBefore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bCs/>
          <w:color w:val="auto"/>
          <w:sz w:val="28"/>
          <w:szCs w:val="28"/>
          <w:highlight w:val="none"/>
          <w:lang w:val="en-US" w:eastAsia="zh-CN"/>
        </w:rPr>
      </w:pPr>
      <w:bookmarkStart w:id="609" w:name="_Toc10982"/>
      <w:r>
        <w:rPr>
          <w:rFonts w:hint="eastAsia" w:ascii="仿宋" w:hAnsi="仿宋" w:eastAsia="仿宋" w:cs="仿宋"/>
          <w:b/>
          <w:bCs/>
          <w:color w:val="auto"/>
          <w:sz w:val="28"/>
          <w:szCs w:val="28"/>
          <w:highlight w:val="none"/>
          <w:lang w:val="en-US" w:eastAsia="zh-CN"/>
        </w:rPr>
        <w:t>（若有请如实填写，如不是无需附此函）</w:t>
      </w:r>
      <w:bookmarkEnd w:id="609"/>
    </w:p>
    <w:p w14:paraId="446AF8E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 号）的规定，本公司（联合体）参加</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采购活动，提供的货物全部由符合政策要求的中小企业制造。相关企业（含联合体中的中小企业、签订分包意向协议的中小企业）的具体情况如下：</w:t>
      </w:r>
    </w:p>
    <w:p w14:paraId="49757864">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rPr>
        <w:t xml:space="preserve"> ，属于</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零售业</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行业；制造商为（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中型企业、小型企业、微型企业</w:t>
      </w:r>
      <w:r>
        <w:rPr>
          <w:rFonts w:hint="eastAsia" w:ascii="仿宋" w:hAnsi="仿宋" w:eastAsia="仿宋" w:cs="仿宋"/>
          <w:color w:val="auto"/>
          <w:sz w:val="28"/>
          <w:szCs w:val="28"/>
          <w:highlight w:val="none"/>
        </w:rPr>
        <w:t>）；</w:t>
      </w:r>
    </w:p>
    <w:p w14:paraId="20E9F2C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u w:val="single"/>
        </w:rPr>
        <w:t xml:space="preserve">（标的名称）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行业；制造商为（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 ，从业人员</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（中型企业、小型 企业、微型企业</w:t>
      </w:r>
      <w:r>
        <w:rPr>
          <w:rFonts w:hint="eastAsia" w:ascii="仿宋" w:hAnsi="仿宋" w:eastAsia="仿宋" w:cs="仿宋"/>
          <w:color w:val="auto"/>
          <w:sz w:val="28"/>
          <w:szCs w:val="28"/>
          <w:highlight w:val="none"/>
        </w:rPr>
        <w:t>）；</w:t>
      </w:r>
    </w:p>
    <w:p w14:paraId="307723E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19DCE09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14:paraId="38E5335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14:paraId="7A1F3718">
      <w:pPr>
        <w:keepNext w:val="0"/>
        <w:keepLines w:val="0"/>
        <w:pageBreakBefore w:val="0"/>
        <w:kinsoku/>
        <w:wordWrap/>
        <w:overflowPunct/>
        <w:topLinePunct w:val="0"/>
        <w:autoSpaceDE/>
        <w:autoSpaceDN/>
        <w:bidi w:val="0"/>
        <w:adjustRightInd/>
        <w:snapToGrid/>
        <w:spacing w:line="480" w:lineRule="exact"/>
        <w:ind w:firstLine="560" w:firstLineChars="200"/>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企业名称（盖章）：</w:t>
      </w:r>
    </w:p>
    <w:p w14:paraId="775FBC24">
      <w:pPr>
        <w:keepNext w:val="0"/>
        <w:keepLines w:val="0"/>
        <w:pageBreakBefore w:val="0"/>
        <w:kinsoku/>
        <w:wordWrap/>
        <w:overflowPunct/>
        <w:topLinePunct w:val="0"/>
        <w:autoSpaceDE/>
        <w:autoSpaceDN/>
        <w:bidi w:val="0"/>
        <w:adjustRightInd/>
        <w:snapToGrid/>
        <w:spacing w:line="480" w:lineRule="exact"/>
        <w:ind w:firstLine="560" w:firstLineChars="20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日 期：</w:t>
      </w:r>
    </w:p>
    <w:p w14:paraId="6D3079A8">
      <w:pPr>
        <w:pStyle w:val="74"/>
        <w:spacing w:line="440" w:lineRule="exact"/>
        <w:rPr>
          <w:rFonts w:hint="eastAsia"/>
          <w:color w:val="auto"/>
          <w:sz w:val="28"/>
          <w:szCs w:val="28"/>
          <w:highlight w:val="none"/>
        </w:rPr>
      </w:pPr>
    </w:p>
    <w:p w14:paraId="673AF4B7">
      <w:pPr>
        <w:pStyle w:val="74"/>
        <w:spacing w:line="440" w:lineRule="exact"/>
        <w:rPr>
          <w:rFonts w:hint="eastAsia"/>
          <w:color w:val="auto"/>
          <w:sz w:val="28"/>
          <w:szCs w:val="28"/>
          <w:highlight w:val="none"/>
        </w:rPr>
      </w:pPr>
    </w:p>
    <w:p w14:paraId="16CED1E1">
      <w:pPr>
        <w:pStyle w:val="74"/>
        <w:spacing w:line="440" w:lineRule="exact"/>
        <w:rPr>
          <w:rFonts w:hint="eastAsia"/>
          <w:color w:val="auto"/>
          <w:sz w:val="28"/>
          <w:szCs w:val="28"/>
          <w:highlight w:val="none"/>
        </w:rPr>
      </w:pPr>
    </w:p>
    <w:p w14:paraId="0056BC11">
      <w:pPr>
        <w:pStyle w:val="74"/>
        <w:spacing w:line="440" w:lineRule="exact"/>
        <w:rPr>
          <w:rFonts w:hint="eastAsia"/>
          <w:color w:val="auto"/>
          <w:sz w:val="28"/>
          <w:szCs w:val="28"/>
          <w:highlight w:val="none"/>
        </w:rPr>
      </w:pPr>
    </w:p>
    <w:p w14:paraId="59A8E6F7">
      <w:pPr>
        <w:pStyle w:val="74"/>
        <w:spacing w:line="440" w:lineRule="exact"/>
        <w:rPr>
          <w:rFonts w:hint="eastAsia"/>
          <w:color w:val="auto"/>
          <w:sz w:val="28"/>
          <w:szCs w:val="28"/>
          <w:highlight w:val="none"/>
        </w:rPr>
      </w:pPr>
    </w:p>
    <w:p w14:paraId="1396D87B">
      <w:pPr>
        <w:pStyle w:val="74"/>
        <w:rPr>
          <w:rFonts w:hint="eastAsia"/>
          <w:color w:val="auto"/>
          <w:highlight w:val="none"/>
        </w:rPr>
      </w:pPr>
    </w:p>
    <w:p w14:paraId="13FB8620">
      <w:pPr>
        <w:pStyle w:val="74"/>
        <w:rPr>
          <w:rFonts w:hint="eastAsia"/>
          <w:color w:val="auto"/>
          <w:highlight w:val="none"/>
        </w:rPr>
      </w:pPr>
    </w:p>
    <w:p w14:paraId="5951B643">
      <w:pPr>
        <w:pStyle w:val="73"/>
        <w:widowControl/>
        <w:snapToGrid w:val="0"/>
        <w:spacing w:before="0" w:line="240" w:lineRule="atLeast"/>
        <w:rPr>
          <w:rStyle w:val="49"/>
          <w:rFonts w:hint="eastAsia" w:ascii="仿宋" w:hAnsi="仿宋" w:eastAsia="仿宋"/>
          <w:color w:val="auto"/>
          <w:sz w:val="30"/>
          <w:szCs w:val="30"/>
          <w:highlight w:val="none"/>
        </w:rPr>
      </w:pPr>
    </w:p>
    <w:p w14:paraId="4A8F45FD">
      <w:pPr>
        <w:pStyle w:val="74"/>
        <w:rPr>
          <w:rStyle w:val="49"/>
          <w:rFonts w:hint="eastAsia" w:ascii="仿宋" w:hAnsi="仿宋" w:eastAsia="仿宋"/>
          <w:color w:val="auto"/>
          <w:sz w:val="30"/>
          <w:szCs w:val="30"/>
          <w:highlight w:val="none"/>
        </w:rPr>
      </w:pPr>
    </w:p>
    <w:p w14:paraId="6BE115E2">
      <w:pPr>
        <w:pStyle w:val="74"/>
        <w:rPr>
          <w:rStyle w:val="49"/>
          <w:rFonts w:hint="eastAsia" w:ascii="仿宋" w:hAnsi="仿宋" w:eastAsia="仿宋"/>
          <w:color w:val="auto"/>
          <w:sz w:val="30"/>
          <w:szCs w:val="30"/>
          <w:highlight w:val="none"/>
        </w:rPr>
      </w:pPr>
    </w:p>
    <w:p w14:paraId="14FD584E">
      <w:pPr>
        <w:pStyle w:val="74"/>
        <w:rPr>
          <w:rFonts w:hint="eastAsia"/>
          <w:color w:val="auto"/>
          <w:highlight w:val="none"/>
        </w:rPr>
      </w:pPr>
    </w:p>
    <w:p w14:paraId="0CF4E69F">
      <w:pPr>
        <w:rPr>
          <w:rStyle w:val="49"/>
          <w:rFonts w:hint="eastAsia" w:ascii="仿宋" w:hAnsi="仿宋" w:eastAsia="仿宋"/>
          <w:color w:val="auto"/>
          <w:sz w:val="28"/>
          <w:szCs w:val="28"/>
          <w:highlight w:val="none"/>
          <w:lang w:val="en-US"/>
        </w:rPr>
      </w:pPr>
      <w:r>
        <w:rPr>
          <w:rStyle w:val="49"/>
          <w:rFonts w:hint="eastAsia" w:ascii="仿宋" w:hAnsi="仿宋" w:eastAsia="仿宋"/>
          <w:color w:val="auto"/>
          <w:sz w:val="28"/>
          <w:szCs w:val="28"/>
          <w:highlight w:val="none"/>
          <w:lang w:val="en-US"/>
        </w:rPr>
        <w:br w:type="page"/>
      </w:r>
    </w:p>
    <w:p w14:paraId="2FD3256C">
      <w:pPr>
        <w:pStyle w:val="73"/>
        <w:keepNext w:val="0"/>
        <w:keepLines w:val="0"/>
        <w:pageBreakBefore w:val="0"/>
        <w:widowControl w:val="0"/>
        <w:kinsoku/>
        <w:wordWrap/>
        <w:overflowPunct/>
        <w:topLinePunct w:val="0"/>
        <w:autoSpaceDE/>
        <w:autoSpaceDN/>
        <w:bidi w:val="0"/>
        <w:adjustRightInd/>
        <w:snapToGrid w:val="0"/>
        <w:spacing w:before="0" w:line="480" w:lineRule="exact"/>
        <w:rPr>
          <w:rStyle w:val="49"/>
          <w:rFonts w:ascii="仿宋" w:hAnsi="仿宋" w:eastAsia="仿宋"/>
          <w:color w:val="auto"/>
          <w:sz w:val="28"/>
          <w:szCs w:val="28"/>
          <w:highlight w:val="none"/>
        </w:rPr>
      </w:pPr>
      <w:r>
        <w:rPr>
          <w:rStyle w:val="49"/>
          <w:rFonts w:hint="eastAsia" w:ascii="仿宋" w:hAnsi="仿宋" w:eastAsia="仿宋"/>
          <w:color w:val="auto"/>
          <w:sz w:val="28"/>
          <w:szCs w:val="28"/>
          <w:highlight w:val="none"/>
          <w:lang w:val="en-US"/>
        </w:rPr>
        <w:t>13.</w:t>
      </w:r>
      <w:r>
        <w:rPr>
          <w:rStyle w:val="49"/>
          <w:rFonts w:ascii="仿宋" w:hAnsi="仿宋" w:eastAsia="仿宋"/>
          <w:color w:val="auto"/>
          <w:sz w:val="28"/>
          <w:szCs w:val="28"/>
          <w:highlight w:val="none"/>
        </w:rPr>
        <w:t>残疾人福利性单位声明函</w:t>
      </w:r>
    </w:p>
    <w:p w14:paraId="6AD32EEE">
      <w:pPr>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rPr>
          <w:rStyle w:val="49"/>
          <w:rFonts w:ascii="仿宋" w:hAnsi="仿宋" w:eastAsia="仿宋"/>
          <w:b/>
          <w:bCs/>
          <w:color w:val="auto"/>
          <w:sz w:val="28"/>
          <w:szCs w:val="28"/>
          <w:highlight w:val="none"/>
        </w:rPr>
      </w:pPr>
      <w:r>
        <w:rPr>
          <w:rStyle w:val="49"/>
          <w:rFonts w:ascii="仿宋" w:hAnsi="仿宋" w:eastAsia="仿宋"/>
          <w:b/>
          <w:bCs/>
          <w:color w:val="auto"/>
          <w:kern w:val="2"/>
          <w:sz w:val="28"/>
          <w:szCs w:val="28"/>
          <w:highlight w:val="none"/>
        </w:rPr>
        <w:t>（若有请如实填写，如不是无需附此函）</w:t>
      </w:r>
    </w:p>
    <w:p w14:paraId="24D8ACFA">
      <w:pPr>
        <w:keepNext w:val="0"/>
        <w:keepLines w:val="0"/>
        <w:pageBreakBefore w:val="0"/>
        <w:widowControl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4D970E1">
      <w:pPr>
        <w:keepNext w:val="0"/>
        <w:keepLines w:val="0"/>
        <w:pageBreakBefore w:val="0"/>
        <w:widowControl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14:paraId="284E2266">
      <w:pPr>
        <w:keepNext w:val="0"/>
        <w:keepLines w:val="0"/>
        <w:pageBreakBefore w:val="0"/>
        <w:widowControl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highlight w:val="none"/>
        </w:rPr>
      </w:pPr>
    </w:p>
    <w:p w14:paraId="78EF8B6A">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baseline"/>
        <w:rPr>
          <w:rStyle w:val="49"/>
          <w:rFonts w:ascii="仿宋" w:hAnsi="仿宋" w:eastAsia="仿宋"/>
          <w:color w:val="auto"/>
          <w:kern w:val="2"/>
          <w:sz w:val="28"/>
          <w:szCs w:val="28"/>
          <w:highlight w:val="none"/>
        </w:rPr>
      </w:pPr>
    </w:p>
    <w:p w14:paraId="454C2E21">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baseline"/>
        <w:rPr>
          <w:rStyle w:val="49"/>
          <w:rFonts w:ascii="仿宋" w:hAnsi="仿宋" w:eastAsia="仿宋"/>
          <w:color w:val="auto"/>
          <w:kern w:val="2"/>
          <w:sz w:val="28"/>
          <w:szCs w:val="28"/>
          <w:highlight w:val="none"/>
        </w:rPr>
      </w:pPr>
      <w:r>
        <w:rPr>
          <w:rStyle w:val="49"/>
          <w:rFonts w:ascii="仿宋" w:hAnsi="仿宋" w:eastAsia="仿宋"/>
          <w:color w:val="auto"/>
          <w:kern w:val="2"/>
          <w:sz w:val="28"/>
          <w:szCs w:val="28"/>
          <w:highlight w:val="none"/>
        </w:rPr>
        <w:t xml:space="preserve">         残疾人福利性单位名称（盖单位章）：______________</w:t>
      </w:r>
    </w:p>
    <w:p w14:paraId="1482F8D8">
      <w:pPr>
        <w:pStyle w:val="2"/>
        <w:keepNext w:val="0"/>
        <w:keepLines w:val="0"/>
        <w:pageBreakBefore w:val="0"/>
        <w:widowControl w:val="0"/>
        <w:kinsoku/>
        <w:wordWrap/>
        <w:overflowPunct/>
        <w:topLinePunct w:val="0"/>
        <w:autoSpaceDE/>
        <w:autoSpaceDN/>
        <w:bidi w:val="0"/>
        <w:adjustRightInd/>
        <w:spacing w:line="480" w:lineRule="exact"/>
        <w:rPr>
          <w:rFonts w:hint="eastAsia" w:ascii="仿宋_GB2312" w:eastAsia="仿宋_GB2312"/>
          <w:b/>
          <w:color w:val="auto"/>
          <w:sz w:val="28"/>
          <w:szCs w:val="28"/>
          <w:highlight w:val="none"/>
        </w:rPr>
      </w:pPr>
      <w:r>
        <w:rPr>
          <w:rStyle w:val="49"/>
          <w:rFonts w:ascii="仿宋" w:hAnsi="仿宋" w:eastAsia="仿宋"/>
          <w:color w:val="auto"/>
          <w:kern w:val="2"/>
          <w:sz w:val="28"/>
          <w:szCs w:val="28"/>
          <w:highlight w:val="none"/>
        </w:rPr>
        <w:t xml:space="preserve">        </w:t>
      </w:r>
      <w:r>
        <w:rPr>
          <w:rStyle w:val="49"/>
          <w:rFonts w:hint="eastAsia" w:ascii="仿宋" w:hAnsi="仿宋" w:eastAsia="仿宋"/>
          <w:color w:val="auto"/>
          <w:kern w:val="2"/>
          <w:sz w:val="28"/>
          <w:szCs w:val="28"/>
          <w:highlight w:val="none"/>
        </w:rPr>
        <w:t xml:space="preserve">                         </w:t>
      </w:r>
      <w:r>
        <w:rPr>
          <w:rStyle w:val="49"/>
          <w:rFonts w:ascii="仿宋" w:hAnsi="仿宋" w:eastAsia="仿宋"/>
          <w:color w:val="auto"/>
          <w:kern w:val="2"/>
          <w:sz w:val="28"/>
          <w:szCs w:val="28"/>
          <w:highlight w:val="none"/>
        </w:rPr>
        <w:t xml:space="preserve"> 日  期：______________</w:t>
      </w:r>
    </w:p>
    <w:p w14:paraId="257038AE">
      <w:pPr>
        <w:spacing w:line="440" w:lineRule="exact"/>
        <w:jc w:val="center"/>
        <w:rPr>
          <w:rFonts w:hint="eastAsia" w:ascii="仿宋" w:hAnsi="仿宋" w:eastAsia="仿宋" w:cs="仿宋"/>
          <w:b/>
          <w:color w:val="auto"/>
          <w:sz w:val="28"/>
          <w:szCs w:val="28"/>
          <w:highlight w:val="none"/>
        </w:rPr>
      </w:pPr>
    </w:p>
    <w:p w14:paraId="004124DE">
      <w:pPr>
        <w:spacing w:line="440" w:lineRule="exact"/>
        <w:rPr>
          <w:rStyle w:val="49"/>
          <w:rFonts w:hint="eastAsia" w:ascii="仿宋" w:hAnsi="仿宋" w:eastAsia="仿宋"/>
          <w:b/>
          <w:color w:val="auto"/>
          <w:sz w:val="28"/>
          <w:szCs w:val="28"/>
          <w:highlight w:val="none"/>
        </w:rPr>
      </w:pPr>
    </w:p>
    <w:p w14:paraId="3888C81B">
      <w:pPr>
        <w:spacing w:line="440" w:lineRule="exact"/>
        <w:jc w:val="center"/>
        <w:rPr>
          <w:rStyle w:val="49"/>
          <w:rFonts w:hint="eastAsia" w:ascii="仿宋" w:hAnsi="仿宋" w:eastAsia="仿宋"/>
          <w:b/>
          <w:color w:val="auto"/>
          <w:sz w:val="28"/>
          <w:szCs w:val="28"/>
          <w:highlight w:val="none"/>
        </w:rPr>
      </w:pPr>
    </w:p>
    <w:p w14:paraId="25761082">
      <w:pPr>
        <w:spacing w:line="440" w:lineRule="exact"/>
        <w:jc w:val="center"/>
        <w:rPr>
          <w:rStyle w:val="49"/>
          <w:rFonts w:hint="eastAsia" w:ascii="仿宋" w:hAnsi="仿宋" w:eastAsia="仿宋"/>
          <w:b/>
          <w:color w:val="auto"/>
          <w:sz w:val="28"/>
          <w:szCs w:val="28"/>
          <w:highlight w:val="none"/>
        </w:rPr>
      </w:pP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14:paraId="4BD9FC05">
      <w:pPr>
        <w:rPr>
          <w:rStyle w:val="49"/>
          <w:rFonts w:hint="eastAsia" w:ascii="仿宋" w:hAnsi="仿宋" w:eastAsia="仿宋" w:cs="Times New Roman"/>
          <w:color w:val="auto"/>
          <w:sz w:val="28"/>
          <w:szCs w:val="28"/>
          <w:highlight w:val="none"/>
          <w:lang w:val="en-US" w:eastAsia="zh-CN"/>
        </w:rPr>
      </w:pPr>
      <w:r>
        <w:rPr>
          <w:rStyle w:val="49"/>
          <w:rFonts w:hint="eastAsia" w:ascii="仿宋" w:hAnsi="仿宋" w:eastAsia="仿宋" w:cs="Times New Roman"/>
          <w:color w:val="auto"/>
          <w:sz w:val="28"/>
          <w:szCs w:val="28"/>
          <w:highlight w:val="none"/>
          <w:lang w:val="en-US" w:eastAsia="zh-CN"/>
        </w:rPr>
        <w:br w:type="page"/>
      </w:r>
    </w:p>
    <w:p w14:paraId="78ECEF14">
      <w:pPr>
        <w:pStyle w:val="73"/>
        <w:keepNext w:val="0"/>
        <w:keepLines w:val="0"/>
        <w:numPr>
          <w:ilvl w:val="0"/>
          <w:numId w:val="0"/>
        </w:numPr>
        <w:snapToGrid w:val="0"/>
        <w:spacing w:before="0" w:line="440" w:lineRule="exact"/>
        <w:jc w:val="center"/>
        <w:rPr>
          <w:rStyle w:val="49"/>
          <w:rFonts w:hint="eastAsia" w:ascii="仿宋" w:hAnsi="仿宋" w:eastAsia="仿宋" w:cs="Times New Roman"/>
          <w:color w:val="auto"/>
          <w:sz w:val="28"/>
          <w:szCs w:val="28"/>
          <w:highlight w:val="none"/>
          <w:lang w:val="en-US" w:eastAsia="zh-CN"/>
        </w:rPr>
      </w:pPr>
      <w:r>
        <w:rPr>
          <w:rStyle w:val="49"/>
          <w:rFonts w:hint="eastAsia" w:ascii="仿宋" w:hAnsi="仿宋" w:eastAsia="仿宋" w:cs="Times New Roman"/>
          <w:color w:val="auto"/>
          <w:sz w:val="28"/>
          <w:szCs w:val="28"/>
          <w:highlight w:val="none"/>
          <w:lang w:val="en-US" w:eastAsia="zh-CN"/>
        </w:rPr>
        <w:t>14.监狱企业证明</w:t>
      </w:r>
    </w:p>
    <w:p w14:paraId="605A286C">
      <w:pPr>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rPr>
          <w:rStyle w:val="49"/>
          <w:rFonts w:ascii="仿宋" w:hAnsi="仿宋" w:eastAsia="仿宋"/>
          <w:b/>
          <w:bCs/>
          <w:color w:val="auto"/>
          <w:sz w:val="28"/>
          <w:szCs w:val="28"/>
          <w:highlight w:val="none"/>
        </w:rPr>
      </w:pPr>
      <w:r>
        <w:rPr>
          <w:rStyle w:val="49"/>
          <w:rFonts w:ascii="仿宋" w:hAnsi="仿宋" w:eastAsia="仿宋"/>
          <w:b/>
          <w:bCs/>
          <w:color w:val="auto"/>
          <w:kern w:val="2"/>
          <w:sz w:val="28"/>
          <w:szCs w:val="28"/>
          <w:highlight w:val="none"/>
        </w:rPr>
        <w:t>（若有请如实填写，如不是无需附此</w:t>
      </w:r>
      <w:r>
        <w:rPr>
          <w:rStyle w:val="49"/>
          <w:rFonts w:hint="eastAsia" w:ascii="仿宋" w:hAnsi="仿宋" w:eastAsia="仿宋"/>
          <w:b/>
          <w:bCs/>
          <w:color w:val="auto"/>
          <w:kern w:val="2"/>
          <w:sz w:val="28"/>
          <w:szCs w:val="28"/>
          <w:highlight w:val="none"/>
          <w:lang w:val="en-US"/>
        </w:rPr>
        <w:t>证明</w:t>
      </w:r>
      <w:r>
        <w:rPr>
          <w:rStyle w:val="49"/>
          <w:rFonts w:ascii="仿宋" w:hAnsi="仿宋" w:eastAsia="仿宋"/>
          <w:b/>
          <w:bCs/>
          <w:color w:val="auto"/>
          <w:kern w:val="2"/>
          <w:sz w:val="28"/>
          <w:szCs w:val="28"/>
          <w:highlight w:val="none"/>
        </w:rPr>
        <w:t>）</w:t>
      </w:r>
    </w:p>
    <w:p w14:paraId="2D465E9D">
      <w:pPr>
        <w:keepNext w:val="0"/>
        <w:keepLines w:val="0"/>
        <w:pageBreakBefore w:val="0"/>
        <w:widowControl w:val="0"/>
        <w:kinsoku/>
        <w:wordWrap/>
        <w:overflowPunct/>
        <w:topLinePunct w:val="0"/>
        <w:autoSpaceDE/>
        <w:autoSpaceDN/>
        <w:bidi w:val="0"/>
        <w:adjustRightInd/>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证明无格式要求，由出具监狱企业证明的单位自行拟定。</w:t>
      </w:r>
    </w:p>
    <w:p w14:paraId="61EA09F3">
      <w:pPr>
        <w:jc w:val="center"/>
        <w:rPr>
          <w:rFonts w:hint="eastAsia" w:ascii="仿宋" w:hAnsi="仿宋" w:eastAsia="仿宋" w:cs="仿宋"/>
          <w:b/>
          <w:bCs/>
          <w:color w:val="auto"/>
          <w:sz w:val="44"/>
          <w:szCs w:val="44"/>
          <w:highlight w:val="none"/>
        </w:rPr>
      </w:pPr>
    </w:p>
    <w:p w14:paraId="62DCBE29">
      <w:pPr>
        <w:jc w:val="center"/>
        <w:rPr>
          <w:rFonts w:hint="eastAsia" w:ascii="仿宋" w:hAnsi="仿宋" w:eastAsia="仿宋" w:cs="仿宋"/>
          <w:b/>
          <w:bCs/>
          <w:color w:val="auto"/>
          <w:sz w:val="44"/>
          <w:szCs w:val="44"/>
          <w:highlight w:val="none"/>
        </w:rPr>
      </w:pPr>
    </w:p>
    <w:p w14:paraId="2F9FD43C">
      <w:pPr>
        <w:rPr>
          <w:rFonts w:hint="eastAsia" w:ascii="仿宋" w:hAnsi="仿宋" w:eastAsia="仿宋" w:cs="仿宋"/>
          <w:b/>
          <w:bCs/>
          <w:color w:val="auto"/>
          <w:sz w:val="28"/>
          <w:szCs w:val="28"/>
          <w:highlight w:val="none"/>
          <w:lang w:val="en-US" w:eastAsia="zh-CN"/>
        </w:rPr>
      </w:pPr>
      <w:bookmarkStart w:id="610" w:name="_Toc7240"/>
      <w:r>
        <w:rPr>
          <w:rFonts w:hint="eastAsia" w:ascii="仿宋" w:hAnsi="仿宋" w:eastAsia="仿宋" w:cs="仿宋"/>
          <w:b/>
          <w:bCs/>
          <w:color w:val="auto"/>
          <w:sz w:val="28"/>
          <w:szCs w:val="28"/>
          <w:highlight w:val="none"/>
          <w:lang w:val="en-US" w:eastAsia="zh-CN"/>
        </w:rPr>
        <w:br w:type="page"/>
      </w:r>
    </w:p>
    <w:p w14:paraId="5208E845">
      <w:pPr>
        <w:keepNext w:val="0"/>
        <w:keepLines w:val="0"/>
        <w:pageBreakBefore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15.招标文件要求投标供应商提交的其它投标资料或者投标供应商认为有必要提供的资料；</w:t>
      </w:r>
      <w:bookmarkEnd w:id="610"/>
    </w:p>
    <w:p w14:paraId="54E28E23">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color w:val="auto"/>
          <w:sz w:val="28"/>
          <w:szCs w:val="28"/>
          <w:highlight w:val="none"/>
          <w:lang w:val="en-US" w:eastAsia="zh-CN"/>
        </w:rPr>
      </w:pPr>
    </w:p>
    <w:p w14:paraId="17A73C58">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color w:val="auto"/>
          <w:sz w:val="28"/>
          <w:szCs w:val="28"/>
          <w:highlight w:val="none"/>
          <w:lang w:val="en-US" w:eastAsia="zh-CN"/>
        </w:rPr>
      </w:pPr>
    </w:p>
    <w:p w14:paraId="7B66E2F9">
      <w:pPr>
        <w:rPr>
          <w:rFonts w:hint="eastAsia" w:ascii="仿宋" w:hAnsi="仿宋" w:eastAsia="仿宋" w:cs="仿宋"/>
          <w:b/>
          <w:bCs/>
          <w:color w:val="auto"/>
          <w:sz w:val="28"/>
          <w:szCs w:val="28"/>
          <w:highlight w:val="none"/>
          <w:lang w:val="en-US" w:eastAsia="zh-CN"/>
        </w:rPr>
      </w:pPr>
      <w:bookmarkStart w:id="611" w:name="_Toc1985"/>
      <w:r>
        <w:rPr>
          <w:rFonts w:hint="eastAsia" w:ascii="仿宋" w:hAnsi="仿宋" w:eastAsia="仿宋" w:cs="仿宋"/>
          <w:b/>
          <w:bCs/>
          <w:color w:val="auto"/>
          <w:sz w:val="28"/>
          <w:szCs w:val="28"/>
          <w:highlight w:val="none"/>
          <w:lang w:val="en-US" w:eastAsia="zh-CN"/>
        </w:rPr>
        <w:br w:type="page"/>
      </w:r>
    </w:p>
    <w:p w14:paraId="183BA681">
      <w:pPr>
        <w:keepNext w:val="0"/>
        <w:keepLines w:val="0"/>
        <w:pageBreakBefore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16.投标资质(2)-(8)项资料复印件加盖公章。</w:t>
      </w:r>
      <w:bookmarkEnd w:id="611"/>
    </w:p>
    <w:p w14:paraId="1D4E934B">
      <w:pPr>
        <w:jc w:val="center"/>
        <w:rPr>
          <w:rFonts w:hint="eastAsia" w:ascii="仿宋" w:hAnsi="仿宋" w:eastAsia="仿宋" w:cs="仿宋"/>
          <w:b/>
          <w:bCs/>
          <w:color w:val="auto"/>
          <w:sz w:val="44"/>
          <w:szCs w:val="44"/>
          <w:highlight w:val="none"/>
        </w:rPr>
      </w:pPr>
    </w:p>
    <w:p w14:paraId="213881C6">
      <w:pPr>
        <w:jc w:val="center"/>
        <w:rPr>
          <w:rFonts w:hint="eastAsia" w:ascii="仿宋" w:hAnsi="仿宋" w:eastAsia="仿宋" w:cs="仿宋"/>
          <w:b/>
          <w:bCs/>
          <w:color w:val="auto"/>
          <w:sz w:val="44"/>
          <w:szCs w:val="44"/>
          <w:highlight w:val="none"/>
        </w:rPr>
      </w:pPr>
    </w:p>
    <w:p w14:paraId="38C73BDF">
      <w:pPr>
        <w:keepNext w:val="0"/>
        <w:keepLines w:val="0"/>
        <w:pageBreakBefore w:val="0"/>
        <w:kinsoku/>
        <w:wordWrap/>
        <w:overflowPunct/>
        <w:topLinePunct w:val="0"/>
        <w:autoSpaceDE/>
        <w:autoSpaceDN/>
        <w:bidi w:val="0"/>
        <w:adjustRightInd/>
        <w:snapToGrid/>
        <w:spacing w:line="480" w:lineRule="exact"/>
        <w:jc w:val="both"/>
        <w:textAlignment w:val="auto"/>
        <w:outlineLvl w:val="1"/>
        <w:rPr>
          <w:rFonts w:hint="default" w:ascii="仿宋" w:hAnsi="仿宋" w:eastAsia="仿宋" w:cs="仿宋"/>
          <w:b/>
          <w:bCs/>
          <w:color w:val="auto"/>
          <w:sz w:val="28"/>
          <w:szCs w:val="28"/>
          <w:highlight w:val="none"/>
          <w:lang w:val="en-US" w:eastAsia="zh-CN"/>
        </w:rPr>
      </w:pPr>
      <w:bookmarkStart w:id="612" w:name="_Toc14230"/>
      <w:r>
        <w:rPr>
          <w:rFonts w:hint="eastAsia" w:ascii="仿宋" w:hAnsi="仿宋" w:eastAsia="仿宋" w:cs="仿宋"/>
          <w:b/>
          <w:bCs/>
          <w:color w:val="auto"/>
          <w:sz w:val="28"/>
          <w:szCs w:val="28"/>
          <w:highlight w:val="none"/>
          <w:lang w:val="en-US" w:eastAsia="zh-CN"/>
        </w:rPr>
        <w:t>附件如下：</w:t>
      </w:r>
      <w:bookmarkEnd w:id="612"/>
    </w:p>
    <w:p w14:paraId="44FE7DE6">
      <w:pPr>
        <w:pStyle w:val="75"/>
        <w:keepNext w:val="0"/>
        <w:keepLines w:val="0"/>
        <w:pageBreakBefore w:val="0"/>
        <w:kinsoku/>
        <w:wordWrap/>
        <w:overflowPunct/>
        <w:topLinePunct w:val="0"/>
        <w:bidi w:val="0"/>
        <w:snapToGrid/>
        <w:spacing w:line="480" w:lineRule="exact"/>
        <w:jc w:val="center"/>
        <w:textAlignment w:val="auto"/>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.无重大违法记录声明函</w:t>
      </w:r>
      <w:bookmarkStart w:id="613" w:name="_Toc18233"/>
      <w:bookmarkStart w:id="614" w:name="_Toc5325"/>
    </w:p>
    <w:p w14:paraId="477220C1">
      <w:pPr>
        <w:pStyle w:val="24"/>
        <w:keepNext w:val="0"/>
        <w:keepLines w:val="0"/>
        <w:pageBreakBefore w:val="0"/>
        <w:widowControl/>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察布查尔锡伯自治县公安局</w:t>
      </w:r>
      <w:r>
        <w:rPr>
          <w:rFonts w:hint="eastAsia" w:ascii="仿宋" w:hAnsi="仿宋" w:eastAsia="仿宋" w:cs="仿宋"/>
          <w:b/>
          <w:bCs/>
          <w:color w:val="auto"/>
          <w:sz w:val="28"/>
          <w:szCs w:val="28"/>
          <w:highlight w:val="none"/>
        </w:rPr>
        <w:t>:</w:t>
      </w:r>
      <w:bookmarkEnd w:id="613"/>
      <w:bookmarkEnd w:id="614"/>
    </w:p>
    <w:p w14:paraId="5812143E">
      <w:pPr>
        <w:pStyle w:val="75"/>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outlineLvl w:val="1"/>
        <w:rPr>
          <w:rFonts w:hint="eastAsia" w:ascii="仿宋" w:hAnsi="仿宋" w:eastAsia="仿宋" w:cs="仿宋"/>
          <w:color w:val="auto"/>
          <w:sz w:val="28"/>
          <w:szCs w:val="28"/>
          <w:highlight w:val="none"/>
        </w:rPr>
      </w:pPr>
      <w:bookmarkStart w:id="615" w:name="_Toc975"/>
      <w:bookmarkStart w:id="616" w:name="_Toc25920"/>
      <w:bookmarkStart w:id="617" w:name="_Toc8177"/>
      <w:bookmarkStart w:id="618" w:name="_Toc27699"/>
      <w:r>
        <w:rPr>
          <w:rFonts w:hint="eastAsia" w:ascii="仿宋" w:hAnsi="仿宋" w:eastAsia="仿宋" w:cs="仿宋"/>
          <w:color w:val="auto"/>
          <w:sz w:val="28"/>
          <w:szCs w:val="28"/>
          <w:highlight w:val="none"/>
        </w:rPr>
        <w:t>我公司参与公开招标</w:t>
      </w:r>
      <w:r>
        <w:rPr>
          <w:rFonts w:hint="eastAsia" w:ascii="仿宋" w:hAnsi="仿宋" w:eastAsia="仿宋" w:cs="仿宋"/>
          <w:color w:val="auto"/>
          <w:sz w:val="28"/>
          <w:szCs w:val="28"/>
          <w:highlight w:val="none"/>
          <w:u w:val="single"/>
        </w:rPr>
        <w:t>文件编号</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u w:val="single"/>
        </w:rPr>
        <w:t xml:space="preserve"> 项目</w:t>
      </w:r>
      <w:r>
        <w:rPr>
          <w:rFonts w:hint="eastAsia" w:ascii="仿宋" w:hAnsi="仿宋" w:eastAsia="仿宋" w:cs="仿宋"/>
          <w:color w:val="auto"/>
          <w:sz w:val="28"/>
          <w:szCs w:val="28"/>
          <w:highlight w:val="none"/>
          <w:u w:val="single"/>
          <w:lang w:val="en-US" w:eastAsia="zh-CN"/>
        </w:rPr>
        <w:t>名称</w:t>
      </w:r>
      <w:r>
        <w:rPr>
          <w:rStyle w:val="49"/>
          <w:rFonts w:hint="eastAsia" w:ascii="仿宋" w:hAnsi="仿宋" w:eastAsia="仿宋"/>
          <w:color w:val="auto"/>
          <w:kern w:val="2"/>
          <w:sz w:val="28"/>
          <w:szCs w:val="28"/>
          <w:highlight w:val="none"/>
          <w:u w:val="single" w:color="000000"/>
          <w:lang w:eastAsia="zh-CN"/>
        </w:rPr>
        <w:t>、</w:t>
      </w:r>
      <w:r>
        <w:rPr>
          <w:rStyle w:val="49"/>
          <w:rFonts w:hint="eastAsia" w:ascii="仿宋" w:hAnsi="仿宋" w:eastAsia="仿宋"/>
          <w:color w:val="auto"/>
          <w:kern w:val="2"/>
          <w:sz w:val="28"/>
          <w:szCs w:val="28"/>
          <w:highlight w:val="none"/>
          <w:u w:val="single" w:color="000000"/>
          <w:lang w:val="en-US" w:eastAsia="zh-CN"/>
        </w:rPr>
        <w:t>标段号</w:t>
      </w:r>
      <w:r>
        <w:rPr>
          <w:rFonts w:hint="eastAsia" w:ascii="仿宋" w:hAnsi="仿宋" w:eastAsia="仿宋" w:cs="仿宋"/>
          <w:color w:val="auto"/>
          <w:sz w:val="28"/>
          <w:szCs w:val="28"/>
          <w:highlight w:val="none"/>
        </w:rPr>
        <w:t>的采购招标活动，我公司郑重声明：我公司参加本次采购招标活动前三年内，在经营活动中无重大违法记录（重大违法记录是指供应商因违法经营受到刑事处罚或者责令停产停业、吊销许可证或者营业执照），具备《中华人民共和国政府采购法》和《中华人民共和国政府采购法实施条例》中规定的投标供应商资格条件。我公司对此声明负全部法律责任。</w:t>
      </w:r>
      <w:bookmarkEnd w:id="615"/>
      <w:bookmarkEnd w:id="616"/>
      <w:bookmarkEnd w:id="617"/>
      <w:bookmarkEnd w:id="618"/>
    </w:p>
    <w:p w14:paraId="2963BCFA">
      <w:pPr>
        <w:pStyle w:val="75"/>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outlineLvl w:val="1"/>
        <w:rPr>
          <w:rFonts w:hint="eastAsia" w:ascii="仿宋" w:hAnsi="仿宋" w:eastAsia="仿宋" w:cs="仿宋"/>
          <w:color w:val="auto"/>
          <w:sz w:val="28"/>
          <w:szCs w:val="28"/>
          <w:highlight w:val="none"/>
        </w:rPr>
      </w:pPr>
      <w:bookmarkStart w:id="619" w:name="_Toc19673"/>
      <w:bookmarkStart w:id="620" w:name="_Toc10574"/>
      <w:bookmarkStart w:id="621" w:name="_Toc6447"/>
      <w:r>
        <w:rPr>
          <w:rFonts w:hint="eastAsia" w:ascii="仿宋" w:hAnsi="仿宋" w:eastAsia="仿宋" w:cs="仿宋"/>
          <w:color w:val="auto"/>
          <w:sz w:val="28"/>
          <w:szCs w:val="28"/>
          <w:highlight w:val="none"/>
        </w:rPr>
        <w:t>特此声明。</w:t>
      </w:r>
      <w:bookmarkEnd w:id="619"/>
      <w:bookmarkEnd w:id="620"/>
      <w:bookmarkEnd w:id="621"/>
    </w:p>
    <w:p w14:paraId="30AA443E">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承诺单位：           公司（公章）</w:t>
      </w:r>
    </w:p>
    <w:p w14:paraId="51459E0F">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法定代表人：（签字或签章）</w:t>
      </w:r>
    </w:p>
    <w:p w14:paraId="308975D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法定代表人身份证号：</w:t>
      </w:r>
    </w:p>
    <w:p w14:paraId="63998A2D">
      <w:pPr>
        <w:keepNext w:val="0"/>
        <w:keepLines w:val="0"/>
        <w:pageBreakBefore w:val="0"/>
        <w:kinsoku/>
        <w:wordWrap/>
        <w:overflowPunct/>
        <w:topLinePunct w:val="0"/>
        <w:autoSpaceDE/>
        <w:autoSpaceDN/>
        <w:bidi w:val="0"/>
        <w:adjustRightInd/>
        <w:snapToGrid/>
        <w:spacing w:line="48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20  年  月  日</w:t>
      </w:r>
    </w:p>
    <w:p w14:paraId="4B818D34">
      <w:pPr>
        <w:pStyle w:val="75"/>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color w:val="auto"/>
          <w:sz w:val="28"/>
          <w:szCs w:val="28"/>
          <w:highlight w:val="none"/>
        </w:rPr>
      </w:pPr>
    </w:p>
    <w:p w14:paraId="100A58BF">
      <w:pPr>
        <w:keepNext w:val="0"/>
        <w:keepLines w:val="0"/>
        <w:pageBreakBefore w:val="0"/>
        <w:kinsoku/>
        <w:wordWrap/>
        <w:overflowPunct/>
        <w:topLinePunct w:val="0"/>
        <w:bidi w:val="0"/>
        <w:snapToGrid/>
        <w:spacing w:line="480" w:lineRule="exact"/>
        <w:textAlignment w:val="auto"/>
        <w:rPr>
          <w:rFonts w:hint="eastAsia" w:ascii="宋体" w:hAnsi="宋体"/>
          <w:b/>
          <w:color w:val="auto"/>
          <w:sz w:val="32"/>
          <w:szCs w:val="32"/>
          <w:highlight w:val="none"/>
        </w:rPr>
      </w:pPr>
    </w:p>
    <w:p w14:paraId="03702C24">
      <w:pPr>
        <w:pStyle w:val="10"/>
        <w:rPr>
          <w:rFonts w:hint="eastAsia" w:ascii="宋体" w:hAnsi="宋体"/>
          <w:b/>
          <w:color w:val="auto"/>
          <w:sz w:val="32"/>
          <w:szCs w:val="32"/>
          <w:highlight w:val="none"/>
        </w:rPr>
      </w:pPr>
    </w:p>
    <w:p w14:paraId="32E465AE">
      <w:pPr>
        <w:rPr>
          <w:rFonts w:hint="eastAsia" w:ascii="宋体" w:hAnsi="宋体"/>
          <w:b/>
          <w:color w:val="auto"/>
          <w:sz w:val="32"/>
          <w:szCs w:val="32"/>
          <w:highlight w:val="none"/>
        </w:rPr>
      </w:pPr>
    </w:p>
    <w:p w14:paraId="1A83AE33">
      <w:pPr>
        <w:pStyle w:val="10"/>
        <w:rPr>
          <w:rFonts w:hint="eastAsia" w:ascii="宋体" w:hAnsi="宋体"/>
          <w:b/>
          <w:color w:val="auto"/>
          <w:sz w:val="32"/>
          <w:szCs w:val="32"/>
          <w:highlight w:val="none"/>
        </w:rPr>
      </w:pPr>
    </w:p>
    <w:p w14:paraId="0995EF9B">
      <w:pPr>
        <w:rPr>
          <w:rFonts w:hint="eastAsia" w:ascii="宋体" w:hAnsi="宋体"/>
          <w:b/>
          <w:color w:val="auto"/>
          <w:sz w:val="32"/>
          <w:szCs w:val="32"/>
          <w:highlight w:val="none"/>
        </w:rPr>
      </w:pPr>
    </w:p>
    <w:p w14:paraId="3EAA589D">
      <w:pPr>
        <w:pStyle w:val="10"/>
        <w:rPr>
          <w:rFonts w:hint="eastAsia" w:ascii="宋体" w:hAnsi="宋体"/>
          <w:b/>
          <w:color w:val="auto"/>
          <w:sz w:val="32"/>
          <w:szCs w:val="32"/>
          <w:highlight w:val="none"/>
        </w:rPr>
      </w:pPr>
    </w:p>
    <w:p w14:paraId="7DB0808C">
      <w:pPr>
        <w:rPr>
          <w:rFonts w:hint="eastAsia" w:ascii="宋体" w:hAnsi="宋体"/>
          <w:b/>
          <w:color w:val="auto"/>
          <w:sz w:val="32"/>
          <w:szCs w:val="32"/>
          <w:highlight w:val="none"/>
        </w:rPr>
      </w:pPr>
    </w:p>
    <w:p w14:paraId="10BD1C21">
      <w:pPr>
        <w:pStyle w:val="10"/>
        <w:rPr>
          <w:rFonts w:hint="eastAsia" w:ascii="宋体" w:hAnsi="宋体"/>
          <w:b/>
          <w:color w:val="auto"/>
          <w:sz w:val="32"/>
          <w:szCs w:val="32"/>
          <w:highlight w:val="none"/>
        </w:rPr>
      </w:pPr>
    </w:p>
    <w:p w14:paraId="0A003EFB">
      <w:pPr>
        <w:rPr>
          <w:rFonts w:hint="eastAsia" w:ascii="宋体" w:hAnsi="宋体"/>
          <w:b/>
          <w:color w:val="auto"/>
          <w:sz w:val="32"/>
          <w:szCs w:val="32"/>
          <w:highlight w:val="none"/>
        </w:rPr>
      </w:pPr>
    </w:p>
    <w:p w14:paraId="4F067E5B">
      <w:pPr>
        <w:pStyle w:val="10"/>
        <w:rPr>
          <w:rFonts w:hint="eastAsia" w:ascii="宋体" w:hAnsi="宋体"/>
          <w:b/>
          <w:color w:val="auto"/>
          <w:sz w:val="32"/>
          <w:szCs w:val="32"/>
          <w:highlight w:val="none"/>
        </w:rPr>
      </w:pPr>
    </w:p>
    <w:p w14:paraId="528B7FAD">
      <w:pPr>
        <w:tabs>
          <w:tab w:val="left" w:pos="4108"/>
          <w:tab w:val="center" w:pos="5975"/>
        </w:tabs>
        <w:jc w:val="both"/>
        <w:rPr>
          <w:rFonts w:hint="eastAsia" w:ascii="仿宋" w:hAnsi="仿宋" w:eastAsia="仿宋" w:cs="仿宋"/>
          <w:b/>
          <w:bCs/>
          <w:color w:val="auto"/>
          <w:sz w:val="32"/>
          <w:szCs w:val="32"/>
          <w:highlight w:val="none"/>
        </w:rPr>
      </w:pPr>
    </w:p>
    <w:p w14:paraId="68EACBE1">
      <w:pPr>
        <w:tabs>
          <w:tab w:val="left" w:pos="4108"/>
          <w:tab w:val="center" w:pos="5975"/>
        </w:tabs>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.投标文件标书封皮格式</w:t>
      </w:r>
    </w:p>
    <w:p w14:paraId="2186116F">
      <w:pPr>
        <w:pStyle w:val="2"/>
        <w:spacing w:line="440" w:lineRule="exact"/>
        <w:ind w:firstLine="0"/>
        <w:rPr>
          <w:rFonts w:hint="eastAsia" w:ascii="仿宋" w:hAnsi="仿宋" w:eastAsia="仿宋" w:cs="仿宋"/>
          <w:color w:val="auto"/>
          <w:sz w:val="28"/>
          <w:szCs w:val="28"/>
          <w:highlight w:val="none"/>
        </w:rPr>
      </w:pPr>
    </w:p>
    <w:p w14:paraId="41F2085D">
      <w:pPr>
        <w:spacing w:line="440" w:lineRule="exact"/>
        <w:ind w:firstLine="7027" w:firstLineChars="2500"/>
        <w:rPr>
          <w:rFonts w:hint="eastAsia" w:ascii="仿宋" w:hAnsi="仿宋" w:eastAsia="仿宋" w:cs="仿宋"/>
          <w:color w:val="auto"/>
          <w:sz w:val="28"/>
          <w:szCs w:val="28"/>
          <w:highlight w:val="none"/>
        </w:rPr>
      </w:pPr>
      <w:r>
        <w:rPr>
          <w:rFonts w:hint="eastAsia" w:ascii="仿宋" w:hAnsi="仿宋" w:eastAsia="仿宋" w:cs="仿宋"/>
          <w:b/>
          <w:bCs/>
          <w:color w:val="auto"/>
          <w:kern w:val="1"/>
          <w:sz w:val="28"/>
          <w:szCs w:val="28"/>
          <w:highlight w:val="none"/>
        </w:rPr>
        <w:t>正（副）本</w:t>
      </w:r>
    </w:p>
    <w:p w14:paraId="7B6E88C6">
      <w:pPr>
        <w:spacing w:line="440" w:lineRule="exact"/>
        <w:rPr>
          <w:rFonts w:hint="eastAsia" w:ascii="仿宋" w:hAnsi="仿宋" w:eastAsia="仿宋" w:cs="仿宋"/>
          <w:color w:val="auto"/>
          <w:sz w:val="28"/>
          <w:szCs w:val="28"/>
          <w:highlight w:val="none"/>
        </w:rPr>
      </w:pPr>
    </w:p>
    <w:p w14:paraId="40BE9DD2">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u w:val="single"/>
        </w:rPr>
        <w:t xml:space="preserve">  ****        </w:t>
      </w:r>
      <w:r>
        <w:rPr>
          <w:rFonts w:hint="eastAsia" w:ascii="仿宋" w:hAnsi="仿宋" w:eastAsia="仿宋" w:cs="仿宋"/>
          <w:b/>
          <w:bCs/>
          <w:color w:val="auto"/>
          <w:sz w:val="28"/>
          <w:szCs w:val="28"/>
          <w:highlight w:val="none"/>
        </w:rPr>
        <w:t>项目</w:t>
      </w:r>
    </w:p>
    <w:p w14:paraId="3CBCF8F7">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（项目编号</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标段号</w:t>
      </w:r>
      <w:r>
        <w:rPr>
          <w:rFonts w:hint="eastAsia" w:ascii="仿宋" w:hAnsi="仿宋" w:eastAsia="仿宋" w:cs="仿宋"/>
          <w:b/>
          <w:bCs/>
          <w:color w:val="auto"/>
          <w:sz w:val="28"/>
          <w:szCs w:val="28"/>
          <w:highlight w:val="none"/>
        </w:rPr>
        <w:t>）</w:t>
      </w:r>
    </w:p>
    <w:p w14:paraId="087BA356">
      <w:pPr>
        <w:spacing w:line="440" w:lineRule="exact"/>
        <w:rPr>
          <w:rFonts w:hint="eastAsia" w:ascii="仿宋" w:hAnsi="仿宋" w:eastAsia="仿宋" w:cs="仿宋"/>
          <w:color w:val="auto"/>
          <w:sz w:val="28"/>
          <w:szCs w:val="28"/>
          <w:highlight w:val="none"/>
        </w:rPr>
      </w:pPr>
    </w:p>
    <w:p w14:paraId="7CDE27AB">
      <w:pPr>
        <w:spacing w:line="440" w:lineRule="exact"/>
        <w:rPr>
          <w:rFonts w:hint="eastAsia" w:ascii="仿宋" w:hAnsi="仿宋" w:eastAsia="仿宋" w:cs="仿宋"/>
          <w:color w:val="auto"/>
          <w:sz w:val="28"/>
          <w:szCs w:val="28"/>
          <w:highlight w:val="none"/>
        </w:rPr>
      </w:pPr>
    </w:p>
    <w:p w14:paraId="51AEFE2B">
      <w:pPr>
        <w:spacing w:line="440" w:lineRule="exact"/>
        <w:rPr>
          <w:rFonts w:hint="eastAsia" w:ascii="仿宋" w:hAnsi="仿宋" w:eastAsia="仿宋" w:cs="仿宋"/>
          <w:color w:val="auto"/>
          <w:sz w:val="28"/>
          <w:szCs w:val="28"/>
          <w:highlight w:val="none"/>
        </w:rPr>
      </w:pPr>
    </w:p>
    <w:p w14:paraId="0F415AF9">
      <w:pPr>
        <w:pStyle w:val="25"/>
        <w:ind w:firstLine="210"/>
        <w:rPr>
          <w:rFonts w:hint="eastAsia"/>
          <w:color w:val="auto"/>
          <w:highlight w:val="none"/>
        </w:rPr>
      </w:pPr>
    </w:p>
    <w:p w14:paraId="3F29126D">
      <w:pPr>
        <w:pStyle w:val="25"/>
        <w:ind w:firstLine="210"/>
        <w:rPr>
          <w:rFonts w:hint="eastAsia"/>
          <w:color w:val="auto"/>
          <w:highlight w:val="none"/>
        </w:rPr>
      </w:pPr>
    </w:p>
    <w:p w14:paraId="2497E846">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投 标 文 件</w:t>
      </w:r>
    </w:p>
    <w:p w14:paraId="493C8699">
      <w:pPr>
        <w:spacing w:line="440" w:lineRule="exact"/>
        <w:rPr>
          <w:rFonts w:hint="eastAsia" w:ascii="仿宋" w:hAnsi="仿宋" w:eastAsia="仿宋" w:cs="仿宋"/>
          <w:color w:val="auto"/>
          <w:sz w:val="28"/>
          <w:szCs w:val="28"/>
          <w:highlight w:val="none"/>
        </w:rPr>
      </w:pPr>
    </w:p>
    <w:p w14:paraId="66805E99">
      <w:pPr>
        <w:spacing w:line="440" w:lineRule="exact"/>
        <w:rPr>
          <w:rFonts w:hint="eastAsia" w:ascii="仿宋" w:hAnsi="仿宋" w:eastAsia="仿宋" w:cs="仿宋"/>
          <w:color w:val="auto"/>
          <w:sz w:val="28"/>
          <w:szCs w:val="28"/>
          <w:highlight w:val="none"/>
        </w:rPr>
      </w:pPr>
    </w:p>
    <w:p w14:paraId="161C28D9">
      <w:pPr>
        <w:pStyle w:val="25"/>
        <w:ind w:firstLine="280"/>
        <w:rPr>
          <w:rFonts w:hint="eastAsia" w:ascii="仿宋" w:hAnsi="仿宋" w:eastAsia="仿宋" w:cs="仿宋"/>
          <w:color w:val="auto"/>
          <w:sz w:val="28"/>
          <w:szCs w:val="28"/>
          <w:highlight w:val="none"/>
        </w:rPr>
      </w:pPr>
    </w:p>
    <w:p w14:paraId="05834474">
      <w:pPr>
        <w:rPr>
          <w:rFonts w:hint="eastAsia"/>
          <w:color w:val="auto"/>
          <w:highlight w:val="none"/>
        </w:rPr>
      </w:pPr>
    </w:p>
    <w:p w14:paraId="41B14C45">
      <w:pPr>
        <w:spacing w:line="440" w:lineRule="exact"/>
        <w:rPr>
          <w:rFonts w:hint="eastAsia" w:ascii="仿宋" w:hAnsi="仿宋" w:eastAsia="仿宋" w:cs="仿宋"/>
          <w:color w:val="auto"/>
          <w:sz w:val="28"/>
          <w:szCs w:val="28"/>
          <w:highlight w:val="none"/>
        </w:rPr>
      </w:pPr>
    </w:p>
    <w:p w14:paraId="3C280EBC">
      <w:pPr>
        <w:spacing w:line="440" w:lineRule="exact"/>
        <w:ind w:firstLine="1124" w:firstLineChars="400"/>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采购人：</w:t>
      </w:r>
      <w:r>
        <w:rPr>
          <w:rFonts w:hint="eastAsia" w:ascii="仿宋" w:hAnsi="仿宋" w:eastAsia="仿宋" w:cs="仿宋"/>
          <w:b/>
          <w:bCs/>
          <w:color w:val="auto"/>
          <w:sz w:val="28"/>
          <w:szCs w:val="28"/>
          <w:highlight w:val="none"/>
          <w:u w:val="single"/>
        </w:rPr>
        <w:t xml:space="preserve">                               </w:t>
      </w:r>
    </w:p>
    <w:p w14:paraId="2C6291CF">
      <w:pPr>
        <w:spacing w:line="440" w:lineRule="exact"/>
        <w:ind w:firstLine="1124" w:firstLineChars="400"/>
        <w:jc w:val="left"/>
        <w:rPr>
          <w:rFonts w:hint="default"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rPr>
        <w:t>采购代理机构：</w:t>
      </w:r>
      <w:r>
        <w:rPr>
          <w:rFonts w:hint="eastAsia" w:ascii="仿宋" w:hAnsi="仿宋" w:eastAsia="仿宋" w:cs="仿宋"/>
          <w:b/>
          <w:bCs/>
          <w:color w:val="auto"/>
          <w:sz w:val="28"/>
          <w:szCs w:val="28"/>
          <w:highlight w:val="none"/>
          <w:u w:val="single"/>
          <w:lang w:val="en-US" w:eastAsia="zh-CN"/>
        </w:rPr>
        <w:t xml:space="preserve">                         </w:t>
      </w:r>
    </w:p>
    <w:p w14:paraId="7C03EA85">
      <w:pPr>
        <w:spacing w:line="440" w:lineRule="exact"/>
        <w:ind w:firstLine="1124" w:firstLineChars="400"/>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供应商名称</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盖章</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u w:val="single"/>
        </w:rPr>
        <w:t xml:space="preserve">                   </w:t>
      </w:r>
    </w:p>
    <w:p w14:paraId="369CB5E3">
      <w:pPr>
        <w:ind w:firstLine="1124" w:firstLineChars="400"/>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法定代表</w:t>
      </w:r>
      <w:r>
        <w:rPr>
          <w:rFonts w:hint="eastAsia" w:ascii="仿宋" w:hAnsi="仿宋" w:eastAsia="仿宋" w:cs="仿宋"/>
          <w:b/>
          <w:bCs/>
          <w:color w:val="auto"/>
          <w:sz w:val="28"/>
          <w:szCs w:val="28"/>
          <w:highlight w:val="none"/>
          <w:lang w:val="en-US" w:eastAsia="zh-CN"/>
        </w:rPr>
        <w:t>人签字或签章</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u w:val="single"/>
        </w:rPr>
        <w:t xml:space="preserve">                   </w:t>
      </w:r>
    </w:p>
    <w:p w14:paraId="3F1AF895">
      <w:pPr>
        <w:ind w:firstLine="1124" w:firstLineChars="400"/>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被授权人</w:t>
      </w:r>
      <w:r>
        <w:rPr>
          <w:rFonts w:hint="eastAsia" w:ascii="仿宋" w:hAnsi="仿宋" w:eastAsia="仿宋" w:cs="仿宋"/>
          <w:b/>
          <w:bCs/>
          <w:color w:val="auto"/>
          <w:sz w:val="28"/>
          <w:szCs w:val="28"/>
          <w:highlight w:val="none"/>
          <w:lang w:val="en-US" w:eastAsia="zh-CN"/>
        </w:rPr>
        <w:t>签字或签章</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u w:val="single"/>
        </w:rPr>
        <w:t xml:space="preserve">                   </w:t>
      </w:r>
    </w:p>
    <w:p w14:paraId="3A92A820">
      <w:pPr>
        <w:ind w:firstLine="1124" w:firstLineChars="400"/>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联系电话：</w:t>
      </w:r>
      <w:r>
        <w:rPr>
          <w:rFonts w:hint="eastAsia" w:ascii="仿宋" w:hAnsi="仿宋" w:eastAsia="仿宋" w:cs="仿宋"/>
          <w:b/>
          <w:bCs/>
          <w:color w:val="auto"/>
          <w:sz w:val="28"/>
          <w:szCs w:val="28"/>
          <w:highlight w:val="none"/>
          <w:u w:val="single"/>
        </w:rPr>
        <w:t xml:space="preserve">                             </w:t>
      </w:r>
    </w:p>
    <w:p w14:paraId="41F854DF">
      <w:pPr>
        <w:ind w:firstLine="1124" w:firstLineChars="400"/>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地址：</w:t>
      </w:r>
      <w:r>
        <w:rPr>
          <w:rFonts w:hint="eastAsia" w:ascii="仿宋" w:hAnsi="仿宋" w:eastAsia="仿宋" w:cs="仿宋"/>
          <w:b/>
          <w:bCs/>
          <w:color w:val="auto"/>
          <w:sz w:val="28"/>
          <w:szCs w:val="28"/>
          <w:highlight w:val="none"/>
          <w:u w:val="single"/>
        </w:rPr>
        <w:t xml:space="preserve">                                 </w:t>
      </w:r>
    </w:p>
    <w:p w14:paraId="437D20A8">
      <w:pPr>
        <w:keepNext/>
        <w:keepLines/>
        <w:spacing w:line="440" w:lineRule="exact"/>
        <w:jc w:val="center"/>
        <w:rPr>
          <w:rFonts w:hint="eastAsia" w:ascii="仿宋" w:hAnsi="仿宋" w:eastAsia="仿宋" w:cs="仿宋"/>
          <w:b/>
          <w:bCs/>
          <w:color w:val="auto"/>
          <w:sz w:val="28"/>
          <w:szCs w:val="28"/>
          <w:highlight w:val="none"/>
        </w:rPr>
      </w:pPr>
    </w:p>
    <w:p w14:paraId="14A9534E">
      <w:pPr>
        <w:rPr>
          <w:color w:val="auto"/>
          <w:highlight w:val="none"/>
        </w:rPr>
      </w:pPr>
    </w:p>
    <w:p w14:paraId="03027F60">
      <w:pPr>
        <w:pStyle w:val="26"/>
        <w:ind w:firstLine="400"/>
        <w:rPr>
          <w:color w:val="auto"/>
          <w:highlight w:val="none"/>
        </w:rPr>
      </w:pPr>
    </w:p>
    <w:p w14:paraId="1FCFE3CC">
      <w:pPr>
        <w:rPr>
          <w:color w:val="auto"/>
          <w:highlight w:val="none"/>
        </w:rPr>
      </w:pPr>
    </w:p>
    <w:p w14:paraId="5C5B7827">
      <w:pPr>
        <w:spacing w:line="440" w:lineRule="exact"/>
        <w:jc w:val="center"/>
        <w:outlineLvl w:val="1"/>
        <w:rPr>
          <w:rFonts w:hint="default" w:ascii="仿宋" w:hAnsi="仿宋" w:eastAsia="仿宋" w:cs="仿宋"/>
          <w:b/>
          <w:color w:val="auto"/>
          <w:sz w:val="28"/>
          <w:szCs w:val="28"/>
          <w:highlight w:val="none"/>
          <w:lang w:val="en-US" w:eastAsia="zh-CN"/>
        </w:rPr>
      </w:pPr>
      <w:bookmarkStart w:id="622" w:name="_Toc7943"/>
      <w:bookmarkStart w:id="623" w:name="_Toc28371"/>
      <w:r>
        <w:rPr>
          <w:rFonts w:hint="eastAsia" w:ascii="仿宋" w:hAnsi="仿宋" w:eastAsia="仿宋" w:cs="仿宋"/>
          <w:b/>
          <w:color w:val="auto"/>
          <w:sz w:val="28"/>
          <w:szCs w:val="28"/>
          <w:highlight w:val="none"/>
          <w:lang w:val="en-US" w:eastAsia="zh-CN"/>
        </w:rPr>
        <w:t>3.附表</w:t>
      </w:r>
      <w:bookmarkEnd w:id="622"/>
    </w:p>
    <w:p w14:paraId="65F1C407">
      <w:pPr>
        <w:spacing w:line="440" w:lineRule="exact"/>
        <w:outlineLvl w:val="1"/>
        <w:rPr>
          <w:rFonts w:hint="eastAsia" w:ascii="仿宋" w:hAnsi="仿宋" w:eastAsia="仿宋" w:cs="仿宋"/>
          <w:b/>
          <w:color w:val="auto"/>
          <w:sz w:val="28"/>
          <w:szCs w:val="28"/>
          <w:highlight w:val="none"/>
          <w:lang w:eastAsia="zh-CN"/>
        </w:rPr>
      </w:pPr>
      <w:bookmarkStart w:id="624" w:name="_Toc2230"/>
      <w:r>
        <w:rPr>
          <w:rFonts w:hint="eastAsia" w:ascii="仿宋" w:hAnsi="仿宋" w:eastAsia="仿宋" w:cs="仿宋"/>
          <w:b/>
          <w:color w:val="auto"/>
          <w:sz w:val="28"/>
          <w:szCs w:val="28"/>
          <w:highlight w:val="none"/>
        </w:rPr>
        <w:t>附表一、采购项目验收单</w:t>
      </w:r>
      <w:bookmarkEnd w:id="623"/>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仅供参考，可根据实际情况进行调整</w:t>
      </w:r>
      <w:r>
        <w:rPr>
          <w:rFonts w:hint="eastAsia" w:ascii="仿宋" w:hAnsi="仿宋" w:eastAsia="仿宋" w:cs="仿宋"/>
          <w:b/>
          <w:color w:val="auto"/>
          <w:sz w:val="28"/>
          <w:szCs w:val="28"/>
          <w:highlight w:val="none"/>
          <w:lang w:eastAsia="zh-CN"/>
        </w:rPr>
        <w:t>）</w:t>
      </w:r>
      <w:bookmarkEnd w:id="624"/>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057"/>
        <w:gridCol w:w="228"/>
        <w:gridCol w:w="1005"/>
        <w:gridCol w:w="704"/>
        <w:gridCol w:w="1381"/>
        <w:gridCol w:w="1643"/>
        <w:gridCol w:w="253"/>
        <w:gridCol w:w="2090"/>
      </w:tblGrid>
      <w:tr w14:paraId="377A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814" w:type="dxa"/>
            <w:gridSpan w:val="3"/>
            <w:noWrap w:val="0"/>
            <w:vAlign w:val="center"/>
          </w:tcPr>
          <w:p w14:paraId="31530941">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p w14:paraId="56201EA0">
            <w:pPr>
              <w:spacing w:line="440" w:lineRule="exact"/>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及编号</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标段号</w:t>
            </w:r>
          </w:p>
        </w:tc>
        <w:tc>
          <w:tcPr>
            <w:tcW w:w="7076" w:type="dxa"/>
            <w:gridSpan w:val="6"/>
            <w:noWrap w:val="0"/>
            <w:vAlign w:val="center"/>
          </w:tcPr>
          <w:p w14:paraId="6F558573">
            <w:pPr>
              <w:spacing w:line="440" w:lineRule="exact"/>
              <w:jc w:val="center"/>
              <w:rPr>
                <w:rFonts w:hint="eastAsia" w:ascii="仿宋" w:hAnsi="仿宋" w:eastAsia="仿宋" w:cs="仿宋"/>
                <w:b/>
                <w:color w:val="auto"/>
                <w:sz w:val="24"/>
                <w:szCs w:val="24"/>
                <w:highlight w:val="none"/>
              </w:rPr>
            </w:pPr>
          </w:p>
        </w:tc>
      </w:tr>
      <w:tr w14:paraId="41A4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14" w:type="dxa"/>
            <w:gridSpan w:val="3"/>
            <w:noWrap w:val="0"/>
            <w:vAlign w:val="center"/>
          </w:tcPr>
          <w:p w14:paraId="549AD214">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采购人</w:t>
            </w:r>
          </w:p>
        </w:tc>
        <w:tc>
          <w:tcPr>
            <w:tcW w:w="3090" w:type="dxa"/>
            <w:gridSpan w:val="3"/>
            <w:noWrap w:val="0"/>
            <w:vAlign w:val="center"/>
          </w:tcPr>
          <w:p w14:paraId="31006117">
            <w:pPr>
              <w:spacing w:line="440" w:lineRule="exact"/>
              <w:jc w:val="center"/>
              <w:rPr>
                <w:rFonts w:hint="eastAsia" w:ascii="仿宋" w:hAnsi="仿宋" w:eastAsia="仿宋" w:cs="仿宋"/>
                <w:b/>
                <w:color w:val="auto"/>
                <w:sz w:val="24"/>
                <w:szCs w:val="24"/>
                <w:highlight w:val="none"/>
              </w:rPr>
            </w:pPr>
          </w:p>
        </w:tc>
        <w:tc>
          <w:tcPr>
            <w:tcW w:w="1643" w:type="dxa"/>
            <w:noWrap w:val="0"/>
            <w:vAlign w:val="center"/>
          </w:tcPr>
          <w:p w14:paraId="556B15EE">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项目负责人</w:t>
            </w:r>
          </w:p>
        </w:tc>
        <w:tc>
          <w:tcPr>
            <w:tcW w:w="2343" w:type="dxa"/>
            <w:gridSpan w:val="2"/>
            <w:noWrap w:val="0"/>
            <w:vAlign w:val="center"/>
          </w:tcPr>
          <w:p w14:paraId="59648462">
            <w:pPr>
              <w:spacing w:line="440" w:lineRule="exact"/>
              <w:jc w:val="center"/>
              <w:rPr>
                <w:rFonts w:hint="eastAsia" w:ascii="仿宋" w:hAnsi="仿宋" w:eastAsia="仿宋" w:cs="仿宋"/>
                <w:b/>
                <w:color w:val="auto"/>
                <w:sz w:val="24"/>
                <w:szCs w:val="24"/>
                <w:highlight w:val="none"/>
              </w:rPr>
            </w:pPr>
          </w:p>
        </w:tc>
      </w:tr>
      <w:tr w14:paraId="26F4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14" w:type="dxa"/>
            <w:gridSpan w:val="3"/>
            <w:noWrap w:val="0"/>
            <w:vAlign w:val="center"/>
          </w:tcPr>
          <w:p w14:paraId="5F029A90">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中标(成交)供应商</w:t>
            </w:r>
          </w:p>
        </w:tc>
        <w:tc>
          <w:tcPr>
            <w:tcW w:w="3090" w:type="dxa"/>
            <w:gridSpan w:val="3"/>
            <w:noWrap w:val="0"/>
            <w:vAlign w:val="center"/>
          </w:tcPr>
          <w:p w14:paraId="33C46D39">
            <w:pPr>
              <w:spacing w:line="440" w:lineRule="exact"/>
              <w:jc w:val="center"/>
              <w:rPr>
                <w:rFonts w:hint="eastAsia" w:ascii="仿宋" w:hAnsi="仿宋" w:eastAsia="仿宋" w:cs="仿宋"/>
                <w:b/>
                <w:bCs/>
                <w:color w:val="auto"/>
                <w:sz w:val="24"/>
                <w:szCs w:val="24"/>
                <w:highlight w:val="none"/>
              </w:rPr>
            </w:pPr>
          </w:p>
        </w:tc>
        <w:tc>
          <w:tcPr>
            <w:tcW w:w="1643" w:type="dxa"/>
            <w:noWrap w:val="0"/>
            <w:vAlign w:val="center"/>
          </w:tcPr>
          <w:p w14:paraId="7E8C0033">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采购方式</w:t>
            </w:r>
          </w:p>
        </w:tc>
        <w:tc>
          <w:tcPr>
            <w:tcW w:w="2343" w:type="dxa"/>
            <w:gridSpan w:val="2"/>
            <w:noWrap w:val="0"/>
            <w:vAlign w:val="center"/>
          </w:tcPr>
          <w:p w14:paraId="3398AA80">
            <w:pPr>
              <w:spacing w:line="440" w:lineRule="exact"/>
              <w:jc w:val="center"/>
              <w:rPr>
                <w:rFonts w:hint="eastAsia" w:ascii="仿宋" w:hAnsi="仿宋" w:eastAsia="仿宋" w:cs="仿宋"/>
                <w:b/>
                <w:color w:val="auto"/>
                <w:sz w:val="24"/>
                <w:szCs w:val="24"/>
                <w:highlight w:val="none"/>
              </w:rPr>
            </w:pPr>
          </w:p>
        </w:tc>
      </w:tr>
      <w:tr w14:paraId="53AC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14" w:type="dxa"/>
            <w:gridSpan w:val="3"/>
            <w:noWrap w:val="0"/>
            <w:vAlign w:val="center"/>
          </w:tcPr>
          <w:p w14:paraId="46FE03A2">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合同完</w:t>
            </w:r>
          </w:p>
          <w:p w14:paraId="64019421">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成时间</w:t>
            </w:r>
          </w:p>
        </w:tc>
        <w:tc>
          <w:tcPr>
            <w:tcW w:w="3090" w:type="dxa"/>
            <w:gridSpan w:val="3"/>
            <w:noWrap w:val="0"/>
            <w:vAlign w:val="center"/>
          </w:tcPr>
          <w:p w14:paraId="1C4FCD76">
            <w:pPr>
              <w:spacing w:line="440" w:lineRule="exact"/>
              <w:jc w:val="center"/>
              <w:rPr>
                <w:rFonts w:hint="eastAsia" w:ascii="仿宋" w:hAnsi="仿宋" w:eastAsia="仿宋" w:cs="仿宋"/>
                <w:b/>
                <w:color w:val="auto"/>
                <w:sz w:val="24"/>
                <w:szCs w:val="24"/>
                <w:highlight w:val="none"/>
              </w:rPr>
            </w:pPr>
          </w:p>
        </w:tc>
        <w:tc>
          <w:tcPr>
            <w:tcW w:w="1643" w:type="dxa"/>
            <w:noWrap w:val="0"/>
            <w:vAlign w:val="center"/>
          </w:tcPr>
          <w:p w14:paraId="6BB7BDB3">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项目验</w:t>
            </w:r>
          </w:p>
          <w:p w14:paraId="022DD331">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收时间</w:t>
            </w:r>
          </w:p>
        </w:tc>
        <w:tc>
          <w:tcPr>
            <w:tcW w:w="2343" w:type="dxa"/>
            <w:gridSpan w:val="2"/>
            <w:noWrap w:val="0"/>
            <w:vAlign w:val="center"/>
          </w:tcPr>
          <w:p w14:paraId="3FD131E9">
            <w:pPr>
              <w:spacing w:line="440" w:lineRule="exact"/>
              <w:jc w:val="center"/>
              <w:rPr>
                <w:rFonts w:hint="eastAsia" w:ascii="仿宋" w:hAnsi="仿宋" w:eastAsia="仿宋" w:cs="仿宋"/>
                <w:b/>
                <w:color w:val="auto"/>
                <w:sz w:val="24"/>
                <w:szCs w:val="24"/>
                <w:highlight w:val="none"/>
              </w:rPr>
            </w:pPr>
          </w:p>
        </w:tc>
      </w:tr>
      <w:tr w14:paraId="77F4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800" w:type="dxa"/>
            <w:gridSpan w:val="8"/>
            <w:noWrap w:val="0"/>
            <w:vAlign w:val="center"/>
          </w:tcPr>
          <w:p w14:paraId="0E4855F9">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中标(成交)设备</w:t>
            </w:r>
          </w:p>
        </w:tc>
        <w:tc>
          <w:tcPr>
            <w:tcW w:w="2090" w:type="dxa"/>
            <w:noWrap w:val="0"/>
            <w:vAlign w:val="center"/>
          </w:tcPr>
          <w:p w14:paraId="5DF25338">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验收情况</w:t>
            </w:r>
          </w:p>
        </w:tc>
      </w:tr>
      <w:tr w14:paraId="03DB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29" w:type="dxa"/>
            <w:noWrap w:val="0"/>
            <w:vAlign w:val="center"/>
          </w:tcPr>
          <w:p w14:paraId="30B2A5A2">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057" w:type="dxa"/>
            <w:noWrap w:val="0"/>
            <w:vAlign w:val="center"/>
          </w:tcPr>
          <w:p w14:paraId="75A05AD4">
            <w:pPr>
              <w:widowControl/>
              <w:spacing w:line="44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设备</w:t>
            </w:r>
          </w:p>
          <w:p w14:paraId="4EC386EF">
            <w:pPr>
              <w:widowControl/>
              <w:spacing w:line="44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1233" w:type="dxa"/>
            <w:gridSpan w:val="2"/>
            <w:noWrap w:val="0"/>
            <w:vAlign w:val="center"/>
          </w:tcPr>
          <w:p w14:paraId="14BF6216">
            <w:pPr>
              <w:spacing w:line="44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制造商</w:t>
            </w:r>
          </w:p>
        </w:tc>
        <w:tc>
          <w:tcPr>
            <w:tcW w:w="704" w:type="dxa"/>
            <w:noWrap w:val="0"/>
            <w:vAlign w:val="center"/>
          </w:tcPr>
          <w:p w14:paraId="50AAA660">
            <w:pPr>
              <w:widowControl/>
              <w:spacing w:line="44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3277" w:type="dxa"/>
            <w:gridSpan w:val="3"/>
            <w:noWrap w:val="0"/>
            <w:vAlign w:val="center"/>
          </w:tcPr>
          <w:p w14:paraId="0A9ACD0B">
            <w:pPr>
              <w:widowControl/>
              <w:spacing w:line="44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规格参数</w:t>
            </w:r>
          </w:p>
        </w:tc>
        <w:tc>
          <w:tcPr>
            <w:tcW w:w="2090" w:type="dxa"/>
            <w:noWrap w:val="0"/>
            <w:vAlign w:val="center"/>
          </w:tcPr>
          <w:p w14:paraId="4FCF4BD1">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是否合格</w:t>
            </w:r>
          </w:p>
        </w:tc>
      </w:tr>
      <w:tr w14:paraId="36EC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800" w:type="dxa"/>
            <w:gridSpan w:val="8"/>
            <w:noWrap w:val="0"/>
            <w:vAlign w:val="center"/>
          </w:tcPr>
          <w:p w14:paraId="2D980D34">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详见《中标（成交）通知书》采购清单</w:t>
            </w:r>
          </w:p>
        </w:tc>
        <w:tc>
          <w:tcPr>
            <w:tcW w:w="2090" w:type="dxa"/>
            <w:noWrap w:val="0"/>
            <w:vAlign w:val="top"/>
          </w:tcPr>
          <w:p w14:paraId="41CC0E2D">
            <w:pPr>
              <w:spacing w:line="440" w:lineRule="exact"/>
              <w:rPr>
                <w:rFonts w:hint="eastAsia" w:ascii="仿宋" w:hAnsi="仿宋" w:eastAsia="仿宋" w:cs="仿宋"/>
                <w:b/>
                <w:color w:val="auto"/>
                <w:sz w:val="24"/>
                <w:szCs w:val="24"/>
                <w:highlight w:val="none"/>
              </w:rPr>
            </w:pPr>
          </w:p>
        </w:tc>
      </w:tr>
      <w:tr w14:paraId="45F3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29" w:type="dxa"/>
            <w:vMerge w:val="restart"/>
            <w:noWrap w:val="0"/>
            <w:vAlign w:val="center"/>
          </w:tcPr>
          <w:p w14:paraId="28FDD3AE">
            <w:pPr>
              <w:spacing w:line="440" w:lineRule="exact"/>
              <w:ind w:left="103" w:leftChars="49"/>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验收小组</w:t>
            </w:r>
          </w:p>
        </w:tc>
        <w:tc>
          <w:tcPr>
            <w:tcW w:w="2290" w:type="dxa"/>
            <w:gridSpan w:val="3"/>
            <w:noWrap w:val="0"/>
            <w:vAlign w:val="center"/>
          </w:tcPr>
          <w:p w14:paraId="0452B120">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采购人代表</w:t>
            </w:r>
          </w:p>
        </w:tc>
        <w:tc>
          <w:tcPr>
            <w:tcW w:w="6071" w:type="dxa"/>
            <w:gridSpan w:val="5"/>
            <w:noWrap w:val="0"/>
            <w:vAlign w:val="center"/>
          </w:tcPr>
          <w:p w14:paraId="033EF9AE">
            <w:pPr>
              <w:spacing w:line="440" w:lineRule="exact"/>
              <w:rPr>
                <w:rFonts w:hint="eastAsia" w:ascii="仿宋" w:hAnsi="仿宋" w:eastAsia="仿宋" w:cs="仿宋"/>
                <w:b/>
                <w:color w:val="auto"/>
                <w:sz w:val="24"/>
                <w:szCs w:val="24"/>
                <w:highlight w:val="none"/>
              </w:rPr>
            </w:pPr>
          </w:p>
        </w:tc>
      </w:tr>
      <w:tr w14:paraId="6F7F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29" w:type="dxa"/>
            <w:vMerge w:val="continue"/>
            <w:noWrap w:val="0"/>
            <w:vAlign w:val="center"/>
          </w:tcPr>
          <w:p w14:paraId="66DF98C4">
            <w:pPr>
              <w:spacing w:line="440" w:lineRule="exact"/>
              <w:ind w:left="103" w:leftChars="49"/>
              <w:jc w:val="center"/>
              <w:rPr>
                <w:rFonts w:hint="eastAsia" w:ascii="仿宋" w:hAnsi="仿宋" w:eastAsia="仿宋" w:cs="仿宋"/>
                <w:b/>
                <w:color w:val="auto"/>
                <w:sz w:val="24"/>
                <w:szCs w:val="24"/>
                <w:highlight w:val="none"/>
              </w:rPr>
            </w:pPr>
          </w:p>
        </w:tc>
        <w:tc>
          <w:tcPr>
            <w:tcW w:w="2290" w:type="dxa"/>
            <w:gridSpan w:val="3"/>
            <w:noWrap w:val="0"/>
            <w:vAlign w:val="center"/>
          </w:tcPr>
          <w:p w14:paraId="00D5A994">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专业技术或</w:t>
            </w:r>
          </w:p>
          <w:p w14:paraId="01FB89AC">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使用人员</w:t>
            </w:r>
          </w:p>
        </w:tc>
        <w:tc>
          <w:tcPr>
            <w:tcW w:w="6071" w:type="dxa"/>
            <w:gridSpan w:val="5"/>
            <w:noWrap w:val="0"/>
            <w:vAlign w:val="center"/>
          </w:tcPr>
          <w:p w14:paraId="42482D8C">
            <w:pPr>
              <w:spacing w:line="440" w:lineRule="exact"/>
              <w:rPr>
                <w:rFonts w:hint="eastAsia" w:ascii="仿宋" w:hAnsi="仿宋" w:eastAsia="仿宋" w:cs="仿宋"/>
                <w:b/>
                <w:color w:val="auto"/>
                <w:sz w:val="24"/>
                <w:szCs w:val="24"/>
                <w:highlight w:val="none"/>
              </w:rPr>
            </w:pPr>
          </w:p>
        </w:tc>
      </w:tr>
      <w:tr w14:paraId="55F9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29" w:type="dxa"/>
            <w:vMerge w:val="continue"/>
            <w:noWrap w:val="0"/>
            <w:vAlign w:val="center"/>
          </w:tcPr>
          <w:p w14:paraId="6941E1C4">
            <w:pPr>
              <w:spacing w:line="440" w:lineRule="exact"/>
              <w:ind w:left="103" w:leftChars="49"/>
              <w:jc w:val="center"/>
              <w:rPr>
                <w:rFonts w:hint="eastAsia" w:ascii="仿宋" w:hAnsi="仿宋" w:eastAsia="仿宋" w:cs="仿宋"/>
                <w:b/>
                <w:color w:val="auto"/>
                <w:sz w:val="24"/>
                <w:szCs w:val="24"/>
                <w:highlight w:val="none"/>
              </w:rPr>
            </w:pPr>
          </w:p>
        </w:tc>
        <w:tc>
          <w:tcPr>
            <w:tcW w:w="2290" w:type="dxa"/>
            <w:gridSpan w:val="3"/>
            <w:noWrap w:val="0"/>
            <w:vAlign w:val="center"/>
          </w:tcPr>
          <w:p w14:paraId="34127834">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验收监督人员</w:t>
            </w:r>
          </w:p>
        </w:tc>
        <w:tc>
          <w:tcPr>
            <w:tcW w:w="6071" w:type="dxa"/>
            <w:gridSpan w:val="5"/>
            <w:noWrap w:val="0"/>
            <w:vAlign w:val="center"/>
          </w:tcPr>
          <w:p w14:paraId="1386AF0F">
            <w:pPr>
              <w:spacing w:line="440" w:lineRule="exact"/>
              <w:rPr>
                <w:rFonts w:hint="eastAsia" w:ascii="仿宋" w:hAnsi="仿宋" w:eastAsia="仿宋" w:cs="仿宋"/>
                <w:b/>
                <w:color w:val="auto"/>
                <w:sz w:val="24"/>
                <w:szCs w:val="24"/>
                <w:highlight w:val="none"/>
              </w:rPr>
            </w:pPr>
          </w:p>
        </w:tc>
      </w:tr>
      <w:tr w14:paraId="57EC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29" w:type="dxa"/>
            <w:vMerge w:val="continue"/>
            <w:noWrap w:val="0"/>
            <w:vAlign w:val="center"/>
          </w:tcPr>
          <w:p w14:paraId="5B30502F">
            <w:pPr>
              <w:spacing w:line="440" w:lineRule="exact"/>
              <w:ind w:left="103" w:leftChars="49"/>
              <w:jc w:val="center"/>
              <w:rPr>
                <w:rFonts w:hint="eastAsia" w:ascii="仿宋" w:hAnsi="仿宋" w:eastAsia="仿宋" w:cs="仿宋"/>
                <w:b/>
                <w:color w:val="auto"/>
                <w:sz w:val="24"/>
                <w:szCs w:val="24"/>
                <w:highlight w:val="none"/>
              </w:rPr>
            </w:pPr>
          </w:p>
        </w:tc>
        <w:tc>
          <w:tcPr>
            <w:tcW w:w="2290" w:type="dxa"/>
            <w:gridSpan w:val="3"/>
            <w:noWrap w:val="0"/>
            <w:vAlign w:val="center"/>
          </w:tcPr>
          <w:p w14:paraId="75F7F125">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项目验收意见</w:t>
            </w:r>
          </w:p>
        </w:tc>
        <w:tc>
          <w:tcPr>
            <w:tcW w:w="6071" w:type="dxa"/>
            <w:gridSpan w:val="5"/>
            <w:noWrap w:val="0"/>
            <w:vAlign w:val="center"/>
          </w:tcPr>
          <w:p w14:paraId="71329B3C">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（是否合格）</w:t>
            </w:r>
          </w:p>
        </w:tc>
      </w:tr>
      <w:tr w14:paraId="58D7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8890" w:type="dxa"/>
            <w:gridSpan w:val="9"/>
            <w:noWrap w:val="0"/>
            <w:vAlign w:val="center"/>
          </w:tcPr>
          <w:p w14:paraId="6040FE8C">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供应商意见：（是否属实）</w:t>
            </w:r>
          </w:p>
          <w:p w14:paraId="24684C5B">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供应商代表（签字）：                          20   年   月  日</w:t>
            </w:r>
          </w:p>
        </w:tc>
      </w:tr>
      <w:tr w14:paraId="24A7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8890" w:type="dxa"/>
            <w:gridSpan w:val="9"/>
            <w:tcBorders>
              <w:right w:val="single" w:color="auto" w:sz="4" w:space="0"/>
            </w:tcBorders>
            <w:noWrap w:val="0"/>
            <w:vAlign w:val="top"/>
          </w:tcPr>
          <w:p w14:paraId="57F3E914">
            <w:pPr>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采购人意见:</w:t>
            </w:r>
          </w:p>
          <w:p w14:paraId="4C973DD0">
            <w:pPr>
              <w:spacing w:line="440" w:lineRule="exact"/>
              <w:ind w:firstLine="2976" w:firstLineChars="12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(是否合格)</w:t>
            </w:r>
          </w:p>
          <w:p w14:paraId="2582A547">
            <w:pPr>
              <w:spacing w:line="440" w:lineRule="exact"/>
              <w:ind w:firstLine="1771" w:firstLineChars="7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采购人公章</w:t>
            </w:r>
          </w:p>
          <w:p w14:paraId="2545A5C3">
            <w:pPr>
              <w:spacing w:line="440" w:lineRule="exact"/>
              <w:ind w:firstLine="1771" w:firstLineChars="7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 xml:space="preserve">  20   年   月  日</w:t>
            </w:r>
          </w:p>
        </w:tc>
      </w:tr>
    </w:tbl>
    <w:p w14:paraId="7B405025">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备注:1.采购人自行组织验收。2.采购人视项目具体情况,应邀请纪检监察、审计、人员进行监督并在“验收监督人员”一栏中签字。3.本验收单一式四联，采购人2联、采购代理机构1联、中标（成交）供应商1联。</w:t>
      </w:r>
    </w:p>
    <w:p w14:paraId="77306C00">
      <w:pPr>
        <w:keepNext w:val="0"/>
        <w:keepLines w:val="0"/>
        <w:pageBreakBefore w:val="0"/>
        <w:kinsoku/>
        <w:wordWrap/>
        <w:overflowPunct/>
        <w:topLinePunct w:val="0"/>
        <w:autoSpaceDE/>
        <w:autoSpaceDN/>
        <w:bidi w:val="0"/>
        <w:spacing w:line="480" w:lineRule="exact"/>
        <w:textAlignment w:val="auto"/>
        <w:outlineLvl w:val="1"/>
        <w:rPr>
          <w:rFonts w:hint="eastAsia" w:ascii="仿宋" w:hAnsi="仿宋" w:eastAsia="仿宋" w:cs="仿宋"/>
          <w:b/>
          <w:color w:val="auto"/>
          <w:sz w:val="28"/>
          <w:szCs w:val="28"/>
          <w:highlight w:val="none"/>
          <w:lang w:eastAsia="zh-CN"/>
        </w:rPr>
      </w:pPr>
      <w:bookmarkStart w:id="625" w:name="_Toc5524"/>
      <w:bookmarkStart w:id="626" w:name="_Toc10807"/>
      <w:r>
        <w:rPr>
          <w:rFonts w:hint="eastAsia" w:ascii="仿宋" w:hAnsi="仿宋" w:eastAsia="仿宋" w:cs="仿宋"/>
          <w:b/>
          <w:color w:val="auto"/>
          <w:sz w:val="28"/>
          <w:szCs w:val="28"/>
          <w:highlight w:val="none"/>
          <w:lang w:eastAsia="zh-CN"/>
        </w:rPr>
        <w:t>附表二、质疑函范本</w:t>
      </w:r>
      <w:bookmarkEnd w:id="625"/>
      <w:bookmarkEnd w:id="626"/>
    </w:p>
    <w:p w14:paraId="241AD6A3">
      <w:pPr>
        <w:keepNext w:val="0"/>
        <w:keepLines w:val="0"/>
        <w:pageBreakBefore w:val="0"/>
        <w:kinsoku/>
        <w:wordWrap/>
        <w:overflowPunct/>
        <w:topLinePunct w:val="0"/>
        <w:autoSpaceDE/>
        <w:autoSpaceDN/>
        <w:bidi w:val="0"/>
        <w:adjustRightInd w:val="0"/>
        <w:snapToGrid w:val="0"/>
        <w:spacing w:line="480" w:lineRule="exact"/>
        <w:textAlignment w:val="auto"/>
        <w:outlineLvl w:val="1"/>
        <w:rPr>
          <w:rFonts w:hint="eastAsia" w:ascii="仿宋" w:hAnsi="仿宋" w:eastAsia="仿宋" w:cs="仿宋"/>
          <w:bCs/>
          <w:color w:val="auto"/>
          <w:sz w:val="28"/>
          <w:szCs w:val="28"/>
          <w:highlight w:val="none"/>
        </w:rPr>
      </w:pPr>
      <w:bookmarkStart w:id="627" w:name="_Toc31100"/>
      <w:bookmarkStart w:id="628" w:name="_Toc27307"/>
      <w:bookmarkStart w:id="629" w:name="_Toc29532"/>
      <w:r>
        <w:rPr>
          <w:rFonts w:hint="eastAsia" w:ascii="仿宋" w:hAnsi="仿宋" w:eastAsia="仿宋" w:cs="仿宋"/>
          <w:bCs/>
          <w:color w:val="auto"/>
          <w:sz w:val="28"/>
          <w:szCs w:val="28"/>
          <w:highlight w:val="none"/>
        </w:rPr>
        <w:t>一、质疑供应商基本信息</w:t>
      </w:r>
      <w:bookmarkEnd w:id="627"/>
      <w:bookmarkEnd w:id="628"/>
      <w:bookmarkEnd w:id="629"/>
    </w:p>
    <w:p w14:paraId="6A5F28D7">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质疑供应商：</w:t>
      </w:r>
    </w:p>
    <w:p w14:paraId="3FB11515">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14:paraId="514AC50C">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联系人：联系电话：</w:t>
      </w:r>
    </w:p>
    <w:p w14:paraId="62C5F80F">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授权代表：</w:t>
      </w:r>
    </w:p>
    <w:p w14:paraId="55D10498">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14:paraId="420DE35D">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 邮编：</w:t>
      </w:r>
    </w:p>
    <w:p w14:paraId="6EA75443">
      <w:pPr>
        <w:keepNext w:val="0"/>
        <w:keepLines w:val="0"/>
        <w:pageBreakBefore w:val="0"/>
        <w:kinsoku/>
        <w:wordWrap/>
        <w:overflowPunct/>
        <w:topLinePunct w:val="0"/>
        <w:autoSpaceDE/>
        <w:autoSpaceDN/>
        <w:bidi w:val="0"/>
        <w:adjustRightInd w:val="0"/>
        <w:snapToGrid w:val="0"/>
        <w:spacing w:line="480" w:lineRule="exact"/>
        <w:textAlignment w:val="auto"/>
        <w:outlineLvl w:val="1"/>
        <w:rPr>
          <w:rFonts w:hint="eastAsia" w:ascii="仿宋" w:hAnsi="仿宋" w:eastAsia="仿宋" w:cs="仿宋"/>
          <w:bCs/>
          <w:color w:val="auto"/>
          <w:sz w:val="28"/>
          <w:szCs w:val="28"/>
          <w:highlight w:val="none"/>
        </w:rPr>
      </w:pPr>
      <w:bookmarkStart w:id="630" w:name="_Toc11926"/>
      <w:bookmarkStart w:id="631" w:name="_Toc5762"/>
      <w:bookmarkStart w:id="632" w:name="_Toc16898"/>
      <w:r>
        <w:rPr>
          <w:rFonts w:hint="eastAsia" w:ascii="仿宋" w:hAnsi="仿宋" w:eastAsia="仿宋" w:cs="仿宋"/>
          <w:bCs/>
          <w:color w:val="auto"/>
          <w:sz w:val="28"/>
          <w:szCs w:val="28"/>
          <w:highlight w:val="none"/>
        </w:rPr>
        <w:t>二、质疑项目基本情况</w:t>
      </w:r>
      <w:bookmarkEnd w:id="630"/>
      <w:bookmarkEnd w:id="631"/>
      <w:bookmarkEnd w:id="632"/>
    </w:p>
    <w:p w14:paraId="4087E09B">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p>
    <w:p w14:paraId="56FD8A1A">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质疑项目的编号：包号：</w:t>
      </w:r>
    </w:p>
    <w:p w14:paraId="752F1A06">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采购人名称：</w:t>
      </w:r>
    </w:p>
    <w:p w14:paraId="23B1645E">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招标文件获取日期：</w:t>
      </w:r>
    </w:p>
    <w:p w14:paraId="23D26EDF">
      <w:pPr>
        <w:keepNext w:val="0"/>
        <w:keepLines w:val="0"/>
        <w:pageBreakBefore w:val="0"/>
        <w:kinsoku/>
        <w:wordWrap/>
        <w:overflowPunct/>
        <w:topLinePunct w:val="0"/>
        <w:autoSpaceDE/>
        <w:autoSpaceDN/>
        <w:bidi w:val="0"/>
        <w:adjustRightInd w:val="0"/>
        <w:snapToGrid w:val="0"/>
        <w:spacing w:line="480" w:lineRule="exact"/>
        <w:textAlignment w:val="auto"/>
        <w:outlineLvl w:val="1"/>
        <w:rPr>
          <w:rFonts w:hint="eastAsia" w:ascii="仿宋" w:hAnsi="仿宋" w:eastAsia="仿宋" w:cs="仿宋"/>
          <w:bCs/>
          <w:color w:val="auto"/>
          <w:sz w:val="28"/>
          <w:szCs w:val="28"/>
          <w:highlight w:val="none"/>
        </w:rPr>
      </w:pPr>
      <w:bookmarkStart w:id="633" w:name="_Toc4190"/>
      <w:bookmarkStart w:id="634" w:name="_Toc25814"/>
      <w:bookmarkStart w:id="635" w:name="_Toc21791"/>
      <w:r>
        <w:rPr>
          <w:rFonts w:hint="eastAsia" w:ascii="仿宋" w:hAnsi="仿宋" w:eastAsia="仿宋" w:cs="仿宋"/>
          <w:bCs/>
          <w:color w:val="auto"/>
          <w:sz w:val="28"/>
          <w:szCs w:val="28"/>
          <w:highlight w:val="none"/>
        </w:rPr>
        <w:t>三、质疑事项具体内容</w:t>
      </w:r>
      <w:bookmarkEnd w:id="633"/>
      <w:bookmarkEnd w:id="634"/>
      <w:bookmarkEnd w:id="635"/>
    </w:p>
    <w:p w14:paraId="4DC401AE">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质疑事项1：</w:t>
      </w:r>
    </w:p>
    <w:p w14:paraId="092299BB">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事实依据：</w:t>
      </w:r>
    </w:p>
    <w:p w14:paraId="4C46D4C9">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rPr>
      </w:pPr>
    </w:p>
    <w:p w14:paraId="6380284B">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法律依据：</w:t>
      </w:r>
    </w:p>
    <w:p w14:paraId="3563E442">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u w:val="dotted"/>
        </w:rPr>
      </w:pPr>
    </w:p>
    <w:p w14:paraId="64FBC314">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质疑事项2</w:t>
      </w:r>
    </w:p>
    <w:p w14:paraId="56B8EC7A">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3FE1C5A2">
      <w:pPr>
        <w:keepNext w:val="0"/>
        <w:keepLines w:val="0"/>
        <w:pageBreakBefore w:val="0"/>
        <w:kinsoku/>
        <w:wordWrap/>
        <w:overflowPunct/>
        <w:topLinePunct w:val="0"/>
        <w:autoSpaceDE/>
        <w:autoSpaceDN/>
        <w:bidi w:val="0"/>
        <w:adjustRightInd w:val="0"/>
        <w:snapToGrid w:val="0"/>
        <w:spacing w:line="480" w:lineRule="exact"/>
        <w:textAlignment w:val="auto"/>
        <w:outlineLvl w:val="1"/>
        <w:rPr>
          <w:rFonts w:hint="eastAsia" w:ascii="仿宋" w:hAnsi="仿宋" w:eastAsia="仿宋" w:cs="仿宋"/>
          <w:bCs/>
          <w:color w:val="auto"/>
          <w:sz w:val="28"/>
          <w:szCs w:val="28"/>
          <w:highlight w:val="none"/>
        </w:rPr>
      </w:pPr>
      <w:bookmarkStart w:id="636" w:name="_Toc1597"/>
      <w:bookmarkStart w:id="637" w:name="_Toc3249"/>
      <w:bookmarkStart w:id="638" w:name="_Toc18579"/>
      <w:r>
        <w:rPr>
          <w:rFonts w:hint="eastAsia" w:ascii="仿宋" w:hAnsi="仿宋" w:eastAsia="仿宋" w:cs="仿宋"/>
          <w:bCs/>
          <w:color w:val="auto"/>
          <w:sz w:val="28"/>
          <w:szCs w:val="28"/>
          <w:highlight w:val="none"/>
        </w:rPr>
        <w:t>四、与质疑事项相关的质疑请求</w:t>
      </w:r>
      <w:bookmarkEnd w:id="636"/>
      <w:bookmarkEnd w:id="637"/>
      <w:bookmarkEnd w:id="638"/>
    </w:p>
    <w:p w14:paraId="2D3DE3A0">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请求：</w:t>
      </w:r>
    </w:p>
    <w:p w14:paraId="35B10B12">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签字(签章)：                   公章：                      </w:t>
      </w:r>
    </w:p>
    <w:p w14:paraId="2A3E5DBD">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720D8F32">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质疑函制作说明：</w:t>
      </w:r>
    </w:p>
    <w:p w14:paraId="1DE494DD">
      <w:pPr>
        <w:keepNext w:val="0"/>
        <w:keepLines w:val="0"/>
        <w:pageBreakBefore w:val="0"/>
        <w:widowControl/>
        <w:kinsoku/>
        <w:wordWrap/>
        <w:overflowPunct/>
        <w:topLinePunct w:val="0"/>
        <w:autoSpaceDE/>
        <w:autoSpaceDN/>
        <w:bidi w:val="0"/>
        <w:spacing w:line="48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1.供应商提出质疑时，应提交质疑函和必要的证明材料。</w:t>
      </w:r>
    </w:p>
    <w:p w14:paraId="0A069830">
      <w:pPr>
        <w:keepNext w:val="0"/>
        <w:keepLines w:val="0"/>
        <w:pageBreakBefore w:val="0"/>
        <w:widowControl/>
        <w:kinsoku/>
        <w:wordWrap/>
        <w:overflowPunct/>
        <w:topLinePunct w:val="0"/>
        <w:autoSpaceDE/>
        <w:autoSpaceDN/>
        <w:bidi w:val="0"/>
        <w:spacing w:line="48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highlight w:val="none"/>
        </w:rPr>
        <w:t>供应商签署的授权委托书。授权委托书应载明代理人的姓名或者名称、代理事项、具体权限、期限和相关事项。</w:t>
      </w:r>
    </w:p>
    <w:p w14:paraId="21337F07">
      <w:pPr>
        <w:keepNext w:val="0"/>
        <w:keepLines w:val="0"/>
        <w:pageBreakBefore w:val="0"/>
        <w:widowControl/>
        <w:kinsoku/>
        <w:wordWrap/>
        <w:overflowPunct/>
        <w:topLinePunct w:val="0"/>
        <w:autoSpaceDE/>
        <w:autoSpaceDN/>
        <w:bidi w:val="0"/>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3.质疑供应商若对项目的某一分包进行质疑，质疑函中应列明具体分包号。</w:t>
      </w:r>
    </w:p>
    <w:p w14:paraId="43E80267">
      <w:pPr>
        <w:keepNext w:val="0"/>
        <w:keepLines w:val="0"/>
        <w:pageBreakBefore w:val="0"/>
        <w:widowControl/>
        <w:kinsoku/>
        <w:wordWrap/>
        <w:overflowPunct/>
        <w:topLinePunct w:val="0"/>
        <w:autoSpaceDE/>
        <w:autoSpaceDN/>
        <w:bidi w:val="0"/>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4.质疑函的质疑事项应具体、明确，并有必要的事实依据和法律依据。</w:t>
      </w:r>
    </w:p>
    <w:p w14:paraId="2D8EEAFB">
      <w:pPr>
        <w:keepNext w:val="0"/>
        <w:keepLines w:val="0"/>
        <w:pageBreakBefore w:val="0"/>
        <w:widowControl/>
        <w:kinsoku/>
        <w:wordWrap/>
        <w:overflowPunct/>
        <w:topLinePunct w:val="0"/>
        <w:autoSpaceDE/>
        <w:autoSpaceDN/>
        <w:bidi w:val="0"/>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5.质疑函的质疑请求应与质疑事项相关。</w:t>
      </w:r>
    </w:p>
    <w:p w14:paraId="063B06D7">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6.质疑供应商为自然人的，质疑函应由本人签字</w:t>
      </w:r>
      <w:r>
        <w:rPr>
          <w:rFonts w:hint="eastAsia" w:ascii="仿宋" w:hAnsi="仿宋" w:eastAsia="仿宋" w:cs="仿宋"/>
          <w:bCs/>
          <w:color w:val="auto"/>
          <w:sz w:val="28"/>
          <w:szCs w:val="28"/>
          <w:highlight w:val="none"/>
        </w:rPr>
        <w:t>或签章</w:t>
      </w:r>
      <w:r>
        <w:rPr>
          <w:rFonts w:hint="eastAsia" w:ascii="仿宋" w:hAnsi="仿宋" w:eastAsia="仿宋" w:cs="仿宋"/>
          <w:color w:val="auto"/>
          <w:sz w:val="28"/>
          <w:szCs w:val="28"/>
          <w:highlight w:val="none"/>
        </w:rPr>
        <w:t>；质疑供应商为法人或者其他组织的，质疑函应由法定代表人、主要负责人，或者其授权代表签字</w:t>
      </w:r>
      <w:r>
        <w:rPr>
          <w:rFonts w:hint="eastAsia" w:ascii="仿宋" w:hAnsi="仿宋" w:eastAsia="仿宋" w:cs="仿宋"/>
          <w:bCs/>
          <w:color w:val="auto"/>
          <w:sz w:val="28"/>
          <w:szCs w:val="28"/>
          <w:highlight w:val="none"/>
        </w:rPr>
        <w:t>或签章</w:t>
      </w:r>
      <w:r>
        <w:rPr>
          <w:rFonts w:hint="eastAsia" w:ascii="仿宋" w:hAnsi="仿宋" w:eastAsia="仿宋" w:cs="仿宋"/>
          <w:color w:val="auto"/>
          <w:sz w:val="28"/>
          <w:szCs w:val="28"/>
          <w:highlight w:val="none"/>
        </w:rPr>
        <w:t>，并加盖公章。</w:t>
      </w:r>
    </w:p>
    <w:p w14:paraId="1CB0EC41">
      <w:pPr>
        <w:tabs>
          <w:tab w:val="left" w:pos="4108"/>
          <w:tab w:val="center" w:pos="5975"/>
        </w:tabs>
        <w:spacing w:line="440" w:lineRule="exact"/>
        <w:ind w:firstLine="1405" w:firstLineChars="500"/>
        <w:outlineLvl w:val="9"/>
        <w:rPr>
          <w:rFonts w:hint="eastAsia" w:ascii="仿宋" w:hAnsi="仿宋" w:eastAsia="仿宋" w:cs="仿宋"/>
          <w:b/>
          <w:bCs/>
          <w:color w:val="auto"/>
          <w:sz w:val="28"/>
          <w:szCs w:val="28"/>
          <w:highlight w:val="none"/>
        </w:rPr>
      </w:pPr>
    </w:p>
    <w:p w14:paraId="5871F79A">
      <w:pPr>
        <w:tabs>
          <w:tab w:val="left" w:pos="4108"/>
          <w:tab w:val="center" w:pos="5975"/>
        </w:tabs>
        <w:ind w:firstLine="2209" w:firstLineChars="500"/>
        <w:outlineLvl w:val="9"/>
        <w:rPr>
          <w:rFonts w:hint="eastAsia" w:ascii="仿宋" w:hAnsi="仿宋" w:eastAsia="仿宋" w:cs="仿宋"/>
          <w:b/>
          <w:bCs/>
          <w:color w:val="auto"/>
          <w:sz w:val="44"/>
          <w:szCs w:val="44"/>
          <w:highlight w:val="none"/>
        </w:rPr>
      </w:pPr>
    </w:p>
    <w:p w14:paraId="323E7639">
      <w:pPr>
        <w:tabs>
          <w:tab w:val="left" w:pos="4108"/>
          <w:tab w:val="center" w:pos="5975"/>
        </w:tabs>
        <w:ind w:firstLine="2209" w:firstLineChars="500"/>
        <w:outlineLvl w:val="9"/>
        <w:rPr>
          <w:rFonts w:hint="eastAsia" w:ascii="仿宋" w:hAnsi="仿宋" w:eastAsia="仿宋" w:cs="仿宋"/>
          <w:b/>
          <w:bCs/>
          <w:color w:val="auto"/>
          <w:sz w:val="44"/>
          <w:szCs w:val="44"/>
          <w:highlight w:val="none"/>
        </w:rPr>
      </w:pPr>
    </w:p>
    <w:p w14:paraId="2102036C">
      <w:pPr>
        <w:tabs>
          <w:tab w:val="left" w:pos="4108"/>
          <w:tab w:val="center" w:pos="5975"/>
        </w:tabs>
        <w:ind w:firstLine="2209" w:firstLineChars="500"/>
        <w:outlineLvl w:val="9"/>
        <w:rPr>
          <w:rFonts w:hint="eastAsia" w:ascii="仿宋" w:hAnsi="仿宋" w:eastAsia="仿宋" w:cs="仿宋"/>
          <w:b/>
          <w:bCs/>
          <w:color w:val="auto"/>
          <w:sz w:val="44"/>
          <w:szCs w:val="44"/>
          <w:highlight w:val="none"/>
        </w:rPr>
      </w:pPr>
    </w:p>
    <w:p w14:paraId="07C5AD4E">
      <w:pPr>
        <w:spacing w:line="400" w:lineRule="exact"/>
        <w:jc w:val="center"/>
        <w:rPr>
          <w:rFonts w:hint="eastAsia" w:ascii="仿宋" w:hAnsi="仿宋" w:eastAsia="仿宋" w:cs="仿宋"/>
          <w:b/>
          <w:color w:val="auto"/>
          <w:sz w:val="32"/>
          <w:szCs w:val="32"/>
          <w:highlight w:val="none"/>
        </w:rPr>
      </w:pPr>
    </w:p>
    <w:p w14:paraId="0AAA1E6D">
      <w:pPr>
        <w:rPr>
          <w:rFonts w:hint="eastAsia" w:ascii="仿宋" w:hAnsi="仿宋" w:eastAsia="仿宋" w:cs="仿宋"/>
          <w:color w:val="auto"/>
          <w:highlight w:val="none"/>
        </w:rPr>
        <w:sectPr>
          <w:headerReference r:id="rId9" w:type="default"/>
          <w:footerReference r:id="rId10" w:type="default"/>
          <w:pgSz w:w="11907" w:h="16840"/>
          <w:pgMar w:top="1440" w:right="1080" w:bottom="1440" w:left="1080" w:header="851" w:footer="992" w:gutter="0"/>
          <w:pgNumType w:fmt="decimal"/>
          <w:cols w:space="720" w:num="1"/>
          <w:docGrid w:linePitch="312" w:charSpace="0"/>
        </w:sectPr>
      </w:pPr>
    </w:p>
    <w:p w14:paraId="5B9E490F">
      <w:pPr>
        <w:pStyle w:val="2"/>
        <w:pageBreakBefore w:val="0"/>
        <w:widowControl w:val="0"/>
        <w:kinsoku/>
        <w:wordWrap/>
        <w:overflowPunct/>
        <w:topLinePunct w:val="0"/>
        <w:bidi w:val="0"/>
        <w:snapToGrid/>
        <w:spacing w:line="480" w:lineRule="exact"/>
        <w:ind w:firstLine="0"/>
        <w:jc w:val="center"/>
        <w:textAlignment w:val="auto"/>
        <w:outlineLvl w:val="0"/>
        <w:rPr>
          <w:rFonts w:hint="eastAsia" w:ascii="仿宋" w:hAnsi="仿宋" w:eastAsia="仿宋" w:cs="仿宋"/>
          <w:b/>
          <w:color w:val="auto"/>
          <w:kern w:val="44"/>
          <w:sz w:val="44"/>
          <w:szCs w:val="44"/>
          <w:highlight w:val="none"/>
          <w:lang w:val="en-US" w:eastAsia="zh-CN"/>
        </w:rPr>
      </w:pPr>
      <w:bookmarkStart w:id="639" w:name="_Toc12058"/>
      <w:bookmarkStart w:id="640" w:name="_Toc1014"/>
      <w:r>
        <w:rPr>
          <w:rFonts w:hint="eastAsia" w:ascii="仿宋" w:hAnsi="仿宋" w:eastAsia="仿宋" w:cs="仿宋"/>
          <w:b/>
          <w:color w:val="auto"/>
          <w:kern w:val="44"/>
          <w:sz w:val="44"/>
          <w:szCs w:val="44"/>
          <w:highlight w:val="none"/>
          <w:lang w:val="en-US" w:eastAsia="zh-CN"/>
        </w:rPr>
        <w:t>第六章 采购合同格式</w:t>
      </w:r>
      <w:bookmarkEnd w:id="639"/>
      <w:bookmarkEnd w:id="640"/>
    </w:p>
    <w:p w14:paraId="450A0F4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pacing w:val="-20"/>
          <w:sz w:val="24"/>
          <w:szCs w:val="24"/>
          <w:highlight w:val="none"/>
          <w:shd w:val="clear" w:color="auto" w:fill="FFFFFF"/>
        </w:rPr>
      </w:pPr>
      <w:r>
        <w:rPr>
          <w:rFonts w:hint="eastAsia" w:ascii="仿宋" w:hAnsi="仿宋" w:eastAsia="仿宋" w:cs="仿宋"/>
          <w:b/>
          <w:bCs/>
          <w:color w:val="auto"/>
          <w:spacing w:val="-20"/>
          <w:sz w:val="24"/>
          <w:szCs w:val="24"/>
          <w:highlight w:val="none"/>
          <w:shd w:val="clear" w:color="auto" w:fill="FFFFFF"/>
        </w:rPr>
        <w:t>注：本合同仅为合同的参考文本，合同签订双方可根据项目的具体要求进行修订。</w:t>
      </w:r>
    </w:p>
    <w:p w14:paraId="301D27FF">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hint="eastAsia" w:ascii="宋体" w:hAnsi="宋体" w:cs="宋体"/>
          <w:color w:val="auto"/>
          <w:kern w:val="0"/>
          <w:sz w:val="32"/>
          <w:szCs w:val="32"/>
          <w:highlight w:val="none"/>
        </w:rPr>
      </w:pPr>
    </w:p>
    <w:p w14:paraId="57D74C84">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hint="eastAsia" w:ascii="宋体" w:hAnsi="宋体" w:cs="宋体"/>
          <w:color w:val="auto"/>
          <w:kern w:val="0"/>
          <w:sz w:val="32"/>
          <w:szCs w:val="32"/>
          <w:highlight w:val="none"/>
        </w:rPr>
      </w:pPr>
    </w:p>
    <w:p w14:paraId="4CF4C4F9">
      <w:pPr>
        <w:keepNext w:val="0"/>
        <w:keepLines w:val="0"/>
        <w:pageBreakBefore w:val="0"/>
        <w:widowControl w:val="0"/>
        <w:kinsoku/>
        <w:wordWrap/>
        <w:overflowPunct/>
        <w:topLinePunct w:val="0"/>
        <w:autoSpaceDE/>
        <w:autoSpaceDN/>
        <w:bidi w:val="0"/>
        <w:adjustRightInd/>
        <w:snapToGrid/>
        <w:spacing w:line="480" w:lineRule="exact"/>
        <w:ind w:left="420" w:leftChars="20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14:paraId="3BD54B24">
      <w:pPr>
        <w:keepNext w:val="0"/>
        <w:keepLines w:val="0"/>
        <w:pageBreakBefore w:val="0"/>
        <w:widowControl w:val="0"/>
        <w:kinsoku/>
        <w:wordWrap/>
        <w:overflowPunct/>
        <w:topLinePunct w:val="0"/>
        <w:autoSpaceDE/>
        <w:autoSpaceDN/>
        <w:bidi w:val="0"/>
        <w:adjustRightInd/>
        <w:snapToGrid/>
        <w:spacing w:line="480" w:lineRule="exact"/>
        <w:ind w:left="420" w:leftChars="200" w:firstLine="640" w:firstLineChars="200"/>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25DD3177">
      <w:pPr>
        <w:keepNext w:val="0"/>
        <w:keepLines w:val="0"/>
        <w:pageBreakBefore w:val="0"/>
        <w:widowControl w:val="0"/>
        <w:kinsoku/>
        <w:wordWrap/>
        <w:overflowPunct/>
        <w:topLinePunct w:val="0"/>
        <w:autoSpaceDE/>
        <w:autoSpaceDN/>
        <w:bidi w:val="0"/>
        <w:adjustRightInd/>
        <w:snapToGrid/>
        <w:spacing w:line="480" w:lineRule="exact"/>
        <w:ind w:left="420" w:leftChars="20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14:paraId="225C8F40">
      <w:pPr>
        <w:keepNext w:val="0"/>
        <w:keepLines w:val="0"/>
        <w:pageBreakBefore w:val="0"/>
        <w:widowControl w:val="0"/>
        <w:kinsoku/>
        <w:wordWrap/>
        <w:overflowPunct/>
        <w:topLinePunct w:val="0"/>
        <w:autoSpaceDE/>
        <w:autoSpaceDN/>
        <w:bidi w:val="0"/>
        <w:adjustRightInd/>
        <w:snapToGrid/>
        <w:spacing w:line="480" w:lineRule="exact"/>
        <w:ind w:left="420" w:leftChars="200" w:firstLine="640" w:firstLineChars="200"/>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14:paraId="096B8954">
      <w:pPr>
        <w:keepNext w:val="0"/>
        <w:keepLines w:val="0"/>
        <w:pageBreakBefore w:val="0"/>
        <w:widowControl w:val="0"/>
        <w:kinsoku/>
        <w:wordWrap/>
        <w:overflowPunct/>
        <w:topLinePunct w:val="0"/>
        <w:autoSpaceDE/>
        <w:autoSpaceDN/>
        <w:bidi w:val="0"/>
        <w:adjustRightInd/>
        <w:snapToGrid/>
        <w:spacing w:line="480" w:lineRule="exact"/>
        <w:ind w:left="420" w:leftChars="200" w:firstLine="640" w:firstLineChars="200"/>
        <w:textAlignment w:val="auto"/>
        <w:rPr>
          <w:rFonts w:hint="eastAsia" w:ascii="仿宋" w:hAnsi="仿宋" w:eastAsia="仿宋" w:cs="仿宋"/>
          <w:color w:val="auto"/>
          <w:sz w:val="32"/>
          <w:szCs w:val="32"/>
          <w:highlight w:val="none"/>
        </w:rPr>
        <w:sectPr>
          <w:pgSz w:w="11907" w:h="16840"/>
          <w:pgMar w:top="1440" w:right="1474" w:bottom="1440" w:left="1474" w:header="851" w:footer="992" w:gutter="0"/>
          <w:pgNumType w:fmt="decimal"/>
          <w:cols w:space="720" w:num="1"/>
          <w:docGrid w:linePitch="312" w:charSpace="0"/>
        </w:sect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14:paraId="444FBCF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val="zh-CN"/>
        </w:rPr>
        <w:t xml:space="preserve">        </w:t>
      </w:r>
      <w:r>
        <w:rPr>
          <w:rFonts w:hint="eastAsia" w:ascii="仿宋" w:hAnsi="仿宋" w:eastAsia="仿宋" w:cs="仿宋"/>
          <w:color w:val="auto"/>
          <w:sz w:val="28"/>
          <w:szCs w:val="28"/>
          <w:highlight w:val="none"/>
          <w:lang w:val="zh-CN"/>
        </w:rPr>
        <w:t>年</w:t>
      </w:r>
      <w:r>
        <w:rPr>
          <w:rFonts w:hint="eastAsia" w:ascii="仿宋" w:hAnsi="仿宋" w:eastAsia="仿宋" w:cs="仿宋"/>
          <w:color w:val="auto"/>
          <w:sz w:val="28"/>
          <w:szCs w:val="28"/>
          <w:highlight w:val="none"/>
          <w:u w:val="single"/>
          <w:lang w:val="zh-CN"/>
        </w:rPr>
        <w:t xml:space="preserve">    </w:t>
      </w:r>
      <w:r>
        <w:rPr>
          <w:rFonts w:hint="eastAsia" w:ascii="仿宋" w:hAnsi="仿宋" w:eastAsia="仿宋" w:cs="仿宋"/>
          <w:color w:val="auto"/>
          <w:sz w:val="28"/>
          <w:szCs w:val="28"/>
          <w:highlight w:val="none"/>
          <w:lang w:val="zh-CN"/>
        </w:rPr>
        <w:t>月</w:t>
      </w:r>
      <w:r>
        <w:rPr>
          <w:rFonts w:hint="eastAsia" w:ascii="仿宋" w:hAnsi="仿宋" w:eastAsia="仿宋" w:cs="仿宋"/>
          <w:color w:val="auto"/>
          <w:sz w:val="28"/>
          <w:szCs w:val="28"/>
          <w:highlight w:val="none"/>
          <w:u w:val="single"/>
          <w:lang w:val="zh-CN"/>
        </w:rPr>
        <w:t xml:space="preserve">    </w:t>
      </w:r>
      <w:r>
        <w:rPr>
          <w:rFonts w:hint="eastAsia" w:ascii="仿宋" w:hAnsi="仿宋" w:eastAsia="仿宋" w:cs="仿宋"/>
          <w:color w:val="auto"/>
          <w:sz w:val="28"/>
          <w:szCs w:val="28"/>
          <w:highlight w:val="none"/>
          <w:lang w:val="zh-CN"/>
        </w:rPr>
        <w:t>日</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（采购人名称）   </w:t>
      </w:r>
      <w:r>
        <w:rPr>
          <w:rFonts w:hint="eastAsia" w:ascii="仿宋" w:hAnsi="仿宋" w:eastAsia="仿宋" w:cs="仿宋"/>
          <w:color w:val="auto"/>
          <w:sz w:val="28"/>
          <w:szCs w:val="28"/>
          <w:highlight w:val="none"/>
        </w:rPr>
        <w:t>以</w:t>
      </w:r>
      <w:r>
        <w:rPr>
          <w:rFonts w:hint="eastAsia" w:ascii="仿宋" w:hAnsi="仿宋" w:eastAsia="仿宋" w:cs="仿宋"/>
          <w:color w:val="auto"/>
          <w:sz w:val="28"/>
          <w:szCs w:val="28"/>
          <w:highlight w:val="none"/>
          <w:u w:val="single"/>
        </w:rPr>
        <w:t xml:space="preserve">   （政府采购方式）  </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u w:val="single"/>
        </w:rPr>
        <w:t xml:space="preserve">   （同前页项目名称）   </w:t>
      </w:r>
      <w:r>
        <w:rPr>
          <w:rFonts w:hint="eastAsia" w:ascii="仿宋" w:hAnsi="仿宋" w:eastAsia="仿宋" w:cs="仿宋"/>
          <w:color w:val="auto"/>
          <w:sz w:val="28"/>
          <w:szCs w:val="28"/>
          <w:highlight w:val="none"/>
        </w:rPr>
        <w:t>项目进行了采购。经</w:t>
      </w:r>
      <w:r>
        <w:rPr>
          <w:rFonts w:hint="eastAsia" w:ascii="仿宋" w:hAnsi="仿宋" w:eastAsia="仿宋" w:cs="仿宋"/>
          <w:color w:val="auto"/>
          <w:sz w:val="28"/>
          <w:szCs w:val="28"/>
          <w:highlight w:val="none"/>
          <w:u w:val="single"/>
        </w:rPr>
        <w:t xml:space="preserve">   （相关评定主体名称）   </w:t>
      </w:r>
      <w:r>
        <w:rPr>
          <w:rFonts w:hint="eastAsia" w:ascii="仿宋" w:hAnsi="仿宋" w:eastAsia="仿宋" w:cs="仿宋"/>
          <w:color w:val="auto"/>
          <w:sz w:val="28"/>
          <w:szCs w:val="28"/>
          <w:highlight w:val="none"/>
        </w:rPr>
        <w:t>评定，</w:t>
      </w:r>
      <w:r>
        <w:rPr>
          <w:rFonts w:hint="eastAsia" w:ascii="仿宋" w:hAnsi="仿宋" w:eastAsia="仿宋" w:cs="仿宋"/>
          <w:color w:val="auto"/>
          <w:sz w:val="28"/>
          <w:szCs w:val="28"/>
          <w:highlight w:val="none"/>
          <w:u w:val="single"/>
        </w:rPr>
        <w:t xml:space="preserve">   （中标供应商名称）</w:t>
      </w:r>
      <w:r>
        <w:rPr>
          <w:rFonts w:hint="eastAsia" w:ascii="仿宋" w:hAnsi="仿宋" w:eastAsia="仿宋" w:cs="仿宋"/>
          <w:color w:val="auto"/>
          <w:sz w:val="28"/>
          <w:szCs w:val="28"/>
          <w:highlight w:val="none"/>
        </w:rPr>
        <w:t>为该项目中标供应商。现于中标通知书发出之日起三十日内，按照招标文件确定的事项签订本合同。</w:t>
      </w:r>
    </w:p>
    <w:p w14:paraId="66CE6F7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bookmarkStart w:id="641" w:name="_Toc2232"/>
      <w:bookmarkStart w:id="642" w:name="_Toc3029"/>
      <w:bookmarkStart w:id="643" w:name="_Toc10348"/>
      <w:bookmarkStart w:id="644" w:name="_Toc18228"/>
      <w:bookmarkStart w:id="645" w:name="_Toc24059"/>
      <w:bookmarkStart w:id="646" w:name="_Toc20666"/>
      <w:r>
        <w:rPr>
          <w:rFonts w:hint="eastAsia" w:ascii="仿宋" w:hAnsi="仿宋" w:eastAsia="仿宋" w:cs="仿宋"/>
          <w:color w:val="auto"/>
          <w:sz w:val="28"/>
          <w:szCs w:val="28"/>
          <w:highlight w:val="none"/>
          <w:lang w:val="zh-CN"/>
        </w:rPr>
        <w:t>根据《中华人民共和国政府采购法》《中华人民共和国政府采购法实施条例》《中华人民共和国民法典》</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val="zh-CN"/>
        </w:rPr>
        <w:t>规定等相关法律法规之规定，按照平等、自愿、公平和诚实信用的原则，经</w:t>
      </w:r>
      <w:r>
        <w:rPr>
          <w:rFonts w:hint="eastAsia" w:ascii="仿宋" w:hAnsi="仿宋" w:eastAsia="仿宋" w:cs="仿宋"/>
          <w:color w:val="auto"/>
          <w:sz w:val="28"/>
          <w:szCs w:val="28"/>
          <w:highlight w:val="none"/>
          <w:u w:val="single"/>
        </w:rPr>
        <w:t xml:space="preserve"> （采购人名称）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(以下简称：甲方)和</w:t>
      </w:r>
      <w:r>
        <w:rPr>
          <w:rFonts w:hint="eastAsia" w:ascii="仿宋" w:hAnsi="仿宋" w:eastAsia="仿宋" w:cs="仿宋"/>
          <w:color w:val="auto"/>
          <w:sz w:val="28"/>
          <w:szCs w:val="28"/>
          <w:highlight w:val="none"/>
          <w:u w:val="single"/>
        </w:rPr>
        <w:t xml:space="preserve">  （中标供应商名称）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(以下简称：乙方)协商一致，约定以下合同</w:t>
      </w:r>
      <w:r>
        <w:rPr>
          <w:rFonts w:hint="eastAsia" w:ascii="仿宋" w:hAnsi="仿宋" w:eastAsia="仿宋" w:cs="仿宋"/>
          <w:color w:val="auto"/>
          <w:sz w:val="28"/>
          <w:szCs w:val="28"/>
          <w:highlight w:val="none"/>
        </w:rPr>
        <w:t>条款，以兹共同遵守、全面履行。</w:t>
      </w:r>
    </w:p>
    <w:p w14:paraId="3BA55CBA">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647" w:name="_Toc12117"/>
      <w:bookmarkStart w:id="648" w:name="_Toc4551"/>
      <w:bookmarkStart w:id="649" w:name="_Toc7692"/>
      <w:bookmarkStart w:id="650" w:name="_Toc12829"/>
      <w:r>
        <w:rPr>
          <w:rFonts w:hint="eastAsia" w:ascii="仿宋" w:hAnsi="仿宋" w:eastAsia="仿宋" w:cs="仿宋"/>
          <w:b/>
          <w:color w:val="auto"/>
          <w:sz w:val="28"/>
          <w:szCs w:val="28"/>
          <w:highlight w:val="none"/>
        </w:rPr>
        <w:t>1.1 合同组成部分</w:t>
      </w:r>
      <w:bookmarkEnd w:id="641"/>
      <w:bookmarkEnd w:id="642"/>
      <w:bookmarkEnd w:id="643"/>
      <w:bookmarkEnd w:id="644"/>
      <w:bookmarkEnd w:id="645"/>
      <w:bookmarkEnd w:id="646"/>
      <w:bookmarkEnd w:id="647"/>
      <w:bookmarkEnd w:id="648"/>
      <w:bookmarkEnd w:id="649"/>
      <w:bookmarkEnd w:id="650"/>
    </w:p>
    <w:p w14:paraId="61DC433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2CBCCE9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 本合同及其补充合同、变更协议；</w:t>
      </w:r>
    </w:p>
    <w:p w14:paraId="69164D3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 中标通知书；</w:t>
      </w:r>
    </w:p>
    <w:p w14:paraId="273037D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 投标文件（含澄清或者说明文件）；</w:t>
      </w:r>
    </w:p>
    <w:p w14:paraId="37CA73C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 招标文件（含澄清或者修改文件）；</w:t>
      </w:r>
    </w:p>
    <w:p w14:paraId="49C38E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1.1.5 其他相关采购文件。</w:t>
      </w:r>
    </w:p>
    <w:p w14:paraId="3EC480E2">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1"/>
        <w:rPr>
          <w:rFonts w:hint="eastAsia" w:ascii="仿宋" w:hAnsi="仿宋" w:eastAsia="仿宋" w:cs="仿宋"/>
          <w:b/>
          <w:color w:val="auto"/>
          <w:sz w:val="28"/>
          <w:szCs w:val="28"/>
          <w:highlight w:val="none"/>
        </w:rPr>
      </w:pPr>
      <w:bookmarkStart w:id="651" w:name="_Toc11120"/>
      <w:bookmarkStart w:id="652" w:name="_Toc14438"/>
      <w:bookmarkStart w:id="653" w:name="_Toc24300"/>
      <w:bookmarkStart w:id="654" w:name="_Toc21295"/>
      <w:bookmarkStart w:id="655" w:name="_Toc639"/>
      <w:bookmarkStart w:id="656" w:name="_Toc27126"/>
      <w:bookmarkStart w:id="657" w:name="_Toc5055"/>
      <w:bookmarkStart w:id="658" w:name="_Toc31812"/>
      <w:bookmarkStart w:id="659" w:name="_Toc8634"/>
      <w:bookmarkStart w:id="660" w:name="_Toc5787"/>
      <w:r>
        <w:rPr>
          <w:rFonts w:hint="eastAsia" w:ascii="仿宋" w:hAnsi="仿宋" w:eastAsia="仿宋" w:cs="仿宋"/>
          <w:b/>
          <w:color w:val="auto"/>
          <w:sz w:val="28"/>
          <w:szCs w:val="28"/>
          <w:highlight w:val="none"/>
        </w:rPr>
        <w:t>1.2 货物</w:t>
      </w:r>
      <w:bookmarkEnd w:id="651"/>
      <w:bookmarkEnd w:id="652"/>
      <w:bookmarkEnd w:id="653"/>
      <w:bookmarkEnd w:id="654"/>
      <w:bookmarkEnd w:id="655"/>
      <w:bookmarkEnd w:id="656"/>
      <w:bookmarkEnd w:id="657"/>
      <w:bookmarkEnd w:id="658"/>
      <w:bookmarkEnd w:id="659"/>
      <w:bookmarkEnd w:id="660"/>
    </w:p>
    <w:p w14:paraId="1CE214C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1.2.1 货物名称：</w:t>
      </w:r>
      <w:r>
        <w:rPr>
          <w:rFonts w:hint="eastAsia" w:ascii="仿宋" w:hAnsi="仿宋" w:eastAsia="仿宋" w:cs="仿宋"/>
          <w:color w:val="auto"/>
          <w:spacing w:val="-20"/>
          <w:sz w:val="28"/>
          <w:szCs w:val="28"/>
          <w:highlight w:val="none"/>
          <w:u w:val="single"/>
        </w:rPr>
        <w:t xml:space="preserve">                                                </w:t>
      </w:r>
      <w:r>
        <w:rPr>
          <w:rFonts w:hint="eastAsia" w:ascii="仿宋" w:hAnsi="仿宋" w:eastAsia="仿宋" w:cs="仿宋"/>
          <w:color w:val="auto"/>
          <w:spacing w:val="-20"/>
          <w:sz w:val="28"/>
          <w:szCs w:val="28"/>
          <w:highlight w:val="none"/>
        </w:rPr>
        <w:t>；</w:t>
      </w:r>
    </w:p>
    <w:p w14:paraId="61A4CD2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1.2.2 货物数量：</w:t>
      </w:r>
      <w:r>
        <w:rPr>
          <w:rFonts w:hint="eastAsia" w:ascii="仿宋" w:hAnsi="仿宋" w:eastAsia="仿宋" w:cs="仿宋"/>
          <w:color w:val="auto"/>
          <w:spacing w:val="-20"/>
          <w:sz w:val="28"/>
          <w:szCs w:val="28"/>
          <w:highlight w:val="none"/>
          <w:u w:val="single"/>
        </w:rPr>
        <w:t xml:space="preserve">                                                </w:t>
      </w:r>
      <w:r>
        <w:rPr>
          <w:rFonts w:hint="eastAsia" w:ascii="仿宋" w:hAnsi="仿宋" w:eastAsia="仿宋" w:cs="仿宋"/>
          <w:color w:val="auto"/>
          <w:spacing w:val="-20"/>
          <w:sz w:val="28"/>
          <w:szCs w:val="28"/>
          <w:highlight w:val="none"/>
        </w:rPr>
        <w:t>；</w:t>
      </w:r>
    </w:p>
    <w:p w14:paraId="3A4026F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1.2.3 货物质量：</w:t>
      </w:r>
      <w:r>
        <w:rPr>
          <w:rFonts w:hint="eastAsia" w:ascii="仿宋" w:hAnsi="仿宋" w:eastAsia="仿宋" w:cs="仿宋"/>
          <w:color w:val="auto"/>
          <w:spacing w:val="-20"/>
          <w:sz w:val="28"/>
          <w:szCs w:val="28"/>
          <w:highlight w:val="none"/>
          <w:u w:val="single"/>
        </w:rPr>
        <w:t xml:space="preserve">　　　　　　　　　                      　      </w:t>
      </w:r>
      <w:r>
        <w:rPr>
          <w:rFonts w:hint="eastAsia" w:ascii="仿宋" w:hAnsi="仿宋" w:eastAsia="仿宋" w:cs="仿宋"/>
          <w:color w:val="auto"/>
          <w:spacing w:val="-20"/>
          <w:sz w:val="28"/>
          <w:szCs w:val="28"/>
          <w:highlight w:val="none"/>
        </w:rPr>
        <w:t>。</w:t>
      </w:r>
    </w:p>
    <w:p w14:paraId="1B7D359C">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661" w:name="_Toc23292"/>
      <w:bookmarkStart w:id="662" w:name="_Toc6013"/>
      <w:bookmarkStart w:id="663" w:name="_Toc733"/>
      <w:bookmarkStart w:id="664" w:name="_Toc20588"/>
      <w:bookmarkStart w:id="665" w:name="_Toc31435"/>
      <w:bookmarkStart w:id="666" w:name="_Toc27983"/>
      <w:bookmarkStart w:id="667" w:name="_Toc6725"/>
      <w:bookmarkStart w:id="668" w:name="_Toc21631"/>
      <w:bookmarkStart w:id="669" w:name="_Toc22233"/>
      <w:bookmarkStart w:id="670" w:name="_Toc21551"/>
      <w:r>
        <w:rPr>
          <w:rFonts w:hint="eastAsia" w:ascii="仿宋" w:hAnsi="仿宋" w:eastAsia="仿宋" w:cs="仿宋"/>
          <w:b/>
          <w:color w:val="auto"/>
          <w:sz w:val="28"/>
          <w:szCs w:val="28"/>
          <w:highlight w:val="none"/>
        </w:rPr>
        <w:t>1.3 价款</w:t>
      </w:r>
      <w:bookmarkEnd w:id="661"/>
      <w:bookmarkEnd w:id="662"/>
      <w:bookmarkEnd w:id="663"/>
      <w:bookmarkEnd w:id="664"/>
      <w:bookmarkEnd w:id="665"/>
      <w:bookmarkEnd w:id="666"/>
      <w:bookmarkEnd w:id="667"/>
      <w:bookmarkEnd w:id="668"/>
      <w:bookmarkEnd w:id="669"/>
      <w:bookmarkEnd w:id="670"/>
    </w:p>
    <w:p w14:paraId="5466922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本合同总价</w:t>
      </w:r>
      <w:r>
        <w:rPr>
          <w:rFonts w:hint="eastAsia" w:ascii="仿宋" w:hAnsi="仿宋" w:eastAsia="仿宋" w:cs="仿宋"/>
          <w:color w:val="auto"/>
          <w:sz w:val="28"/>
          <w:szCs w:val="28"/>
          <w:highlight w:val="none"/>
          <w:lang w:val="en-US" w:eastAsia="zh-CN"/>
        </w:rPr>
        <w:t>折扣率</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rPr>
        <w:t>。</w:t>
      </w:r>
    </w:p>
    <w:p w14:paraId="072B6C0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分项价格：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0B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ECA897B">
            <w:pPr>
              <w:pStyle w:val="76"/>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3402" w:type="dxa"/>
            <w:noWrap w:val="0"/>
            <w:vAlign w:val="center"/>
          </w:tcPr>
          <w:p w14:paraId="2E5C3B2F">
            <w:pPr>
              <w:pStyle w:val="76"/>
              <w:spacing w:line="440" w:lineRule="exact"/>
              <w:ind w:firstLine="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分项名称</w:t>
            </w:r>
          </w:p>
        </w:tc>
        <w:tc>
          <w:tcPr>
            <w:tcW w:w="2552" w:type="dxa"/>
            <w:noWrap w:val="0"/>
            <w:vAlign w:val="center"/>
          </w:tcPr>
          <w:p w14:paraId="4D3F4B2A">
            <w:pPr>
              <w:pStyle w:val="76"/>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分项价格</w:t>
            </w:r>
          </w:p>
        </w:tc>
      </w:tr>
      <w:tr w14:paraId="2272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CE9000E">
            <w:pPr>
              <w:pStyle w:val="76"/>
              <w:spacing w:line="440" w:lineRule="exact"/>
              <w:ind w:firstLine="200"/>
              <w:jc w:val="center"/>
              <w:rPr>
                <w:rFonts w:hint="eastAsia" w:ascii="仿宋" w:hAnsi="仿宋" w:eastAsia="仿宋" w:cs="仿宋"/>
                <w:color w:val="auto"/>
                <w:sz w:val="28"/>
                <w:szCs w:val="28"/>
                <w:highlight w:val="none"/>
              </w:rPr>
            </w:pPr>
          </w:p>
        </w:tc>
        <w:tc>
          <w:tcPr>
            <w:tcW w:w="3402" w:type="dxa"/>
            <w:noWrap w:val="0"/>
            <w:vAlign w:val="center"/>
          </w:tcPr>
          <w:p w14:paraId="50E1F28D">
            <w:pPr>
              <w:pStyle w:val="76"/>
              <w:spacing w:line="440" w:lineRule="exact"/>
              <w:ind w:firstLine="200"/>
              <w:jc w:val="center"/>
              <w:rPr>
                <w:rFonts w:hint="eastAsia" w:ascii="仿宋" w:hAnsi="仿宋" w:eastAsia="仿宋" w:cs="仿宋"/>
                <w:color w:val="auto"/>
                <w:sz w:val="28"/>
                <w:szCs w:val="28"/>
                <w:highlight w:val="none"/>
              </w:rPr>
            </w:pPr>
          </w:p>
        </w:tc>
        <w:tc>
          <w:tcPr>
            <w:tcW w:w="2552" w:type="dxa"/>
            <w:noWrap w:val="0"/>
            <w:vAlign w:val="center"/>
          </w:tcPr>
          <w:p w14:paraId="16E34A75">
            <w:pPr>
              <w:pStyle w:val="76"/>
              <w:spacing w:line="440" w:lineRule="exact"/>
              <w:ind w:firstLine="200"/>
              <w:jc w:val="center"/>
              <w:rPr>
                <w:rFonts w:hint="eastAsia" w:ascii="仿宋" w:hAnsi="仿宋" w:eastAsia="仿宋" w:cs="仿宋"/>
                <w:color w:val="auto"/>
                <w:sz w:val="28"/>
                <w:szCs w:val="28"/>
                <w:highlight w:val="none"/>
              </w:rPr>
            </w:pPr>
          </w:p>
        </w:tc>
      </w:tr>
      <w:tr w14:paraId="44A6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6166C34">
            <w:pPr>
              <w:pStyle w:val="76"/>
              <w:spacing w:line="440" w:lineRule="exact"/>
              <w:ind w:firstLine="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总价</w:t>
            </w:r>
          </w:p>
        </w:tc>
        <w:tc>
          <w:tcPr>
            <w:tcW w:w="2552" w:type="dxa"/>
            <w:noWrap w:val="0"/>
            <w:vAlign w:val="center"/>
          </w:tcPr>
          <w:p w14:paraId="6F2872F8">
            <w:pPr>
              <w:pStyle w:val="76"/>
              <w:spacing w:line="440" w:lineRule="exact"/>
              <w:ind w:firstLine="200"/>
              <w:jc w:val="center"/>
              <w:rPr>
                <w:rFonts w:hint="eastAsia" w:ascii="仿宋" w:hAnsi="仿宋" w:eastAsia="仿宋" w:cs="仿宋"/>
                <w:color w:val="auto"/>
                <w:sz w:val="28"/>
                <w:szCs w:val="28"/>
                <w:highlight w:val="none"/>
              </w:rPr>
            </w:pPr>
          </w:p>
        </w:tc>
      </w:tr>
    </w:tbl>
    <w:p w14:paraId="2FC66D7E">
      <w:pPr>
        <w:keepNext w:val="0"/>
        <w:keepLines w:val="0"/>
        <w:pageBreakBefore w:val="0"/>
        <w:widowControl w:val="0"/>
        <w:kinsoku/>
        <w:wordWrap/>
        <w:overflowPunct/>
        <w:topLinePunct w:val="0"/>
        <w:bidi w:val="0"/>
        <w:snapToGrid/>
        <w:spacing w:line="480" w:lineRule="exact"/>
        <w:ind w:firstLine="482" w:firstLineChars="200"/>
        <w:textAlignment w:val="auto"/>
        <w:outlineLvl w:val="1"/>
        <w:rPr>
          <w:rFonts w:hint="eastAsia" w:ascii="仿宋" w:hAnsi="仿宋" w:eastAsia="仿宋" w:cs="仿宋"/>
          <w:b/>
          <w:color w:val="auto"/>
          <w:spacing w:val="-20"/>
          <w:sz w:val="28"/>
          <w:szCs w:val="28"/>
          <w:highlight w:val="none"/>
        </w:rPr>
      </w:pPr>
      <w:bookmarkStart w:id="671" w:name="_Toc1814"/>
      <w:bookmarkStart w:id="672" w:name="_Toc14865"/>
      <w:bookmarkStart w:id="673" w:name="_Toc18356"/>
      <w:bookmarkStart w:id="674" w:name="_Toc14212"/>
      <w:bookmarkStart w:id="675" w:name="_Toc10340"/>
      <w:bookmarkStart w:id="676" w:name="_Toc22618"/>
      <w:bookmarkStart w:id="677" w:name="_Toc21107"/>
      <w:bookmarkStart w:id="678" w:name="_Toc10234"/>
      <w:bookmarkStart w:id="679" w:name="_Toc14208"/>
      <w:bookmarkStart w:id="680" w:name="_Toc13555"/>
      <w:r>
        <w:rPr>
          <w:rFonts w:hint="eastAsia" w:ascii="仿宋" w:hAnsi="仿宋" w:eastAsia="仿宋" w:cs="仿宋"/>
          <w:b/>
          <w:color w:val="auto"/>
          <w:spacing w:val="-20"/>
          <w:sz w:val="28"/>
          <w:szCs w:val="28"/>
          <w:highlight w:val="none"/>
        </w:rPr>
        <w:t>1.4 付款方式和发票开具方式</w:t>
      </w:r>
      <w:bookmarkEnd w:id="671"/>
      <w:bookmarkEnd w:id="672"/>
      <w:bookmarkEnd w:id="673"/>
      <w:bookmarkEnd w:id="674"/>
      <w:bookmarkEnd w:id="675"/>
      <w:bookmarkEnd w:id="676"/>
      <w:bookmarkEnd w:id="677"/>
      <w:bookmarkEnd w:id="678"/>
      <w:bookmarkEnd w:id="679"/>
      <w:bookmarkEnd w:id="680"/>
    </w:p>
    <w:p w14:paraId="3331D671">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1.4.1 付款方式：</w:t>
      </w:r>
      <w:r>
        <w:rPr>
          <w:rFonts w:hint="eastAsia" w:ascii="仿宋" w:hAnsi="仿宋" w:eastAsia="仿宋" w:cs="仿宋"/>
          <w:color w:val="auto"/>
          <w:spacing w:val="-20"/>
          <w:sz w:val="28"/>
          <w:szCs w:val="28"/>
          <w:highlight w:val="none"/>
          <w:u w:val="single"/>
        </w:rPr>
        <w:t xml:space="preserve">                                                </w:t>
      </w:r>
      <w:r>
        <w:rPr>
          <w:rFonts w:hint="eastAsia" w:ascii="仿宋" w:hAnsi="仿宋" w:eastAsia="仿宋" w:cs="仿宋"/>
          <w:color w:val="auto"/>
          <w:spacing w:val="-20"/>
          <w:sz w:val="28"/>
          <w:szCs w:val="28"/>
          <w:highlight w:val="none"/>
        </w:rPr>
        <w:t>；</w:t>
      </w:r>
    </w:p>
    <w:p w14:paraId="773A2448">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1.4.2 发票开具方式：</w:t>
      </w:r>
      <w:r>
        <w:rPr>
          <w:rFonts w:hint="eastAsia" w:ascii="仿宋" w:hAnsi="仿宋" w:eastAsia="仿宋" w:cs="仿宋"/>
          <w:color w:val="auto"/>
          <w:spacing w:val="-20"/>
          <w:sz w:val="28"/>
          <w:szCs w:val="28"/>
          <w:highlight w:val="none"/>
          <w:u w:val="single"/>
        </w:rPr>
        <w:t xml:space="preserve">                                           </w:t>
      </w:r>
      <w:r>
        <w:rPr>
          <w:rFonts w:hint="eastAsia" w:ascii="仿宋" w:hAnsi="仿宋" w:eastAsia="仿宋" w:cs="仿宋"/>
          <w:color w:val="auto"/>
          <w:spacing w:val="-20"/>
          <w:sz w:val="28"/>
          <w:szCs w:val="28"/>
          <w:highlight w:val="none"/>
        </w:rPr>
        <w:t xml:space="preserve"> 。</w:t>
      </w:r>
    </w:p>
    <w:p w14:paraId="56D90722">
      <w:pPr>
        <w:keepNext w:val="0"/>
        <w:keepLines w:val="0"/>
        <w:pageBreakBefore w:val="0"/>
        <w:widowControl w:val="0"/>
        <w:kinsoku/>
        <w:wordWrap/>
        <w:overflowPunct/>
        <w:topLinePunct w:val="0"/>
        <w:bidi w:val="0"/>
        <w:snapToGrid/>
        <w:spacing w:line="480" w:lineRule="exact"/>
        <w:ind w:firstLine="482" w:firstLineChars="200"/>
        <w:textAlignment w:val="auto"/>
        <w:outlineLvl w:val="1"/>
        <w:rPr>
          <w:rFonts w:hint="eastAsia" w:ascii="仿宋" w:hAnsi="仿宋" w:eastAsia="仿宋" w:cs="仿宋"/>
          <w:b/>
          <w:color w:val="auto"/>
          <w:spacing w:val="-20"/>
          <w:sz w:val="28"/>
          <w:szCs w:val="28"/>
          <w:highlight w:val="none"/>
        </w:rPr>
      </w:pPr>
      <w:bookmarkStart w:id="681" w:name="_Toc5684"/>
      <w:bookmarkStart w:id="682" w:name="_Toc2839"/>
      <w:bookmarkStart w:id="683" w:name="_Toc32071"/>
      <w:bookmarkStart w:id="684" w:name="_Toc11743"/>
      <w:bookmarkStart w:id="685" w:name="_Toc25306"/>
      <w:bookmarkStart w:id="686" w:name="_Toc25629"/>
      <w:bookmarkStart w:id="687" w:name="_Toc19337"/>
      <w:bookmarkStart w:id="688" w:name="_Toc2846"/>
      <w:bookmarkStart w:id="689" w:name="_Toc19304"/>
      <w:bookmarkStart w:id="690" w:name="_Toc12530"/>
      <w:r>
        <w:rPr>
          <w:rFonts w:hint="eastAsia" w:ascii="仿宋" w:hAnsi="仿宋" w:eastAsia="仿宋" w:cs="仿宋"/>
          <w:b/>
          <w:color w:val="auto"/>
          <w:spacing w:val="-20"/>
          <w:sz w:val="28"/>
          <w:szCs w:val="28"/>
          <w:highlight w:val="none"/>
        </w:rPr>
        <w:t>1.5 货物交付期限、地点和方式</w:t>
      </w:r>
      <w:bookmarkEnd w:id="681"/>
      <w:bookmarkEnd w:id="682"/>
      <w:bookmarkEnd w:id="683"/>
      <w:bookmarkEnd w:id="684"/>
      <w:bookmarkEnd w:id="685"/>
      <w:bookmarkEnd w:id="686"/>
      <w:bookmarkEnd w:id="687"/>
      <w:bookmarkEnd w:id="688"/>
      <w:bookmarkEnd w:id="689"/>
      <w:bookmarkEnd w:id="690"/>
    </w:p>
    <w:p w14:paraId="194B60C8">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1.5.1 交付期限：</w:t>
      </w:r>
      <w:r>
        <w:rPr>
          <w:rFonts w:hint="eastAsia" w:ascii="仿宋" w:hAnsi="仿宋" w:eastAsia="仿宋" w:cs="仿宋"/>
          <w:color w:val="auto"/>
          <w:spacing w:val="-20"/>
          <w:sz w:val="28"/>
          <w:szCs w:val="28"/>
          <w:highlight w:val="none"/>
          <w:u w:val="single"/>
        </w:rPr>
        <w:t xml:space="preserve">                                               </w:t>
      </w:r>
      <w:r>
        <w:rPr>
          <w:rFonts w:hint="eastAsia" w:ascii="仿宋" w:hAnsi="仿宋" w:eastAsia="仿宋" w:cs="仿宋"/>
          <w:color w:val="auto"/>
          <w:spacing w:val="-20"/>
          <w:sz w:val="28"/>
          <w:szCs w:val="28"/>
          <w:highlight w:val="none"/>
        </w:rPr>
        <w:t xml:space="preserve"> ；</w:t>
      </w:r>
    </w:p>
    <w:p w14:paraId="1101990C">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1.5.2 交付地点：</w:t>
      </w:r>
      <w:r>
        <w:rPr>
          <w:rFonts w:hint="eastAsia" w:ascii="仿宋" w:hAnsi="仿宋" w:eastAsia="仿宋" w:cs="仿宋"/>
          <w:color w:val="auto"/>
          <w:spacing w:val="-20"/>
          <w:sz w:val="28"/>
          <w:szCs w:val="28"/>
          <w:highlight w:val="none"/>
          <w:u w:val="single"/>
        </w:rPr>
        <w:t xml:space="preserve">                                               </w:t>
      </w:r>
      <w:r>
        <w:rPr>
          <w:rFonts w:hint="eastAsia" w:ascii="仿宋" w:hAnsi="仿宋" w:eastAsia="仿宋" w:cs="仿宋"/>
          <w:color w:val="auto"/>
          <w:spacing w:val="-20"/>
          <w:sz w:val="28"/>
          <w:szCs w:val="28"/>
          <w:highlight w:val="none"/>
        </w:rPr>
        <w:t xml:space="preserve"> ；</w:t>
      </w:r>
    </w:p>
    <w:p w14:paraId="446E2431">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1.5.3 交付方式：</w:t>
      </w:r>
      <w:r>
        <w:rPr>
          <w:rFonts w:hint="eastAsia" w:ascii="仿宋" w:hAnsi="仿宋" w:eastAsia="仿宋" w:cs="仿宋"/>
          <w:color w:val="auto"/>
          <w:spacing w:val="-20"/>
          <w:sz w:val="28"/>
          <w:szCs w:val="28"/>
          <w:highlight w:val="none"/>
          <w:u w:val="single"/>
        </w:rPr>
        <w:t xml:space="preserve">　　　　　　　　　                      　     </w:t>
      </w:r>
      <w:r>
        <w:rPr>
          <w:rFonts w:hint="eastAsia" w:ascii="仿宋" w:hAnsi="仿宋" w:eastAsia="仿宋" w:cs="仿宋"/>
          <w:color w:val="auto"/>
          <w:spacing w:val="-20"/>
          <w:sz w:val="28"/>
          <w:szCs w:val="28"/>
          <w:highlight w:val="none"/>
        </w:rPr>
        <w:t xml:space="preserve"> 。</w:t>
      </w:r>
    </w:p>
    <w:p w14:paraId="49CD2BF8">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691" w:name="_Toc21423"/>
      <w:bookmarkStart w:id="692" w:name="_Toc386"/>
      <w:bookmarkStart w:id="693" w:name="_Toc25260"/>
      <w:bookmarkStart w:id="694" w:name="_Toc25434"/>
      <w:bookmarkStart w:id="695" w:name="_Toc27250"/>
      <w:bookmarkStart w:id="696" w:name="_Toc18201"/>
      <w:bookmarkStart w:id="697" w:name="_Toc21242"/>
      <w:bookmarkStart w:id="698" w:name="_Toc19548"/>
      <w:bookmarkStart w:id="699" w:name="_Toc19554"/>
      <w:bookmarkStart w:id="700" w:name="_Toc9854"/>
      <w:r>
        <w:rPr>
          <w:rFonts w:hint="eastAsia" w:ascii="仿宋" w:hAnsi="仿宋" w:eastAsia="仿宋" w:cs="仿宋"/>
          <w:b/>
          <w:color w:val="auto"/>
          <w:sz w:val="28"/>
          <w:szCs w:val="28"/>
          <w:highlight w:val="none"/>
        </w:rPr>
        <w:t>1.6 违约责任</w:t>
      </w:r>
      <w:bookmarkEnd w:id="691"/>
      <w:bookmarkEnd w:id="692"/>
      <w:bookmarkEnd w:id="693"/>
      <w:bookmarkEnd w:id="694"/>
      <w:bookmarkEnd w:id="695"/>
      <w:bookmarkEnd w:id="696"/>
      <w:bookmarkEnd w:id="697"/>
      <w:bookmarkEnd w:id="698"/>
      <w:bookmarkEnd w:id="699"/>
      <w:bookmarkEnd w:id="700"/>
    </w:p>
    <w:p w14:paraId="072D6FE8">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%计算，最高限额为本合同总价的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%；迟延交付货物的违约金计算数额达到前述最高限额之日起，甲方有权在要求乙方支付违约金的同时，书面通知乙方解除本合同；</w:t>
      </w:r>
    </w:p>
    <w:p w14:paraId="67FD516A">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%计算，最高限额为本合同总价的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%；迟延付款的违约金计算数额达到前述最高限额之日起，乙方有权在要求甲方支付违约金的同时，书面通知甲方解除本合同；</w:t>
      </w:r>
    </w:p>
    <w:p w14:paraId="5B559026">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7B5B61B">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F8E4BDB">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B99AC7A">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54B2050B">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701" w:name="_Toc20711"/>
      <w:bookmarkStart w:id="702" w:name="_Toc15583"/>
      <w:bookmarkStart w:id="703" w:name="_Toc28375"/>
      <w:bookmarkStart w:id="704" w:name="_Toc32492"/>
      <w:bookmarkStart w:id="705" w:name="_Toc4767"/>
      <w:bookmarkStart w:id="706" w:name="_Toc15640"/>
      <w:bookmarkStart w:id="707" w:name="_Toc26606"/>
      <w:bookmarkStart w:id="708" w:name="_Toc16021"/>
      <w:bookmarkStart w:id="709" w:name="_Toc8108"/>
      <w:r>
        <w:rPr>
          <w:rFonts w:hint="eastAsia" w:ascii="仿宋" w:hAnsi="仿宋" w:eastAsia="仿宋" w:cs="仿宋"/>
          <w:b/>
          <w:color w:val="auto"/>
          <w:sz w:val="28"/>
          <w:szCs w:val="28"/>
          <w:highlight w:val="none"/>
        </w:rPr>
        <w:t>1.7 合同争议的解决</w:t>
      </w:r>
      <w:bookmarkEnd w:id="701"/>
      <w:bookmarkEnd w:id="702"/>
      <w:bookmarkEnd w:id="703"/>
      <w:bookmarkEnd w:id="704"/>
      <w:bookmarkEnd w:id="705"/>
      <w:bookmarkEnd w:id="706"/>
      <w:bookmarkEnd w:id="707"/>
      <w:bookmarkEnd w:id="708"/>
      <w:bookmarkEnd w:id="709"/>
    </w:p>
    <w:p w14:paraId="13C9364A">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种方式解决：</w:t>
      </w:r>
    </w:p>
    <w:p w14:paraId="7E5CB24B">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1.7.1 将争议提交</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仲裁委员会依申请仲裁时其现行有效的仲裁规则裁决；</w:t>
      </w:r>
    </w:p>
    <w:p w14:paraId="2CCD6159">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 向</w:t>
      </w:r>
      <w:r>
        <w:rPr>
          <w:rFonts w:hint="eastAsia" w:ascii="仿宋" w:hAnsi="仿宋" w:eastAsia="仿宋" w:cs="仿宋"/>
          <w:color w:val="auto"/>
          <w:sz w:val="28"/>
          <w:szCs w:val="28"/>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8"/>
          <w:szCs w:val="28"/>
          <w:highlight w:val="none"/>
        </w:rPr>
        <w:t>人民法院起诉。</w:t>
      </w:r>
    </w:p>
    <w:p w14:paraId="1C6522DE">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710" w:name="_Toc28209"/>
      <w:bookmarkStart w:id="711" w:name="_Toc22115"/>
      <w:bookmarkStart w:id="712" w:name="_Toc14474"/>
      <w:bookmarkStart w:id="713" w:name="_Toc15322"/>
      <w:bookmarkStart w:id="714" w:name="_Toc7245"/>
      <w:bookmarkStart w:id="715" w:name="_Toc22745"/>
      <w:bookmarkStart w:id="716" w:name="_Toc11173"/>
      <w:bookmarkStart w:id="717" w:name="_Toc1007"/>
      <w:bookmarkStart w:id="718" w:name="_Toc23600"/>
      <w:bookmarkStart w:id="719" w:name="_Toc9073"/>
      <w:r>
        <w:rPr>
          <w:rFonts w:hint="eastAsia" w:ascii="仿宋" w:hAnsi="仿宋" w:eastAsia="仿宋" w:cs="仿宋"/>
          <w:b/>
          <w:color w:val="auto"/>
          <w:sz w:val="28"/>
          <w:szCs w:val="28"/>
          <w:highlight w:val="none"/>
        </w:rPr>
        <w:t>1.8 合同生效</w:t>
      </w:r>
      <w:bookmarkEnd w:id="710"/>
      <w:bookmarkEnd w:id="711"/>
      <w:bookmarkEnd w:id="712"/>
      <w:bookmarkEnd w:id="713"/>
      <w:bookmarkEnd w:id="714"/>
      <w:bookmarkEnd w:id="715"/>
      <w:bookmarkEnd w:id="716"/>
      <w:bookmarkEnd w:id="717"/>
      <w:bookmarkEnd w:id="718"/>
      <w:bookmarkEnd w:id="719"/>
    </w:p>
    <w:p w14:paraId="221203D5">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本合同自双方当事人盖章或者签字时生效。</w:t>
      </w:r>
    </w:p>
    <w:p w14:paraId="01D8A097">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b/>
          <w:color w:val="auto"/>
          <w:sz w:val="28"/>
          <w:szCs w:val="28"/>
          <w:highlight w:val="none"/>
          <w:lang w:val="zh-CN"/>
        </w:rPr>
        <w:t>甲方</w:t>
      </w:r>
      <w:r>
        <w:rPr>
          <w:rFonts w:hint="eastAsia" w:ascii="仿宋" w:hAnsi="仿宋" w:eastAsia="仿宋" w:cs="仿宋"/>
          <w:color w:val="auto"/>
          <w:sz w:val="28"/>
          <w:szCs w:val="28"/>
          <w:highlight w:val="none"/>
          <w:lang w:val="zh-CN"/>
        </w:rPr>
        <w:t xml:space="preserve">：                             </w:t>
      </w:r>
      <w:r>
        <w:rPr>
          <w:rFonts w:hint="eastAsia" w:ascii="仿宋" w:hAnsi="仿宋" w:eastAsia="仿宋" w:cs="仿宋"/>
          <w:b/>
          <w:color w:val="auto"/>
          <w:sz w:val="28"/>
          <w:szCs w:val="28"/>
          <w:highlight w:val="none"/>
          <w:lang w:val="zh-CN"/>
        </w:rPr>
        <w:t xml:space="preserve">      乙方</w:t>
      </w:r>
      <w:r>
        <w:rPr>
          <w:rFonts w:hint="eastAsia" w:ascii="仿宋" w:hAnsi="仿宋" w:eastAsia="仿宋" w:cs="仿宋"/>
          <w:color w:val="auto"/>
          <w:sz w:val="28"/>
          <w:szCs w:val="28"/>
          <w:highlight w:val="none"/>
          <w:lang w:val="zh-CN"/>
        </w:rPr>
        <w:t>：</w:t>
      </w:r>
    </w:p>
    <w:p w14:paraId="6E0DA981">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统一社会信用代码：                        统一社会信用代码或身份证号码：</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身份证号码：</w:t>
      </w:r>
    </w:p>
    <w:p w14:paraId="06310596">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住所：                                   住所：</w:t>
      </w:r>
    </w:p>
    <w:p w14:paraId="1B4BE788">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法定代表人或                             法定代表人</w:t>
      </w:r>
    </w:p>
    <w:p w14:paraId="63264FEB">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授权代表（签字）：                        或授权代表（签字）: </w:t>
      </w:r>
    </w:p>
    <w:p w14:paraId="4394A574">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联系人：                                 联系人：</w:t>
      </w:r>
    </w:p>
    <w:p w14:paraId="6F7F76F3">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约定送达地址：                           约定送达地址：</w:t>
      </w:r>
    </w:p>
    <w:p w14:paraId="4CAD3C8B">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邮政编码：                               邮政编码：</w:t>
      </w:r>
    </w:p>
    <w:p w14:paraId="2DA36369">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电话:                                    电话: </w:t>
      </w:r>
    </w:p>
    <w:p w14:paraId="16C989BB">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传真:                                    传真:</w:t>
      </w:r>
    </w:p>
    <w:p w14:paraId="4F8093B8">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电子邮箱：                               电子邮箱：</w:t>
      </w:r>
    </w:p>
    <w:p w14:paraId="7236BD82">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开户银行：                               开户银行： </w:t>
      </w:r>
    </w:p>
    <w:p w14:paraId="0CEFC130">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开户名称：                               开户名称： </w:t>
      </w:r>
    </w:p>
    <w:p w14:paraId="0C91802F">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b/>
          <w:color w:val="auto"/>
          <w:kern w:val="0"/>
          <w:sz w:val="28"/>
          <w:szCs w:val="28"/>
          <w:highlight w:val="none"/>
        </w:rPr>
      </w:pPr>
      <w:r>
        <w:rPr>
          <w:rFonts w:hint="eastAsia" w:ascii="仿宋" w:hAnsi="仿宋" w:eastAsia="仿宋" w:cs="仿宋"/>
          <w:color w:val="auto"/>
          <w:sz w:val="28"/>
          <w:szCs w:val="28"/>
          <w:highlight w:val="none"/>
        </w:rPr>
        <w:t>开户账号：</w:t>
      </w:r>
      <w:r>
        <w:rPr>
          <w:rFonts w:hint="eastAsia" w:ascii="仿宋" w:hAnsi="仿宋" w:eastAsia="仿宋" w:cs="仿宋"/>
          <w:color w:val="auto"/>
          <w:sz w:val="28"/>
          <w:szCs w:val="28"/>
          <w:highlight w:val="none"/>
          <w:lang w:val="zh-CN"/>
        </w:rPr>
        <w:t xml:space="preserve">                               </w:t>
      </w:r>
      <w:r>
        <w:rPr>
          <w:rFonts w:hint="eastAsia" w:ascii="仿宋" w:hAnsi="仿宋" w:eastAsia="仿宋" w:cs="仿宋"/>
          <w:color w:val="auto"/>
          <w:sz w:val="28"/>
          <w:szCs w:val="28"/>
          <w:highlight w:val="none"/>
        </w:rPr>
        <w:t>开户账号：</w:t>
      </w:r>
      <w:bookmarkStart w:id="720" w:name="_Toc331685783"/>
    </w:p>
    <w:p w14:paraId="46D61300">
      <w:pPr>
        <w:rPr>
          <w:rFonts w:hint="eastAsia" w:ascii="仿宋" w:hAnsi="仿宋" w:eastAsia="仿宋" w:cs="仿宋"/>
          <w:b/>
          <w:color w:val="auto"/>
          <w:sz w:val="28"/>
          <w:szCs w:val="28"/>
          <w:highlight w:val="none"/>
        </w:rPr>
      </w:pPr>
      <w:bookmarkStart w:id="721" w:name="_Toc15978"/>
      <w:bookmarkStart w:id="722" w:name="_Toc11335"/>
      <w:bookmarkStart w:id="723" w:name="_Toc16617"/>
      <w:bookmarkStart w:id="724" w:name="_Toc25620"/>
      <w:bookmarkStart w:id="725" w:name="_Toc9799"/>
      <w:bookmarkStart w:id="726" w:name="_Toc9655"/>
      <w:bookmarkStart w:id="727" w:name="_Toc19968"/>
      <w:bookmarkStart w:id="728" w:name="_Toc5921"/>
      <w:r>
        <w:rPr>
          <w:rFonts w:hint="eastAsia" w:ascii="仿宋" w:hAnsi="仿宋" w:eastAsia="仿宋" w:cs="仿宋"/>
          <w:b/>
          <w:color w:val="auto"/>
          <w:sz w:val="28"/>
          <w:szCs w:val="28"/>
          <w:highlight w:val="none"/>
        </w:rPr>
        <w:br w:type="page"/>
      </w:r>
    </w:p>
    <w:p w14:paraId="0FAFE9F0">
      <w:pPr>
        <w:pStyle w:val="34"/>
        <w:keepNext w:val="0"/>
        <w:keepLines w:val="0"/>
        <w:pageBreakBefore w:val="0"/>
        <w:widowControl w:val="0"/>
        <w:kinsoku/>
        <w:wordWrap/>
        <w:overflowPunct/>
        <w:topLinePunct w:val="0"/>
        <w:bidi w:val="0"/>
        <w:snapToGrid/>
        <w:spacing w:line="480" w:lineRule="exact"/>
        <w:ind w:firstLine="200"/>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第二部分 合同一般条款</w:t>
      </w:r>
      <w:bookmarkEnd w:id="720"/>
      <w:bookmarkEnd w:id="721"/>
      <w:bookmarkEnd w:id="722"/>
      <w:bookmarkEnd w:id="723"/>
      <w:bookmarkEnd w:id="724"/>
      <w:bookmarkEnd w:id="725"/>
      <w:bookmarkEnd w:id="726"/>
      <w:bookmarkEnd w:id="727"/>
      <w:bookmarkEnd w:id="728"/>
    </w:p>
    <w:p w14:paraId="26F0E556">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729" w:name="_Toc5029"/>
      <w:bookmarkStart w:id="730" w:name="_Toc16917"/>
      <w:bookmarkStart w:id="731" w:name="_Ref467379109"/>
      <w:bookmarkStart w:id="732" w:name="_Toc19614"/>
      <w:bookmarkStart w:id="733" w:name="_Toc487900349"/>
      <w:bookmarkStart w:id="734" w:name="_Toc279701240"/>
      <w:bookmarkStart w:id="735" w:name="_Toc4466"/>
      <w:bookmarkStart w:id="736" w:name="_Toc28763"/>
      <w:bookmarkStart w:id="737" w:name="_Toc18973"/>
      <w:bookmarkStart w:id="738" w:name="_Ref467379195"/>
      <w:bookmarkStart w:id="739" w:name="_Ref467379214"/>
      <w:bookmarkStart w:id="740" w:name="_Toc18196"/>
      <w:bookmarkStart w:id="741" w:name="_Toc24533"/>
      <w:bookmarkStart w:id="742" w:name="_Ref467378463"/>
      <w:bookmarkStart w:id="743" w:name="_Toc15170"/>
      <w:bookmarkStart w:id="744" w:name="_Ref467379205"/>
      <w:bookmarkStart w:id="745" w:name="_Toc5811"/>
      <w:bookmarkStart w:id="746" w:name="_Ref467379101"/>
      <w:bookmarkStart w:id="747" w:name="_Ref467379225"/>
      <w:bookmarkStart w:id="748" w:name="_Ref467378499"/>
      <w:bookmarkStart w:id="749" w:name="_Toc259093669"/>
      <w:bookmarkStart w:id="750" w:name="_Ref467378404"/>
      <w:bookmarkStart w:id="751" w:name="_Ref467379094"/>
      <w:r>
        <w:rPr>
          <w:rFonts w:hint="eastAsia" w:ascii="仿宋" w:hAnsi="仿宋" w:eastAsia="仿宋" w:cs="仿宋"/>
          <w:b/>
          <w:color w:val="auto"/>
          <w:sz w:val="28"/>
          <w:szCs w:val="28"/>
          <w:highlight w:val="none"/>
        </w:rPr>
        <w:t>2.1 定义</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2492A90D">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本合同中的下列词语应按以下内容进行解释：</w:t>
      </w:r>
    </w:p>
    <w:p w14:paraId="330AEA03">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2.1.1 “合同”系指采购人和中标供应商签订的载明双方当事人所达成的协议，并包括所有的附件、附录和构成合同的其他文件。</w:t>
      </w:r>
    </w:p>
    <w:p w14:paraId="1B2A6D8C">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2.1.2 “合同价”系指根据合同约定，中标供应商在完全履行合同义务后，采购人应支付给中标供应商的价格。</w:t>
      </w:r>
    </w:p>
    <w:p w14:paraId="7A5EB53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2.1.3 “货物”系指中标供应商根据合同约定应向采购人交付的一切各种形态和种类的物品，包括原材料、燃料、设备、机械、仪表、备件、计算机软件、产品等，并包括工具、手册等其他相关资料。</w:t>
      </w:r>
    </w:p>
    <w:p w14:paraId="3B363F92">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bookmarkStart w:id="752" w:name="_Ref467378840"/>
      <w:r>
        <w:rPr>
          <w:rFonts w:hint="eastAsia" w:ascii="仿宋" w:hAnsi="仿宋" w:eastAsia="仿宋" w:cs="仿宋"/>
          <w:color w:val="auto"/>
          <w:sz w:val="28"/>
          <w:szCs w:val="28"/>
          <w:highlight w:val="none"/>
        </w:rPr>
        <w:t>2.1.4 “甲方”系指与中标供应商签署合同的采购人</w:t>
      </w:r>
      <w:bookmarkEnd w:id="752"/>
      <w:r>
        <w:rPr>
          <w:rFonts w:hint="eastAsia" w:ascii="仿宋" w:hAnsi="仿宋" w:eastAsia="仿宋" w:cs="仿宋"/>
          <w:color w:val="auto"/>
          <w:sz w:val="28"/>
          <w:szCs w:val="28"/>
          <w:highlight w:val="none"/>
        </w:rPr>
        <w:t>；采购人委托采购代理机构代表其与乙方签订合同的，采购人的授权委托书作为合同附件。</w:t>
      </w:r>
    </w:p>
    <w:p w14:paraId="4891CBBF">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bookmarkStart w:id="753" w:name="_Ref467379400"/>
      <w:r>
        <w:rPr>
          <w:rFonts w:hint="eastAsia" w:ascii="仿宋" w:hAnsi="仿宋" w:eastAsia="仿宋" w:cs="仿宋"/>
          <w:color w:val="auto"/>
          <w:sz w:val="28"/>
          <w:szCs w:val="28"/>
          <w:highlight w:val="none"/>
        </w:rPr>
        <w:t>2.1.5 “乙方”系指根据合同约定交付货物的中标供应商</w:t>
      </w:r>
      <w:bookmarkEnd w:id="753"/>
      <w:r>
        <w:rPr>
          <w:rFonts w:hint="eastAsia" w:ascii="仿宋" w:hAnsi="仿宋" w:eastAsia="仿宋" w:cs="仿宋"/>
          <w:color w:val="auto"/>
          <w:sz w:val="28"/>
          <w:szCs w:val="28"/>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039E39E">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bookmarkStart w:id="754" w:name="_Ref467379436"/>
      <w:r>
        <w:rPr>
          <w:rFonts w:hint="eastAsia" w:ascii="仿宋" w:hAnsi="仿宋" w:eastAsia="仿宋" w:cs="仿宋"/>
          <w:color w:val="auto"/>
          <w:sz w:val="28"/>
          <w:szCs w:val="28"/>
          <w:highlight w:val="none"/>
        </w:rPr>
        <w:t>2.1.6 “现场”系指合同约定货物将要运至或者安装的地点。</w:t>
      </w:r>
      <w:bookmarkEnd w:id="754"/>
    </w:p>
    <w:p w14:paraId="18E2C986">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755" w:name="_Toc11020"/>
      <w:bookmarkStart w:id="756" w:name="_Toc23538"/>
      <w:bookmarkStart w:id="757" w:name="_Toc13850"/>
      <w:bookmarkStart w:id="758" w:name="_Toc5631"/>
      <w:bookmarkStart w:id="759" w:name="_Toc13784"/>
      <w:bookmarkStart w:id="760" w:name="_Toc279701241"/>
      <w:bookmarkStart w:id="761" w:name="_Toc32504"/>
      <w:bookmarkStart w:id="762" w:name="_Toc6892"/>
      <w:bookmarkStart w:id="763" w:name="_Toc27021"/>
      <w:bookmarkStart w:id="764" w:name="_Toc487900350"/>
      <w:bookmarkStart w:id="765" w:name="_Toc259093670"/>
      <w:bookmarkStart w:id="766" w:name="_Toc13336"/>
      <w:bookmarkStart w:id="767" w:name="_Toc27635"/>
      <w:r>
        <w:rPr>
          <w:rFonts w:hint="eastAsia" w:ascii="仿宋" w:hAnsi="仿宋" w:eastAsia="仿宋" w:cs="仿宋"/>
          <w:b/>
          <w:color w:val="auto"/>
          <w:sz w:val="28"/>
          <w:szCs w:val="28"/>
          <w:highlight w:val="none"/>
        </w:rPr>
        <w:t>2.2 技术规范</w:t>
      </w:r>
      <w:bookmarkEnd w:id="755"/>
      <w:bookmarkEnd w:id="756"/>
      <w:bookmarkEnd w:id="757"/>
      <w:bookmarkEnd w:id="758"/>
      <w:bookmarkEnd w:id="759"/>
      <w:bookmarkEnd w:id="760"/>
      <w:bookmarkEnd w:id="761"/>
      <w:bookmarkEnd w:id="762"/>
      <w:bookmarkEnd w:id="763"/>
      <w:bookmarkEnd w:id="764"/>
      <w:bookmarkEnd w:id="765"/>
      <w:bookmarkEnd w:id="766"/>
      <w:bookmarkEnd w:id="767"/>
    </w:p>
    <w:p w14:paraId="7A270B92">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7B4DD165">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768" w:name="_Toc2695"/>
      <w:bookmarkStart w:id="769" w:name="_Toc6159"/>
      <w:bookmarkStart w:id="770" w:name="_Toc31634"/>
      <w:bookmarkStart w:id="771" w:name="_Toc22896"/>
      <w:bookmarkStart w:id="772" w:name="_Toc3850"/>
      <w:bookmarkStart w:id="773" w:name="_Toc279701242"/>
      <w:bookmarkStart w:id="774" w:name="_Toc6076"/>
      <w:bookmarkStart w:id="775" w:name="_Toc259093671"/>
      <w:bookmarkStart w:id="776" w:name="_Toc56"/>
      <w:bookmarkStart w:id="777" w:name="_Toc9829"/>
      <w:bookmarkStart w:id="778" w:name="_Toc27853"/>
      <w:bookmarkStart w:id="779" w:name="_Toc20885"/>
      <w:bookmarkStart w:id="780" w:name="_Toc487900351"/>
      <w:r>
        <w:rPr>
          <w:rFonts w:hint="eastAsia" w:ascii="仿宋" w:hAnsi="仿宋" w:eastAsia="仿宋" w:cs="仿宋"/>
          <w:b/>
          <w:color w:val="auto"/>
          <w:sz w:val="28"/>
          <w:szCs w:val="28"/>
          <w:highlight w:val="none"/>
        </w:rPr>
        <w:t>2.3 知识产权</w:t>
      </w:r>
      <w:bookmarkEnd w:id="768"/>
      <w:bookmarkEnd w:id="769"/>
      <w:bookmarkEnd w:id="770"/>
      <w:bookmarkEnd w:id="771"/>
      <w:bookmarkEnd w:id="772"/>
      <w:bookmarkEnd w:id="773"/>
      <w:bookmarkEnd w:id="774"/>
      <w:bookmarkEnd w:id="775"/>
      <w:bookmarkEnd w:id="776"/>
      <w:bookmarkEnd w:id="777"/>
      <w:bookmarkEnd w:id="778"/>
      <w:bookmarkEnd w:id="779"/>
      <w:bookmarkEnd w:id="780"/>
    </w:p>
    <w:p w14:paraId="507CEEB0">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26F7FCFE">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2.3.2具有知识产权的计算机软件等货物的知识产权归属，详见</w:t>
      </w:r>
      <w:r>
        <w:rPr>
          <w:rFonts w:hint="eastAsia" w:ascii="仿宋" w:hAnsi="仿宋" w:eastAsia="仿宋" w:cs="仿宋"/>
          <w:b/>
          <w:bCs/>
          <w:color w:val="auto"/>
          <w:sz w:val="28"/>
          <w:szCs w:val="28"/>
          <w:highlight w:val="none"/>
          <w:u w:val="single"/>
        </w:rPr>
        <w:t>合同专用条款。</w:t>
      </w:r>
    </w:p>
    <w:p w14:paraId="37AE8143">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781" w:name="_Toc13822"/>
      <w:bookmarkStart w:id="782" w:name="_Toc29363"/>
      <w:bookmarkStart w:id="783" w:name="_Toc30506"/>
      <w:bookmarkStart w:id="784" w:name="_Toc18821"/>
      <w:bookmarkStart w:id="785" w:name="_Toc5441"/>
      <w:bookmarkStart w:id="786" w:name="_Toc3812"/>
      <w:bookmarkStart w:id="787" w:name="_Toc11932"/>
      <w:bookmarkStart w:id="788" w:name="_Toc29149"/>
      <w:bookmarkStart w:id="789" w:name="_Toc4194"/>
      <w:bookmarkStart w:id="790" w:name="_Toc359"/>
      <w:r>
        <w:rPr>
          <w:rFonts w:hint="eastAsia" w:ascii="仿宋" w:hAnsi="仿宋" w:eastAsia="仿宋" w:cs="仿宋"/>
          <w:b/>
          <w:color w:val="auto"/>
          <w:sz w:val="28"/>
          <w:szCs w:val="28"/>
          <w:highlight w:val="none"/>
        </w:rPr>
        <w:t>2.4 包装和装运</w:t>
      </w:r>
      <w:bookmarkEnd w:id="781"/>
      <w:bookmarkEnd w:id="782"/>
      <w:bookmarkEnd w:id="783"/>
      <w:bookmarkEnd w:id="784"/>
      <w:bookmarkEnd w:id="785"/>
      <w:bookmarkEnd w:id="786"/>
      <w:bookmarkEnd w:id="787"/>
      <w:bookmarkEnd w:id="788"/>
      <w:bookmarkEnd w:id="789"/>
      <w:bookmarkEnd w:id="790"/>
    </w:p>
    <w:p w14:paraId="5E24398D">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2.4.1除</w:t>
      </w:r>
      <w:r>
        <w:rPr>
          <w:rFonts w:hint="eastAsia" w:ascii="仿宋" w:hAnsi="仿宋" w:eastAsia="仿宋" w:cs="仿宋"/>
          <w:b/>
          <w:bCs/>
          <w:color w:val="auto"/>
          <w:sz w:val="28"/>
          <w:szCs w:val="28"/>
          <w:highlight w:val="none"/>
          <w:u w:val="single"/>
        </w:rPr>
        <w:t>合同专用条款</w:t>
      </w:r>
      <w:r>
        <w:rPr>
          <w:rFonts w:hint="eastAsia" w:ascii="仿宋" w:hAnsi="仿宋" w:eastAsia="仿宋" w:cs="仿宋"/>
          <w:color w:val="auto"/>
          <w:sz w:val="28"/>
          <w:szCs w:val="28"/>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448514E">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2.4.2 装运货物的要求和通知，详见</w:t>
      </w:r>
      <w:r>
        <w:rPr>
          <w:rFonts w:hint="eastAsia" w:ascii="仿宋" w:hAnsi="仿宋" w:eastAsia="仿宋" w:cs="仿宋"/>
          <w:b/>
          <w:bCs/>
          <w:color w:val="auto"/>
          <w:sz w:val="28"/>
          <w:szCs w:val="28"/>
          <w:highlight w:val="none"/>
          <w:u w:val="single"/>
        </w:rPr>
        <w:t>合同专用条款。</w:t>
      </w:r>
    </w:p>
    <w:p w14:paraId="32538EAE">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791" w:name="_Ref467379542"/>
      <w:bookmarkStart w:id="792" w:name="_Ref467379536"/>
      <w:bookmarkStart w:id="793" w:name="_Toc259093674"/>
      <w:bookmarkStart w:id="794" w:name="_Ref467379527"/>
      <w:bookmarkStart w:id="795" w:name="_Toc279701245"/>
      <w:bookmarkStart w:id="796" w:name="_Ref467378591"/>
      <w:bookmarkStart w:id="797" w:name="_Ref467378541"/>
      <w:bookmarkStart w:id="798" w:name="_Toc487900354"/>
      <w:bookmarkStart w:id="799" w:name="_Toc23837"/>
      <w:bookmarkStart w:id="800" w:name="_Toc19074"/>
      <w:bookmarkStart w:id="801" w:name="_Toc921"/>
      <w:bookmarkStart w:id="802" w:name="_Toc26858"/>
      <w:bookmarkStart w:id="803" w:name="_Toc22613"/>
      <w:bookmarkStart w:id="804" w:name="_Toc9614"/>
      <w:bookmarkStart w:id="805" w:name="_Toc23311"/>
      <w:bookmarkStart w:id="806" w:name="_Toc29663"/>
      <w:bookmarkStart w:id="807" w:name="_Toc26182"/>
      <w:bookmarkStart w:id="808" w:name="_Toc30272"/>
      <w:r>
        <w:rPr>
          <w:rFonts w:hint="eastAsia" w:ascii="仿宋" w:hAnsi="仿宋" w:eastAsia="仿宋" w:cs="仿宋"/>
          <w:b/>
          <w:color w:val="auto"/>
          <w:sz w:val="28"/>
          <w:szCs w:val="28"/>
          <w:highlight w:val="none"/>
        </w:rPr>
        <w:t>2.</w:t>
      </w:r>
      <w:bookmarkEnd w:id="791"/>
      <w:bookmarkEnd w:id="792"/>
      <w:bookmarkEnd w:id="793"/>
      <w:bookmarkEnd w:id="794"/>
      <w:bookmarkEnd w:id="795"/>
      <w:bookmarkEnd w:id="796"/>
      <w:bookmarkEnd w:id="797"/>
      <w:bookmarkEnd w:id="798"/>
      <w:r>
        <w:rPr>
          <w:rFonts w:hint="eastAsia" w:ascii="仿宋" w:hAnsi="仿宋" w:eastAsia="仿宋" w:cs="仿宋"/>
          <w:b/>
          <w:color w:val="auto"/>
          <w:sz w:val="28"/>
          <w:szCs w:val="28"/>
          <w:highlight w:val="none"/>
        </w:rPr>
        <w:t>5 履约检查和问题反馈</w:t>
      </w:r>
      <w:bookmarkEnd w:id="799"/>
      <w:bookmarkEnd w:id="800"/>
      <w:bookmarkEnd w:id="801"/>
      <w:bookmarkEnd w:id="802"/>
      <w:bookmarkEnd w:id="803"/>
      <w:bookmarkEnd w:id="804"/>
      <w:bookmarkEnd w:id="805"/>
      <w:bookmarkEnd w:id="806"/>
      <w:bookmarkEnd w:id="807"/>
      <w:bookmarkEnd w:id="808"/>
    </w:p>
    <w:p w14:paraId="3383CFB0">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bookmarkStart w:id="809" w:name="_Ref467379657"/>
      <w:r>
        <w:rPr>
          <w:rFonts w:hint="eastAsia" w:ascii="仿宋" w:hAnsi="仿宋" w:eastAsia="仿宋" w:cs="仿宋"/>
          <w:color w:val="auto"/>
          <w:sz w:val="28"/>
          <w:szCs w:val="28"/>
          <w:highlight w:val="none"/>
        </w:rPr>
        <w:t>2.5.1</w:t>
      </w:r>
      <w:bookmarkEnd w:id="809"/>
      <w:bookmarkStart w:id="810" w:name="_Toc186431854"/>
      <w:bookmarkStart w:id="811" w:name="_Ref467379807"/>
      <w:bookmarkStart w:id="812" w:name="_Toc487900357"/>
      <w:bookmarkStart w:id="813" w:name="_Ref467379793"/>
      <w:bookmarkStart w:id="814" w:name="_Toc259093676"/>
      <w:bookmarkStart w:id="815" w:name="_Toc279701247"/>
      <w:r>
        <w:rPr>
          <w:rFonts w:hint="eastAsia" w:ascii="仿宋" w:hAnsi="仿宋" w:eastAsia="仿宋" w:cs="仿宋"/>
          <w:color w:val="auto"/>
          <w:sz w:val="28"/>
          <w:szCs w:val="28"/>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0E2EACD9">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2.5.2 合同履行期间，甲方有权将履行过程中出现的问题反馈给乙方，双方当事人应以书面形式约定需要完善和改进的内容</w:t>
      </w:r>
      <w:bookmarkEnd w:id="810"/>
      <w:bookmarkStart w:id="816" w:name="_Toc186431855"/>
      <w:r>
        <w:rPr>
          <w:rFonts w:hint="eastAsia" w:ascii="仿宋" w:hAnsi="仿宋" w:eastAsia="仿宋" w:cs="仿宋"/>
          <w:color w:val="auto"/>
          <w:sz w:val="28"/>
          <w:szCs w:val="28"/>
          <w:highlight w:val="none"/>
        </w:rPr>
        <w:t>。</w:t>
      </w:r>
    </w:p>
    <w:bookmarkEnd w:id="816"/>
    <w:p w14:paraId="45021069">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817" w:name="_Toc19791"/>
      <w:bookmarkStart w:id="818" w:name="_Toc19219"/>
      <w:bookmarkStart w:id="819" w:name="_Toc6776"/>
      <w:bookmarkStart w:id="820" w:name="_Toc7836"/>
      <w:bookmarkStart w:id="821" w:name="_Toc24486"/>
      <w:bookmarkStart w:id="822" w:name="_Toc28451"/>
      <w:bookmarkStart w:id="823" w:name="_Toc13706"/>
      <w:bookmarkStart w:id="824" w:name="_Toc875"/>
      <w:bookmarkStart w:id="825" w:name="_Toc31059"/>
      <w:bookmarkStart w:id="826" w:name="_Toc28912"/>
      <w:r>
        <w:rPr>
          <w:rFonts w:hint="eastAsia" w:ascii="仿宋" w:hAnsi="仿宋" w:eastAsia="仿宋" w:cs="仿宋"/>
          <w:b/>
          <w:color w:val="auto"/>
          <w:sz w:val="28"/>
          <w:szCs w:val="28"/>
          <w:highlight w:val="none"/>
        </w:rPr>
        <w:t>2.6 结算方式和付款条件</w:t>
      </w:r>
      <w:bookmarkEnd w:id="811"/>
      <w:bookmarkEnd w:id="812"/>
      <w:bookmarkEnd w:id="813"/>
      <w:bookmarkEnd w:id="814"/>
      <w:bookmarkEnd w:id="815"/>
      <w:bookmarkEnd w:id="817"/>
      <w:bookmarkEnd w:id="818"/>
      <w:bookmarkEnd w:id="819"/>
      <w:bookmarkEnd w:id="820"/>
      <w:bookmarkEnd w:id="821"/>
      <w:bookmarkEnd w:id="822"/>
      <w:bookmarkEnd w:id="823"/>
      <w:bookmarkEnd w:id="824"/>
      <w:bookmarkEnd w:id="825"/>
      <w:bookmarkEnd w:id="826"/>
    </w:p>
    <w:p w14:paraId="34026EA2">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详见</w:t>
      </w:r>
      <w:r>
        <w:rPr>
          <w:rFonts w:hint="eastAsia" w:ascii="仿宋" w:hAnsi="仿宋" w:eastAsia="仿宋" w:cs="仿宋"/>
          <w:b/>
          <w:bCs/>
          <w:color w:val="auto"/>
          <w:sz w:val="28"/>
          <w:szCs w:val="28"/>
          <w:highlight w:val="none"/>
          <w:u w:val="single"/>
        </w:rPr>
        <w:t>合同专用条款。</w:t>
      </w:r>
    </w:p>
    <w:p w14:paraId="057E7454">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827" w:name="_Toc487900358"/>
      <w:bookmarkStart w:id="828" w:name="_Toc279701248"/>
      <w:bookmarkStart w:id="829" w:name="_Ref467379852"/>
      <w:bookmarkStart w:id="830" w:name="_Ref467379863"/>
      <w:bookmarkStart w:id="831" w:name="_Toc259093677"/>
      <w:bookmarkStart w:id="832" w:name="_Ref467379923"/>
      <w:bookmarkStart w:id="833" w:name="_Toc5468"/>
      <w:bookmarkStart w:id="834" w:name="_Toc27647"/>
      <w:bookmarkStart w:id="835" w:name="_Toc30107"/>
      <w:bookmarkStart w:id="836" w:name="_Toc20856"/>
      <w:bookmarkStart w:id="837" w:name="_Toc21058"/>
      <w:bookmarkStart w:id="838" w:name="_Toc16110"/>
      <w:bookmarkStart w:id="839" w:name="_Toc1227"/>
      <w:bookmarkStart w:id="840" w:name="_Toc3225"/>
      <w:bookmarkStart w:id="841" w:name="_Toc774"/>
      <w:bookmarkStart w:id="842" w:name="_Toc9782"/>
      <w:r>
        <w:rPr>
          <w:rFonts w:hint="eastAsia" w:ascii="仿宋" w:hAnsi="仿宋" w:eastAsia="仿宋" w:cs="仿宋"/>
          <w:b/>
          <w:color w:val="auto"/>
          <w:sz w:val="28"/>
          <w:szCs w:val="28"/>
          <w:highlight w:val="none"/>
        </w:rPr>
        <w:t>2.7 技术资料</w:t>
      </w:r>
      <w:bookmarkEnd w:id="827"/>
      <w:bookmarkEnd w:id="828"/>
      <w:bookmarkEnd w:id="829"/>
      <w:bookmarkEnd w:id="830"/>
      <w:bookmarkEnd w:id="831"/>
      <w:bookmarkEnd w:id="832"/>
      <w:r>
        <w:rPr>
          <w:rFonts w:hint="eastAsia" w:ascii="仿宋" w:hAnsi="仿宋" w:eastAsia="仿宋" w:cs="仿宋"/>
          <w:b/>
          <w:color w:val="auto"/>
          <w:sz w:val="28"/>
          <w:szCs w:val="28"/>
          <w:highlight w:val="none"/>
        </w:rPr>
        <w:t>和保密义务</w:t>
      </w:r>
      <w:bookmarkEnd w:id="833"/>
      <w:bookmarkEnd w:id="834"/>
      <w:bookmarkEnd w:id="835"/>
      <w:bookmarkEnd w:id="836"/>
      <w:bookmarkEnd w:id="837"/>
      <w:bookmarkEnd w:id="838"/>
      <w:bookmarkEnd w:id="839"/>
      <w:bookmarkEnd w:id="840"/>
      <w:bookmarkEnd w:id="841"/>
      <w:bookmarkEnd w:id="842"/>
    </w:p>
    <w:p w14:paraId="4CA87FF6">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2.7.1 乙方有权依据合同约定和项目需要，向甲方了解有关情况，调阅有关资料等，甲方应予积极配合；</w:t>
      </w:r>
    </w:p>
    <w:p w14:paraId="5C12AA42">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2.7.2 乙方有义务妥善保管和保护由甲方提供的前款信息和资料等；</w:t>
      </w:r>
    </w:p>
    <w:p w14:paraId="3CB0EB6D">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419F3C4">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843" w:name="_Toc7860"/>
      <w:bookmarkStart w:id="844" w:name="_Toc26701"/>
      <w:bookmarkStart w:id="845" w:name="_Toc19128"/>
      <w:bookmarkStart w:id="846" w:name="_Toc3567"/>
      <w:bookmarkStart w:id="847" w:name="_Toc5647"/>
      <w:bookmarkStart w:id="848" w:name="_Toc8300"/>
      <w:bookmarkStart w:id="849" w:name="_Toc17880"/>
      <w:bookmarkStart w:id="850" w:name="_Toc32282"/>
      <w:r>
        <w:rPr>
          <w:rFonts w:hint="eastAsia" w:ascii="仿宋" w:hAnsi="仿宋" w:eastAsia="仿宋" w:cs="仿宋"/>
          <w:b/>
          <w:color w:val="auto"/>
          <w:sz w:val="28"/>
          <w:szCs w:val="28"/>
          <w:highlight w:val="none"/>
        </w:rPr>
        <w:t>2.8 质量保证</w:t>
      </w:r>
      <w:bookmarkEnd w:id="843"/>
      <w:bookmarkEnd w:id="844"/>
      <w:bookmarkEnd w:id="845"/>
      <w:bookmarkEnd w:id="846"/>
      <w:bookmarkEnd w:id="847"/>
      <w:bookmarkEnd w:id="848"/>
      <w:bookmarkEnd w:id="849"/>
      <w:bookmarkEnd w:id="850"/>
    </w:p>
    <w:p w14:paraId="1D56E786">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2.8.1 乙方应建立和完善履行合同的内部质量保证体系，并提供相关内部规章制度给甲方，以便甲方进行监督检查；</w:t>
      </w:r>
    </w:p>
    <w:p w14:paraId="3AE0AA12">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2.8.2 乙方应保证履行合同的人员数量和素质、软件和硬件设备的配置、场地、环境和设施等满足全面履行合同的要求，并应接受甲方的监督检查。</w:t>
      </w:r>
    </w:p>
    <w:p w14:paraId="3F823829">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851" w:name="_Toc21568"/>
      <w:bookmarkStart w:id="852" w:name="_Toc17062"/>
      <w:bookmarkStart w:id="853" w:name="_Toc12306"/>
      <w:bookmarkStart w:id="854" w:name="_Toc11961"/>
      <w:bookmarkStart w:id="855" w:name="_Toc17244"/>
      <w:bookmarkStart w:id="856" w:name="_Toc17053"/>
      <w:bookmarkStart w:id="857" w:name="_Toc19236"/>
      <w:bookmarkStart w:id="858" w:name="_Toc31357"/>
      <w:bookmarkStart w:id="859" w:name="_Toc279701252"/>
      <w:bookmarkStart w:id="860" w:name="_Toc487900362"/>
      <w:bookmarkStart w:id="861" w:name="_Toc259093681"/>
      <w:r>
        <w:rPr>
          <w:rFonts w:hint="eastAsia" w:ascii="仿宋" w:hAnsi="仿宋" w:eastAsia="仿宋" w:cs="仿宋"/>
          <w:b/>
          <w:color w:val="auto"/>
          <w:sz w:val="28"/>
          <w:szCs w:val="28"/>
          <w:highlight w:val="none"/>
        </w:rPr>
        <w:t>2.9 货物的风险负担</w:t>
      </w:r>
      <w:bookmarkEnd w:id="851"/>
      <w:bookmarkEnd w:id="852"/>
      <w:bookmarkEnd w:id="853"/>
      <w:bookmarkEnd w:id="854"/>
      <w:bookmarkEnd w:id="855"/>
      <w:bookmarkEnd w:id="856"/>
      <w:bookmarkEnd w:id="857"/>
      <w:bookmarkEnd w:id="858"/>
    </w:p>
    <w:p w14:paraId="45B76950">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货物或者在途货物或者交付给第一承运人后的货物毁损、灭失的风险负担详见</w:t>
      </w:r>
      <w:r>
        <w:rPr>
          <w:rFonts w:hint="eastAsia" w:ascii="仿宋" w:hAnsi="仿宋" w:eastAsia="仿宋" w:cs="仿宋"/>
          <w:b/>
          <w:bCs/>
          <w:color w:val="auto"/>
          <w:sz w:val="28"/>
          <w:szCs w:val="28"/>
          <w:highlight w:val="none"/>
          <w:u w:val="single"/>
        </w:rPr>
        <w:t>合同专用条款。</w:t>
      </w:r>
    </w:p>
    <w:p w14:paraId="36151003">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862" w:name="_Toc26941"/>
      <w:bookmarkStart w:id="863" w:name="_Toc6746"/>
      <w:bookmarkStart w:id="864" w:name="_Toc18519"/>
      <w:bookmarkStart w:id="865" w:name="_Toc961"/>
      <w:bookmarkStart w:id="866" w:name="_Toc14055"/>
      <w:bookmarkStart w:id="867" w:name="_Toc27877"/>
      <w:bookmarkStart w:id="868" w:name="_Toc30162"/>
      <w:bookmarkStart w:id="869" w:name="_Toc32294"/>
      <w:r>
        <w:rPr>
          <w:rFonts w:hint="eastAsia" w:ascii="仿宋" w:hAnsi="仿宋" w:eastAsia="仿宋" w:cs="仿宋"/>
          <w:b/>
          <w:color w:val="auto"/>
          <w:sz w:val="28"/>
          <w:szCs w:val="28"/>
          <w:highlight w:val="none"/>
        </w:rPr>
        <w:t>2.10 延迟交货</w:t>
      </w:r>
      <w:bookmarkEnd w:id="859"/>
      <w:bookmarkEnd w:id="860"/>
      <w:bookmarkEnd w:id="861"/>
      <w:bookmarkEnd w:id="862"/>
      <w:bookmarkEnd w:id="863"/>
      <w:bookmarkEnd w:id="864"/>
      <w:bookmarkEnd w:id="865"/>
      <w:bookmarkEnd w:id="866"/>
      <w:bookmarkEnd w:id="867"/>
      <w:bookmarkEnd w:id="868"/>
      <w:bookmarkEnd w:id="869"/>
    </w:p>
    <w:p w14:paraId="490AB7B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72233AD">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870" w:name="_Toc2937"/>
      <w:bookmarkStart w:id="871" w:name="_Toc13652"/>
      <w:bookmarkStart w:id="872" w:name="_Toc1029"/>
      <w:bookmarkStart w:id="873" w:name="_Toc10432"/>
      <w:bookmarkStart w:id="874" w:name="_Toc20163"/>
      <w:bookmarkStart w:id="875" w:name="_Toc13883"/>
      <w:bookmarkStart w:id="876" w:name="_Toc16121"/>
      <w:bookmarkStart w:id="877" w:name="_Toc259093683"/>
      <w:bookmarkStart w:id="878" w:name="_Toc487900364"/>
      <w:bookmarkStart w:id="879" w:name="_Ref467378121"/>
      <w:bookmarkStart w:id="880" w:name="_Toc279701254"/>
      <w:r>
        <w:rPr>
          <w:rFonts w:hint="eastAsia" w:ascii="仿宋" w:hAnsi="仿宋" w:eastAsia="仿宋" w:cs="仿宋"/>
          <w:b/>
          <w:color w:val="auto"/>
          <w:sz w:val="28"/>
          <w:szCs w:val="28"/>
          <w:highlight w:val="none"/>
        </w:rPr>
        <w:t>2.11 合同变更</w:t>
      </w:r>
      <w:bookmarkEnd w:id="870"/>
      <w:bookmarkEnd w:id="871"/>
      <w:bookmarkEnd w:id="872"/>
      <w:bookmarkEnd w:id="873"/>
      <w:bookmarkEnd w:id="874"/>
      <w:bookmarkEnd w:id="875"/>
      <w:bookmarkEnd w:id="876"/>
    </w:p>
    <w:p w14:paraId="3EF0436D">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2.11.1双方当事人协商一致，可以签订书面补充合同的形式变更合同，但不得违背招标文件确定的事项，且如果系追加与合同标的相同的货物的，那么所有补充合同的采购金额不得超过原合同价的10%；</w:t>
      </w:r>
    </w:p>
    <w:p w14:paraId="44582775">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2.11.2 合同继续履行将损害国家利益和社会公共利益的，双方当事人应当以书面形式变更合同。有过错的一方应当承担赔偿责任，双方当事人都有过错的，各自承担相应的责任。</w:t>
      </w:r>
      <w:bookmarkStart w:id="881" w:name="_Toc259093688"/>
      <w:bookmarkStart w:id="882" w:name="_Toc487900369"/>
      <w:bookmarkStart w:id="883" w:name="_Toc279701259"/>
    </w:p>
    <w:p w14:paraId="1DE69395">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884" w:name="_Toc11774"/>
      <w:bookmarkStart w:id="885" w:name="_Toc22955"/>
      <w:bookmarkStart w:id="886" w:name="_Toc2564"/>
      <w:bookmarkStart w:id="887" w:name="_Toc28738"/>
      <w:bookmarkStart w:id="888" w:name="_Toc10366"/>
      <w:bookmarkStart w:id="889" w:name="_Toc683"/>
      <w:bookmarkStart w:id="890" w:name="_Toc15237"/>
      <w:bookmarkStart w:id="891" w:name="_Toc20597"/>
      <w:bookmarkStart w:id="892" w:name="_Toc25386"/>
      <w:bookmarkStart w:id="893" w:name="_Toc16752"/>
      <w:r>
        <w:rPr>
          <w:rFonts w:hint="eastAsia" w:ascii="仿宋" w:hAnsi="仿宋" w:eastAsia="仿宋" w:cs="仿宋"/>
          <w:b/>
          <w:color w:val="auto"/>
          <w:sz w:val="28"/>
          <w:szCs w:val="28"/>
          <w:highlight w:val="none"/>
        </w:rPr>
        <w:t>2.12 合同转让</w:t>
      </w:r>
      <w:bookmarkEnd w:id="881"/>
      <w:bookmarkEnd w:id="882"/>
      <w:bookmarkEnd w:id="883"/>
      <w:r>
        <w:rPr>
          <w:rFonts w:hint="eastAsia" w:ascii="仿宋" w:hAnsi="仿宋" w:eastAsia="仿宋" w:cs="仿宋"/>
          <w:b/>
          <w:color w:val="auto"/>
          <w:sz w:val="28"/>
          <w:szCs w:val="28"/>
          <w:highlight w:val="none"/>
        </w:rPr>
        <w:t>和分包</w:t>
      </w:r>
      <w:bookmarkEnd w:id="884"/>
      <w:bookmarkEnd w:id="885"/>
      <w:bookmarkEnd w:id="886"/>
      <w:bookmarkEnd w:id="887"/>
      <w:bookmarkEnd w:id="888"/>
      <w:bookmarkEnd w:id="889"/>
      <w:bookmarkEnd w:id="890"/>
      <w:bookmarkEnd w:id="891"/>
      <w:bookmarkEnd w:id="892"/>
      <w:bookmarkEnd w:id="893"/>
    </w:p>
    <w:p w14:paraId="6BDBE1F2">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FE55D1C">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894" w:name="_Toc3803"/>
      <w:bookmarkStart w:id="895" w:name="_Toc14066"/>
      <w:bookmarkStart w:id="896" w:name="_Toc16508"/>
      <w:bookmarkStart w:id="897" w:name="_Toc13566"/>
      <w:bookmarkStart w:id="898" w:name="_Toc11482"/>
      <w:bookmarkStart w:id="899" w:name="_Toc12632"/>
      <w:bookmarkStart w:id="900" w:name="_Toc23175"/>
      <w:bookmarkStart w:id="901" w:name="_Toc17590"/>
      <w:bookmarkStart w:id="902" w:name="_Toc16666"/>
      <w:bookmarkStart w:id="903" w:name="_Toc31577"/>
      <w:r>
        <w:rPr>
          <w:rFonts w:hint="eastAsia" w:ascii="仿宋" w:hAnsi="仿宋" w:eastAsia="仿宋" w:cs="仿宋"/>
          <w:b/>
          <w:color w:val="auto"/>
          <w:sz w:val="28"/>
          <w:szCs w:val="28"/>
          <w:highlight w:val="none"/>
        </w:rPr>
        <w:t>2.13 不可抗力</w:t>
      </w:r>
      <w:bookmarkEnd w:id="894"/>
      <w:bookmarkEnd w:id="895"/>
      <w:bookmarkEnd w:id="896"/>
      <w:bookmarkEnd w:id="897"/>
      <w:bookmarkEnd w:id="898"/>
      <w:bookmarkEnd w:id="899"/>
      <w:bookmarkEnd w:id="900"/>
      <w:bookmarkEnd w:id="901"/>
      <w:bookmarkEnd w:id="902"/>
      <w:bookmarkEnd w:id="903"/>
    </w:p>
    <w:p w14:paraId="6D81CE8A">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2.13.1如果任何一方遭遇法律规定的不可抗力，致使合同履行受阻时，履行合同的期限应予延长，延长的期限应相当于不可抗力所影响的时间；</w:t>
      </w:r>
    </w:p>
    <w:p w14:paraId="788E9CC2">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2.13.2 因不可抗力致使不能实现合同目的的，当事人可以解除合同；</w:t>
      </w:r>
    </w:p>
    <w:p w14:paraId="791FB50D">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2.13.3 因不可抗力致使合同有变更必要的，双方当事人应在</w:t>
      </w:r>
      <w:r>
        <w:rPr>
          <w:rFonts w:hint="eastAsia" w:ascii="仿宋" w:hAnsi="仿宋" w:eastAsia="仿宋" w:cs="仿宋"/>
          <w:b/>
          <w:bCs/>
          <w:color w:val="auto"/>
          <w:sz w:val="28"/>
          <w:szCs w:val="28"/>
          <w:highlight w:val="none"/>
          <w:u w:val="single"/>
        </w:rPr>
        <w:t>合同专用条款</w:t>
      </w:r>
      <w:r>
        <w:rPr>
          <w:rFonts w:hint="eastAsia" w:ascii="仿宋" w:hAnsi="仿宋" w:eastAsia="仿宋" w:cs="仿宋"/>
          <w:color w:val="auto"/>
          <w:sz w:val="28"/>
          <w:szCs w:val="28"/>
          <w:highlight w:val="none"/>
        </w:rPr>
        <w:t>约定时间内以书面形式变更合同；</w:t>
      </w:r>
    </w:p>
    <w:p w14:paraId="0B532DE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2.13.4受不可抗力影响的一方在不可抗力发生后，应在</w:t>
      </w:r>
      <w:r>
        <w:rPr>
          <w:rFonts w:hint="eastAsia" w:ascii="仿宋" w:hAnsi="仿宋" w:eastAsia="仿宋" w:cs="仿宋"/>
          <w:b/>
          <w:bCs/>
          <w:color w:val="auto"/>
          <w:sz w:val="28"/>
          <w:szCs w:val="28"/>
          <w:highlight w:val="none"/>
          <w:u w:val="single"/>
        </w:rPr>
        <w:t>合同专用条款</w:t>
      </w:r>
      <w:r>
        <w:rPr>
          <w:rFonts w:hint="eastAsia" w:ascii="仿宋" w:hAnsi="仿宋" w:eastAsia="仿宋" w:cs="仿宋"/>
          <w:color w:val="auto"/>
          <w:sz w:val="28"/>
          <w:szCs w:val="28"/>
          <w:highlight w:val="none"/>
        </w:rPr>
        <w:t>约定时间内以书面形式通知对方当事人，并在</w:t>
      </w:r>
      <w:r>
        <w:rPr>
          <w:rFonts w:hint="eastAsia" w:ascii="仿宋" w:hAnsi="仿宋" w:eastAsia="仿宋" w:cs="仿宋"/>
          <w:b/>
          <w:bCs/>
          <w:color w:val="auto"/>
          <w:sz w:val="28"/>
          <w:szCs w:val="28"/>
          <w:highlight w:val="none"/>
          <w:u w:val="single"/>
        </w:rPr>
        <w:t>合同专用条款</w:t>
      </w:r>
      <w:r>
        <w:rPr>
          <w:rFonts w:hint="eastAsia" w:ascii="仿宋" w:hAnsi="仿宋" w:eastAsia="仿宋" w:cs="仿宋"/>
          <w:color w:val="auto"/>
          <w:sz w:val="28"/>
          <w:szCs w:val="28"/>
          <w:highlight w:val="none"/>
        </w:rPr>
        <w:t>约定时间内，将有关部门出具的证明文件送达对方当事人。</w:t>
      </w:r>
    </w:p>
    <w:p w14:paraId="6B169A12">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904" w:name="_Toc14941"/>
      <w:bookmarkStart w:id="905" w:name="_Toc30676"/>
      <w:bookmarkStart w:id="906" w:name="_Toc10332"/>
      <w:bookmarkStart w:id="907" w:name="_Toc689"/>
      <w:bookmarkStart w:id="908" w:name="_Toc5744"/>
      <w:bookmarkStart w:id="909" w:name="_Toc13511"/>
      <w:bookmarkStart w:id="910" w:name="_Toc487900365"/>
      <w:bookmarkStart w:id="911" w:name="_Toc259093684"/>
      <w:bookmarkStart w:id="912" w:name="_Toc279701255"/>
      <w:bookmarkStart w:id="913" w:name="_Toc20380"/>
      <w:bookmarkStart w:id="914" w:name="_Toc23644"/>
      <w:bookmarkStart w:id="915" w:name="_Toc18952"/>
      <w:bookmarkStart w:id="916" w:name="_Toc6969"/>
      <w:r>
        <w:rPr>
          <w:rFonts w:hint="eastAsia" w:ascii="仿宋" w:hAnsi="仿宋" w:eastAsia="仿宋" w:cs="仿宋"/>
          <w:b/>
          <w:color w:val="auto"/>
          <w:sz w:val="28"/>
          <w:szCs w:val="28"/>
          <w:highlight w:val="none"/>
        </w:rPr>
        <w:t>2.14 税费</w:t>
      </w:r>
      <w:bookmarkEnd w:id="904"/>
      <w:bookmarkEnd w:id="905"/>
      <w:bookmarkEnd w:id="906"/>
      <w:bookmarkEnd w:id="907"/>
      <w:bookmarkEnd w:id="908"/>
      <w:bookmarkEnd w:id="909"/>
      <w:bookmarkEnd w:id="910"/>
      <w:bookmarkEnd w:id="911"/>
      <w:bookmarkEnd w:id="912"/>
      <w:bookmarkEnd w:id="913"/>
      <w:bookmarkEnd w:id="914"/>
      <w:bookmarkEnd w:id="915"/>
      <w:bookmarkEnd w:id="916"/>
    </w:p>
    <w:p w14:paraId="1B71A44A">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与合同有关的一切税费，均按照中华人民共和国法律的相关规定。</w:t>
      </w:r>
    </w:p>
    <w:p w14:paraId="50F6A366">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917" w:name="_Toc28727"/>
      <w:bookmarkStart w:id="918" w:name="_Toc4745"/>
      <w:bookmarkStart w:id="919" w:name="_Toc22498"/>
      <w:bookmarkStart w:id="920" w:name="_Toc8298"/>
      <w:bookmarkStart w:id="921" w:name="_Toc7102"/>
      <w:bookmarkStart w:id="922" w:name="_Toc17872"/>
      <w:bookmarkStart w:id="923" w:name="_Toc259093687"/>
      <w:bookmarkStart w:id="924" w:name="_Toc487900368"/>
      <w:bookmarkStart w:id="925" w:name="_Toc5273"/>
      <w:bookmarkStart w:id="926" w:name="_Toc40"/>
      <w:bookmarkStart w:id="927" w:name="_Toc279701258"/>
      <w:bookmarkStart w:id="928" w:name="_Toc16959"/>
      <w:bookmarkStart w:id="929" w:name="_Toc1911"/>
      <w:r>
        <w:rPr>
          <w:rFonts w:hint="eastAsia" w:ascii="仿宋" w:hAnsi="仿宋" w:eastAsia="仿宋" w:cs="仿宋"/>
          <w:b/>
          <w:color w:val="auto"/>
          <w:sz w:val="28"/>
          <w:szCs w:val="28"/>
          <w:highlight w:val="none"/>
        </w:rPr>
        <w:t>2.15 乙方破产</w:t>
      </w:r>
      <w:bookmarkEnd w:id="917"/>
      <w:bookmarkEnd w:id="918"/>
      <w:bookmarkEnd w:id="919"/>
      <w:bookmarkEnd w:id="920"/>
      <w:bookmarkEnd w:id="921"/>
      <w:bookmarkEnd w:id="922"/>
      <w:bookmarkEnd w:id="923"/>
      <w:bookmarkEnd w:id="924"/>
      <w:bookmarkEnd w:id="925"/>
      <w:bookmarkEnd w:id="926"/>
      <w:bookmarkEnd w:id="927"/>
      <w:bookmarkEnd w:id="928"/>
      <w:bookmarkEnd w:id="929"/>
    </w:p>
    <w:p w14:paraId="63241E48">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3B68EDA">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930" w:name="_Toc15387"/>
      <w:bookmarkStart w:id="931" w:name="_Toc25350"/>
      <w:bookmarkStart w:id="932" w:name="_Toc363"/>
      <w:bookmarkStart w:id="933" w:name="_Toc23253"/>
      <w:bookmarkStart w:id="934" w:name="_Toc5183"/>
      <w:bookmarkStart w:id="935" w:name="_Toc6134"/>
      <w:bookmarkStart w:id="936" w:name="_Toc1209"/>
      <w:bookmarkStart w:id="937" w:name="_Toc28445"/>
      <w:bookmarkStart w:id="938" w:name="_Toc29333"/>
      <w:bookmarkStart w:id="939" w:name="_Toc27763"/>
      <w:r>
        <w:rPr>
          <w:rFonts w:hint="eastAsia" w:ascii="仿宋" w:hAnsi="仿宋" w:eastAsia="仿宋" w:cs="仿宋"/>
          <w:b/>
          <w:color w:val="auto"/>
          <w:sz w:val="28"/>
          <w:szCs w:val="28"/>
          <w:highlight w:val="none"/>
        </w:rPr>
        <w:t>2.16 合同中止、终止</w:t>
      </w:r>
      <w:bookmarkEnd w:id="930"/>
      <w:bookmarkEnd w:id="931"/>
      <w:bookmarkEnd w:id="932"/>
      <w:bookmarkEnd w:id="933"/>
      <w:bookmarkEnd w:id="934"/>
      <w:bookmarkEnd w:id="935"/>
      <w:bookmarkEnd w:id="936"/>
      <w:bookmarkEnd w:id="937"/>
      <w:bookmarkEnd w:id="938"/>
      <w:bookmarkEnd w:id="939"/>
    </w:p>
    <w:p w14:paraId="51412811">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2.16.1 双方当事人不得擅自中止或者终止合同；</w:t>
      </w:r>
    </w:p>
    <w:p w14:paraId="2615EEA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2.16.2合同继续履行将损害国家利益和社会公共利益的，双方当事人应当中止或者终止合同。有过错的一方应当承担赔偿责任，双方当事人都有过错的，各自承担相应的责任。</w:t>
      </w:r>
    </w:p>
    <w:p w14:paraId="07801014">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940" w:name="_Toc6596"/>
      <w:bookmarkStart w:id="941" w:name="_Toc6008"/>
      <w:bookmarkStart w:id="942" w:name="_Toc14563"/>
      <w:bookmarkStart w:id="943" w:name="_Toc6604"/>
      <w:bookmarkStart w:id="944" w:name="_Toc28685"/>
      <w:bookmarkStart w:id="945" w:name="_Toc20870"/>
      <w:bookmarkStart w:id="946" w:name="_Toc23266"/>
      <w:bookmarkStart w:id="947" w:name="_Toc10449"/>
      <w:bookmarkStart w:id="948" w:name="_Toc1125"/>
      <w:bookmarkStart w:id="949" w:name="_Toc4849"/>
      <w:r>
        <w:rPr>
          <w:rFonts w:hint="eastAsia" w:ascii="仿宋" w:hAnsi="仿宋" w:eastAsia="仿宋" w:cs="仿宋"/>
          <w:b/>
          <w:color w:val="auto"/>
          <w:sz w:val="28"/>
          <w:szCs w:val="28"/>
          <w:highlight w:val="none"/>
        </w:rPr>
        <w:t>2.17 检验和验收</w:t>
      </w:r>
      <w:bookmarkEnd w:id="940"/>
      <w:bookmarkEnd w:id="941"/>
      <w:bookmarkEnd w:id="942"/>
      <w:bookmarkEnd w:id="943"/>
      <w:bookmarkEnd w:id="944"/>
      <w:bookmarkEnd w:id="945"/>
      <w:bookmarkEnd w:id="946"/>
      <w:bookmarkEnd w:id="947"/>
      <w:bookmarkEnd w:id="948"/>
      <w:bookmarkEnd w:id="949"/>
    </w:p>
    <w:p w14:paraId="68631308">
      <w:pPr>
        <w:keepNext w:val="0"/>
        <w:keepLines w:val="0"/>
        <w:pageBreakBefore w:val="0"/>
        <w:widowControl w:val="0"/>
        <w:tabs>
          <w:tab w:val="left" w:pos="360"/>
          <w:tab w:val="left" w:pos="540"/>
          <w:tab w:val="left" w:pos="1080"/>
        </w:tabs>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2.17.1货物交付前，乙方应对货物的质量、数量等方面进行详细、全面的检验，并向甲方出具证明货物符合合同约定的文件；货物交付时，乙方在</w:t>
      </w:r>
      <w:r>
        <w:rPr>
          <w:rFonts w:hint="eastAsia" w:ascii="仿宋" w:hAnsi="仿宋" w:eastAsia="仿宋" w:cs="仿宋"/>
          <w:b/>
          <w:bCs/>
          <w:color w:val="auto"/>
          <w:sz w:val="28"/>
          <w:szCs w:val="28"/>
          <w:highlight w:val="none"/>
          <w:u w:val="single"/>
        </w:rPr>
        <w:t>合同专用条款</w:t>
      </w:r>
      <w:r>
        <w:rPr>
          <w:rFonts w:hint="eastAsia" w:ascii="仿宋" w:hAnsi="仿宋" w:eastAsia="仿宋" w:cs="仿宋"/>
          <w:color w:val="auto"/>
          <w:sz w:val="28"/>
          <w:szCs w:val="28"/>
          <w:highlight w:val="none"/>
        </w:rPr>
        <w:t>约定时间内组织验收，并可依法邀请相关方参加，验收应出具验收书。</w:t>
      </w:r>
    </w:p>
    <w:p w14:paraId="5C2B685C">
      <w:pPr>
        <w:keepNext w:val="0"/>
        <w:keepLines w:val="0"/>
        <w:pageBreakBefore w:val="0"/>
        <w:widowControl w:val="0"/>
        <w:tabs>
          <w:tab w:val="left" w:pos="360"/>
          <w:tab w:val="left" w:pos="540"/>
          <w:tab w:val="left" w:pos="1080"/>
        </w:tabs>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A788EBA">
      <w:pPr>
        <w:keepNext w:val="0"/>
        <w:keepLines w:val="0"/>
        <w:pageBreakBefore w:val="0"/>
        <w:widowControl w:val="0"/>
        <w:tabs>
          <w:tab w:val="left" w:pos="360"/>
          <w:tab w:val="left" w:pos="540"/>
          <w:tab w:val="left" w:pos="1080"/>
        </w:tabs>
        <w:kinsoku/>
        <w:wordWrap/>
        <w:overflowPunct/>
        <w:topLinePunct w:val="0"/>
        <w:bidi w:val="0"/>
        <w:snapToGrid/>
        <w:spacing w:line="480" w:lineRule="exact"/>
        <w:ind w:firstLine="560" w:firstLineChars="200"/>
        <w:textAlignment w:val="auto"/>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2.17.3 检验和验收标准、程序等具体内容以及前述验收书的效力详见</w:t>
      </w:r>
      <w:r>
        <w:rPr>
          <w:rFonts w:hint="eastAsia" w:ascii="仿宋" w:hAnsi="仿宋" w:eastAsia="仿宋" w:cs="仿宋"/>
          <w:b/>
          <w:bCs/>
          <w:color w:val="auto"/>
          <w:sz w:val="28"/>
          <w:szCs w:val="28"/>
          <w:highlight w:val="none"/>
          <w:u w:val="single"/>
        </w:rPr>
        <w:t>合同专用条款。</w:t>
      </w:r>
    </w:p>
    <w:bookmarkEnd w:id="877"/>
    <w:bookmarkEnd w:id="878"/>
    <w:bookmarkEnd w:id="879"/>
    <w:bookmarkEnd w:id="880"/>
    <w:p w14:paraId="0BB95D27">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950" w:name="_Toc487900371"/>
      <w:bookmarkStart w:id="951" w:name="_Toc259093690"/>
      <w:bookmarkStart w:id="952" w:name="_Toc279701261"/>
      <w:bookmarkStart w:id="953" w:name="_Toc19604"/>
      <w:bookmarkStart w:id="954" w:name="_Toc17714"/>
      <w:bookmarkStart w:id="955" w:name="_Toc25182"/>
      <w:bookmarkStart w:id="956" w:name="_Toc19149"/>
      <w:bookmarkStart w:id="957" w:name="_Toc31350"/>
      <w:bookmarkStart w:id="958" w:name="_Toc27484"/>
      <w:bookmarkStart w:id="959" w:name="_Toc20655"/>
      <w:bookmarkStart w:id="960" w:name="_Toc15242"/>
      <w:bookmarkStart w:id="961" w:name="_Toc11284"/>
      <w:bookmarkStart w:id="962" w:name="_Toc6145"/>
      <w:r>
        <w:rPr>
          <w:rFonts w:hint="eastAsia" w:ascii="仿宋" w:hAnsi="仿宋" w:eastAsia="仿宋" w:cs="仿宋"/>
          <w:b/>
          <w:color w:val="auto"/>
          <w:sz w:val="28"/>
          <w:szCs w:val="28"/>
          <w:highlight w:val="none"/>
        </w:rPr>
        <w:t>2.18 通知</w:t>
      </w:r>
      <w:bookmarkEnd w:id="950"/>
      <w:bookmarkEnd w:id="951"/>
      <w:bookmarkEnd w:id="952"/>
      <w:r>
        <w:rPr>
          <w:rFonts w:hint="eastAsia" w:ascii="仿宋" w:hAnsi="仿宋" w:eastAsia="仿宋" w:cs="仿宋"/>
          <w:b/>
          <w:color w:val="auto"/>
          <w:sz w:val="28"/>
          <w:szCs w:val="28"/>
          <w:highlight w:val="none"/>
        </w:rPr>
        <w:t>和送达</w:t>
      </w:r>
      <w:bookmarkEnd w:id="953"/>
      <w:bookmarkEnd w:id="954"/>
      <w:bookmarkEnd w:id="955"/>
      <w:bookmarkEnd w:id="956"/>
      <w:bookmarkEnd w:id="957"/>
      <w:bookmarkEnd w:id="958"/>
      <w:bookmarkEnd w:id="959"/>
      <w:bookmarkEnd w:id="960"/>
      <w:bookmarkEnd w:id="961"/>
      <w:bookmarkEnd w:id="962"/>
    </w:p>
    <w:p w14:paraId="6F2783F8">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bookmarkStart w:id="963" w:name="_Toc3135"/>
      <w:bookmarkStart w:id="964" w:name="_Toc6698"/>
      <w:bookmarkStart w:id="965" w:name="_Toc259093691"/>
      <w:bookmarkStart w:id="966" w:name="_Toc487900372"/>
      <w:bookmarkStart w:id="967" w:name="_Toc279701262"/>
      <w:r>
        <w:rPr>
          <w:rFonts w:hint="eastAsia" w:ascii="仿宋" w:hAnsi="仿宋" w:eastAsia="仿宋" w:cs="仿宋"/>
          <w:color w:val="auto"/>
          <w:sz w:val="28"/>
          <w:szCs w:val="28"/>
          <w:highlight w:val="none"/>
        </w:rPr>
        <w:t>2.18.1 任何一方因履行合同而以合同第一部分尾部所列明的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发出的所有通知、文件、材料，均视为已向对方当事人送达；任何一方变更上述送达方式或者地址的，应于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个工作日内书面通知对方当事人，在对方当事人收到有关变更通知之前，变更前的约定送达方式或者地址仍视为有效。</w:t>
      </w:r>
      <w:bookmarkEnd w:id="963"/>
      <w:bookmarkEnd w:id="964"/>
    </w:p>
    <w:p w14:paraId="47571995">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bookmarkStart w:id="968" w:name="_Toc23128"/>
      <w:bookmarkStart w:id="969" w:name="_Toc23294"/>
      <w:r>
        <w:rPr>
          <w:rFonts w:hint="eastAsia" w:ascii="仿宋" w:hAnsi="仿宋" w:eastAsia="仿宋" w:cs="仿宋"/>
          <w:color w:val="auto"/>
          <w:sz w:val="28"/>
          <w:szCs w:val="28"/>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968"/>
      <w:bookmarkEnd w:id="969"/>
    </w:p>
    <w:p w14:paraId="7CE9468F">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970" w:name="_Toc21613"/>
      <w:bookmarkStart w:id="971" w:name="_Toc4355"/>
      <w:bookmarkStart w:id="972" w:name="_Toc19260"/>
      <w:bookmarkStart w:id="973" w:name="_Toc1334"/>
      <w:bookmarkStart w:id="974" w:name="_Toc10864"/>
      <w:bookmarkStart w:id="975" w:name="_Toc30142"/>
      <w:bookmarkStart w:id="976" w:name="_Toc30599"/>
      <w:bookmarkStart w:id="977" w:name="_Toc18540"/>
      <w:bookmarkStart w:id="978" w:name="_Toc8254"/>
      <w:bookmarkStart w:id="979" w:name="_Toc17879"/>
      <w:r>
        <w:rPr>
          <w:rFonts w:hint="eastAsia" w:ascii="仿宋" w:hAnsi="仿宋" w:eastAsia="仿宋" w:cs="仿宋"/>
          <w:b/>
          <w:color w:val="auto"/>
          <w:sz w:val="28"/>
          <w:szCs w:val="28"/>
          <w:highlight w:val="none"/>
        </w:rPr>
        <w:t>2.19 计量单位</w:t>
      </w:r>
      <w:bookmarkEnd w:id="965"/>
      <w:bookmarkEnd w:id="966"/>
      <w:bookmarkEnd w:id="967"/>
      <w:bookmarkEnd w:id="970"/>
      <w:bookmarkEnd w:id="971"/>
      <w:bookmarkEnd w:id="972"/>
      <w:bookmarkEnd w:id="973"/>
      <w:bookmarkEnd w:id="974"/>
      <w:bookmarkEnd w:id="975"/>
      <w:bookmarkEnd w:id="976"/>
      <w:bookmarkEnd w:id="977"/>
      <w:bookmarkEnd w:id="978"/>
      <w:bookmarkEnd w:id="979"/>
    </w:p>
    <w:p w14:paraId="2305B33D">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除技术规范中另有规定外,合同的计量单位均使用国家法定计量单位。</w:t>
      </w:r>
    </w:p>
    <w:p w14:paraId="7528DED8">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980" w:name="_Toc12773"/>
      <w:bookmarkStart w:id="981" w:name="_Toc26222"/>
      <w:bookmarkStart w:id="982" w:name="_Toc8512"/>
      <w:bookmarkStart w:id="983" w:name="_Toc10330"/>
      <w:bookmarkStart w:id="984" w:name="_Toc279701263"/>
      <w:bookmarkStart w:id="985" w:name="_Toc14430"/>
      <w:bookmarkStart w:id="986" w:name="_Toc487900373"/>
      <w:bookmarkStart w:id="987" w:name="_Toc10167"/>
      <w:bookmarkStart w:id="988" w:name="_Toc18567"/>
      <w:bookmarkStart w:id="989" w:name="_Toc6678"/>
      <w:bookmarkStart w:id="990" w:name="_Toc27615"/>
      <w:bookmarkStart w:id="991" w:name="_Toc22209"/>
      <w:bookmarkStart w:id="992" w:name="_Toc259093692"/>
      <w:r>
        <w:rPr>
          <w:rFonts w:hint="eastAsia" w:ascii="仿宋" w:hAnsi="仿宋" w:eastAsia="仿宋" w:cs="仿宋"/>
          <w:b/>
          <w:color w:val="auto"/>
          <w:sz w:val="28"/>
          <w:szCs w:val="28"/>
          <w:highlight w:val="none"/>
        </w:rPr>
        <w:t>2.20 合同使用的文字和适用的法律</w:t>
      </w:r>
      <w:bookmarkEnd w:id="980"/>
      <w:bookmarkEnd w:id="981"/>
      <w:bookmarkEnd w:id="982"/>
      <w:bookmarkEnd w:id="983"/>
      <w:bookmarkEnd w:id="984"/>
      <w:bookmarkEnd w:id="985"/>
      <w:bookmarkEnd w:id="986"/>
      <w:bookmarkEnd w:id="987"/>
      <w:bookmarkEnd w:id="988"/>
      <w:bookmarkEnd w:id="989"/>
      <w:bookmarkEnd w:id="990"/>
      <w:bookmarkEnd w:id="991"/>
      <w:bookmarkEnd w:id="992"/>
    </w:p>
    <w:p w14:paraId="6C94C633">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2.20.1 合同使用汉语书就、变更和解释；</w:t>
      </w:r>
    </w:p>
    <w:p w14:paraId="25BC5756">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2.20.2 合同适用中华人民共和国法律。</w:t>
      </w:r>
    </w:p>
    <w:p w14:paraId="2F4C39E6">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993" w:name="_Toc17763"/>
      <w:bookmarkStart w:id="994" w:name="_Toc259093693"/>
      <w:bookmarkStart w:id="995" w:name="_Toc12004"/>
      <w:bookmarkStart w:id="996" w:name="_Toc29071"/>
      <w:bookmarkStart w:id="997" w:name="_Toc16673"/>
      <w:bookmarkStart w:id="998" w:name="_Toc15815"/>
      <w:bookmarkStart w:id="999" w:name="_Toc2420"/>
      <w:bookmarkStart w:id="1000" w:name="_Toc4134"/>
      <w:bookmarkStart w:id="1001" w:name="_Toc279701264"/>
      <w:bookmarkStart w:id="1002" w:name="_Toc3148"/>
      <w:bookmarkStart w:id="1003" w:name="_Toc6961"/>
      <w:bookmarkStart w:id="1004" w:name="_Toc10774"/>
      <w:bookmarkStart w:id="1005" w:name="_Toc487900374"/>
      <w:r>
        <w:rPr>
          <w:rFonts w:hint="eastAsia" w:ascii="仿宋" w:hAnsi="仿宋" w:eastAsia="仿宋" w:cs="仿宋"/>
          <w:b/>
          <w:color w:val="auto"/>
          <w:sz w:val="28"/>
          <w:szCs w:val="28"/>
          <w:highlight w:val="none"/>
        </w:rPr>
        <w:t>2.21 履约保证金</w:t>
      </w:r>
      <w:bookmarkEnd w:id="993"/>
      <w:bookmarkEnd w:id="994"/>
      <w:bookmarkEnd w:id="995"/>
      <w:bookmarkEnd w:id="996"/>
      <w:bookmarkEnd w:id="997"/>
      <w:bookmarkEnd w:id="998"/>
      <w:bookmarkEnd w:id="999"/>
      <w:bookmarkEnd w:id="1000"/>
      <w:bookmarkEnd w:id="1001"/>
      <w:bookmarkEnd w:id="1002"/>
      <w:bookmarkEnd w:id="1003"/>
      <w:bookmarkEnd w:id="1004"/>
    </w:p>
    <w:p w14:paraId="6D3230B2">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2.21.1 招标文件要求乙方提交履约保证金的，乙方应按</w:t>
      </w:r>
      <w:r>
        <w:rPr>
          <w:rFonts w:hint="eastAsia" w:ascii="仿宋" w:hAnsi="仿宋" w:eastAsia="仿宋" w:cs="仿宋"/>
          <w:b/>
          <w:bCs/>
          <w:color w:val="auto"/>
          <w:sz w:val="28"/>
          <w:szCs w:val="28"/>
          <w:highlight w:val="none"/>
          <w:u w:val="single"/>
        </w:rPr>
        <w:t>合同专用条款</w:t>
      </w:r>
      <w:r>
        <w:rPr>
          <w:rFonts w:hint="eastAsia" w:ascii="仿宋" w:hAnsi="仿宋" w:eastAsia="仿宋" w:cs="仿宋"/>
          <w:color w:val="auto"/>
          <w:sz w:val="28"/>
          <w:szCs w:val="28"/>
          <w:highlight w:val="none"/>
        </w:rPr>
        <w:t>约定的方式，提交不超过合同价10%的履约保证金；</w:t>
      </w:r>
    </w:p>
    <w:p w14:paraId="3EB6E5EB">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2.21.2  履约保证金在</w:t>
      </w:r>
      <w:r>
        <w:rPr>
          <w:rFonts w:hint="eastAsia" w:ascii="仿宋" w:hAnsi="仿宋" w:eastAsia="仿宋" w:cs="仿宋"/>
          <w:b/>
          <w:bCs/>
          <w:color w:val="auto"/>
          <w:sz w:val="28"/>
          <w:szCs w:val="28"/>
          <w:highlight w:val="none"/>
          <w:u w:val="single"/>
        </w:rPr>
        <w:t>合同专用条款</w:t>
      </w:r>
      <w:r>
        <w:rPr>
          <w:rFonts w:hint="eastAsia" w:ascii="仿宋" w:hAnsi="仿宋" w:eastAsia="仿宋" w:cs="仿宋"/>
          <w:color w:val="auto"/>
          <w:sz w:val="28"/>
          <w:szCs w:val="28"/>
          <w:highlight w:val="none"/>
        </w:rPr>
        <w:t>约定期间内或者货物质量保证期内不予退还或者应完全有效，前述约定期间届满或者货物质量保证期届满之日起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个工作日内，甲方应将履约保证金退还乙方；</w:t>
      </w:r>
    </w:p>
    <w:p w14:paraId="2F055FC3">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005"/>
    <w:p w14:paraId="29D13548">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highlight w:val="none"/>
        </w:rPr>
      </w:pPr>
      <w:bookmarkStart w:id="1006" w:name="_Toc818"/>
      <w:bookmarkStart w:id="1007" w:name="_Toc12702"/>
      <w:bookmarkStart w:id="1008" w:name="_Toc17123"/>
      <w:bookmarkStart w:id="1009" w:name="_Toc6885"/>
      <w:bookmarkStart w:id="1010" w:name="_Toc19890"/>
      <w:bookmarkStart w:id="1011" w:name="_Toc3481"/>
      <w:bookmarkStart w:id="1012" w:name="_Toc27161"/>
      <w:bookmarkStart w:id="1013" w:name="_Toc14001"/>
      <w:bookmarkStart w:id="1014" w:name="_Toc20216"/>
      <w:bookmarkStart w:id="1015" w:name="_Toc22368"/>
      <w:r>
        <w:rPr>
          <w:rFonts w:hint="eastAsia" w:ascii="仿宋" w:hAnsi="仿宋" w:eastAsia="仿宋" w:cs="仿宋"/>
          <w:b/>
          <w:color w:val="auto"/>
          <w:sz w:val="28"/>
          <w:szCs w:val="28"/>
          <w:highlight w:val="none"/>
        </w:rPr>
        <w:t>2.22 合同份数</w:t>
      </w:r>
      <w:bookmarkEnd w:id="1006"/>
      <w:bookmarkEnd w:id="1007"/>
      <w:bookmarkEnd w:id="1008"/>
      <w:bookmarkEnd w:id="1009"/>
      <w:bookmarkEnd w:id="1010"/>
      <w:bookmarkEnd w:id="1011"/>
      <w:bookmarkEnd w:id="1012"/>
      <w:bookmarkEnd w:id="1013"/>
      <w:bookmarkEnd w:id="1014"/>
      <w:bookmarkEnd w:id="1015"/>
    </w:p>
    <w:p w14:paraId="184EEE08">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合同份数按</w:t>
      </w:r>
      <w:r>
        <w:rPr>
          <w:rFonts w:hint="eastAsia" w:ascii="仿宋" w:hAnsi="仿宋" w:eastAsia="仿宋" w:cs="仿宋"/>
          <w:b/>
          <w:bCs/>
          <w:color w:val="auto"/>
          <w:sz w:val="28"/>
          <w:szCs w:val="28"/>
          <w:highlight w:val="none"/>
          <w:u w:val="single"/>
        </w:rPr>
        <w:t>合同专用条款</w:t>
      </w:r>
      <w:r>
        <w:rPr>
          <w:rFonts w:hint="eastAsia" w:ascii="仿宋" w:hAnsi="仿宋" w:eastAsia="仿宋" w:cs="仿宋"/>
          <w:color w:val="auto"/>
          <w:sz w:val="28"/>
          <w:szCs w:val="28"/>
          <w:highlight w:val="none"/>
        </w:rPr>
        <w:t>规定，每份均具有同等法律效力。</w:t>
      </w:r>
    </w:p>
    <w:p w14:paraId="05243E46">
      <w:pPr>
        <w:rPr>
          <w:rFonts w:hint="eastAsia" w:ascii="仿宋" w:hAnsi="仿宋" w:eastAsia="仿宋" w:cs="仿宋"/>
          <w:b/>
          <w:color w:val="auto"/>
          <w:sz w:val="28"/>
          <w:szCs w:val="28"/>
          <w:highlight w:val="none"/>
        </w:rPr>
      </w:pPr>
      <w:bookmarkStart w:id="1016" w:name="_Toc23366"/>
      <w:bookmarkStart w:id="1017" w:name="_Toc17358"/>
      <w:bookmarkStart w:id="1018" w:name="_Toc11925"/>
      <w:bookmarkStart w:id="1019" w:name="_Toc6009"/>
      <w:bookmarkStart w:id="1020" w:name="_Toc10844"/>
      <w:bookmarkStart w:id="1021" w:name="_Toc30769"/>
      <w:bookmarkStart w:id="1022" w:name="_Toc20701"/>
      <w:bookmarkStart w:id="1023" w:name="_Toc21661"/>
      <w:bookmarkStart w:id="1024" w:name="_Toc331685784"/>
      <w:r>
        <w:rPr>
          <w:rFonts w:hint="eastAsia" w:ascii="仿宋" w:hAnsi="仿宋" w:eastAsia="仿宋" w:cs="仿宋"/>
          <w:b/>
          <w:color w:val="auto"/>
          <w:sz w:val="28"/>
          <w:szCs w:val="28"/>
          <w:highlight w:val="none"/>
        </w:rPr>
        <w:br w:type="page"/>
      </w:r>
    </w:p>
    <w:p w14:paraId="7E87311D">
      <w:pPr>
        <w:pStyle w:val="34"/>
        <w:keepNext w:val="0"/>
        <w:keepLines w:val="0"/>
        <w:pageBreakBefore w:val="0"/>
        <w:widowControl w:val="0"/>
        <w:kinsoku/>
        <w:wordWrap/>
        <w:overflowPunct/>
        <w:topLinePunct w:val="0"/>
        <w:bidi w:val="0"/>
        <w:snapToGrid/>
        <w:spacing w:line="480" w:lineRule="exact"/>
        <w:ind w:firstLine="0"/>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  合同专用条款</w:t>
      </w:r>
      <w:bookmarkEnd w:id="1016"/>
      <w:bookmarkEnd w:id="1017"/>
      <w:bookmarkEnd w:id="1018"/>
      <w:bookmarkEnd w:id="1019"/>
      <w:bookmarkEnd w:id="1020"/>
      <w:bookmarkEnd w:id="1021"/>
      <w:bookmarkEnd w:id="1022"/>
      <w:bookmarkEnd w:id="1023"/>
      <w:bookmarkEnd w:id="1024"/>
    </w:p>
    <w:p w14:paraId="21CD080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8434" w:type="dxa"/>
        <w:tblInd w:w="-3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1"/>
        <w:gridCol w:w="7403"/>
      </w:tblGrid>
      <w:tr w14:paraId="7CDA5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1" w:type="dxa"/>
            <w:tcBorders>
              <w:left w:val="single" w:color="auto" w:sz="4" w:space="0"/>
            </w:tcBorders>
            <w:noWrap w:val="0"/>
            <w:vAlign w:val="center"/>
          </w:tcPr>
          <w:p w14:paraId="57D644F0">
            <w:pPr>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条款号</w:t>
            </w:r>
          </w:p>
        </w:tc>
        <w:tc>
          <w:tcPr>
            <w:tcW w:w="7403" w:type="dxa"/>
            <w:noWrap w:val="0"/>
            <w:vAlign w:val="center"/>
          </w:tcPr>
          <w:p w14:paraId="109021D6">
            <w:pPr>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约定内容</w:t>
            </w:r>
          </w:p>
        </w:tc>
      </w:tr>
      <w:tr w14:paraId="317D3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1" w:type="dxa"/>
            <w:tcBorders>
              <w:left w:val="single" w:color="auto" w:sz="4" w:space="0"/>
            </w:tcBorders>
            <w:noWrap w:val="0"/>
            <w:vAlign w:val="center"/>
          </w:tcPr>
          <w:p w14:paraId="49435D63">
            <w:pPr>
              <w:spacing w:line="560" w:lineRule="exact"/>
              <w:rPr>
                <w:rFonts w:hint="eastAsia" w:ascii="仿宋" w:hAnsi="仿宋" w:eastAsia="仿宋" w:cs="仿宋"/>
                <w:color w:val="auto"/>
                <w:sz w:val="28"/>
                <w:szCs w:val="28"/>
                <w:highlight w:val="none"/>
              </w:rPr>
            </w:pPr>
          </w:p>
        </w:tc>
        <w:tc>
          <w:tcPr>
            <w:tcW w:w="7403" w:type="dxa"/>
            <w:noWrap w:val="0"/>
            <w:vAlign w:val="center"/>
          </w:tcPr>
          <w:p w14:paraId="62833987">
            <w:pPr>
              <w:spacing w:line="560" w:lineRule="exact"/>
              <w:rPr>
                <w:rFonts w:hint="eastAsia" w:ascii="仿宋" w:hAnsi="仿宋" w:eastAsia="仿宋" w:cs="仿宋"/>
                <w:color w:val="auto"/>
                <w:sz w:val="28"/>
                <w:szCs w:val="28"/>
                <w:highlight w:val="none"/>
              </w:rPr>
            </w:pPr>
          </w:p>
        </w:tc>
      </w:tr>
      <w:tr w14:paraId="5EF4F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31" w:type="dxa"/>
            <w:tcBorders>
              <w:left w:val="single" w:color="auto" w:sz="4" w:space="0"/>
            </w:tcBorders>
            <w:noWrap w:val="0"/>
            <w:vAlign w:val="center"/>
          </w:tcPr>
          <w:p w14:paraId="551B9841">
            <w:pPr>
              <w:spacing w:line="560" w:lineRule="exact"/>
              <w:rPr>
                <w:rFonts w:hint="eastAsia" w:ascii="仿宋" w:hAnsi="仿宋" w:eastAsia="仿宋" w:cs="仿宋"/>
                <w:color w:val="auto"/>
                <w:sz w:val="28"/>
                <w:szCs w:val="28"/>
                <w:highlight w:val="none"/>
              </w:rPr>
            </w:pPr>
          </w:p>
        </w:tc>
        <w:tc>
          <w:tcPr>
            <w:tcW w:w="7403" w:type="dxa"/>
            <w:noWrap w:val="0"/>
            <w:vAlign w:val="center"/>
          </w:tcPr>
          <w:p w14:paraId="2026C4FA">
            <w:pPr>
              <w:spacing w:line="560" w:lineRule="exact"/>
              <w:rPr>
                <w:rFonts w:hint="eastAsia" w:ascii="仿宋" w:hAnsi="仿宋" w:eastAsia="仿宋" w:cs="仿宋"/>
                <w:color w:val="auto"/>
                <w:sz w:val="28"/>
                <w:szCs w:val="28"/>
                <w:highlight w:val="none"/>
              </w:rPr>
            </w:pPr>
          </w:p>
        </w:tc>
      </w:tr>
      <w:tr w14:paraId="73D64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31" w:type="dxa"/>
            <w:tcBorders>
              <w:left w:val="single" w:color="auto" w:sz="4" w:space="0"/>
            </w:tcBorders>
            <w:noWrap w:val="0"/>
            <w:vAlign w:val="center"/>
          </w:tcPr>
          <w:p w14:paraId="4F32DF16">
            <w:pPr>
              <w:spacing w:line="560" w:lineRule="exact"/>
              <w:rPr>
                <w:rFonts w:hint="eastAsia" w:ascii="仿宋" w:hAnsi="仿宋" w:eastAsia="仿宋" w:cs="仿宋"/>
                <w:color w:val="auto"/>
                <w:sz w:val="28"/>
                <w:szCs w:val="28"/>
                <w:highlight w:val="none"/>
              </w:rPr>
            </w:pPr>
          </w:p>
        </w:tc>
        <w:tc>
          <w:tcPr>
            <w:tcW w:w="7403" w:type="dxa"/>
            <w:noWrap w:val="0"/>
            <w:vAlign w:val="center"/>
          </w:tcPr>
          <w:p w14:paraId="7D575B14">
            <w:pPr>
              <w:spacing w:line="560" w:lineRule="exact"/>
              <w:rPr>
                <w:rFonts w:hint="eastAsia" w:ascii="仿宋" w:hAnsi="仿宋" w:eastAsia="仿宋" w:cs="仿宋"/>
                <w:color w:val="auto"/>
                <w:sz w:val="28"/>
                <w:szCs w:val="28"/>
                <w:highlight w:val="none"/>
              </w:rPr>
            </w:pPr>
          </w:p>
        </w:tc>
      </w:tr>
      <w:tr w14:paraId="59142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31" w:type="dxa"/>
            <w:tcBorders>
              <w:left w:val="single" w:color="auto" w:sz="4" w:space="0"/>
            </w:tcBorders>
            <w:noWrap w:val="0"/>
            <w:vAlign w:val="center"/>
          </w:tcPr>
          <w:p w14:paraId="7FD01608">
            <w:pPr>
              <w:spacing w:line="560" w:lineRule="exact"/>
              <w:rPr>
                <w:rFonts w:hint="eastAsia" w:ascii="仿宋" w:hAnsi="仿宋" w:eastAsia="仿宋" w:cs="仿宋"/>
                <w:color w:val="auto"/>
                <w:sz w:val="28"/>
                <w:szCs w:val="28"/>
                <w:highlight w:val="none"/>
              </w:rPr>
            </w:pPr>
          </w:p>
        </w:tc>
        <w:tc>
          <w:tcPr>
            <w:tcW w:w="7403" w:type="dxa"/>
            <w:noWrap w:val="0"/>
            <w:vAlign w:val="center"/>
          </w:tcPr>
          <w:p w14:paraId="3A3098CA">
            <w:pPr>
              <w:spacing w:line="560" w:lineRule="exact"/>
              <w:rPr>
                <w:rFonts w:hint="eastAsia" w:ascii="仿宋" w:hAnsi="仿宋" w:eastAsia="仿宋" w:cs="仿宋"/>
                <w:color w:val="auto"/>
                <w:sz w:val="28"/>
                <w:szCs w:val="28"/>
                <w:highlight w:val="none"/>
              </w:rPr>
            </w:pPr>
          </w:p>
        </w:tc>
      </w:tr>
      <w:tr w14:paraId="67087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31" w:type="dxa"/>
            <w:tcBorders>
              <w:left w:val="single" w:color="auto" w:sz="4" w:space="0"/>
            </w:tcBorders>
            <w:noWrap w:val="0"/>
            <w:vAlign w:val="center"/>
          </w:tcPr>
          <w:p w14:paraId="69D96731">
            <w:pPr>
              <w:spacing w:line="560" w:lineRule="exact"/>
              <w:rPr>
                <w:rFonts w:hint="eastAsia" w:ascii="仿宋" w:hAnsi="仿宋" w:eastAsia="仿宋" w:cs="仿宋"/>
                <w:color w:val="auto"/>
                <w:sz w:val="28"/>
                <w:szCs w:val="28"/>
                <w:highlight w:val="none"/>
              </w:rPr>
            </w:pPr>
          </w:p>
        </w:tc>
        <w:tc>
          <w:tcPr>
            <w:tcW w:w="7403" w:type="dxa"/>
            <w:noWrap w:val="0"/>
            <w:vAlign w:val="center"/>
          </w:tcPr>
          <w:p w14:paraId="0C1A6543">
            <w:pPr>
              <w:spacing w:line="560" w:lineRule="exact"/>
              <w:rPr>
                <w:rFonts w:hint="eastAsia" w:ascii="仿宋" w:hAnsi="仿宋" w:eastAsia="仿宋" w:cs="仿宋"/>
                <w:color w:val="auto"/>
                <w:sz w:val="28"/>
                <w:szCs w:val="28"/>
                <w:highlight w:val="none"/>
                <w:u w:val="single"/>
              </w:rPr>
            </w:pPr>
          </w:p>
        </w:tc>
      </w:tr>
      <w:tr w14:paraId="7BC2A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31" w:type="dxa"/>
            <w:tcBorders>
              <w:left w:val="single" w:color="auto" w:sz="4" w:space="0"/>
            </w:tcBorders>
            <w:noWrap w:val="0"/>
            <w:vAlign w:val="center"/>
          </w:tcPr>
          <w:p w14:paraId="706B6AC6">
            <w:pPr>
              <w:spacing w:line="560" w:lineRule="exact"/>
              <w:rPr>
                <w:rFonts w:hint="eastAsia" w:ascii="仿宋" w:hAnsi="仿宋" w:eastAsia="仿宋" w:cs="仿宋"/>
                <w:color w:val="auto"/>
                <w:sz w:val="28"/>
                <w:szCs w:val="28"/>
                <w:highlight w:val="none"/>
              </w:rPr>
            </w:pPr>
          </w:p>
        </w:tc>
        <w:tc>
          <w:tcPr>
            <w:tcW w:w="7403" w:type="dxa"/>
            <w:noWrap w:val="0"/>
            <w:vAlign w:val="center"/>
          </w:tcPr>
          <w:p w14:paraId="1B540E23">
            <w:pPr>
              <w:spacing w:line="560" w:lineRule="exact"/>
              <w:rPr>
                <w:rFonts w:hint="eastAsia" w:ascii="仿宋" w:hAnsi="仿宋" w:eastAsia="仿宋" w:cs="仿宋"/>
                <w:color w:val="auto"/>
                <w:sz w:val="28"/>
                <w:szCs w:val="28"/>
                <w:highlight w:val="none"/>
              </w:rPr>
            </w:pPr>
          </w:p>
        </w:tc>
      </w:tr>
      <w:tr w14:paraId="615CC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31" w:type="dxa"/>
            <w:tcBorders>
              <w:left w:val="single" w:color="auto" w:sz="4" w:space="0"/>
            </w:tcBorders>
            <w:noWrap w:val="0"/>
            <w:vAlign w:val="center"/>
          </w:tcPr>
          <w:p w14:paraId="11EBC05A">
            <w:pPr>
              <w:spacing w:line="560" w:lineRule="exact"/>
              <w:rPr>
                <w:rFonts w:hint="eastAsia" w:ascii="仿宋" w:hAnsi="仿宋" w:eastAsia="仿宋" w:cs="仿宋"/>
                <w:color w:val="auto"/>
                <w:sz w:val="28"/>
                <w:szCs w:val="28"/>
                <w:highlight w:val="none"/>
              </w:rPr>
            </w:pPr>
          </w:p>
        </w:tc>
        <w:tc>
          <w:tcPr>
            <w:tcW w:w="7403" w:type="dxa"/>
            <w:noWrap w:val="0"/>
            <w:vAlign w:val="center"/>
          </w:tcPr>
          <w:p w14:paraId="5513921E">
            <w:pPr>
              <w:spacing w:line="560" w:lineRule="exact"/>
              <w:rPr>
                <w:rFonts w:hint="eastAsia" w:ascii="仿宋" w:hAnsi="仿宋" w:eastAsia="仿宋" w:cs="仿宋"/>
                <w:color w:val="auto"/>
                <w:sz w:val="28"/>
                <w:szCs w:val="28"/>
                <w:highlight w:val="none"/>
                <w:u w:val="single"/>
              </w:rPr>
            </w:pPr>
          </w:p>
        </w:tc>
      </w:tr>
      <w:tr w14:paraId="1DCCC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31" w:type="dxa"/>
            <w:tcBorders>
              <w:left w:val="single" w:color="auto" w:sz="4" w:space="0"/>
            </w:tcBorders>
            <w:noWrap w:val="0"/>
            <w:vAlign w:val="center"/>
          </w:tcPr>
          <w:p w14:paraId="5C482FF9">
            <w:pPr>
              <w:spacing w:line="560" w:lineRule="exact"/>
              <w:rPr>
                <w:rFonts w:hint="eastAsia" w:ascii="仿宋" w:hAnsi="仿宋" w:eastAsia="仿宋" w:cs="仿宋"/>
                <w:color w:val="auto"/>
                <w:sz w:val="28"/>
                <w:szCs w:val="28"/>
                <w:highlight w:val="none"/>
              </w:rPr>
            </w:pPr>
          </w:p>
        </w:tc>
        <w:tc>
          <w:tcPr>
            <w:tcW w:w="7403" w:type="dxa"/>
            <w:noWrap w:val="0"/>
            <w:vAlign w:val="center"/>
          </w:tcPr>
          <w:p w14:paraId="25CAD4FB">
            <w:pPr>
              <w:spacing w:line="560" w:lineRule="exact"/>
              <w:rPr>
                <w:rFonts w:hint="eastAsia" w:ascii="仿宋" w:hAnsi="仿宋" w:eastAsia="仿宋" w:cs="仿宋"/>
                <w:color w:val="auto"/>
                <w:sz w:val="28"/>
                <w:szCs w:val="28"/>
                <w:highlight w:val="none"/>
              </w:rPr>
            </w:pPr>
          </w:p>
        </w:tc>
      </w:tr>
      <w:tr w14:paraId="32CFC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31" w:type="dxa"/>
            <w:tcBorders>
              <w:left w:val="single" w:color="auto" w:sz="4" w:space="0"/>
            </w:tcBorders>
            <w:noWrap w:val="0"/>
            <w:vAlign w:val="center"/>
          </w:tcPr>
          <w:p w14:paraId="4FF5E410">
            <w:pPr>
              <w:spacing w:line="560" w:lineRule="exact"/>
              <w:rPr>
                <w:rFonts w:hint="eastAsia" w:ascii="仿宋" w:hAnsi="仿宋" w:eastAsia="仿宋" w:cs="仿宋"/>
                <w:color w:val="auto"/>
                <w:sz w:val="28"/>
                <w:szCs w:val="28"/>
                <w:highlight w:val="none"/>
              </w:rPr>
            </w:pPr>
          </w:p>
        </w:tc>
        <w:tc>
          <w:tcPr>
            <w:tcW w:w="7403" w:type="dxa"/>
            <w:noWrap w:val="0"/>
            <w:vAlign w:val="center"/>
          </w:tcPr>
          <w:p w14:paraId="0D4375DF">
            <w:pPr>
              <w:spacing w:line="560" w:lineRule="exact"/>
              <w:rPr>
                <w:rFonts w:hint="eastAsia" w:ascii="仿宋" w:hAnsi="仿宋" w:eastAsia="仿宋" w:cs="仿宋"/>
                <w:color w:val="auto"/>
                <w:sz w:val="28"/>
                <w:szCs w:val="28"/>
                <w:highlight w:val="none"/>
              </w:rPr>
            </w:pPr>
          </w:p>
        </w:tc>
      </w:tr>
      <w:tr w14:paraId="15018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31" w:type="dxa"/>
            <w:tcBorders>
              <w:left w:val="single" w:color="auto" w:sz="4" w:space="0"/>
            </w:tcBorders>
            <w:noWrap w:val="0"/>
            <w:vAlign w:val="center"/>
          </w:tcPr>
          <w:p w14:paraId="0AFF2FB6">
            <w:pPr>
              <w:spacing w:line="560" w:lineRule="exact"/>
              <w:rPr>
                <w:rFonts w:hint="eastAsia" w:ascii="仿宋" w:hAnsi="仿宋" w:eastAsia="仿宋" w:cs="仿宋"/>
                <w:color w:val="auto"/>
                <w:sz w:val="28"/>
                <w:szCs w:val="28"/>
                <w:highlight w:val="none"/>
              </w:rPr>
            </w:pPr>
          </w:p>
        </w:tc>
        <w:tc>
          <w:tcPr>
            <w:tcW w:w="7403" w:type="dxa"/>
            <w:noWrap w:val="0"/>
            <w:vAlign w:val="center"/>
          </w:tcPr>
          <w:p w14:paraId="77209DAB">
            <w:pPr>
              <w:spacing w:line="560" w:lineRule="exact"/>
              <w:rPr>
                <w:rFonts w:hint="eastAsia" w:ascii="仿宋" w:hAnsi="仿宋" w:eastAsia="仿宋" w:cs="仿宋"/>
                <w:color w:val="auto"/>
                <w:sz w:val="28"/>
                <w:szCs w:val="28"/>
                <w:highlight w:val="none"/>
              </w:rPr>
            </w:pPr>
          </w:p>
        </w:tc>
      </w:tr>
      <w:tr w14:paraId="6C3B8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31" w:type="dxa"/>
            <w:tcBorders>
              <w:top w:val="single" w:color="auto" w:sz="6" w:space="0"/>
              <w:left w:val="single" w:color="auto" w:sz="4" w:space="0"/>
              <w:bottom w:val="single" w:color="auto" w:sz="6" w:space="0"/>
              <w:right w:val="single" w:color="auto" w:sz="6" w:space="0"/>
            </w:tcBorders>
            <w:noWrap w:val="0"/>
            <w:vAlign w:val="center"/>
          </w:tcPr>
          <w:p w14:paraId="5DBC7D32">
            <w:pPr>
              <w:spacing w:line="560" w:lineRule="exact"/>
              <w:rPr>
                <w:rFonts w:hint="eastAsia" w:ascii="仿宋" w:hAnsi="仿宋" w:eastAsia="仿宋" w:cs="仿宋"/>
                <w:color w:val="auto"/>
                <w:sz w:val="28"/>
                <w:szCs w:val="28"/>
                <w:highlight w:val="none"/>
              </w:rPr>
            </w:pPr>
          </w:p>
        </w:tc>
        <w:tc>
          <w:tcPr>
            <w:tcW w:w="7403" w:type="dxa"/>
            <w:tcBorders>
              <w:top w:val="single" w:color="auto" w:sz="6" w:space="0"/>
              <w:left w:val="single" w:color="auto" w:sz="6" w:space="0"/>
              <w:bottom w:val="single" w:color="auto" w:sz="6" w:space="0"/>
              <w:right w:val="single" w:color="auto" w:sz="6" w:space="0"/>
            </w:tcBorders>
            <w:noWrap w:val="0"/>
            <w:vAlign w:val="center"/>
          </w:tcPr>
          <w:p w14:paraId="01621199">
            <w:pPr>
              <w:spacing w:line="560" w:lineRule="exact"/>
              <w:rPr>
                <w:rFonts w:hint="eastAsia" w:ascii="仿宋" w:hAnsi="仿宋" w:eastAsia="仿宋" w:cs="仿宋"/>
                <w:color w:val="auto"/>
                <w:sz w:val="28"/>
                <w:szCs w:val="28"/>
                <w:highlight w:val="none"/>
              </w:rPr>
            </w:pPr>
          </w:p>
        </w:tc>
      </w:tr>
      <w:tr w14:paraId="7FC50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031" w:type="dxa"/>
            <w:tcBorders>
              <w:top w:val="single" w:color="auto" w:sz="6" w:space="0"/>
              <w:left w:val="single" w:color="auto" w:sz="4" w:space="0"/>
              <w:bottom w:val="single" w:color="auto" w:sz="6" w:space="0"/>
              <w:right w:val="single" w:color="auto" w:sz="6" w:space="0"/>
            </w:tcBorders>
            <w:noWrap w:val="0"/>
            <w:vAlign w:val="center"/>
          </w:tcPr>
          <w:p w14:paraId="26CC01CE">
            <w:pPr>
              <w:spacing w:line="560" w:lineRule="exact"/>
              <w:rPr>
                <w:rFonts w:hint="eastAsia" w:ascii="仿宋" w:hAnsi="仿宋" w:eastAsia="仿宋" w:cs="仿宋"/>
                <w:color w:val="auto"/>
                <w:sz w:val="28"/>
                <w:szCs w:val="28"/>
                <w:highlight w:val="none"/>
              </w:rPr>
            </w:pPr>
          </w:p>
        </w:tc>
        <w:tc>
          <w:tcPr>
            <w:tcW w:w="7403" w:type="dxa"/>
            <w:tcBorders>
              <w:top w:val="single" w:color="auto" w:sz="6" w:space="0"/>
              <w:left w:val="single" w:color="auto" w:sz="6" w:space="0"/>
              <w:bottom w:val="single" w:color="auto" w:sz="6" w:space="0"/>
              <w:right w:val="single" w:color="auto" w:sz="6" w:space="0"/>
            </w:tcBorders>
            <w:noWrap w:val="0"/>
            <w:vAlign w:val="center"/>
          </w:tcPr>
          <w:p w14:paraId="3CFCC647">
            <w:pPr>
              <w:spacing w:line="560" w:lineRule="exact"/>
              <w:rPr>
                <w:rFonts w:hint="eastAsia" w:ascii="仿宋" w:hAnsi="仿宋" w:eastAsia="仿宋" w:cs="仿宋"/>
                <w:color w:val="auto"/>
                <w:sz w:val="28"/>
                <w:szCs w:val="28"/>
                <w:highlight w:val="none"/>
              </w:rPr>
            </w:pPr>
          </w:p>
        </w:tc>
      </w:tr>
    </w:tbl>
    <w:p w14:paraId="28652786">
      <w:pPr>
        <w:pStyle w:val="2"/>
        <w:spacing w:line="240" w:lineRule="atLeast"/>
        <w:ind w:left="1080" w:leftChars="257" w:hanging="540"/>
        <w:rPr>
          <w:rFonts w:hint="eastAsia" w:ascii="仿宋" w:hAnsi="仿宋" w:eastAsia="仿宋" w:cs="仿宋"/>
          <w:color w:val="auto"/>
          <w:sz w:val="28"/>
          <w:szCs w:val="28"/>
          <w:highlight w:val="none"/>
        </w:rPr>
      </w:pPr>
    </w:p>
    <w:p w14:paraId="04AAD944">
      <w:pPr>
        <w:pStyle w:val="13"/>
        <w:rPr>
          <w:rFonts w:hint="eastAsia"/>
          <w:color w:val="auto"/>
          <w:highlight w:val="none"/>
        </w:rPr>
      </w:pPr>
    </w:p>
    <w:sectPr>
      <w:footerReference r:id="rId11"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991B31-A901-43DF-9F91-46739D26FE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2" w:fontKey="{02B76F09-0A1F-467F-A2E4-67C990ECA592}"/>
  </w:font>
  <w:font w:name="Helvetica">
    <w:altName w:val="Arial"/>
    <w:panose1 w:val="020B0604020202020204"/>
    <w:charset w:val="00"/>
    <w:family w:val="swiss"/>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decorative"/>
    <w:pitch w:val="default"/>
    <w:sig w:usb0="00000000" w:usb1="00000000" w:usb2="00000000" w:usb3="00000000" w:csb0="80000000" w:csb1="00000000"/>
    <w:embedRegular r:id="rId3" w:fontKey="{809E362B-1340-4E0D-A2C4-8DC2E16C4771}"/>
  </w:font>
  <w:font w:name="仿宋_GB2312">
    <w:panose1 w:val="02010609030101010101"/>
    <w:charset w:val="86"/>
    <w:family w:val="modern"/>
    <w:pitch w:val="default"/>
    <w:sig w:usb0="00000001" w:usb1="080E0000" w:usb2="00000000" w:usb3="00000000" w:csb0="00040000" w:csb1="00000000"/>
    <w:embedRegular r:id="rId4" w:fontKey="{C6E1B3E7-87BA-4658-A7F3-9235591AD5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0E44">
    <w:pPr>
      <w:pStyle w:val="19"/>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3B09">
    <w:pPr>
      <w:pStyle w:val="19"/>
      <w:framePr w:wrap="around" w:vAnchor="text" w:hAnchor="margin" w:xAlign="center" w:y="1"/>
      <w:rPr>
        <w:rStyle w:val="31"/>
      </w:rPr>
    </w:pPr>
    <w:r>
      <w:fldChar w:fldCharType="begin"/>
    </w:r>
    <w:r>
      <w:rPr>
        <w:rStyle w:val="31"/>
      </w:rPr>
      <w:instrText xml:space="preserve">PAGE  </w:instrText>
    </w:r>
    <w:r>
      <w:fldChar w:fldCharType="end"/>
    </w:r>
  </w:p>
  <w:p w14:paraId="40CB28B4">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AD095">
    <w:pPr>
      <w:pStyle w:val="13"/>
      <w:spacing w:line="14" w:lineRule="auto"/>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A97B1">
                          <w:pPr>
                            <w:pStyle w:val="1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2AA97B1">
                    <w:pPr>
                      <w:pStyle w:val="1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D51B1">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D09D2">
                          <w:pPr>
                            <w:pStyle w:val="1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FBD09D2">
                    <w:pPr>
                      <w:pStyle w:val="1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6E5C7">
    <w:pPr>
      <w:pStyle w:val="1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4D7F4">
                          <w:pPr>
                            <w:pStyle w:val="1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F4D7F4">
                    <w:pPr>
                      <w:pStyle w:val="19"/>
                    </w:pPr>
                    <w:r>
                      <w:fldChar w:fldCharType="begin"/>
                    </w:r>
                    <w:r>
                      <w:instrText xml:space="preserve"> PAGE  \* MERGEFORMAT </w:instrText>
                    </w:r>
                    <w:r>
                      <w:fldChar w:fldCharType="separate"/>
                    </w:r>
                    <w:r>
                      <w:t>93</w:t>
                    </w:r>
                    <w:r>
                      <w:fldChar w:fldCharType="end"/>
                    </w:r>
                  </w:p>
                </w:txbxContent>
              </v:textbox>
            </v:shape>
          </w:pict>
        </mc:Fallback>
      </mc:AlternateContent>
    </w:r>
  </w:p>
  <w:p w14:paraId="194E5344">
    <w:pPr>
      <w:pStyle w:val="19"/>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C900E">
    <w:pPr>
      <w:pStyle w:val="20"/>
      <w:pBdr>
        <w:bottom w:val="single" w:color="auto" w:sz="4" w:space="1"/>
      </w:pBdr>
      <w:jc w:val="both"/>
      <w:rPr>
        <w:sz w:val="18"/>
        <w:szCs w:val="20"/>
      </w:rPr>
    </w:pPr>
    <w:r>
      <w:rPr>
        <w:sz w:val="18"/>
      </w:rPr>
      <w:pict>
        <v:shape id="PowerPlusWaterMarkObject31950" o:spid="_x0000_s4100" o:spt="136" type="#_x0000_t136" style="position:absolute;left:0pt;height:47pt;width:540.25pt;mso-position-horizontal:center;mso-position-horizontal-relative:margin;mso-position-vertical:center;mso-position-vertical-relative:margin;rotation:-2949120f;z-index:-251653120;mso-width-relative:page;mso-height-relative:page;" fillcolor="#A5A5A5" filled="t" stroked="f" coordsize="21600,21600" adj="10800">
          <v:path/>
          <v:fill on="t" opacity="32768f" focussize="0,0"/>
          <v:stroke on="f"/>
          <v:imagedata o:title=""/>
          <o:lock v:ext="edit" aspectratio="t"/>
          <v:textpath on="t" fitshape="t" fitpath="t" trim="t" xscale="f" string="新疆长润泽建设工程管理有限公司" style="font-family:微软雅黑;font-size:36pt;v-same-letter-heights:f;v-text-align:center;"/>
        </v:shape>
      </w:pict>
    </w:r>
    <w:r>
      <w:rPr>
        <w:rFonts w:hint="eastAsia"/>
        <w:sz w:val="18"/>
        <w:szCs w:val="20"/>
        <w:lang w:eastAsia="zh-CN"/>
      </w:rPr>
      <w:t>察布查尔锡伯自治县公安局</w:t>
    </w:r>
    <w:r>
      <w:rPr>
        <w:rFonts w:hint="eastAsia"/>
        <w:sz w:val="18"/>
        <w:szCs w:val="20"/>
        <w:lang w:val="en-US" w:eastAsia="zh-CN"/>
      </w:rPr>
      <w:t>2025年</w:t>
    </w:r>
    <w:r>
      <w:rPr>
        <w:rFonts w:hint="eastAsia"/>
        <w:sz w:val="18"/>
        <w:szCs w:val="20"/>
        <w:lang w:eastAsia="zh-CN"/>
      </w:rPr>
      <w:t>大宗食材采购项目</w:t>
    </w:r>
    <w:r>
      <w:rPr>
        <w:rFonts w:hint="eastAsia"/>
        <w:sz w:val="18"/>
        <w:szCs w:val="20"/>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54455">
    <w:pPr>
      <w:pStyle w:val="2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
                  <pic:cNvPicPr>
                    <a:picLocks noChangeAspect="1"/>
                  </pic:cNvPicPr>
                </pic:nvPicPr>
                <pic:blipFill>
                  <a:blip r:embed="rId1">
                    <a:lum bright="70001" contrast="-70000"/>
                  </a:blip>
                  <a:stretch>
                    <a:fillRect/>
                  </a:stretch>
                </pic:blipFill>
                <pic:spPr>
                  <a:xfrm>
                    <a:off x="0" y="0"/>
                    <a:ext cx="6119495" cy="61194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32D9">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EDD87">
    <w:pPr>
      <w:pStyle w:val="20"/>
      <w:jc w:val="both"/>
      <w:rPr>
        <w:rFonts w:hint="eastAsia"/>
        <w:lang w:val="en-US" w:eastAsia="zh-CN"/>
      </w:rPr>
    </w:pPr>
    <w:r>
      <w:rPr>
        <w:sz w:val="18"/>
      </w:rPr>
      <w:pict>
        <v:shape id="_x0000_s4101" o:spid="_x0000_s4101" o:spt="136" type="#_x0000_t136" style="position:absolute;left:0pt;height:47pt;width:540.25pt;mso-position-horizontal:center;mso-position-horizontal-relative:margin;mso-position-vertical:center;mso-position-vertical-relative:margin;rotation:-2949120f;z-index:-251652096;mso-width-relative:page;mso-height-relative:page;" fillcolor="#A5A5A5" filled="t" stroked="f" coordsize="21600,21600" adj="10800">
          <v:path/>
          <v:fill on="t" opacity="32768f" focussize="0,0"/>
          <v:stroke on="f"/>
          <v:imagedata o:title=""/>
          <o:lock v:ext="edit" aspectratio="t"/>
          <v:textpath on="t" fitshape="t" fitpath="t" trim="t" xscale="f" string="新疆长润泽建设工程管理有限公司" style="font-family:微软雅黑;font-size:36pt;v-same-letter-heights:f;v-text-align:center;"/>
        </v:shape>
      </w:pict>
    </w:r>
    <w:r>
      <w:rPr>
        <w:rFonts w:hint="eastAsia"/>
        <w:lang w:eastAsia="zh-CN"/>
      </w:rPr>
      <w:t>察布查尔锡伯自治县公安局</w:t>
    </w:r>
    <w:r>
      <w:rPr>
        <w:rFonts w:hint="eastAsia"/>
        <w:lang w:val="en-US" w:eastAsia="zh-CN"/>
      </w:rPr>
      <w:t>2025年</w:t>
    </w:r>
    <w:r>
      <w:rPr>
        <w:rFonts w:hint="eastAsia"/>
        <w:lang w:eastAsia="zh-CN"/>
      </w:rPr>
      <w:t>大宗食材采购项目</w:t>
    </w: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136CD"/>
    <w:multiLevelType w:val="singleLevel"/>
    <w:tmpl w:val="BC1136CD"/>
    <w:lvl w:ilvl="0" w:tentative="0">
      <w:start w:val="1"/>
      <w:numFmt w:val="decimal"/>
      <w:suff w:val="nothing"/>
      <w:lvlText w:val="（%1）"/>
      <w:lvlJc w:val="left"/>
    </w:lvl>
  </w:abstractNum>
  <w:abstractNum w:abstractNumId="1">
    <w:nsid w:val="C4074E82"/>
    <w:multiLevelType w:val="singleLevel"/>
    <w:tmpl w:val="C4074E82"/>
    <w:lvl w:ilvl="0" w:tentative="0">
      <w:start w:val="1"/>
      <w:numFmt w:val="decimal"/>
      <w:suff w:val="nothing"/>
      <w:lvlText w:val="（%1）"/>
      <w:lvlJc w:val="left"/>
    </w:lvl>
  </w:abstractNum>
  <w:abstractNum w:abstractNumId="2">
    <w:nsid w:val="F1EDCA26"/>
    <w:multiLevelType w:val="singleLevel"/>
    <w:tmpl w:val="F1EDCA26"/>
    <w:lvl w:ilvl="0" w:tentative="0">
      <w:start w:val="1"/>
      <w:numFmt w:val="decimal"/>
      <w:suff w:val="nothing"/>
      <w:lvlText w:val="（%1）"/>
      <w:lvlJc w:val="left"/>
    </w:lvl>
  </w:abstractNum>
  <w:abstractNum w:abstractNumId="3">
    <w:nsid w:val="00000003"/>
    <w:multiLevelType w:val="singleLevel"/>
    <w:tmpl w:val="00000003"/>
    <w:lvl w:ilvl="0" w:tentative="0">
      <w:start w:val="6"/>
      <w:numFmt w:val="chineseCounting"/>
      <w:suff w:val="nothing"/>
      <w:lvlText w:val="%1、"/>
      <w:lvlJc w:val="left"/>
      <w:rPr>
        <w:rFonts w:hint="eastAsia"/>
      </w:rPr>
    </w:lvl>
  </w:abstractNum>
  <w:abstractNum w:abstractNumId="4">
    <w:nsid w:val="1C7F413C"/>
    <w:multiLevelType w:val="singleLevel"/>
    <w:tmpl w:val="1C7F413C"/>
    <w:lvl w:ilvl="0" w:tentative="0">
      <w:start w:val="6"/>
      <w:numFmt w:val="decimal"/>
      <w:suff w:val="nothing"/>
      <w:lvlText w:val="（%1）"/>
      <w:lvlJc w:val="left"/>
    </w:lvl>
  </w:abstractNum>
  <w:abstractNum w:abstractNumId="5">
    <w:nsid w:val="7EC25006"/>
    <w:multiLevelType w:val="singleLevel"/>
    <w:tmpl w:val="7EC25006"/>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OGY3YTMxMmFiZDI4MGUxZmI4Njk2NjdlOWQ1MTIifQ=="/>
  </w:docVars>
  <w:rsids>
    <w:rsidRoot w:val="0BD46CE0"/>
    <w:rsid w:val="00013654"/>
    <w:rsid w:val="000E7B1F"/>
    <w:rsid w:val="00176184"/>
    <w:rsid w:val="0018274C"/>
    <w:rsid w:val="001B223C"/>
    <w:rsid w:val="00207D7F"/>
    <w:rsid w:val="00425A1B"/>
    <w:rsid w:val="00453B37"/>
    <w:rsid w:val="004C691F"/>
    <w:rsid w:val="004E3EA4"/>
    <w:rsid w:val="00501EE6"/>
    <w:rsid w:val="005C6ADC"/>
    <w:rsid w:val="00615EA1"/>
    <w:rsid w:val="00704336"/>
    <w:rsid w:val="00724552"/>
    <w:rsid w:val="007C717F"/>
    <w:rsid w:val="00801B48"/>
    <w:rsid w:val="00A0756A"/>
    <w:rsid w:val="00A81D22"/>
    <w:rsid w:val="00D1102F"/>
    <w:rsid w:val="00D31E4F"/>
    <w:rsid w:val="00DA5C53"/>
    <w:rsid w:val="00E40880"/>
    <w:rsid w:val="00E54D24"/>
    <w:rsid w:val="00EB60B2"/>
    <w:rsid w:val="00F74A57"/>
    <w:rsid w:val="00F9432B"/>
    <w:rsid w:val="010F737D"/>
    <w:rsid w:val="011078C7"/>
    <w:rsid w:val="0112363F"/>
    <w:rsid w:val="011253ED"/>
    <w:rsid w:val="01227D26"/>
    <w:rsid w:val="012D66CB"/>
    <w:rsid w:val="014B7AE2"/>
    <w:rsid w:val="0156177E"/>
    <w:rsid w:val="016C71F3"/>
    <w:rsid w:val="017E6F26"/>
    <w:rsid w:val="018D0F17"/>
    <w:rsid w:val="01913FB9"/>
    <w:rsid w:val="01A41E1E"/>
    <w:rsid w:val="01A85D51"/>
    <w:rsid w:val="01B8066A"/>
    <w:rsid w:val="01D60B10"/>
    <w:rsid w:val="01D84B25"/>
    <w:rsid w:val="01DB6127"/>
    <w:rsid w:val="01E33435"/>
    <w:rsid w:val="01EB45BC"/>
    <w:rsid w:val="01FB2325"/>
    <w:rsid w:val="01FE5971"/>
    <w:rsid w:val="0200481C"/>
    <w:rsid w:val="02054EED"/>
    <w:rsid w:val="022F6A08"/>
    <w:rsid w:val="02467A44"/>
    <w:rsid w:val="024A0BB7"/>
    <w:rsid w:val="0261487E"/>
    <w:rsid w:val="02674585"/>
    <w:rsid w:val="026E6F9B"/>
    <w:rsid w:val="028B4F54"/>
    <w:rsid w:val="02C646E1"/>
    <w:rsid w:val="02D92666"/>
    <w:rsid w:val="02DC2156"/>
    <w:rsid w:val="02E828A9"/>
    <w:rsid w:val="02F0175E"/>
    <w:rsid w:val="02F2197A"/>
    <w:rsid w:val="02F54FC6"/>
    <w:rsid w:val="030D2310"/>
    <w:rsid w:val="034877EC"/>
    <w:rsid w:val="03525F75"/>
    <w:rsid w:val="035903B5"/>
    <w:rsid w:val="035E2C4D"/>
    <w:rsid w:val="038274A1"/>
    <w:rsid w:val="038720C2"/>
    <w:rsid w:val="038F71C9"/>
    <w:rsid w:val="03906A9D"/>
    <w:rsid w:val="039E2CB1"/>
    <w:rsid w:val="03B46C2F"/>
    <w:rsid w:val="03B7227C"/>
    <w:rsid w:val="03BC4BD4"/>
    <w:rsid w:val="03C84489"/>
    <w:rsid w:val="03E27089"/>
    <w:rsid w:val="03E77005"/>
    <w:rsid w:val="03F60FF6"/>
    <w:rsid w:val="03FB03BA"/>
    <w:rsid w:val="03FD05D6"/>
    <w:rsid w:val="04041965"/>
    <w:rsid w:val="0405748B"/>
    <w:rsid w:val="04090D29"/>
    <w:rsid w:val="040C6A6B"/>
    <w:rsid w:val="040E4592"/>
    <w:rsid w:val="041B0A5C"/>
    <w:rsid w:val="0422003D"/>
    <w:rsid w:val="0423034F"/>
    <w:rsid w:val="043A35D9"/>
    <w:rsid w:val="043B4C5B"/>
    <w:rsid w:val="045521C0"/>
    <w:rsid w:val="045A3333"/>
    <w:rsid w:val="04785EAF"/>
    <w:rsid w:val="048B5207"/>
    <w:rsid w:val="048C3708"/>
    <w:rsid w:val="048D2BD8"/>
    <w:rsid w:val="04912ACD"/>
    <w:rsid w:val="04A60F90"/>
    <w:rsid w:val="04A63ABD"/>
    <w:rsid w:val="04AD7905"/>
    <w:rsid w:val="04B073F7"/>
    <w:rsid w:val="04EB48D3"/>
    <w:rsid w:val="04F419D9"/>
    <w:rsid w:val="051200B1"/>
    <w:rsid w:val="051675BB"/>
    <w:rsid w:val="05301949"/>
    <w:rsid w:val="0559183C"/>
    <w:rsid w:val="055E32F7"/>
    <w:rsid w:val="05687253"/>
    <w:rsid w:val="056D353A"/>
    <w:rsid w:val="057C22D7"/>
    <w:rsid w:val="057C552B"/>
    <w:rsid w:val="058314C5"/>
    <w:rsid w:val="05947C79"/>
    <w:rsid w:val="059E7B97"/>
    <w:rsid w:val="05B178CA"/>
    <w:rsid w:val="05B747B5"/>
    <w:rsid w:val="05CA273A"/>
    <w:rsid w:val="05D26E3A"/>
    <w:rsid w:val="05D610DF"/>
    <w:rsid w:val="05DD1BF7"/>
    <w:rsid w:val="05DE61E6"/>
    <w:rsid w:val="05E530D0"/>
    <w:rsid w:val="05EC26B0"/>
    <w:rsid w:val="05F23A3F"/>
    <w:rsid w:val="06020126"/>
    <w:rsid w:val="060C1E02"/>
    <w:rsid w:val="061623F8"/>
    <w:rsid w:val="0616772D"/>
    <w:rsid w:val="062537E8"/>
    <w:rsid w:val="062E4A77"/>
    <w:rsid w:val="064047AA"/>
    <w:rsid w:val="06563FCE"/>
    <w:rsid w:val="066A1827"/>
    <w:rsid w:val="0671369D"/>
    <w:rsid w:val="067A4160"/>
    <w:rsid w:val="06861303"/>
    <w:rsid w:val="068B65D1"/>
    <w:rsid w:val="06C66D57"/>
    <w:rsid w:val="06CB0518"/>
    <w:rsid w:val="06CB676A"/>
    <w:rsid w:val="06E36073"/>
    <w:rsid w:val="06EB43B9"/>
    <w:rsid w:val="06F04422"/>
    <w:rsid w:val="06F26EE0"/>
    <w:rsid w:val="06F7755F"/>
    <w:rsid w:val="06FC4AE5"/>
    <w:rsid w:val="07061550"/>
    <w:rsid w:val="071E2D3E"/>
    <w:rsid w:val="072C6FE0"/>
    <w:rsid w:val="07487DBA"/>
    <w:rsid w:val="074E161D"/>
    <w:rsid w:val="074F1149"/>
    <w:rsid w:val="07554285"/>
    <w:rsid w:val="07830DF3"/>
    <w:rsid w:val="078F59E9"/>
    <w:rsid w:val="079B25E0"/>
    <w:rsid w:val="079E6452"/>
    <w:rsid w:val="07A86AAB"/>
    <w:rsid w:val="07AB0349"/>
    <w:rsid w:val="07B90CB8"/>
    <w:rsid w:val="07C0102B"/>
    <w:rsid w:val="07C1191B"/>
    <w:rsid w:val="07E01DA1"/>
    <w:rsid w:val="07E04497"/>
    <w:rsid w:val="080A32C2"/>
    <w:rsid w:val="08110A1D"/>
    <w:rsid w:val="081128A2"/>
    <w:rsid w:val="08122176"/>
    <w:rsid w:val="081B102B"/>
    <w:rsid w:val="08256BE2"/>
    <w:rsid w:val="08326375"/>
    <w:rsid w:val="08346591"/>
    <w:rsid w:val="08394C78"/>
    <w:rsid w:val="08430582"/>
    <w:rsid w:val="08544830"/>
    <w:rsid w:val="085D7896"/>
    <w:rsid w:val="085E716A"/>
    <w:rsid w:val="0865674A"/>
    <w:rsid w:val="08793F74"/>
    <w:rsid w:val="087A48E9"/>
    <w:rsid w:val="087B41C0"/>
    <w:rsid w:val="088017D6"/>
    <w:rsid w:val="088E5CA1"/>
    <w:rsid w:val="08970AD5"/>
    <w:rsid w:val="089A76B6"/>
    <w:rsid w:val="089B4494"/>
    <w:rsid w:val="08AE04A4"/>
    <w:rsid w:val="08BB4929"/>
    <w:rsid w:val="08BD6586"/>
    <w:rsid w:val="08C711B3"/>
    <w:rsid w:val="08CB0CA3"/>
    <w:rsid w:val="08F57ACE"/>
    <w:rsid w:val="08FF6B9F"/>
    <w:rsid w:val="090D2B1A"/>
    <w:rsid w:val="0913264A"/>
    <w:rsid w:val="091C14FF"/>
    <w:rsid w:val="09216B15"/>
    <w:rsid w:val="092263E9"/>
    <w:rsid w:val="09273A00"/>
    <w:rsid w:val="09453417"/>
    <w:rsid w:val="094B5940"/>
    <w:rsid w:val="09531D27"/>
    <w:rsid w:val="09532A47"/>
    <w:rsid w:val="09552F0C"/>
    <w:rsid w:val="09693D82"/>
    <w:rsid w:val="09795283"/>
    <w:rsid w:val="09815806"/>
    <w:rsid w:val="0983332C"/>
    <w:rsid w:val="099866AB"/>
    <w:rsid w:val="099B67B3"/>
    <w:rsid w:val="09AE6375"/>
    <w:rsid w:val="09AF2373"/>
    <w:rsid w:val="09B554AF"/>
    <w:rsid w:val="09CB6A81"/>
    <w:rsid w:val="09D26061"/>
    <w:rsid w:val="09D973F0"/>
    <w:rsid w:val="09DB3168"/>
    <w:rsid w:val="09DE5453"/>
    <w:rsid w:val="09EF451D"/>
    <w:rsid w:val="09F61D50"/>
    <w:rsid w:val="09FB1114"/>
    <w:rsid w:val="09FB55B8"/>
    <w:rsid w:val="0A0A75A9"/>
    <w:rsid w:val="0A0E5ECB"/>
    <w:rsid w:val="0A1C3158"/>
    <w:rsid w:val="0A2368BD"/>
    <w:rsid w:val="0A2A37A7"/>
    <w:rsid w:val="0A2F0DBE"/>
    <w:rsid w:val="0A375EC4"/>
    <w:rsid w:val="0A5151D8"/>
    <w:rsid w:val="0A6C3DC0"/>
    <w:rsid w:val="0A70536D"/>
    <w:rsid w:val="0A7E3AF3"/>
    <w:rsid w:val="0A7F7F97"/>
    <w:rsid w:val="0A805ABD"/>
    <w:rsid w:val="0A886720"/>
    <w:rsid w:val="0A8E01DA"/>
    <w:rsid w:val="0AA7129C"/>
    <w:rsid w:val="0AB1341B"/>
    <w:rsid w:val="0AB573FD"/>
    <w:rsid w:val="0ABC5446"/>
    <w:rsid w:val="0ABF65E6"/>
    <w:rsid w:val="0AC7549A"/>
    <w:rsid w:val="0AE75B3C"/>
    <w:rsid w:val="0AE95411"/>
    <w:rsid w:val="0AF52179"/>
    <w:rsid w:val="0AF67B2D"/>
    <w:rsid w:val="0B04224A"/>
    <w:rsid w:val="0B064214"/>
    <w:rsid w:val="0B065FC2"/>
    <w:rsid w:val="0B077F8D"/>
    <w:rsid w:val="0B1A49DF"/>
    <w:rsid w:val="0B1B102D"/>
    <w:rsid w:val="0B325009"/>
    <w:rsid w:val="0B36617C"/>
    <w:rsid w:val="0B3F14D4"/>
    <w:rsid w:val="0B4F3FD7"/>
    <w:rsid w:val="0B554854"/>
    <w:rsid w:val="0B6E5916"/>
    <w:rsid w:val="0B70168E"/>
    <w:rsid w:val="0B89197C"/>
    <w:rsid w:val="0BA92DF2"/>
    <w:rsid w:val="0BBE689D"/>
    <w:rsid w:val="0BCF0AAA"/>
    <w:rsid w:val="0BD46CE0"/>
    <w:rsid w:val="0BF91683"/>
    <w:rsid w:val="0C055274"/>
    <w:rsid w:val="0C0A1AE2"/>
    <w:rsid w:val="0C142961"/>
    <w:rsid w:val="0C1C7A68"/>
    <w:rsid w:val="0C1E733C"/>
    <w:rsid w:val="0C2972BF"/>
    <w:rsid w:val="0C3721AC"/>
    <w:rsid w:val="0C3923C8"/>
    <w:rsid w:val="0C4F5747"/>
    <w:rsid w:val="0C526FE5"/>
    <w:rsid w:val="0C5C7E64"/>
    <w:rsid w:val="0C605BA6"/>
    <w:rsid w:val="0C655404"/>
    <w:rsid w:val="0C686809"/>
    <w:rsid w:val="0C743400"/>
    <w:rsid w:val="0C762CD4"/>
    <w:rsid w:val="0C7E0929"/>
    <w:rsid w:val="0C845862"/>
    <w:rsid w:val="0C8C21A0"/>
    <w:rsid w:val="0CA23AC9"/>
    <w:rsid w:val="0CA710DF"/>
    <w:rsid w:val="0CB47CA0"/>
    <w:rsid w:val="0CBE780C"/>
    <w:rsid w:val="0CC223BD"/>
    <w:rsid w:val="0CC872A8"/>
    <w:rsid w:val="0CCF17F8"/>
    <w:rsid w:val="0CD10852"/>
    <w:rsid w:val="0CDE6ACB"/>
    <w:rsid w:val="0CFA3905"/>
    <w:rsid w:val="0CFF53BF"/>
    <w:rsid w:val="0D1424ED"/>
    <w:rsid w:val="0D3606B5"/>
    <w:rsid w:val="0D3A1F53"/>
    <w:rsid w:val="0D442DD2"/>
    <w:rsid w:val="0D450893"/>
    <w:rsid w:val="0D470B14"/>
    <w:rsid w:val="0D4E71B1"/>
    <w:rsid w:val="0D5D5544"/>
    <w:rsid w:val="0D6C2329"/>
    <w:rsid w:val="0D703BC7"/>
    <w:rsid w:val="0D7731A8"/>
    <w:rsid w:val="0D7C3D12"/>
    <w:rsid w:val="0D904B48"/>
    <w:rsid w:val="0D9773A6"/>
    <w:rsid w:val="0D9E6986"/>
    <w:rsid w:val="0DA815B3"/>
    <w:rsid w:val="0DAA7BE0"/>
    <w:rsid w:val="0DAE46EF"/>
    <w:rsid w:val="0DB00467"/>
    <w:rsid w:val="0DC42165"/>
    <w:rsid w:val="0DC9777B"/>
    <w:rsid w:val="0DD24882"/>
    <w:rsid w:val="0DD979BE"/>
    <w:rsid w:val="0DDA7292"/>
    <w:rsid w:val="0DDF67B7"/>
    <w:rsid w:val="0DED346A"/>
    <w:rsid w:val="0DF26CD2"/>
    <w:rsid w:val="0DF30354"/>
    <w:rsid w:val="0DF450C4"/>
    <w:rsid w:val="0DFE4D0E"/>
    <w:rsid w:val="0E0D1416"/>
    <w:rsid w:val="0E0D6AA9"/>
    <w:rsid w:val="0E15476E"/>
    <w:rsid w:val="0E3623F7"/>
    <w:rsid w:val="0E39220B"/>
    <w:rsid w:val="0E417312"/>
    <w:rsid w:val="0E470A1E"/>
    <w:rsid w:val="0E532FE2"/>
    <w:rsid w:val="0E603C3C"/>
    <w:rsid w:val="0E6B25E0"/>
    <w:rsid w:val="0E782A66"/>
    <w:rsid w:val="0E883192"/>
    <w:rsid w:val="0E8F2773"/>
    <w:rsid w:val="0E913FA4"/>
    <w:rsid w:val="0E925DBF"/>
    <w:rsid w:val="0E952516"/>
    <w:rsid w:val="0E9A2E45"/>
    <w:rsid w:val="0EAA3109"/>
    <w:rsid w:val="0EAC0C2F"/>
    <w:rsid w:val="0EB126E9"/>
    <w:rsid w:val="0EC20452"/>
    <w:rsid w:val="0EC8358F"/>
    <w:rsid w:val="0ECA7500"/>
    <w:rsid w:val="0EE859DF"/>
    <w:rsid w:val="0EF645A0"/>
    <w:rsid w:val="0F2729AB"/>
    <w:rsid w:val="0F39623B"/>
    <w:rsid w:val="0F3F5F47"/>
    <w:rsid w:val="0F4470B9"/>
    <w:rsid w:val="0F492922"/>
    <w:rsid w:val="0F5117D6"/>
    <w:rsid w:val="0F580DB7"/>
    <w:rsid w:val="0F5B4403"/>
    <w:rsid w:val="0F5C08A7"/>
    <w:rsid w:val="0F615EBD"/>
    <w:rsid w:val="0F657030"/>
    <w:rsid w:val="0F6A6B8F"/>
    <w:rsid w:val="0F6B6D3C"/>
    <w:rsid w:val="0F916077"/>
    <w:rsid w:val="0F930041"/>
    <w:rsid w:val="0F933B9D"/>
    <w:rsid w:val="0F96520F"/>
    <w:rsid w:val="0F9718DF"/>
    <w:rsid w:val="0FBD50BE"/>
    <w:rsid w:val="0FE4264A"/>
    <w:rsid w:val="0FED7751"/>
    <w:rsid w:val="0FF46D31"/>
    <w:rsid w:val="0FFA6FF1"/>
    <w:rsid w:val="100D1BA1"/>
    <w:rsid w:val="101833B4"/>
    <w:rsid w:val="101C1DE4"/>
    <w:rsid w:val="102D4B1A"/>
    <w:rsid w:val="10354C54"/>
    <w:rsid w:val="104D6442"/>
    <w:rsid w:val="105C48D7"/>
    <w:rsid w:val="107C2883"/>
    <w:rsid w:val="108F3E01"/>
    <w:rsid w:val="109D1177"/>
    <w:rsid w:val="10A2678D"/>
    <w:rsid w:val="10A544F9"/>
    <w:rsid w:val="10B14C22"/>
    <w:rsid w:val="10C55FD8"/>
    <w:rsid w:val="10E70644"/>
    <w:rsid w:val="10EF574B"/>
    <w:rsid w:val="112847B9"/>
    <w:rsid w:val="112D2D43"/>
    <w:rsid w:val="1139307F"/>
    <w:rsid w:val="114C04A7"/>
    <w:rsid w:val="114D0915"/>
    <w:rsid w:val="115765DD"/>
    <w:rsid w:val="115B2DE0"/>
    <w:rsid w:val="1173012A"/>
    <w:rsid w:val="117D68B3"/>
    <w:rsid w:val="11812B3C"/>
    <w:rsid w:val="118926BF"/>
    <w:rsid w:val="118C6962"/>
    <w:rsid w:val="11AB53A0"/>
    <w:rsid w:val="11AD744C"/>
    <w:rsid w:val="11B86BB3"/>
    <w:rsid w:val="11DB304C"/>
    <w:rsid w:val="11E579A3"/>
    <w:rsid w:val="11E76422"/>
    <w:rsid w:val="11E903EC"/>
    <w:rsid w:val="11F254F3"/>
    <w:rsid w:val="12042B30"/>
    <w:rsid w:val="1209283C"/>
    <w:rsid w:val="1211524D"/>
    <w:rsid w:val="12145176"/>
    <w:rsid w:val="121511E1"/>
    <w:rsid w:val="122A544F"/>
    <w:rsid w:val="122B630F"/>
    <w:rsid w:val="12486EC1"/>
    <w:rsid w:val="12577104"/>
    <w:rsid w:val="126A32DB"/>
    <w:rsid w:val="126D730B"/>
    <w:rsid w:val="126F08F1"/>
    <w:rsid w:val="1272218F"/>
    <w:rsid w:val="12744159"/>
    <w:rsid w:val="128D0D77"/>
    <w:rsid w:val="129F0AAB"/>
    <w:rsid w:val="12B10F0A"/>
    <w:rsid w:val="12BD3A51"/>
    <w:rsid w:val="12BD67FA"/>
    <w:rsid w:val="12C677AC"/>
    <w:rsid w:val="12CC5D44"/>
    <w:rsid w:val="12DE5A77"/>
    <w:rsid w:val="12E27315"/>
    <w:rsid w:val="12E82ACD"/>
    <w:rsid w:val="12F64B6E"/>
    <w:rsid w:val="13076D7C"/>
    <w:rsid w:val="131273D7"/>
    <w:rsid w:val="13144FF5"/>
    <w:rsid w:val="13196AAF"/>
    <w:rsid w:val="13286CF2"/>
    <w:rsid w:val="13391E64"/>
    <w:rsid w:val="133D279D"/>
    <w:rsid w:val="13477178"/>
    <w:rsid w:val="134C478E"/>
    <w:rsid w:val="13541895"/>
    <w:rsid w:val="136A25F1"/>
    <w:rsid w:val="13702B73"/>
    <w:rsid w:val="13723F8E"/>
    <w:rsid w:val="1380268A"/>
    <w:rsid w:val="138C7281"/>
    <w:rsid w:val="139B74C4"/>
    <w:rsid w:val="13A91BE1"/>
    <w:rsid w:val="13AC5677"/>
    <w:rsid w:val="13B862C8"/>
    <w:rsid w:val="13C609E5"/>
    <w:rsid w:val="13CC3B21"/>
    <w:rsid w:val="13F7291D"/>
    <w:rsid w:val="13F866C4"/>
    <w:rsid w:val="13FF7A53"/>
    <w:rsid w:val="14011A1D"/>
    <w:rsid w:val="1404348D"/>
    <w:rsid w:val="140E7C96"/>
    <w:rsid w:val="14157276"/>
    <w:rsid w:val="14164D9C"/>
    <w:rsid w:val="14276FAA"/>
    <w:rsid w:val="14305E5E"/>
    <w:rsid w:val="144813FA"/>
    <w:rsid w:val="145C6C53"/>
    <w:rsid w:val="14627FE2"/>
    <w:rsid w:val="147F0B94"/>
    <w:rsid w:val="149503B7"/>
    <w:rsid w:val="149D101A"/>
    <w:rsid w:val="14A021FA"/>
    <w:rsid w:val="14A800EA"/>
    <w:rsid w:val="14AA3E63"/>
    <w:rsid w:val="14C15977"/>
    <w:rsid w:val="14C91E0F"/>
    <w:rsid w:val="14D40EDF"/>
    <w:rsid w:val="14E1184E"/>
    <w:rsid w:val="14E54E9B"/>
    <w:rsid w:val="14E804E7"/>
    <w:rsid w:val="14F614AD"/>
    <w:rsid w:val="14FB28A9"/>
    <w:rsid w:val="15015A4D"/>
    <w:rsid w:val="15086F25"/>
    <w:rsid w:val="151307D7"/>
    <w:rsid w:val="151D2886"/>
    <w:rsid w:val="1523710F"/>
    <w:rsid w:val="1559294C"/>
    <w:rsid w:val="1562473D"/>
    <w:rsid w:val="1568589C"/>
    <w:rsid w:val="15690C85"/>
    <w:rsid w:val="157D50D3"/>
    <w:rsid w:val="159C3209"/>
    <w:rsid w:val="15A0686E"/>
    <w:rsid w:val="15B605E5"/>
    <w:rsid w:val="15DB5C31"/>
    <w:rsid w:val="15E81C52"/>
    <w:rsid w:val="15E909BB"/>
    <w:rsid w:val="15ED48A2"/>
    <w:rsid w:val="16206B7C"/>
    <w:rsid w:val="163360DA"/>
    <w:rsid w:val="163A54B3"/>
    <w:rsid w:val="163F6E10"/>
    <w:rsid w:val="165027E8"/>
    <w:rsid w:val="165322D8"/>
    <w:rsid w:val="165F6ECF"/>
    <w:rsid w:val="166444E5"/>
    <w:rsid w:val="16704C38"/>
    <w:rsid w:val="16822B68"/>
    <w:rsid w:val="168D5B19"/>
    <w:rsid w:val="169A6994"/>
    <w:rsid w:val="16A448E1"/>
    <w:rsid w:val="16AD4C0B"/>
    <w:rsid w:val="16AD7C3A"/>
    <w:rsid w:val="16B014D8"/>
    <w:rsid w:val="16BE59A3"/>
    <w:rsid w:val="16DD0041"/>
    <w:rsid w:val="16E8367D"/>
    <w:rsid w:val="16F2389F"/>
    <w:rsid w:val="16F413C5"/>
    <w:rsid w:val="16F70EB5"/>
    <w:rsid w:val="170835D5"/>
    <w:rsid w:val="1720665E"/>
    <w:rsid w:val="1726398E"/>
    <w:rsid w:val="172D0D7B"/>
    <w:rsid w:val="17321EED"/>
    <w:rsid w:val="1739327C"/>
    <w:rsid w:val="17435EA8"/>
    <w:rsid w:val="174D4F79"/>
    <w:rsid w:val="175E7186"/>
    <w:rsid w:val="177249E0"/>
    <w:rsid w:val="177B0E6C"/>
    <w:rsid w:val="177D585E"/>
    <w:rsid w:val="17832501"/>
    <w:rsid w:val="17887D5F"/>
    <w:rsid w:val="17966920"/>
    <w:rsid w:val="179849D7"/>
    <w:rsid w:val="179E2135"/>
    <w:rsid w:val="179E57D5"/>
    <w:rsid w:val="17A32DEB"/>
    <w:rsid w:val="17B15508"/>
    <w:rsid w:val="17B76014"/>
    <w:rsid w:val="17D15BAA"/>
    <w:rsid w:val="17DA7247"/>
    <w:rsid w:val="17E07B9B"/>
    <w:rsid w:val="17EC7D70"/>
    <w:rsid w:val="17F35B20"/>
    <w:rsid w:val="17FD074D"/>
    <w:rsid w:val="18037057"/>
    <w:rsid w:val="180715CC"/>
    <w:rsid w:val="18153CE9"/>
    <w:rsid w:val="181949BB"/>
    <w:rsid w:val="181F7A9C"/>
    <w:rsid w:val="182757CA"/>
    <w:rsid w:val="182E6B59"/>
    <w:rsid w:val="183028D1"/>
    <w:rsid w:val="18303B05"/>
    <w:rsid w:val="184A3267"/>
    <w:rsid w:val="185C36C6"/>
    <w:rsid w:val="185D2F9A"/>
    <w:rsid w:val="185F31B6"/>
    <w:rsid w:val="186E164B"/>
    <w:rsid w:val="18846779"/>
    <w:rsid w:val="188624F1"/>
    <w:rsid w:val="18985C20"/>
    <w:rsid w:val="189A735D"/>
    <w:rsid w:val="18AD3F21"/>
    <w:rsid w:val="18C748B7"/>
    <w:rsid w:val="18CE20EA"/>
    <w:rsid w:val="18CE4C93"/>
    <w:rsid w:val="18D56FD4"/>
    <w:rsid w:val="18DA1A7E"/>
    <w:rsid w:val="18E92A80"/>
    <w:rsid w:val="190D49C0"/>
    <w:rsid w:val="19173A91"/>
    <w:rsid w:val="1917583F"/>
    <w:rsid w:val="192B2350"/>
    <w:rsid w:val="192F0DDA"/>
    <w:rsid w:val="193F3E24"/>
    <w:rsid w:val="194505FE"/>
    <w:rsid w:val="19466124"/>
    <w:rsid w:val="19526877"/>
    <w:rsid w:val="19616ABA"/>
    <w:rsid w:val="19766A09"/>
    <w:rsid w:val="198D3D53"/>
    <w:rsid w:val="1997072D"/>
    <w:rsid w:val="199B021E"/>
    <w:rsid w:val="19A215AC"/>
    <w:rsid w:val="19A31463"/>
    <w:rsid w:val="19A60971"/>
    <w:rsid w:val="19B117EF"/>
    <w:rsid w:val="19B1359D"/>
    <w:rsid w:val="19C77265"/>
    <w:rsid w:val="19CF7EC7"/>
    <w:rsid w:val="19D92AF4"/>
    <w:rsid w:val="19E020D4"/>
    <w:rsid w:val="19E531E6"/>
    <w:rsid w:val="19F16090"/>
    <w:rsid w:val="19F17E3E"/>
    <w:rsid w:val="19F618F8"/>
    <w:rsid w:val="19F65454"/>
    <w:rsid w:val="1A0538E9"/>
    <w:rsid w:val="1A116732"/>
    <w:rsid w:val="1A1B135F"/>
    <w:rsid w:val="1A1B4EBB"/>
    <w:rsid w:val="1A2A6695"/>
    <w:rsid w:val="1A2E2E40"/>
    <w:rsid w:val="1A366198"/>
    <w:rsid w:val="1A530AF8"/>
    <w:rsid w:val="1A734CF7"/>
    <w:rsid w:val="1A7D3DC7"/>
    <w:rsid w:val="1A907657"/>
    <w:rsid w:val="1AA63C8B"/>
    <w:rsid w:val="1AA67A69"/>
    <w:rsid w:val="1AAA0B28"/>
    <w:rsid w:val="1ACD2659"/>
    <w:rsid w:val="1AD734D7"/>
    <w:rsid w:val="1ADC289C"/>
    <w:rsid w:val="1ADD03C2"/>
    <w:rsid w:val="1AE479A2"/>
    <w:rsid w:val="1AE6371B"/>
    <w:rsid w:val="1AF95B35"/>
    <w:rsid w:val="1B102545"/>
    <w:rsid w:val="1B1A6779"/>
    <w:rsid w:val="1B395F40"/>
    <w:rsid w:val="1B5A7C65"/>
    <w:rsid w:val="1B701236"/>
    <w:rsid w:val="1B7E3050"/>
    <w:rsid w:val="1B852F33"/>
    <w:rsid w:val="1BB92BDD"/>
    <w:rsid w:val="1BB9498B"/>
    <w:rsid w:val="1BC81072"/>
    <w:rsid w:val="1BE45119"/>
    <w:rsid w:val="1BE96A15"/>
    <w:rsid w:val="1BF34341"/>
    <w:rsid w:val="1BFD51C0"/>
    <w:rsid w:val="1C085913"/>
    <w:rsid w:val="1C094DB0"/>
    <w:rsid w:val="1C142509"/>
    <w:rsid w:val="1C24274C"/>
    <w:rsid w:val="1C2775DA"/>
    <w:rsid w:val="1C285864"/>
    <w:rsid w:val="1C36422E"/>
    <w:rsid w:val="1C3A5A50"/>
    <w:rsid w:val="1C3B1844"/>
    <w:rsid w:val="1C5618EE"/>
    <w:rsid w:val="1C5D17BA"/>
    <w:rsid w:val="1C6A2129"/>
    <w:rsid w:val="1C7A236C"/>
    <w:rsid w:val="1C7C0C57"/>
    <w:rsid w:val="1C7D1864"/>
    <w:rsid w:val="1C9B0535"/>
    <w:rsid w:val="1CA13D9D"/>
    <w:rsid w:val="1CAB4C1C"/>
    <w:rsid w:val="1CBA09BB"/>
    <w:rsid w:val="1CC950A2"/>
    <w:rsid w:val="1CEC2B3E"/>
    <w:rsid w:val="1CED6FE2"/>
    <w:rsid w:val="1CF00880"/>
    <w:rsid w:val="1CF739BD"/>
    <w:rsid w:val="1CFE11EF"/>
    <w:rsid w:val="1D0B4105"/>
    <w:rsid w:val="1D2B7B0B"/>
    <w:rsid w:val="1D44297A"/>
    <w:rsid w:val="1D4961E3"/>
    <w:rsid w:val="1D4B1F5B"/>
    <w:rsid w:val="1D50131F"/>
    <w:rsid w:val="1D530E41"/>
    <w:rsid w:val="1D691375"/>
    <w:rsid w:val="1D721295"/>
    <w:rsid w:val="1D772D50"/>
    <w:rsid w:val="1D7D4C37"/>
    <w:rsid w:val="1DAC5C6B"/>
    <w:rsid w:val="1DC31AF1"/>
    <w:rsid w:val="1DCF16F9"/>
    <w:rsid w:val="1DE5415D"/>
    <w:rsid w:val="1DEB1048"/>
    <w:rsid w:val="1DEB6F18"/>
    <w:rsid w:val="1DEC729A"/>
    <w:rsid w:val="1DF51CE6"/>
    <w:rsid w:val="1E026ABD"/>
    <w:rsid w:val="1E0740D4"/>
    <w:rsid w:val="1E114F52"/>
    <w:rsid w:val="1E276524"/>
    <w:rsid w:val="1E2F2EAE"/>
    <w:rsid w:val="1E51534F"/>
    <w:rsid w:val="1E5B441F"/>
    <w:rsid w:val="1E65704C"/>
    <w:rsid w:val="1E7D4396"/>
    <w:rsid w:val="1E7E1EBC"/>
    <w:rsid w:val="1E82375A"/>
    <w:rsid w:val="1E894AFB"/>
    <w:rsid w:val="1E8C6C30"/>
    <w:rsid w:val="1E8E20FF"/>
    <w:rsid w:val="1E91399D"/>
    <w:rsid w:val="1EA062D6"/>
    <w:rsid w:val="1EBC2425"/>
    <w:rsid w:val="1EC71AB5"/>
    <w:rsid w:val="1EC7766E"/>
    <w:rsid w:val="1EDA17E8"/>
    <w:rsid w:val="1EE00481"/>
    <w:rsid w:val="1EF87EC0"/>
    <w:rsid w:val="1EFF124F"/>
    <w:rsid w:val="1F0C1276"/>
    <w:rsid w:val="1F0E57BA"/>
    <w:rsid w:val="1F100D66"/>
    <w:rsid w:val="1F1C595D"/>
    <w:rsid w:val="1F284C6B"/>
    <w:rsid w:val="1F420707"/>
    <w:rsid w:val="1F4924CA"/>
    <w:rsid w:val="1F4E7AE0"/>
    <w:rsid w:val="1F505606"/>
    <w:rsid w:val="1F6B2440"/>
    <w:rsid w:val="1F7312F5"/>
    <w:rsid w:val="1F7E6617"/>
    <w:rsid w:val="1F802FD4"/>
    <w:rsid w:val="1F890B18"/>
    <w:rsid w:val="1F980D5B"/>
    <w:rsid w:val="1FBE4C66"/>
    <w:rsid w:val="1FBF531F"/>
    <w:rsid w:val="1FC63B1B"/>
    <w:rsid w:val="1FCD30FB"/>
    <w:rsid w:val="1FDC50EC"/>
    <w:rsid w:val="1FE305D3"/>
    <w:rsid w:val="1FE67D19"/>
    <w:rsid w:val="1FEB3581"/>
    <w:rsid w:val="1FF00B97"/>
    <w:rsid w:val="1FF93EF0"/>
    <w:rsid w:val="1FF94356"/>
    <w:rsid w:val="20005F1A"/>
    <w:rsid w:val="20084133"/>
    <w:rsid w:val="20112FE8"/>
    <w:rsid w:val="20140D2A"/>
    <w:rsid w:val="201E137B"/>
    <w:rsid w:val="20344F28"/>
    <w:rsid w:val="203C57B4"/>
    <w:rsid w:val="20592BE1"/>
    <w:rsid w:val="20720D37"/>
    <w:rsid w:val="20931C4F"/>
    <w:rsid w:val="20943C19"/>
    <w:rsid w:val="20A11AB1"/>
    <w:rsid w:val="20B63B8F"/>
    <w:rsid w:val="20BD38E3"/>
    <w:rsid w:val="20C1027F"/>
    <w:rsid w:val="20CF69FF"/>
    <w:rsid w:val="20DA787E"/>
    <w:rsid w:val="20DF30E6"/>
    <w:rsid w:val="20E57FD0"/>
    <w:rsid w:val="20EE3329"/>
    <w:rsid w:val="21334C4D"/>
    <w:rsid w:val="21352D06"/>
    <w:rsid w:val="213977FF"/>
    <w:rsid w:val="21521B0A"/>
    <w:rsid w:val="215C64E4"/>
    <w:rsid w:val="215C66D7"/>
    <w:rsid w:val="21667363"/>
    <w:rsid w:val="216D06F2"/>
    <w:rsid w:val="21753704"/>
    <w:rsid w:val="217557F8"/>
    <w:rsid w:val="217F21D3"/>
    <w:rsid w:val="21841692"/>
    <w:rsid w:val="2186530F"/>
    <w:rsid w:val="219C6B6A"/>
    <w:rsid w:val="21B622BD"/>
    <w:rsid w:val="21B922AD"/>
    <w:rsid w:val="21C4408A"/>
    <w:rsid w:val="21D20555"/>
    <w:rsid w:val="21E32762"/>
    <w:rsid w:val="21F4496F"/>
    <w:rsid w:val="21F506E7"/>
    <w:rsid w:val="21F77FBB"/>
    <w:rsid w:val="21FC1A76"/>
    <w:rsid w:val="22021D48"/>
    <w:rsid w:val="22023A3F"/>
    <w:rsid w:val="22123EBE"/>
    <w:rsid w:val="22205764"/>
    <w:rsid w:val="22266AF2"/>
    <w:rsid w:val="223676C5"/>
    <w:rsid w:val="224A3D5E"/>
    <w:rsid w:val="224D22D1"/>
    <w:rsid w:val="22794E74"/>
    <w:rsid w:val="227E633A"/>
    <w:rsid w:val="22851BCF"/>
    <w:rsid w:val="228C2DF9"/>
    <w:rsid w:val="228F28EA"/>
    <w:rsid w:val="22925F36"/>
    <w:rsid w:val="22A77C33"/>
    <w:rsid w:val="22B934C3"/>
    <w:rsid w:val="22BF098E"/>
    <w:rsid w:val="22C049DD"/>
    <w:rsid w:val="22E06CA1"/>
    <w:rsid w:val="22E5075C"/>
    <w:rsid w:val="22EF3388"/>
    <w:rsid w:val="22F15352"/>
    <w:rsid w:val="230C5CE8"/>
    <w:rsid w:val="23100CD6"/>
    <w:rsid w:val="23243032"/>
    <w:rsid w:val="232F0909"/>
    <w:rsid w:val="2331574F"/>
    <w:rsid w:val="2335523F"/>
    <w:rsid w:val="23483118"/>
    <w:rsid w:val="234B4A63"/>
    <w:rsid w:val="234C2589"/>
    <w:rsid w:val="235220FF"/>
    <w:rsid w:val="23606856"/>
    <w:rsid w:val="237327CB"/>
    <w:rsid w:val="237E524F"/>
    <w:rsid w:val="23847F75"/>
    <w:rsid w:val="238748E8"/>
    <w:rsid w:val="23887BB0"/>
    <w:rsid w:val="23A128D5"/>
    <w:rsid w:val="23A221A9"/>
    <w:rsid w:val="23A45F21"/>
    <w:rsid w:val="23C12F77"/>
    <w:rsid w:val="23EB1DA2"/>
    <w:rsid w:val="23F458D1"/>
    <w:rsid w:val="24013373"/>
    <w:rsid w:val="2409204C"/>
    <w:rsid w:val="242157C3"/>
    <w:rsid w:val="242B219E"/>
    <w:rsid w:val="242B4894"/>
    <w:rsid w:val="2435126F"/>
    <w:rsid w:val="243A0633"/>
    <w:rsid w:val="244F40DF"/>
    <w:rsid w:val="245E2574"/>
    <w:rsid w:val="245E5C58"/>
    <w:rsid w:val="246D6C5B"/>
    <w:rsid w:val="24860C2C"/>
    <w:rsid w:val="248D2E59"/>
    <w:rsid w:val="249C4E4A"/>
    <w:rsid w:val="24A25334"/>
    <w:rsid w:val="24B46637"/>
    <w:rsid w:val="24E06E24"/>
    <w:rsid w:val="24E10731"/>
    <w:rsid w:val="24FD1D8D"/>
    <w:rsid w:val="25034EC9"/>
    <w:rsid w:val="250C1FD0"/>
    <w:rsid w:val="25140E84"/>
    <w:rsid w:val="25357778"/>
    <w:rsid w:val="254C6870"/>
    <w:rsid w:val="254D309B"/>
    <w:rsid w:val="255A71DF"/>
    <w:rsid w:val="255D0A7D"/>
    <w:rsid w:val="257362C1"/>
    <w:rsid w:val="257A093C"/>
    <w:rsid w:val="257A33DD"/>
    <w:rsid w:val="259B1656"/>
    <w:rsid w:val="25A641D2"/>
    <w:rsid w:val="25B608DD"/>
    <w:rsid w:val="25B763DF"/>
    <w:rsid w:val="25BC1060"/>
    <w:rsid w:val="25C66622"/>
    <w:rsid w:val="25D21167"/>
    <w:rsid w:val="25F27417"/>
    <w:rsid w:val="260B2287"/>
    <w:rsid w:val="260F65E4"/>
    <w:rsid w:val="26170C2C"/>
    <w:rsid w:val="26263565"/>
    <w:rsid w:val="262F6C4E"/>
    <w:rsid w:val="264F7292"/>
    <w:rsid w:val="265E2CFF"/>
    <w:rsid w:val="26606A77"/>
    <w:rsid w:val="26747E2C"/>
    <w:rsid w:val="267A740D"/>
    <w:rsid w:val="269404CF"/>
    <w:rsid w:val="269F0C21"/>
    <w:rsid w:val="26A5448A"/>
    <w:rsid w:val="26AF46EB"/>
    <w:rsid w:val="26C8461C"/>
    <w:rsid w:val="26D23C48"/>
    <w:rsid w:val="26D528A9"/>
    <w:rsid w:val="26DE799C"/>
    <w:rsid w:val="26EA4592"/>
    <w:rsid w:val="26EA5448"/>
    <w:rsid w:val="26FB054E"/>
    <w:rsid w:val="26FE003E"/>
    <w:rsid w:val="2711135F"/>
    <w:rsid w:val="271F69C2"/>
    <w:rsid w:val="27286E69"/>
    <w:rsid w:val="273121C1"/>
    <w:rsid w:val="273852FE"/>
    <w:rsid w:val="273B3040"/>
    <w:rsid w:val="273B6B9C"/>
    <w:rsid w:val="274D0351"/>
    <w:rsid w:val="275A34C6"/>
    <w:rsid w:val="275D4D64"/>
    <w:rsid w:val="27602AA7"/>
    <w:rsid w:val="276D655D"/>
    <w:rsid w:val="27765E26"/>
    <w:rsid w:val="277E2D73"/>
    <w:rsid w:val="279544FE"/>
    <w:rsid w:val="27A26C1B"/>
    <w:rsid w:val="27AF3540"/>
    <w:rsid w:val="27BA21B7"/>
    <w:rsid w:val="27BF77CD"/>
    <w:rsid w:val="27CC1EEA"/>
    <w:rsid w:val="27DC037F"/>
    <w:rsid w:val="28186EDD"/>
    <w:rsid w:val="281D62A2"/>
    <w:rsid w:val="28275C5B"/>
    <w:rsid w:val="286640ED"/>
    <w:rsid w:val="287934E1"/>
    <w:rsid w:val="28795BCE"/>
    <w:rsid w:val="288F719F"/>
    <w:rsid w:val="2899001E"/>
    <w:rsid w:val="28A80261"/>
    <w:rsid w:val="28AD5878"/>
    <w:rsid w:val="28C657AC"/>
    <w:rsid w:val="28CC797B"/>
    <w:rsid w:val="28CF57EE"/>
    <w:rsid w:val="28D23530"/>
    <w:rsid w:val="28D252DE"/>
    <w:rsid w:val="28D57A5B"/>
    <w:rsid w:val="28D64DCE"/>
    <w:rsid w:val="28DB23E5"/>
    <w:rsid w:val="28DF17A9"/>
    <w:rsid w:val="28EC45F2"/>
    <w:rsid w:val="28EF40E2"/>
    <w:rsid w:val="2900009D"/>
    <w:rsid w:val="290A2CCA"/>
    <w:rsid w:val="29114058"/>
    <w:rsid w:val="291678C1"/>
    <w:rsid w:val="29171565"/>
    <w:rsid w:val="291E22D1"/>
    <w:rsid w:val="291E61AE"/>
    <w:rsid w:val="29231FDE"/>
    <w:rsid w:val="292875F4"/>
    <w:rsid w:val="292D6D18"/>
    <w:rsid w:val="294361DC"/>
    <w:rsid w:val="29453D02"/>
    <w:rsid w:val="296248B4"/>
    <w:rsid w:val="296D0128"/>
    <w:rsid w:val="29712D49"/>
    <w:rsid w:val="297901DE"/>
    <w:rsid w:val="2987256D"/>
    <w:rsid w:val="298962E5"/>
    <w:rsid w:val="298A4F2C"/>
    <w:rsid w:val="29AC3D81"/>
    <w:rsid w:val="29B1237D"/>
    <w:rsid w:val="29B665AC"/>
    <w:rsid w:val="29C966E1"/>
    <w:rsid w:val="29CA2459"/>
    <w:rsid w:val="29D46E34"/>
    <w:rsid w:val="29E21551"/>
    <w:rsid w:val="29E67293"/>
    <w:rsid w:val="29EC6874"/>
    <w:rsid w:val="29F305CF"/>
    <w:rsid w:val="29F714A0"/>
    <w:rsid w:val="29F80D74"/>
    <w:rsid w:val="29FA689B"/>
    <w:rsid w:val="2A07545B"/>
    <w:rsid w:val="2A094D30"/>
    <w:rsid w:val="2A16744D"/>
    <w:rsid w:val="2A2279FD"/>
    <w:rsid w:val="2A2D4EC2"/>
    <w:rsid w:val="2A2E29E8"/>
    <w:rsid w:val="2A331DAD"/>
    <w:rsid w:val="2A4A087B"/>
    <w:rsid w:val="2A4E4E38"/>
    <w:rsid w:val="2A720B27"/>
    <w:rsid w:val="2A780926"/>
    <w:rsid w:val="2A8F0F30"/>
    <w:rsid w:val="2A9A36AC"/>
    <w:rsid w:val="2AA3113F"/>
    <w:rsid w:val="2AA66A22"/>
    <w:rsid w:val="2AAB228B"/>
    <w:rsid w:val="2AAE5148"/>
    <w:rsid w:val="2AB729DE"/>
    <w:rsid w:val="2ABC6246"/>
    <w:rsid w:val="2AC5334C"/>
    <w:rsid w:val="2AD87DA3"/>
    <w:rsid w:val="2ADB491E"/>
    <w:rsid w:val="2ADE7F6A"/>
    <w:rsid w:val="2AE632C3"/>
    <w:rsid w:val="2AEA4B61"/>
    <w:rsid w:val="2AF23A91"/>
    <w:rsid w:val="2AF36273"/>
    <w:rsid w:val="2B08148B"/>
    <w:rsid w:val="2B0D3856"/>
    <w:rsid w:val="2B0F6376"/>
    <w:rsid w:val="2B230A70"/>
    <w:rsid w:val="2B2A1401"/>
    <w:rsid w:val="2B330D0F"/>
    <w:rsid w:val="2B385681"/>
    <w:rsid w:val="2B3E4EAD"/>
    <w:rsid w:val="2B504399"/>
    <w:rsid w:val="2B5E554F"/>
    <w:rsid w:val="2B6A3EF4"/>
    <w:rsid w:val="2B6F150A"/>
    <w:rsid w:val="2B786611"/>
    <w:rsid w:val="2B824D9A"/>
    <w:rsid w:val="2B920D55"/>
    <w:rsid w:val="2B941E9C"/>
    <w:rsid w:val="2B966A97"/>
    <w:rsid w:val="2B9F17C2"/>
    <w:rsid w:val="2BA60CCC"/>
    <w:rsid w:val="2BAA42F0"/>
    <w:rsid w:val="2BC2788C"/>
    <w:rsid w:val="2BC57E1E"/>
    <w:rsid w:val="2BCA7E74"/>
    <w:rsid w:val="2BE02720"/>
    <w:rsid w:val="2BE315B0"/>
    <w:rsid w:val="2BE912BD"/>
    <w:rsid w:val="2C063C1D"/>
    <w:rsid w:val="2C097269"/>
    <w:rsid w:val="2C0C6D59"/>
    <w:rsid w:val="2C1A3224"/>
    <w:rsid w:val="2C3D5164"/>
    <w:rsid w:val="2C477D91"/>
    <w:rsid w:val="2C4B5AD3"/>
    <w:rsid w:val="2C4C53A8"/>
    <w:rsid w:val="2C5F50DB"/>
    <w:rsid w:val="2C7A1F15"/>
    <w:rsid w:val="2CA86A82"/>
    <w:rsid w:val="2CAA2BF1"/>
    <w:rsid w:val="2CAB3EFE"/>
    <w:rsid w:val="2CAD22EA"/>
    <w:rsid w:val="2CB20D73"/>
    <w:rsid w:val="2CBA1C4C"/>
    <w:rsid w:val="2CD535EF"/>
    <w:rsid w:val="2CEF46B1"/>
    <w:rsid w:val="2CF63C91"/>
    <w:rsid w:val="2D0143E4"/>
    <w:rsid w:val="2D030BFD"/>
    <w:rsid w:val="2D0619FA"/>
    <w:rsid w:val="2D122D03"/>
    <w:rsid w:val="2D19172E"/>
    <w:rsid w:val="2D2F4203"/>
    <w:rsid w:val="2D307DF6"/>
    <w:rsid w:val="2D510EC7"/>
    <w:rsid w:val="2D6D7CCB"/>
    <w:rsid w:val="2D6F57F1"/>
    <w:rsid w:val="2D727090"/>
    <w:rsid w:val="2DA354EC"/>
    <w:rsid w:val="2DA57465"/>
    <w:rsid w:val="2DA82AB1"/>
    <w:rsid w:val="2DAE1FD2"/>
    <w:rsid w:val="2DBA2F11"/>
    <w:rsid w:val="2DBF0527"/>
    <w:rsid w:val="2DC7118A"/>
    <w:rsid w:val="2DCD0BD5"/>
    <w:rsid w:val="2DE51610"/>
    <w:rsid w:val="2DE57862"/>
    <w:rsid w:val="2DF271BE"/>
    <w:rsid w:val="2DF34BF7"/>
    <w:rsid w:val="2E150147"/>
    <w:rsid w:val="2E162111"/>
    <w:rsid w:val="2E1B14D5"/>
    <w:rsid w:val="2E4647A4"/>
    <w:rsid w:val="2E4B1DBB"/>
    <w:rsid w:val="2E4B5422"/>
    <w:rsid w:val="2E50117F"/>
    <w:rsid w:val="2E516CA5"/>
    <w:rsid w:val="2E5D2296"/>
    <w:rsid w:val="2E642E7C"/>
    <w:rsid w:val="2E9C71BB"/>
    <w:rsid w:val="2EA046D5"/>
    <w:rsid w:val="2EA25753"/>
    <w:rsid w:val="2EB77450"/>
    <w:rsid w:val="2EBF6EA3"/>
    <w:rsid w:val="2EC21951"/>
    <w:rsid w:val="2ED8567D"/>
    <w:rsid w:val="2ED95618"/>
    <w:rsid w:val="2EE53E20"/>
    <w:rsid w:val="2EFB597A"/>
    <w:rsid w:val="2F0A0C8E"/>
    <w:rsid w:val="2F236894"/>
    <w:rsid w:val="2F4131BE"/>
    <w:rsid w:val="2F4D56BE"/>
    <w:rsid w:val="2F587BDE"/>
    <w:rsid w:val="2F5C3B54"/>
    <w:rsid w:val="2F9D221B"/>
    <w:rsid w:val="2FA15A0A"/>
    <w:rsid w:val="2FAA48BF"/>
    <w:rsid w:val="2FB4573E"/>
    <w:rsid w:val="2FB7522E"/>
    <w:rsid w:val="2FC516F9"/>
    <w:rsid w:val="2FCC2A87"/>
    <w:rsid w:val="2FEA115F"/>
    <w:rsid w:val="2FFB2B51"/>
    <w:rsid w:val="30000983"/>
    <w:rsid w:val="30006BD5"/>
    <w:rsid w:val="300A7BA6"/>
    <w:rsid w:val="30163A3F"/>
    <w:rsid w:val="301F409E"/>
    <w:rsid w:val="30297EDA"/>
    <w:rsid w:val="303348B4"/>
    <w:rsid w:val="3038636F"/>
    <w:rsid w:val="303E7AE9"/>
    <w:rsid w:val="30424726"/>
    <w:rsid w:val="30444D13"/>
    <w:rsid w:val="30471E1A"/>
    <w:rsid w:val="30492C9C"/>
    <w:rsid w:val="30562C99"/>
    <w:rsid w:val="305A03B0"/>
    <w:rsid w:val="307153DD"/>
    <w:rsid w:val="307D0225"/>
    <w:rsid w:val="30843362"/>
    <w:rsid w:val="308C66BA"/>
    <w:rsid w:val="30A6152A"/>
    <w:rsid w:val="30B023A9"/>
    <w:rsid w:val="30BB0E26"/>
    <w:rsid w:val="30BF25EC"/>
    <w:rsid w:val="30C145B6"/>
    <w:rsid w:val="30C3032E"/>
    <w:rsid w:val="30C96FC7"/>
    <w:rsid w:val="30CA3C63"/>
    <w:rsid w:val="30CC52EF"/>
    <w:rsid w:val="30CC6AB7"/>
    <w:rsid w:val="30CD5113"/>
    <w:rsid w:val="30CD6E71"/>
    <w:rsid w:val="30DC319E"/>
    <w:rsid w:val="30DD0CC4"/>
    <w:rsid w:val="30E1446E"/>
    <w:rsid w:val="310821E5"/>
    <w:rsid w:val="310B75DF"/>
    <w:rsid w:val="311B3297"/>
    <w:rsid w:val="31215055"/>
    <w:rsid w:val="31232B7B"/>
    <w:rsid w:val="3123652A"/>
    <w:rsid w:val="312B7C81"/>
    <w:rsid w:val="312C669A"/>
    <w:rsid w:val="31311FAB"/>
    <w:rsid w:val="313C1E8F"/>
    <w:rsid w:val="31662A49"/>
    <w:rsid w:val="31723B02"/>
    <w:rsid w:val="31740B9D"/>
    <w:rsid w:val="317A29E0"/>
    <w:rsid w:val="318555E4"/>
    <w:rsid w:val="31972C6C"/>
    <w:rsid w:val="31BE0AF5"/>
    <w:rsid w:val="31C0486E"/>
    <w:rsid w:val="31CF4AB1"/>
    <w:rsid w:val="31D2634F"/>
    <w:rsid w:val="31DE6AA2"/>
    <w:rsid w:val="31E3055C"/>
    <w:rsid w:val="31E57E30"/>
    <w:rsid w:val="31EF5153"/>
    <w:rsid w:val="3200110E"/>
    <w:rsid w:val="320076FD"/>
    <w:rsid w:val="320A5AE9"/>
    <w:rsid w:val="32144BB9"/>
    <w:rsid w:val="321B3DE3"/>
    <w:rsid w:val="322070BA"/>
    <w:rsid w:val="3223427F"/>
    <w:rsid w:val="322B71D7"/>
    <w:rsid w:val="32382656"/>
    <w:rsid w:val="323D7C6C"/>
    <w:rsid w:val="32456B21"/>
    <w:rsid w:val="3253123E"/>
    <w:rsid w:val="32625BE7"/>
    <w:rsid w:val="326A2A2B"/>
    <w:rsid w:val="327139DF"/>
    <w:rsid w:val="32805DAB"/>
    <w:rsid w:val="328238D1"/>
    <w:rsid w:val="328303DD"/>
    <w:rsid w:val="3284589B"/>
    <w:rsid w:val="328A6C2A"/>
    <w:rsid w:val="328C4750"/>
    <w:rsid w:val="329655CE"/>
    <w:rsid w:val="32A63A63"/>
    <w:rsid w:val="32A80C6E"/>
    <w:rsid w:val="32B87513"/>
    <w:rsid w:val="32C734F6"/>
    <w:rsid w:val="32D85BE7"/>
    <w:rsid w:val="32E91BA2"/>
    <w:rsid w:val="32F32A21"/>
    <w:rsid w:val="33024A12"/>
    <w:rsid w:val="33064502"/>
    <w:rsid w:val="330D4536"/>
    <w:rsid w:val="33134E71"/>
    <w:rsid w:val="332E5807"/>
    <w:rsid w:val="333B15C7"/>
    <w:rsid w:val="334119DE"/>
    <w:rsid w:val="33572FB0"/>
    <w:rsid w:val="335D7E9A"/>
    <w:rsid w:val="337575FD"/>
    <w:rsid w:val="337C2D44"/>
    <w:rsid w:val="33811DDB"/>
    <w:rsid w:val="33857D5D"/>
    <w:rsid w:val="338A5133"/>
    <w:rsid w:val="338C39A2"/>
    <w:rsid w:val="3390201E"/>
    <w:rsid w:val="33B43F5E"/>
    <w:rsid w:val="33BD6B47"/>
    <w:rsid w:val="33BF6367"/>
    <w:rsid w:val="33C00B55"/>
    <w:rsid w:val="33C30645"/>
    <w:rsid w:val="33C87AB6"/>
    <w:rsid w:val="33CA5530"/>
    <w:rsid w:val="33CE7CEA"/>
    <w:rsid w:val="33D463AE"/>
    <w:rsid w:val="33D53ED4"/>
    <w:rsid w:val="33EC194A"/>
    <w:rsid w:val="33F16F60"/>
    <w:rsid w:val="33FB7DDF"/>
    <w:rsid w:val="340547BA"/>
    <w:rsid w:val="34120C85"/>
    <w:rsid w:val="343C6B12"/>
    <w:rsid w:val="343D21A6"/>
    <w:rsid w:val="3446549C"/>
    <w:rsid w:val="345A1178"/>
    <w:rsid w:val="34733E19"/>
    <w:rsid w:val="34763909"/>
    <w:rsid w:val="347C757D"/>
    <w:rsid w:val="34831B82"/>
    <w:rsid w:val="348736CE"/>
    <w:rsid w:val="348A5120"/>
    <w:rsid w:val="34931EC5"/>
    <w:rsid w:val="34A809FC"/>
    <w:rsid w:val="34AA5361"/>
    <w:rsid w:val="34B41D3C"/>
    <w:rsid w:val="34C401D1"/>
    <w:rsid w:val="34C574E9"/>
    <w:rsid w:val="34C93A39"/>
    <w:rsid w:val="34DB551B"/>
    <w:rsid w:val="34DF14AF"/>
    <w:rsid w:val="34E97C37"/>
    <w:rsid w:val="34EE524E"/>
    <w:rsid w:val="34F81E55"/>
    <w:rsid w:val="34FA0097"/>
    <w:rsid w:val="34FB5BBD"/>
    <w:rsid w:val="350B4EB3"/>
    <w:rsid w:val="350F27C8"/>
    <w:rsid w:val="3524459F"/>
    <w:rsid w:val="3538296D"/>
    <w:rsid w:val="353C06AF"/>
    <w:rsid w:val="35415CC5"/>
    <w:rsid w:val="35577297"/>
    <w:rsid w:val="35614165"/>
    <w:rsid w:val="3575596F"/>
    <w:rsid w:val="35867B7C"/>
    <w:rsid w:val="358768A1"/>
    <w:rsid w:val="359D0A22"/>
    <w:rsid w:val="35A3072E"/>
    <w:rsid w:val="35A324DC"/>
    <w:rsid w:val="35A46254"/>
    <w:rsid w:val="35A818A1"/>
    <w:rsid w:val="35B77D36"/>
    <w:rsid w:val="35BA7826"/>
    <w:rsid w:val="35C16E06"/>
    <w:rsid w:val="35CA5CBB"/>
    <w:rsid w:val="35CD3B0F"/>
    <w:rsid w:val="35CD7559"/>
    <w:rsid w:val="35D703D8"/>
    <w:rsid w:val="35F5085E"/>
    <w:rsid w:val="35FC0F9C"/>
    <w:rsid w:val="360016DD"/>
    <w:rsid w:val="36015455"/>
    <w:rsid w:val="360867E3"/>
    <w:rsid w:val="361A2073"/>
    <w:rsid w:val="36286DF0"/>
    <w:rsid w:val="363A2CB9"/>
    <w:rsid w:val="363B2715"/>
    <w:rsid w:val="364C66D0"/>
    <w:rsid w:val="366C3EBE"/>
    <w:rsid w:val="36723C5D"/>
    <w:rsid w:val="36745C27"/>
    <w:rsid w:val="36750A67"/>
    <w:rsid w:val="36826596"/>
    <w:rsid w:val="36852CE8"/>
    <w:rsid w:val="369167D9"/>
    <w:rsid w:val="36A75FFC"/>
    <w:rsid w:val="36AA33F6"/>
    <w:rsid w:val="36BB1AA7"/>
    <w:rsid w:val="36BD137C"/>
    <w:rsid w:val="36C02C1A"/>
    <w:rsid w:val="36D15C9E"/>
    <w:rsid w:val="36E0506A"/>
    <w:rsid w:val="372F061D"/>
    <w:rsid w:val="373B6744"/>
    <w:rsid w:val="375357D1"/>
    <w:rsid w:val="37620175"/>
    <w:rsid w:val="37661A13"/>
    <w:rsid w:val="37824373"/>
    <w:rsid w:val="378571E0"/>
    <w:rsid w:val="37976071"/>
    <w:rsid w:val="37A95DA4"/>
    <w:rsid w:val="37B00EE0"/>
    <w:rsid w:val="37B87D95"/>
    <w:rsid w:val="37BC7885"/>
    <w:rsid w:val="37BE35FD"/>
    <w:rsid w:val="37C357B7"/>
    <w:rsid w:val="37D72911"/>
    <w:rsid w:val="37DC5BEE"/>
    <w:rsid w:val="38080D1C"/>
    <w:rsid w:val="3825367C"/>
    <w:rsid w:val="3828631E"/>
    <w:rsid w:val="38305977"/>
    <w:rsid w:val="38337C53"/>
    <w:rsid w:val="383767F9"/>
    <w:rsid w:val="38390ED6"/>
    <w:rsid w:val="383C5DD6"/>
    <w:rsid w:val="383D7513"/>
    <w:rsid w:val="385950D4"/>
    <w:rsid w:val="3870241E"/>
    <w:rsid w:val="38726196"/>
    <w:rsid w:val="388F4F9A"/>
    <w:rsid w:val="389C5AD9"/>
    <w:rsid w:val="38AF2F46"/>
    <w:rsid w:val="38AF73EA"/>
    <w:rsid w:val="38C509BB"/>
    <w:rsid w:val="38CD7870"/>
    <w:rsid w:val="38CF35E8"/>
    <w:rsid w:val="38DE55D9"/>
    <w:rsid w:val="38EE7F12"/>
    <w:rsid w:val="390C2146"/>
    <w:rsid w:val="39162FC5"/>
    <w:rsid w:val="39167469"/>
    <w:rsid w:val="391C0ED0"/>
    <w:rsid w:val="391E1E7A"/>
    <w:rsid w:val="39227BBC"/>
    <w:rsid w:val="392E47B3"/>
    <w:rsid w:val="39365415"/>
    <w:rsid w:val="3942025E"/>
    <w:rsid w:val="39445D84"/>
    <w:rsid w:val="39557F91"/>
    <w:rsid w:val="395806F3"/>
    <w:rsid w:val="396A50BF"/>
    <w:rsid w:val="396B1563"/>
    <w:rsid w:val="396B4DB7"/>
    <w:rsid w:val="39812B34"/>
    <w:rsid w:val="398E34A3"/>
    <w:rsid w:val="399F56D1"/>
    <w:rsid w:val="39A14F85"/>
    <w:rsid w:val="39A666D7"/>
    <w:rsid w:val="39A700C1"/>
    <w:rsid w:val="39B0341A"/>
    <w:rsid w:val="39B90520"/>
    <w:rsid w:val="39BC591B"/>
    <w:rsid w:val="39C72511"/>
    <w:rsid w:val="39D4535A"/>
    <w:rsid w:val="39D72754"/>
    <w:rsid w:val="39E9692C"/>
    <w:rsid w:val="39F72E11"/>
    <w:rsid w:val="39FF3A59"/>
    <w:rsid w:val="3A217E73"/>
    <w:rsid w:val="3A3C2EFF"/>
    <w:rsid w:val="3A3E4582"/>
    <w:rsid w:val="3A3F1B1E"/>
    <w:rsid w:val="3A437DEA"/>
    <w:rsid w:val="3A5B15D7"/>
    <w:rsid w:val="3A5B41B1"/>
    <w:rsid w:val="3A7C039E"/>
    <w:rsid w:val="3A7E7074"/>
    <w:rsid w:val="3A9C399E"/>
    <w:rsid w:val="3AA0348E"/>
    <w:rsid w:val="3AA30888"/>
    <w:rsid w:val="3AB35FEE"/>
    <w:rsid w:val="3ABC194A"/>
    <w:rsid w:val="3ACA7679"/>
    <w:rsid w:val="3AD81BEF"/>
    <w:rsid w:val="3ADB5466"/>
    <w:rsid w:val="3ADB6274"/>
    <w:rsid w:val="3ADD1FEC"/>
    <w:rsid w:val="3AE0388B"/>
    <w:rsid w:val="3AEE2015"/>
    <w:rsid w:val="3AEF17EB"/>
    <w:rsid w:val="3AF235BE"/>
    <w:rsid w:val="3B007A89"/>
    <w:rsid w:val="3B023801"/>
    <w:rsid w:val="3B0F5F1E"/>
    <w:rsid w:val="3B1E43B3"/>
    <w:rsid w:val="3B2A71FC"/>
    <w:rsid w:val="3B370778"/>
    <w:rsid w:val="3B4262F3"/>
    <w:rsid w:val="3B4E6CEA"/>
    <w:rsid w:val="3B5900B7"/>
    <w:rsid w:val="3B5A0DA7"/>
    <w:rsid w:val="3B5D312D"/>
    <w:rsid w:val="3B6C511E"/>
    <w:rsid w:val="3B7665B8"/>
    <w:rsid w:val="3B781D15"/>
    <w:rsid w:val="3B854432"/>
    <w:rsid w:val="3B8B7C9A"/>
    <w:rsid w:val="3B9B172A"/>
    <w:rsid w:val="3BAE3668"/>
    <w:rsid w:val="3BC66F24"/>
    <w:rsid w:val="3BCB453B"/>
    <w:rsid w:val="3BE86E9B"/>
    <w:rsid w:val="3BF375EE"/>
    <w:rsid w:val="3BF4646A"/>
    <w:rsid w:val="3C0435A9"/>
    <w:rsid w:val="3C0812EB"/>
    <w:rsid w:val="3C1934F8"/>
    <w:rsid w:val="3C485B8B"/>
    <w:rsid w:val="3C4A2F0A"/>
    <w:rsid w:val="3C5A766D"/>
    <w:rsid w:val="3C5B3302"/>
    <w:rsid w:val="3C850B8E"/>
    <w:rsid w:val="3C97266F"/>
    <w:rsid w:val="3CA408E8"/>
    <w:rsid w:val="3CA54D8C"/>
    <w:rsid w:val="3CB66F99"/>
    <w:rsid w:val="3CBC3C0F"/>
    <w:rsid w:val="3CBD1134"/>
    <w:rsid w:val="3CCA034E"/>
    <w:rsid w:val="3CCA2A44"/>
    <w:rsid w:val="3CD4741F"/>
    <w:rsid w:val="3CD64F45"/>
    <w:rsid w:val="3CE21B3C"/>
    <w:rsid w:val="3D121CF5"/>
    <w:rsid w:val="3D145A6E"/>
    <w:rsid w:val="3D181C2D"/>
    <w:rsid w:val="3D1E4B3E"/>
    <w:rsid w:val="3D2F4655"/>
    <w:rsid w:val="3D363C36"/>
    <w:rsid w:val="3D4C16AB"/>
    <w:rsid w:val="3D605E5D"/>
    <w:rsid w:val="3D7D7AB7"/>
    <w:rsid w:val="3D7E783F"/>
    <w:rsid w:val="3D7F57A8"/>
    <w:rsid w:val="3D8E5820"/>
    <w:rsid w:val="3D913562"/>
    <w:rsid w:val="3DA07301"/>
    <w:rsid w:val="3DA74B34"/>
    <w:rsid w:val="3DB159B2"/>
    <w:rsid w:val="3DB42DAD"/>
    <w:rsid w:val="3DDD2303"/>
    <w:rsid w:val="3DE25B6C"/>
    <w:rsid w:val="3DE50942"/>
    <w:rsid w:val="3DF5764D"/>
    <w:rsid w:val="3DFE0BF8"/>
    <w:rsid w:val="3E006048"/>
    <w:rsid w:val="3E157CEF"/>
    <w:rsid w:val="3E241CE0"/>
    <w:rsid w:val="3E2A7486"/>
    <w:rsid w:val="3E2D328B"/>
    <w:rsid w:val="3E3839DE"/>
    <w:rsid w:val="3E5C04C3"/>
    <w:rsid w:val="3E7756FF"/>
    <w:rsid w:val="3E8310FD"/>
    <w:rsid w:val="3E9D741A"/>
    <w:rsid w:val="3EAA4255"/>
    <w:rsid w:val="3EAD1CD6"/>
    <w:rsid w:val="3EB05C6A"/>
    <w:rsid w:val="3EB76FF8"/>
    <w:rsid w:val="3EC139D3"/>
    <w:rsid w:val="3EC51715"/>
    <w:rsid w:val="3ECA2888"/>
    <w:rsid w:val="3ED05D2F"/>
    <w:rsid w:val="3ED71449"/>
    <w:rsid w:val="3ED90D1D"/>
    <w:rsid w:val="3EDD0446"/>
    <w:rsid w:val="3EDF3E59"/>
    <w:rsid w:val="3EF142B8"/>
    <w:rsid w:val="3EFB7BFF"/>
    <w:rsid w:val="3EFC2C5D"/>
    <w:rsid w:val="3F0F2990"/>
    <w:rsid w:val="3F1104B7"/>
    <w:rsid w:val="3F134431"/>
    <w:rsid w:val="3F21712E"/>
    <w:rsid w:val="3F3917BB"/>
    <w:rsid w:val="3F4F5483"/>
    <w:rsid w:val="3F6251B6"/>
    <w:rsid w:val="3F634A8A"/>
    <w:rsid w:val="3F80388E"/>
    <w:rsid w:val="3F8213B4"/>
    <w:rsid w:val="3F827606"/>
    <w:rsid w:val="3F8C3FE1"/>
    <w:rsid w:val="3F8C5D8F"/>
    <w:rsid w:val="3F941354"/>
    <w:rsid w:val="3F964E60"/>
    <w:rsid w:val="3FB54092"/>
    <w:rsid w:val="3FBA0B4E"/>
    <w:rsid w:val="3FC95AB0"/>
    <w:rsid w:val="3FCB2D5B"/>
    <w:rsid w:val="3FD31C10"/>
    <w:rsid w:val="3FD414E4"/>
    <w:rsid w:val="3FE059F3"/>
    <w:rsid w:val="3FF04570"/>
    <w:rsid w:val="3FF37BBC"/>
    <w:rsid w:val="3FF878C8"/>
    <w:rsid w:val="3FFC1167"/>
    <w:rsid w:val="40026051"/>
    <w:rsid w:val="400718BA"/>
    <w:rsid w:val="4012098A"/>
    <w:rsid w:val="401A01BA"/>
    <w:rsid w:val="401D3A9E"/>
    <w:rsid w:val="40324B88"/>
    <w:rsid w:val="404448BC"/>
    <w:rsid w:val="404B7437"/>
    <w:rsid w:val="40512B35"/>
    <w:rsid w:val="405D597D"/>
    <w:rsid w:val="407D1B7C"/>
    <w:rsid w:val="408E3D89"/>
    <w:rsid w:val="4090365D"/>
    <w:rsid w:val="40956EC5"/>
    <w:rsid w:val="40DD4172"/>
    <w:rsid w:val="40E51BFB"/>
    <w:rsid w:val="40F05F95"/>
    <w:rsid w:val="40F57374"/>
    <w:rsid w:val="40FE4A6B"/>
    <w:rsid w:val="410B53D9"/>
    <w:rsid w:val="411E6EBB"/>
    <w:rsid w:val="412B104C"/>
    <w:rsid w:val="41405083"/>
    <w:rsid w:val="415A5405"/>
    <w:rsid w:val="417C4D58"/>
    <w:rsid w:val="417E5BAB"/>
    <w:rsid w:val="418238EE"/>
    <w:rsid w:val="418A1219"/>
    <w:rsid w:val="4191768D"/>
    <w:rsid w:val="41961147"/>
    <w:rsid w:val="419823F7"/>
    <w:rsid w:val="41A33677"/>
    <w:rsid w:val="41AF2209"/>
    <w:rsid w:val="41B33AA7"/>
    <w:rsid w:val="41B96BE3"/>
    <w:rsid w:val="41BD66D4"/>
    <w:rsid w:val="41C21F3C"/>
    <w:rsid w:val="41D659E7"/>
    <w:rsid w:val="41DD61BA"/>
    <w:rsid w:val="41E86D20"/>
    <w:rsid w:val="41EC6FB9"/>
    <w:rsid w:val="41F47C4C"/>
    <w:rsid w:val="422616C6"/>
    <w:rsid w:val="422702D4"/>
    <w:rsid w:val="422C1AAB"/>
    <w:rsid w:val="42333557"/>
    <w:rsid w:val="423F358D"/>
    <w:rsid w:val="4247037C"/>
    <w:rsid w:val="424961B9"/>
    <w:rsid w:val="42530DE6"/>
    <w:rsid w:val="425608D6"/>
    <w:rsid w:val="427005BB"/>
    <w:rsid w:val="427A6373"/>
    <w:rsid w:val="427D40B5"/>
    <w:rsid w:val="427D651B"/>
    <w:rsid w:val="427E2307"/>
    <w:rsid w:val="428611BC"/>
    <w:rsid w:val="428A2A07"/>
    <w:rsid w:val="42916955"/>
    <w:rsid w:val="42953641"/>
    <w:rsid w:val="42956604"/>
    <w:rsid w:val="4298306B"/>
    <w:rsid w:val="42AD6748"/>
    <w:rsid w:val="42AE0712"/>
    <w:rsid w:val="42B6714C"/>
    <w:rsid w:val="42DC0926"/>
    <w:rsid w:val="42E34DC3"/>
    <w:rsid w:val="42E45EE2"/>
    <w:rsid w:val="42E61C5A"/>
    <w:rsid w:val="42EA799C"/>
    <w:rsid w:val="42F06FB7"/>
    <w:rsid w:val="43170B42"/>
    <w:rsid w:val="432307B8"/>
    <w:rsid w:val="433504EC"/>
    <w:rsid w:val="43370708"/>
    <w:rsid w:val="433A17D1"/>
    <w:rsid w:val="43452E25"/>
    <w:rsid w:val="43721740"/>
    <w:rsid w:val="43860D47"/>
    <w:rsid w:val="439E6707"/>
    <w:rsid w:val="43A23DD3"/>
    <w:rsid w:val="43BB6C43"/>
    <w:rsid w:val="43D63A7D"/>
    <w:rsid w:val="43E50164"/>
    <w:rsid w:val="43F16B09"/>
    <w:rsid w:val="43F96D1B"/>
    <w:rsid w:val="43FE2FD4"/>
    <w:rsid w:val="44052D6C"/>
    <w:rsid w:val="44071E88"/>
    <w:rsid w:val="440F6F8F"/>
    <w:rsid w:val="44134CD1"/>
    <w:rsid w:val="44380293"/>
    <w:rsid w:val="444E1AA8"/>
    <w:rsid w:val="446C2633"/>
    <w:rsid w:val="44827761"/>
    <w:rsid w:val="4487121B"/>
    <w:rsid w:val="44872FC9"/>
    <w:rsid w:val="44A91191"/>
    <w:rsid w:val="44B57B36"/>
    <w:rsid w:val="44C17D96"/>
    <w:rsid w:val="44C36444"/>
    <w:rsid w:val="44C57AEB"/>
    <w:rsid w:val="44CB55AC"/>
    <w:rsid w:val="44D22496"/>
    <w:rsid w:val="44E87F0C"/>
    <w:rsid w:val="44F85C75"/>
    <w:rsid w:val="4517434D"/>
    <w:rsid w:val="451C76CE"/>
    <w:rsid w:val="45240818"/>
    <w:rsid w:val="453942C3"/>
    <w:rsid w:val="454315E6"/>
    <w:rsid w:val="45462E84"/>
    <w:rsid w:val="4554734F"/>
    <w:rsid w:val="45596065"/>
    <w:rsid w:val="457277D5"/>
    <w:rsid w:val="4582210E"/>
    <w:rsid w:val="459B358C"/>
    <w:rsid w:val="459B6D2C"/>
    <w:rsid w:val="45CA5863"/>
    <w:rsid w:val="45D264C6"/>
    <w:rsid w:val="45D747E8"/>
    <w:rsid w:val="45F02A41"/>
    <w:rsid w:val="4607616F"/>
    <w:rsid w:val="460A3EB2"/>
    <w:rsid w:val="46366A55"/>
    <w:rsid w:val="463B22BD"/>
    <w:rsid w:val="463D7DE3"/>
    <w:rsid w:val="464C6278"/>
    <w:rsid w:val="465313B5"/>
    <w:rsid w:val="465D0485"/>
    <w:rsid w:val="4667066F"/>
    <w:rsid w:val="466A4950"/>
    <w:rsid w:val="466E2692"/>
    <w:rsid w:val="4676209F"/>
    <w:rsid w:val="46794B93"/>
    <w:rsid w:val="46911EDD"/>
    <w:rsid w:val="46965745"/>
    <w:rsid w:val="469F0A9E"/>
    <w:rsid w:val="46A2233C"/>
    <w:rsid w:val="46A240EA"/>
    <w:rsid w:val="46A460B4"/>
    <w:rsid w:val="46AB11F1"/>
    <w:rsid w:val="46B24D85"/>
    <w:rsid w:val="46C36B78"/>
    <w:rsid w:val="46C87FF5"/>
    <w:rsid w:val="46C978C9"/>
    <w:rsid w:val="46CB1893"/>
    <w:rsid w:val="46DB2F1F"/>
    <w:rsid w:val="46DE1C38"/>
    <w:rsid w:val="46E75FA1"/>
    <w:rsid w:val="46FC37FA"/>
    <w:rsid w:val="46FE3A16"/>
    <w:rsid w:val="470703F1"/>
    <w:rsid w:val="470E352E"/>
    <w:rsid w:val="471825FE"/>
    <w:rsid w:val="47290367"/>
    <w:rsid w:val="472B0583"/>
    <w:rsid w:val="47356D0C"/>
    <w:rsid w:val="473A07C7"/>
    <w:rsid w:val="474451A1"/>
    <w:rsid w:val="475278BE"/>
    <w:rsid w:val="47685334"/>
    <w:rsid w:val="47692BD3"/>
    <w:rsid w:val="476B4E24"/>
    <w:rsid w:val="476F0470"/>
    <w:rsid w:val="47777325"/>
    <w:rsid w:val="478C7274"/>
    <w:rsid w:val="479C4FDD"/>
    <w:rsid w:val="479E2B03"/>
    <w:rsid w:val="479E48B1"/>
    <w:rsid w:val="47BE31A6"/>
    <w:rsid w:val="47C120B3"/>
    <w:rsid w:val="47C22C96"/>
    <w:rsid w:val="47D12ED9"/>
    <w:rsid w:val="47D6229D"/>
    <w:rsid w:val="47F24BFD"/>
    <w:rsid w:val="47FB1D04"/>
    <w:rsid w:val="47FB57AB"/>
    <w:rsid w:val="481E1BB0"/>
    <w:rsid w:val="48396CD0"/>
    <w:rsid w:val="483D231C"/>
    <w:rsid w:val="485F6737"/>
    <w:rsid w:val="486F26F2"/>
    <w:rsid w:val="48733F90"/>
    <w:rsid w:val="48CC36A0"/>
    <w:rsid w:val="48EB4CA0"/>
    <w:rsid w:val="490948F4"/>
    <w:rsid w:val="49184B37"/>
    <w:rsid w:val="491C63D6"/>
    <w:rsid w:val="49282FCC"/>
    <w:rsid w:val="492B3326"/>
    <w:rsid w:val="49350B6D"/>
    <w:rsid w:val="49366D6C"/>
    <w:rsid w:val="49396F88"/>
    <w:rsid w:val="493B1763"/>
    <w:rsid w:val="493D00FA"/>
    <w:rsid w:val="493D6DA4"/>
    <w:rsid w:val="494476DB"/>
    <w:rsid w:val="494B7380"/>
    <w:rsid w:val="49683C27"/>
    <w:rsid w:val="4968786D"/>
    <w:rsid w:val="49753D38"/>
    <w:rsid w:val="49785F7B"/>
    <w:rsid w:val="49831FB1"/>
    <w:rsid w:val="498C37CF"/>
    <w:rsid w:val="49902920"/>
    <w:rsid w:val="49A85EBB"/>
    <w:rsid w:val="49B10406"/>
    <w:rsid w:val="49B82D27"/>
    <w:rsid w:val="49C5081B"/>
    <w:rsid w:val="49D4280C"/>
    <w:rsid w:val="49FE1F7F"/>
    <w:rsid w:val="4A01737A"/>
    <w:rsid w:val="4A083B20"/>
    <w:rsid w:val="4A0C644A"/>
    <w:rsid w:val="4A190B67"/>
    <w:rsid w:val="4A1A5A27"/>
    <w:rsid w:val="4A2A4B22"/>
    <w:rsid w:val="4A3634C7"/>
    <w:rsid w:val="4A4333E9"/>
    <w:rsid w:val="4A5120AF"/>
    <w:rsid w:val="4A577705"/>
    <w:rsid w:val="4A5B2F2E"/>
    <w:rsid w:val="4A5E2A1E"/>
    <w:rsid w:val="4A631DE2"/>
    <w:rsid w:val="4A651F7C"/>
    <w:rsid w:val="4A742241"/>
    <w:rsid w:val="4ABA40F8"/>
    <w:rsid w:val="4AC62A9D"/>
    <w:rsid w:val="4AD827D0"/>
    <w:rsid w:val="4AE178D7"/>
    <w:rsid w:val="4AF33166"/>
    <w:rsid w:val="4AF3760A"/>
    <w:rsid w:val="4AF56EDE"/>
    <w:rsid w:val="4B117A90"/>
    <w:rsid w:val="4B2B2811"/>
    <w:rsid w:val="4B3043BA"/>
    <w:rsid w:val="4B313C8F"/>
    <w:rsid w:val="4B3814C1"/>
    <w:rsid w:val="4B58746D"/>
    <w:rsid w:val="4B7645F1"/>
    <w:rsid w:val="4B7818BD"/>
    <w:rsid w:val="4B7C315C"/>
    <w:rsid w:val="4B8D35BB"/>
    <w:rsid w:val="4B9009B5"/>
    <w:rsid w:val="4B9A48DF"/>
    <w:rsid w:val="4BA426B2"/>
    <w:rsid w:val="4BA83F51"/>
    <w:rsid w:val="4BC52D55"/>
    <w:rsid w:val="4BCB7C3F"/>
    <w:rsid w:val="4BD13136"/>
    <w:rsid w:val="4BDC1E4C"/>
    <w:rsid w:val="4BDC3BFA"/>
    <w:rsid w:val="4BDD55A8"/>
    <w:rsid w:val="4BE9528C"/>
    <w:rsid w:val="4BE96317"/>
    <w:rsid w:val="4BF54CBC"/>
    <w:rsid w:val="4C261319"/>
    <w:rsid w:val="4C343A36"/>
    <w:rsid w:val="4C363A57"/>
    <w:rsid w:val="4C3B5A15"/>
    <w:rsid w:val="4C3C5B7B"/>
    <w:rsid w:val="4C4D2208"/>
    <w:rsid w:val="4C4D4AF8"/>
    <w:rsid w:val="4C536918"/>
    <w:rsid w:val="4C6065D9"/>
    <w:rsid w:val="4C63256E"/>
    <w:rsid w:val="4C665CE7"/>
    <w:rsid w:val="4C687066"/>
    <w:rsid w:val="4CA918DF"/>
    <w:rsid w:val="4CA94424"/>
    <w:rsid w:val="4CB16E35"/>
    <w:rsid w:val="4CB701C3"/>
    <w:rsid w:val="4CBA03DF"/>
    <w:rsid w:val="4CBC2CF4"/>
    <w:rsid w:val="4CC56D84"/>
    <w:rsid w:val="4CD82614"/>
    <w:rsid w:val="4CDD4969"/>
    <w:rsid w:val="4CDF5BD4"/>
    <w:rsid w:val="4D113E62"/>
    <w:rsid w:val="4D123956"/>
    <w:rsid w:val="4D234926"/>
    <w:rsid w:val="4D245859"/>
    <w:rsid w:val="4D2B3334"/>
    <w:rsid w:val="4D3D28B8"/>
    <w:rsid w:val="4D4759EB"/>
    <w:rsid w:val="4D532D26"/>
    <w:rsid w:val="4D563357"/>
    <w:rsid w:val="4D71406E"/>
    <w:rsid w:val="4D754306"/>
    <w:rsid w:val="4D9724CF"/>
    <w:rsid w:val="4D986247"/>
    <w:rsid w:val="4D9D111B"/>
    <w:rsid w:val="4DAE15C6"/>
    <w:rsid w:val="4DB017E2"/>
    <w:rsid w:val="4DB07878"/>
    <w:rsid w:val="4DB779E3"/>
    <w:rsid w:val="4DCF5DB9"/>
    <w:rsid w:val="4DEC34D2"/>
    <w:rsid w:val="4DF571F5"/>
    <w:rsid w:val="4DF9657C"/>
    <w:rsid w:val="4E013DEC"/>
    <w:rsid w:val="4E04568A"/>
    <w:rsid w:val="4E0A20C3"/>
    <w:rsid w:val="4E0D2791"/>
    <w:rsid w:val="4E0D4016"/>
    <w:rsid w:val="4E1753BE"/>
    <w:rsid w:val="4E192EE4"/>
    <w:rsid w:val="4E21448E"/>
    <w:rsid w:val="4E310776"/>
    <w:rsid w:val="4E402B66"/>
    <w:rsid w:val="4E4361B3"/>
    <w:rsid w:val="4E571C5E"/>
    <w:rsid w:val="4E6D1482"/>
    <w:rsid w:val="4E720846"/>
    <w:rsid w:val="4E8A5B90"/>
    <w:rsid w:val="4E8C3CA1"/>
    <w:rsid w:val="4E9764FE"/>
    <w:rsid w:val="4E9B1B4B"/>
    <w:rsid w:val="4E9F6CA2"/>
    <w:rsid w:val="4EA97036"/>
    <w:rsid w:val="4EC2357B"/>
    <w:rsid w:val="4ECA2430"/>
    <w:rsid w:val="4ED65279"/>
    <w:rsid w:val="4EEC05F8"/>
    <w:rsid w:val="4F1F09CE"/>
    <w:rsid w:val="4F22226C"/>
    <w:rsid w:val="4F522B32"/>
    <w:rsid w:val="4F681C13"/>
    <w:rsid w:val="4F697E9B"/>
    <w:rsid w:val="4F6E725F"/>
    <w:rsid w:val="4F8D1DDB"/>
    <w:rsid w:val="4F976877"/>
    <w:rsid w:val="4F9F3ABC"/>
    <w:rsid w:val="4FA42C81"/>
    <w:rsid w:val="4FB07878"/>
    <w:rsid w:val="4FC86390"/>
    <w:rsid w:val="4FD23C92"/>
    <w:rsid w:val="4FDF1F0B"/>
    <w:rsid w:val="4FE43A21"/>
    <w:rsid w:val="4FEC3718"/>
    <w:rsid w:val="50151DD1"/>
    <w:rsid w:val="50212FC0"/>
    <w:rsid w:val="502142D2"/>
    <w:rsid w:val="502246FD"/>
    <w:rsid w:val="502A762A"/>
    <w:rsid w:val="50371D47"/>
    <w:rsid w:val="503B1837"/>
    <w:rsid w:val="5052092F"/>
    <w:rsid w:val="50650662"/>
    <w:rsid w:val="50697A27"/>
    <w:rsid w:val="50724B2D"/>
    <w:rsid w:val="50AB7A1C"/>
    <w:rsid w:val="50DB42B0"/>
    <w:rsid w:val="50DE0415"/>
    <w:rsid w:val="50E84DEF"/>
    <w:rsid w:val="5100482F"/>
    <w:rsid w:val="510B6E43"/>
    <w:rsid w:val="511856D5"/>
    <w:rsid w:val="511947C5"/>
    <w:rsid w:val="511B6F73"/>
    <w:rsid w:val="51273B6A"/>
    <w:rsid w:val="513E21AB"/>
    <w:rsid w:val="51491D32"/>
    <w:rsid w:val="515D3A2F"/>
    <w:rsid w:val="516F6BB0"/>
    <w:rsid w:val="51927F4F"/>
    <w:rsid w:val="51960CEF"/>
    <w:rsid w:val="519B6306"/>
    <w:rsid w:val="519D01B0"/>
    <w:rsid w:val="51A46F68"/>
    <w:rsid w:val="51C15D6C"/>
    <w:rsid w:val="51DF3A1A"/>
    <w:rsid w:val="51E043F4"/>
    <w:rsid w:val="51EB4B97"/>
    <w:rsid w:val="51F36142"/>
    <w:rsid w:val="52262073"/>
    <w:rsid w:val="522D51B0"/>
    <w:rsid w:val="522E0F28"/>
    <w:rsid w:val="52342D13"/>
    <w:rsid w:val="523A167B"/>
    <w:rsid w:val="52500E9E"/>
    <w:rsid w:val="526F57C8"/>
    <w:rsid w:val="527F3531"/>
    <w:rsid w:val="52825B8E"/>
    <w:rsid w:val="52990A97"/>
    <w:rsid w:val="52A13BC2"/>
    <w:rsid w:val="52BC7C45"/>
    <w:rsid w:val="52CA6EA2"/>
    <w:rsid w:val="52E87329"/>
    <w:rsid w:val="52EC6E19"/>
    <w:rsid w:val="52F061DD"/>
    <w:rsid w:val="531719BC"/>
    <w:rsid w:val="531B5950"/>
    <w:rsid w:val="532644A8"/>
    <w:rsid w:val="5334256E"/>
    <w:rsid w:val="533B1B4E"/>
    <w:rsid w:val="53424C8B"/>
    <w:rsid w:val="534C5B09"/>
    <w:rsid w:val="534D53DE"/>
    <w:rsid w:val="534E1882"/>
    <w:rsid w:val="53535A8F"/>
    <w:rsid w:val="536A5F90"/>
    <w:rsid w:val="536B290F"/>
    <w:rsid w:val="537137C2"/>
    <w:rsid w:val="5373753A"/>
    <w:rsid w:val="53756B51"/>
    <w:rsid w:val="537F5EDF"/>
    <w:rsid w:val="53964FD7"/>
    <w:rsid w:val="539D0113"/>
    <w:rsid w:val="53A45945"/>
    <w:rsid w:val="53B20651"/>
    <w:rsid w:val="53D224B3"/>
    <w:rsid w:val="53E750B0"/>
    <w:rsid w:val="540939FA"/>
    <w:rsid w:val="54134879"/>
    <w:rsid w:val="542425E2"/>
    <w:rsid w:val="54342932"/>
    <w:rsid w:val="543F2BDB"/>
    <w:rsid w:val="544931CE"/>
    <w:rsid w:val="544E765F"/>
    <w:rsid w:val="54501629"/>
    <w:rsid w:val="54680721"/>
    <w:rsid w:val="54817A35"/>
    <w:rsid w:val="54A06A1A"/>
    <w:rsid w:val="54A24A18"/>
    <w:rsid w:val="54BF230B"/>
    <w:rsid w:val="54D5124F"/>
    <w:rsid w:val="54D92B14"/>
    <w:rsid w:val="54E56216"/>
    <w:rsid w:val="54FE2E33"/>
    <w:rsid w:val="55180399"/>
    <w:rsid w:val="55191A1B"/>
    <w:rsid w:val="551D428E"/>
    <w:rsid w:val="55254864"/>
    <w:rsid w:val="55286102"/>
    <w:rsid w:val="55676C2B"/>
    <w:rsid w:val="556E620B"/>
    <w:rsid w:val="55760C1C"/>
    <w:rsid w:val="559519EA"/>
    <w:rsid w:val="559D264C"/>
    <w:rsid w:val="559E63C4"/>
    <w:rsid w:val="55AE5387"/>
    <w:rsid w:val="55B41BBF"/>
    <w:rsid w:val="55C027DF"/>
    <w:rsid w:val="55CA71B9"/>
    <w:rsid w:val="55EB160A"/>
    <w:rsid w:val="55EE2EA8"/>
    <w:rsid w:val="55F52488"/>
    <w:rsid w:val="560125A1"/>
    <w:rsid w:val="56095F34"/>
    <w:rsid w:val="560B1CAC"/>
    <w:rsid w:val="560C332E"/>
    <w:rsid w:val="5612303A"/>
    <w:rsid w:val="56177552"/>
    <w:rsid w:val="561F12B3"/>
    <w:rsid w:val="562468CA"/>
    <w:rsid w:val="56446F6C"/>
    <w:rsid w:val="566B62A7"/>
    <w:rsid w:val="56A95021"/>
    <w:rsid w:val="56A96DCF"/>
    <w:rsid w:val="56C53F2C"/>
    <w:rsid w:val="56CC4A40"/>
    <w:rsid w:val="56CF2CD9"/>
    <w:rsid w:val="56DB1EBF"/>
    <w:rsid w:val="56F444EE"/>
    <w:rsid w:val="570021F2"/>
    <w:rsid w:val="5705494D"/>
    <w:rsid w:val="57144265"/>
    <w:rsid w:val="571B7CCD"/>
    <w:rsid w:val="57270276"/>
    <w:rsid w:val="572B1EDA"/>
    <w:rsid w:val="57316D0F"/>
    <w:rsid w:val="57343239"/>
    <w:rsid w:val="57390153"/>
    <w:rsid w:val="57435475"/>
    <w:rsid w:val="574C432A"/>
    <w:rsid w:val="574D00A2"/>
    <w:rsid w:val="575760F4"/>
    <w:rsid w:val="57601B83"/>
    <w:rsid w:val="577D2735"/>
    <w:rsid w:val="57852DEC"/>
    <w:rsid w:val="57AB49EF"/>
    <w:rsid w:val="57BC49A4"/>
    <w:rsid w:val="57CD4D3F"/>
    <w:rsid w:val="57D04F5B"/>
    <w:rsid w:val="57D35153"/>
    <w:rsid w:val="57E36310"/>
    <w:rsid w:val="57E722A5"/>
    <w:rsid w:val="57E94CAC"/>
    <w:rsid w:val="581A62F8"/>
    <w:rsid w:val="58254B7B"/>
    <w:rsid w:val="5827444F"/>
    <w:rsid w:val="58300956"/>
    <w:rsid w:val="58385974"/>
    <w:rsid w:val="583B614D"/>
    <w:rsid w:val="58555460"/>
    <w:rsid w:val="586631C9"/>
    <w:rsid w:val="58663B2A"/>
    <w:rsid w:val="58670CF0"/>
    <w:rsid w:val="588418A2"/>
    <w:rsid w:val="5886386C"/>
    <w:rsid w:val="588B2C30"/>
    <w:rsid w:val="58931AE5"/>
    <w:rsid w:val="589C4E3D"/>
    <w:rsid w:val="58A4140A"/>
    <w:rsid w:val="58A42B80"/>
    <w:rsid w:val="58A957AC"/>
    <w:rsid w:val="58AC2BA6"/>
    <w:rsid w:val="58AF6F99"/>
    <w:rsid w:val="58B02697"/>
    <w:rsid w:val="58B54151"/>
    <w:rsid w:val="58BA52C3"/>
    <w:rsid w:val="58C3686E"/>
    <w:rsid w:val="58C779E0"/>
    <w:rsid w:val="58DF20B1"/>
    <w:rsid w:val="58F76517"/>
    <w:rsid w:val="590B0FBC"/>
    <w:rsid w:val="590F3861"/>
    <w:rsid w:val="59162E41"/>
    <w:rsid w:val="5923730C"/>
    <w:rsid w:val="59264194"/>
    <w:rsid w:val="592F5CB1"/>
    <w:rsid w:val="59305585"/>
    <w:rsid w:val="593E7CA2"/>
    <w:rsid w:val="59576FB6"/>
    <w:rsid w:val="595C38B0"/>
    <w:rsid w:val="59682F71"/>
    <w:rsid w:val="597B2CA5"/>
    <w:rsid w:val="59851D75"/>
    <w:rsid w:val="598F6750"/>
    <w:rsid w:val="59941FB8"/>
    <w:rsid w:val="59AB20A1"/>
    <w:rsid w:val="59AD4E28"/>
    <w:rsid w:val="59B9510A"/>
    <w:rsid w:val="59C02DAD"/>
    <w:rsid w:val="59C72452"/>
    <w:rsid w:val="59C74B1F"/>
    <w:rsid w:val="59CF11CC"/>
    <w:rsid w:val="59D16D68"/>
    <w:rsid w:val="59D81EA5"/>
    <w:rsid w:val="59DD74BB"/>
    <w:rsid w:val="59E5393F"/>
    <w:rsid w:val="59EA7E2A"/>
    <w:rsid w:val="59EC3BA2"/>
    <w:rsid w:val="59EC76FE"/>
    <w:rsid w:val="59F842F5"/>
    <w:rsid w:val="5A033D79"/>
    <w:rsid w:val="5A0709DC"/>
    <w:rsid w:val="5A07278A"/>
    <w:rsid w:val="5A137381"/>
    <w:rsid w:val="5A2450EA"/>
    <w:rsid w:val="5A2B6183"/>
    <w:rsid w:val="5A2C0443"/>
    <w:rsid w:val="5A3E3CD2"/>
    <w:rsid w:val="5A3F0176"/>
    <w:rsid w:val="5A427C66"/>
    <w:rsid w:val="5A4B6B1B"/>
    <w:rsid w:val="5A4C2893"/>
    <w:rsid w:val="5A625609"/>
    <w:rsid w:val="5A854D8F"/>
    <w:rsid w:val="5AA004E9"/>
    <w:rsid w:val="5AA1673B"/>
    <w:rsid w:val="5AC42429"/>
    <w:rsid w:val="5ACE14FA"/>
    <w:rsid w:val="5AD51772"/>
    <w:rsid w:val="5ADE798F"/>
    <w:rsid w:val="5AE900E2"/>
    <w:rsid w:val="5AF70A51"/>
    <w:rsid w:val="5B0373F5"/>
    <w:rsid w:val="5B0A2C7F"/>
    <w:rsid w:val="5B0B6ABB"/>
    <w:rsid w:val="5B0D5B7E"/>
    <w:rsid w:val="5B172EA1"/>
    <w:rsid w:val="5B1D632B"/>
    <w:rsid w:val="5B2D4472"/>
    <w:rsid w:val="5B2F1F99"/>
    <w:rsid w:val="5B3409BC"/>
    <w:rsid w:val="5B340CC6"/>
    <w:rsid w:val="5B3E6680"/>
    <w:rsid w:val="5B5639C9"/>
    <w:rsid w:val="5B7B5D04"/>
    <w:rsid w:val="5B8147BE"/>
    <w:rsid w:val="5B834092"/>
    <w:rsid w:val="5B8F2A37"/>
    <w:rsid w:val="5B8F6EDB"/>
    <w:rsid w:val="5BB04C2C"/>
    <w:rsid w:val="5BB71F8E"/>
    <w:rsid w:val="5BC112B9"/>
    <w:rsid w:val="5BC30933"/>
    <w:rsid w:val="5BD40D92"/>
    <w:rsid w:val="5BDB7004"/>
    <w:rsid w:val="5BEC1C38"/>
    <w:rsid w:val="5BEF797A"/>
    <w:rsid w:val="5C1949F7"/>
    <w:rsid w:val="5C2707DA"/>
    <w:rsid w:val="5C317F92"/>
    <w:rsid w:val="5C3B2BBF"/>
    <w:rsid w:val="5C66288B"/>
    <w:rsid w:val="5C677510"/>
    <w:rsid w:val="5C746021"/>
    <w:rsid w:val="5C79623E"/>
    <w:rsid w:val="5C8C6F77"/>
    <w:rsid w:val="5C974299"/>
    <w:rsid w:val="5C9A53A1"/>
    <w:rsid w:val="5C9A5B38"/>
    <w:rsid w:val="5C9D73D6"/>
    <w:rsid w:val="5CB63FF4"/>
    <w:rsid w:val="5CD56B70"/>
    <w:rsid w:val="5CDC6150"/>
    <w:rsid w:val="5CE72F5C"/>
    <w:rsid w:val="5CF27722"/>
    <w:rsid w:val="5CF90968"/>
    <w:rsid w:val="5D011713"/>
    <w:rsid w:val="5D192F00"/>
    <w:rsid w:val="5D3C274B"/>
    <w:rsid w:val="5D467A6D"/>
    <w:rsid w:val="5D4E06D0"/>
    <w:rsid w:val="5D5850AB"/>
    <w:rsid w:val="5D5E6B65"/>
    <w:rsid w:val="5D9E51B4"/>
    <w:rsid w:val="5DA53978"/>
    <w:rsid w:val="5DA622BA"/>
    <w:rsid w:val="5DA84284"/>
    <w:rsid w:val="5DB20C5F"/>
    <w:rsid w:val="5DB744C7"/>
    <w:rsid w:val="5DB76275"/>
    <w:rsid w:val="5DBA7B13"/>
    <w:rsid w:val="5DCD7847"/>
    <w:rsid w:val="5DD24E5D"/>
    <w:rsid w:val="5DDC7A8A"/>
    <w:rsid w:val="5DDD2180"/>
    <w:rsid w:val="5DE03A1E"/>
    <w:rsid w:val="5DE132F2"/>
    <w:rsid w:val="5DE401DE"/>
    <w:rsid w:val="5DED177F"/>
    <w:rsid w:val="5DFF2BC0"/>
    <w:rsid w:val="5E046458"/>
    <w:rsid w:val="5E086AD1"/>
    <w:rsid w:val="5E190CDE"/>
    <w:rsid w:val="5E2F0501"/>
    <w:rsid w:val="5E2F405E"/>
    <w:rsid w:val="5E420397"/>
    <w:rsid w:val="5E435D5B"/>
    <w:rsid w:val="5E4F2952"/>
    <w:rsid w:val="5E5341F0"/>
    <w:rsid w:val="5E5B4E53"/>
    <w:rsid w:val="5E6422A1"/>
    <w:rsid w:val="5E7B7098"/>
    <w:rsid w:val="5E820631"/>
    <w:rsid w:val="5E9465B6"/>
    <w:rsid w:val="5E9842F9"/>
    <w:rsid w:val="5E993BCD"/>
    <w:rsid w:val="5E9F11E3"/>
    <w:rsid w:val="5EAA39AC"/>
    <w:rsid w:val="5EB9022B"/>
    <w:rsid w:val="5ECE307B"/>
    <w:rsid w:val="5EDA046D"/>
    <w:rsid w:val="5EE70DDC"/>
    <w:rsid w:val="5F0C439F"/>
    <w:rsid w:val="5F0E787D"/>
    <w:rsid w:val="5F182D44"/>
    <w:rsid w:val="5F322057"/>
    <w:rsid w:val="5F335DCF"/>
    <w:rsid w:val="5F381638"/>
    <w:rsid w:val="5F443B39"/>
    <w:rsid w:val="5F4D6E91"/>
    <w:rsid w:val="5F5A7800"/>
    <w:rsid w:val="5F613AD9"/>
    <w:rsid w:val="5F7E34EF"/>
    <w:rsid w:val="5F9C5723"/>
    <w:rsid w:val="5F9F3465"/>
    <w:rsid w:val="5FB009D6"/>
    <w:rsid w:val="5FB40CBE"/>
    <w:rsid w:val="5FBE7D8F"/>
    <w:rsid w:val="5FD01870"/>
    <w:rsid w:val="5FD0613A"/>
    <w:rsid w:val="5FDC0F0C"/>
    <w:rsid w:val="5FE904E2"/>
    <w:rsid w:val="60001041"/>
    <w:rsid w:val="6008036D"/>
    <w:rsid w:val="600A36DC"/>
    <w:rsid w:val="600C0AFA"/>
    <w:rsid w:val="601230BB"/>
    <w:rsid w:val="60275934"/>
    <w:rsid w:val="60327E35"/>
    <w:rsid w:val="60395667"/>
    <w:rsid w:val="603B19B5"/>
    <w:rsid w:val="605378F7"/>
    <w:rsid w:val="60624BBE"/>
    <w:rsid w:val="606C05CE"/>
    <w:rsid w:val="60765F74"/>
    <w:rsid w:val="60786190"/>
    <w:rsid w:val="60791F08"/>
    <w:rsid w:val="60803296"/>
    <w:rsid w:val="608F7035"/>
    <w:rsid w:val="6094289E"/>
    <w:rsid w:val="60AC408B"/>
    <w:rsid w:val="60AF1486"/>
    <w:rsid w:val="60B57F7E"/>
    <w:rsid w:val="60C72C73"/>
    <w:rsid w:val="60D40EEC"/>
    <w:rsid w:val="60D84E80"/>
    <w:rsid w:val="60E94998"/>
    <w:rsid w:val="60EE6452"/>
    <w:rsid w:val="60EF52F0"/>
    <w:rsid w:val="60FB291D"/>
    <w:rsid w:val="60FD0443"/>
    <w:rsid w:val="60FD6695"/>
    <w:rsid w:val="60FF240D"/>
    <w:rsid w:val="60FF41BB"/>
    <w:rsid w:val="60FF5B8E"/>
    <w:rsid w:val="610572F8"/>
    <w:rsid w:val="613300E3"/>
    <w:rsid w:val="61386B7E"/>
    <w:rsid w:val="6139713B"/>
    <w:rsid w:val="613C7BA6"/>
    <w:rsid w:val="61453B98"/>
    <w:rsid w:val="614913F6"/>
    <w:rsid w:val="615E3269"/>
    <w:rsid w:val="617C3A5E"/>
    <w:rsid w:val="61822775"/>
    <w:rsid w:val="61954B1F"/>
    <w:rsid w:val="61972646"/>
    <w:rsid w:val="61A51218"/>
    <w:rsid w:val="61AB4343"/>
    <w:rsid w:val="61B34FA6"/>
    <w:rsid w:val="61B41449"/>
    <w:rsid w:val="61B551C2"/>
    <w:rsid w:val="61BC24CC"/>
    <w:rsid w:val="61DE64C6"/>
    <w:rsid w:val="620D46B6"/>
    <w:rsid w:val="621A6DD3"/>
    <w:rsid w:val="62287742"/>
    <w:rsid w:val="62307304"/>
    <w:rsid w:val="62402CDD"/>
    <w:rsid w:val="6260512D"/>
    <w:rsid w:val="62650996"/>
    <w:rsid w:val="62764951"/>
    <w:rsid w:val="628232F6"/>
    <w:rsid w:val="6287090C"/>
    <w:rsid w:val="62A36DC8"/>
    <w:rsid w:val="62AC0373"/>
    <w:rsid w:val="62B45479"/>
    <w:rsid w:val="62B92A90"/>
    <w:rsid w:val="62C0797A"/>
    <w:rsid w:val="62CA25A7"/>
    <w:rsid w:val="62E606CB"/>
    <w:rsid w:val="62EA2C49"/>
    <w:rsid w:val="62EC7D19"/>
    <w:rsid w:val="62F6339C"/>
    <w:rsid w:val="63057A83"/>
    <w:rsid w:val="63091321"/>
    <w:rsid w:val="630E06E5"/>
    <w:rsid w:val="630F26B0"/>
    <w:rsid w:val="63195DA0"/>
    <w:rsid w:val="631D4DCC"/>
    <w:rsid w:val="63293771"/>
    <w:rsid w:val="63304B00"/>
    <w:rsid w:val="633F2F95"/>
    <w:rsid w:val="63563696"/>
    <w:rsid w:val="635D341B"/>
    <w:rsid w:val="63701BA4"/>
    <w:rsid w:val="638210D3"/>
    <w:rsid w:val="6388493C"/>
    <w:rsid w:val="639037F0"/>
    <w:rsid w:val="639F58B4"/>
    <w:rsid w:val="63A86D8C"/>
    <w:rsid w:val="63BF16D3"/>
    <w:rsid w:val="63D12B27"/>
    <w:rsid w:val="63D63F11"/>
    <w:rsid w:val="63E9223E"/>
    <w:rsid w:val="64081FD3"/>
    <w:rsid w:val="640E3B97"/>
    <w:rsid w:val="640F4D03"/>
    <w:rsid w:val="6421269A"/>
    <w:rsid w:val="642503DD"/>
    <w:rsid w:val="642C3481"/>
    <w:rsid w:val="643B03A5"/>
    <w:rsid w:val="64476FBC"/>
    <w:rsid w:val="646D768E"/>
    <w:rsid w:val="64760C38"/>
    <w:rsid w:val="647C3D75"/>
    <w:rsid w:val="649B41FB"/>
    <w:rsid w:val="64A05CB5"/>
    <w:rsid w:val="64A07A63"/>
    <w:rsid w:val="64A21A2D"/>
    <w:rsid w:val="64B27B6D"/>
    <w:rsid w:val="64C25C2B"/>
    <w:rsid w:val="64D0373B"/>
    <w:rsid w:val="64D227E6"/>
    <w:rsid w:val="64DE2339"/>
    <w:rsid w:val="64E831B8"/>
    <w:rsid w:val="6500511D"/>
    <w:rsid w:val="650C334B"/>
    <w:rsid w:val="650C6EA7"/>
    <w:rsid w:val="65102E3B"/>
    <w:rsid w:val="6518584B"/>
    <w:rsid w:val="653463FD"/>
    <w:rsid w:val="653E102A"/>
    <w:rsid w:val="65530BB8"/>
    <w:rsid w:val="65876E75"/>
    <w:rsid w:val="65901886"/>
    <w:rsid w:val="659948D7"/>
    <w:rsid w:val="659F41BF"/>
    <w:rsid w:val="659F468D"/>
    <w:rsid w:val="65A43583"/>
    <w:rsid w:val="65B512EC"/>
    <w:rsid w:val="65C14135"/>
    <w:rsid w:val="65EC1FFC"/>
    <w:rsid w:val="65F362B8"/>
    <w:rsid w:val="65FB27D8"/>
    <w:rsid w:val="65FC7F22"/>
    <w:rsid w:val="66024B2B"/>
    <w:rsid w:val="660D1128"/>
    <w:rsid w:val="6612673F"/>
    <w:rsid w:val="662A7F2C"/>
    <w:rsid w:val="66300E23"/>
    <w:rsid w:val="663366B5"/>
    <w:rsid w:val="663521C0"/>
    <w:rsid w:val="66383CCB"/>
    <w:rsid w:val="66417024"/>
    <w:rsid w:val="664B39FF"/>
    <w:rsid w:val="66552ACF"/>
    <w:rsid w:val="66664CDC"/>
    <w:rsid w:val="6672542F"/>
    <w:rsid w:val="66770A72"/>
    <w:rsid w:val="6683763C"/>
    <w:rsid w:val="66884C53"/>
    <w:rsid w:val="66A17AC3"/>
    <w:rsid w:val="66B07D06"/>
    <w:rsid w:val="66BB6DD6"/>
    <w:rsid w:val="66DE4873"/>
    <w:rsid w:val="66E16111"/>
    <w:rsid w:val="66E31E89"/>
    <w:rsid w:val="66E42BA0"/>
    <w:rsid w:val="66F83B86"/>
    <w:rsid w:val="670267B3"/>
    <w:rsid w:val="67177D85"/>
    <w:rsid w:val="67193AFD"/>
    <w:rsid w:val="67256946"/>
    <w:rsid w:val="67346B89"/>
    <w:rsid w:val="674416BF"/>
    <w:rsid w:val="67582877"/>
    <w:rsid w:val="676254A4"/>
    <w:rsid w:val="677146B7"/>
    <w:rsid w:val="67915D89"/>
    <w:rsid w:val="67966EFB"/>
    <w:rsid w:val="679679C3"/>
    <w:rsid w:val="67A21D44"/>
    <w:rsid w:val="67A755AC"/>
    <w:rsid w:val="67CF67A3"/>
    <w:rsid w:val="67D57A24"/>
    <w:rsid w:val="67D77C40"/>
    <w:rsid w:val="67E934CF"/>
    <w:rsid w:val="67EE31DB"/>
    <w:rsid w:val="67EE6D37"/>
    <w:rsid w:val="67F10FEB"/>
    <w:rsid w:val="67F56318"/>
    <w:rsid w:val="67F833D2"/>
    <w:rsid w:val="68014CBD"/>
    <w:rsid w:val="680848B9"/>
    <w:rsid w:val="680E1188"/>
    <w:rsid w:val="682D5AB2"/>
    <w:rsid w:val="683A01CF"/>
    <w:rsid w:val="683C7AA3"/>
    <w:rsid w:val="68466B73"/>
    <w:rsid w:val="68476448"/>
    <w:rsid w:val="68490412"/>
    <w:rsid w:val="68580655"/>
    <w:rsid w:val="68594AF9"/>
    <w:rsid w:val="686F0ED6"/>
    <w:rsid w:val="68727968"/>
    <w:rsid w:val="6880464C"/>
    <w:rsid w:val="688D47A2"/>
    <w:rsid w:val="68994EF5"/>
    <w:rsid w:val="68AB231B"/>
    <w:rsid w:val="68B03FED"/>
    <w:rsid w:val="68B51201"/>
    <w:rsid w:val="68BA7955"/>
    <w:rsid w:val="68BC5088"/>
    <w:rsid w:val="68BF08FC"/>
    <w:rsid w:val="68DC7BDA"/>
    <w:rsid w:val="68E1064A"/>
    <w:rsid w:val="68E5013A"/>
    <w:rsid w:val="68E51EE8"/>
    <w:rsid w:val="68F24605"/>
    <w:rsid w:val="68F93BE6"/>
    <w:rsid w:val="68F93E51"/>
    <w:rsid w:val="69046F01"/>
    <w:rsid w:val="69146C72"/>
    <w:rsid w:val="69232A11"/>
    <w:rsid w:val="69236EB5"/>
    <w:rsid w:val="692A3D9F"/>
    <w:rsid w:val="69434E61"/>
    <w:rsid w:val="69453654"/>
    <w:rsid w:val="6945507D"/>
    <w:rsid w:val="69482477"/>
    <w:rsid w:val="69653029"/>
    <w:rsid w:val="69667335"/>
    <w:rsid w:val="696E0130"/>
    <w:rsid w:val="697F4404"/>
    <w:rsid w:val="699F653B"/>
    <w:rsid w:val="69A41DA4"/>
    <w:rsid w:val="69D00DEB"/>
    <w:rsid w:val="69D63F27"/>
    <w:rsid w:val="69D74EB4"/>
    <w:rsid w:val="69E771EA"/>
    <w:rsid w:val="69FF347E"/>
    <w:rsid w:val="6A1011E7"/>
    <w:rsid w:val="6A1231B1"/>
    <w:rsid w:val="6A1A3E14"/>
    <w:rsid w:val="6A350C4E"/>
    <w:rsid w:val="6A4946F9"/>
    <w:rsid w:val="6A5C442C"/>
    <w:rsid w:val="6A5D1F52"/>
    <w:rsid w:val="6A72672B"/>
    <w:rsid w:val="6A7379C8"/>
    <w:rsid w:val="6A7C687C"/>
    <w:rsid w:val="6A7E25F5"/>
    <w:rsid w:val="6A845731"/>
    <w:rsid w:val="6A9040D6"/>
    <w:rsid w:val="6AA14535"/>
    <w:rsid w:val="6AB97AD1"/>
    <w:rsid w:val="6AC124E1"/>
    <w:rsid w:val="6AF428B7"/>
    <w:rsid w:val="6AF91C7B"/>
    <w:rsid w:val="6B106FC5"/>
    <w:rsid w:val="6B1E3BA6"/>
    <w:rsid w:val="6B2A452A"/>
    <w:rsid w:val="6B2A62D8"/>
    <w:rsid w:val="6B320A36"/>
    <w:rsid w:val="6B45709F"/>
    <w:rsid w:val="6B4849B1"/>
    <w:rsid w:val="6B5477F9"/>
    <w:rsid w:val="6B563571"/>
    <w:rsid w:val="6B610944"/>
    <w:rsid w:val="6B827EC3"/>
    <w:rsid w:val="6B9A25C8"/>
    <w:rsid w:val="6B9D4848"/>
    <w:rsid w:val="6BA22313"/>
    <w:rsid w:val="6BA9096B"/>
    <w:rsid w:val="6BC009EB"/>
    <w:rsid w:val="6BC51FA8"/>
    <w:rsid w:val="6BC95AF1"/>
    <w:rsid w:val="6BE6275C"/>
    <w:rsid w:val="6BE9134D"/>
    <w:rsid w:val="6BFB5EC7"/>
    <w:rsid w:val="6BFD39ED"/>
    <w:rsid w:val="6C0828E8"/>
    <w:rsid w:val="6C0B435C"/>
    <w:rsid w:val="6C23664B"/>
    <w:rsid w:val="6C5630FD"/>
    <w:rsid w:val="6C5C0714"/>
    <w:rsid w:val="6C6B6BA9"/>
    <w:rsid w:val="6C6D154A"/>
    <w:rsid w:val="6C7517D5"/>
    <w:rsid w:val="6C757A27"/>
    <w:rsid w:val="6C7F08A6"/>
    <w:rsid w:val="6C955B85"/>
    <w:rsid w:val="6C985AA7"/>
    <w:rsid w:val="6C991968"/>
    <w:rsid w:val="6CA81BAB"/>
    <w:rsid w:val="6CAE6A95"/>
    <w:rsid w:val="6CB0535E"/>
    <w:rsid w:val="6CCF1AF5"/>
    <w:rsid w:val="6CD24E7A"/>
    <w:rsid w:val="6CD40BF2"/>
    <w:rsid w:val="6CDE55CC"/>
    <w:rsid w:val="6CEC6E1B"/>
    <w:rsid w:val="6D033285"/>
    <w:rsid w:val="6D1A237D"/>
    <w:rsid w:val="6D321474"/>
    <w:rsid w:val="6D371181"/>
    <w:rsid w:val="6D3715E9"/>
    <w:rsid w:val="6D390A55"/>
    <w:rsid w:val="6D3D7C9D"/>
    <w:rsid w:val="6D411446"/>
    <w:rsid w:val="6D5A0320"/>
    <w:rsid w:val="6D605FE2"/>
    <w:rsid w:val="6D6D6950"/>
    <w:rsid w:val="6D705117"/>
    <w:rsid w:val="6D7478EE"/>
    <w:rsid w:val="6D88378A"/>
    <w:rsid w:val="6DA00AD4"/>
    <w:rsid w:val="6DA700B4"/>
    <w:rsid w:val="6DC70D5C"/>
    <w:rsid w:val="6DCD73EF"/>
    <w:rsid w:val="6DED797A"/>
    <w:rsid w:val="6DF10F35"/>
    <w:rsid w:val="6E072901"/>
    <w:rsid w:val="6E097188"/>
    <w:rsid w:val="6E0E5A3E"/>
    <w:rsid w:val="6E1D3EA0"/>
    <w:rsid w:val="6E380D0C"/>
    <w:rsid w:val="6E3F209B"/>
    <w:rsid w:val="6E464CBB"/>
    <w:rsid w:val="6E483229"/>
    <w:rsid w:val="6E6164B5"/>
    <w:rsid w:val="6E7865D7"/>
    <w:rsid w:val="6E851A78"/>
    <w:rsid w:val="6E9C573F"/>
    <w:rsid w:val="6EA22C9D"/>
    <w:rsid w:val="6EA42846"/>
    <w:rsid w:val="6EA6211A"/>
    <w:rsid w:val="6EA97E5C"/>
    <w:rsid w:val="6EC627BC"/>
    <w:rsid w:val="6ECD207E"/>
    <w:rsid w:val="6ECE1671"/>
    <w:rsid w:val="6EE113A4"/>
    <w:rsid w:val="6EEB2223"/>
    <w:rsid w:val="6EF2535F"/>
    <w:rsid w:val="6F0137F4"/>
    <w:rsid w:val="6F0937A0"/>
    <w:rsid w:val="6F152DFC"/>
    <w:rsid w:val="6F20011E"/>
    <w:rsid w:val="6F2A4AF9"/>
    <w:rsid w:val="6F3040D9"/>
    <w:rsid w:val="6F4831D1"/>
    <w:rsid w:val="6F5243B3"/>
    <w:rsid w:val="6F6A3147"/>
    <w:rsid w:val="6F6A75EB"/>
    <w:rsid w:val="6F775864"/>
    <w:rsid w:val="6F912DCA"/>
    <w:rsid w:val="6F997ED1"/>
    <w:rsid w:val="6FAD74D8"/>
    <w:rsid w:val="6FBB1BF5"/>
    <w:rsid w:val="6FC36CFC"/>
    <w:rsid w:val="6FD131C7"/>
    <w:rsid w:val="6FD66A2F"/>
    <w:rsid w:val="6FD827A7"/>
    <w:rsid w:val="6FDC6B5F"/>
    <w:rsid w:val="6FDE7692"/>
    <w:rsid w:val="6FED5B27"/>
    <w:rsid w:val="6FEE1FCA"/>
    <w:rsid w:val="70011985"/>
    <w:rsid w:val="70083ED5"/>
    <w:rsid w:val="700A66D9"/>
    <w:rsid w:val="70182BA3"/>
    <w:rsid w:val="70227EC6"/>
    <w:rsid w:val="702754DC"/>
    <w:rsid w:val="7027728A"/>
    <w:rsid w:val="704C4F43"/>
    <w:rsid w:val="704C638F"/>
    <w:rsid w:val="707A560C"/>
    <w:rsid w:val="707D7D60"/>
    <w:rsid w:val="7080699B"/>
    <w:rsid w:val="70A22DB5"/>
    <w:rsid w:val="70AF1919"/>
    <w:rsid w:val="70B12FF8"/>
    <w:rsid w:val="70B825D8"/>
    <w:rsid w:val="70C1323B"/>
    <w:rsid w:val="70CE5958"/>
    <w:rsid w:val="70D07922"/>
    <w:rsid w:val="70DC62C7"/>
    <w:rsid w:val="70DE57E6"/>
    <w:rsid w:val="70E00857"/>
    <w:rsid w:val="70E57BE1"/>
    <w:rsid w:val="70EE1B56"/>
    <w:rsid w:val="70F629BB"/>
    <w:rsid w:val="710810A7"/>
    <w:rsid w:val="71245578"/>
    <w:rsid w:val="712B2DAA"/>
    <w:rsid w:val="712F289B"/>
    <w:rsid w:val="713C4FB8"/>
    <w:rsid w:val="71526589"/>
    <w:rsid w:val="717B788E"/>
    <w:rsid w:val="717C3606"/>
    <w:rsid w:val="71864485"/>
    <w:rsid w:val="718F5F79"/>
    <w:rsid w:val="71926986"/>
    <w:rsid w:val="71B52674"/>
    <w:rsid w:val="71C1726B"/>
    <w:rsid w:val="71CF3E29"/>
    <w:rsid w:val="71D36A8E"/>
    <w:rsid w:val="71D60F68"/>
    <w:rsid w:val="71E52BC7"/>
    <w:rsid w:val="71EC078C"/>
    <w:rsid w:val="71ED53C5"/>
    <w:rsid w:val="71FC2AE1"/>
    <w:rsid w:val="71FE04BF"/>
    <w:rsid w:val="721003C5"/>
    <w:rsid w:val="72111FA0"/>
    <w:rsid w:val="7214383E"/>
    <w:rsid w:val="721B4BCD"/>
    <w:rsid w:val="72273A51"/>
    <w:rsid w:val="72393272"/>
    <w:rsid w:val="72457E9C"/>
    <w:rsid w:val="72514A93"/>
    <w:rsid w:val="725325B9"/>
    <w:rsid w:val="725514EA"/>
    <w:rsid w:val="72622BD7"/>
    <w:rsid w:val="72671BC0"/>
    <w:rsid w:val="72691DDC"/>
    <w:rsid w:val="726E2F4F"/>
    <w:rsid w:val="727918F3"/>
    <w:rsid w:val="7298621E"/>
    <w:rsid w:val="72987FCC"/>
    <w:rsid w:val="729C51E9"/>
    <w:rsid w:val="729F75AC"/>
    <w:rsid w:val="72A21CFF"/>
    <w:rsid w:val="72AE3C93"/>
    <w:rsid w:val="72B8066E"/>
    <w:rsid w:val="72B917BC"/>
    <w:rsid w:val="72C25048"/>
    <w:rsid w:val="72C66324"/>
    <w:rsid w:val="72D00517"/>
    <w:rsid w:val="72D8486C"/>
    <w:rsid w:val="72DA4A88"/>
    <w:rsid w:val="72EE0533"/>
    <w:rsid w:val="72F1592E"/>
    <w:rsid w:val="72FF44EF"/>
    <w:rsid w:val="731358A4"/>
    <w:rsid w:val="73191889"/>
    <w:rsid w:val="731955B0"/>
    <w:rsid w:val="732C6966"/>
    <w:rsid w:val="733221CE"/>
    <w:rsid w:val="733C4DFB"/>
    <w:rsid w:val="73463ECB"/>
    <w:rsid w:val="73467A28"/>
    <w:rsid w:val="736A17B3"/>
    <w:rsid w:val="737E18B7"/>
    <w:rsid w:val="73882884"/>
    <w:rsid w:val="73C31078"/>
    <w:rsid w:val="73CB44C1"/>
    <w:rsid w:val="73FD6130"/>
    <w:rsid w:val="74033B6B"/>
    <w:rsid w:val="740718AD"/>
    <w:rsid w:val="740759EF"/>
    <w:rsid w:val="740A2536"/>
    <w:rsid w:val="7416564C"/>
    <w:rsid w:val="74185868"/>
    <w:rsid w:val="7423420D"/>
    <w:rsid w:val="742E508B"/>
    <w:rsid w:val="743B50B2"/>
    <w:rsid w:val="7440091B"/>
    <w:rsid w:val="744645AA"/>
    <w:rsid w:val="744909A2"/>
    <w:rsid w:val="746A5998"/>
    <w:rsid w:val="746D7236"/>
    <w:rsid w:val="7479207F"/>
    <w:rsid w:val="747C102B"/>
    <w:rsid w:val="747C1C85"/>
    <w:rsid w:val="748C0004"/>
    <w:rsid w:val="7496138D"/>
    <w:rsid w:val="74A7099A"/>
    <w:rsid w:val="74AC7D5E"/>
    <w:rsid w:val="74B67236"/>
    <w:rsid w:val="74E97204"/>
    <w:rsid w:val="75093403"/>
    <w:rsid w:val="750D6F2C"/>
    <w:rsid w:val="751F2C26"/>
    <w:rsid w:val="753C7334"/>
    <w:rsid w:val="753E74EA"/>
    <w:rsid w:val="755521A4"/>
    <w:rsid w:val="75587EE6"/>
    <w:rsid w:val="75647B92"/>
    <w:rsid w:val="75666014"/>
    <w:rsid w:val="757271FA"/>
    <w:rsid w:val="758415D8"/>
    <w:rsid w:val="75952EE8"/>
    <w:rsid w:val="75A1188D"/>
    <w:rsid w:val="75A5137D"/>
    <w:rsid w:val="75A650F5"/>
    <w:rsid w:val="75BD6BB2"/>
    <w:rsid w:val="75BF40A3"/>
    <w:rsid w:val="75C45344"/>
    <w:rsid w:val="75C64E50"/>
    <w:rsid w:val="75C94940"/>
    <w:rsid w:val="75CB01E6"/>
    <w:rsid w:val="75D21A46"/>
    <w:rsid w:val="75DA132A"/>
    <w:rsid w:val="75DC4673"/>
    <w:rsid w:val="75DE663D"/>
    <w:rsid w:val="75E31EA6"/>
    <w:rsid w:val="75F23E97"/>
    <w:rsid w:val="75F93D2C"/>
    <w:rsid w:val="7614205F"/>
    <w:rsid w:val="761E6A3A"/>
    <w:rsid w:val="76273BFB"/>
    <w:rsid w:val="76283D5C"/>
    <w:rsid w:val="762A3631"/>
    <w:rsid w:val="76366479"/>
    <w:rsid w:val="76392B57"/>
    <w:rsid w:val="764F3097"/>
    <w:rsid w:val="76515061"/>
    <w:rsid w:val="76530DD9"/>
    <w:rsid w:val="765668DA"/>
    <w:rsid w:val="76674F2A"/>
    <w:rsid w:val="7678122F"/>
    <w:rsid w:val="76816FC9"/>
    <w:rsid w:val="768E1E11"/>
    <w:rsid w:val="76957293"/>
    <w:rsid w:val="76984A3E"/>
    <w:rsid w:val="76985AB4"/>
    <w:rsid w:val="769C41AB"/>
    <w:rsid w:val="76AF1D88"/>
    <w:rsid w:val="76B15B00"/>
    <w:rsid w:val="76BA1D3C"/>
    <w:rsid w:val="76C770D1"/>
    <w:rsid w:val="76C9109B"/>
    <w:rsid w:val="76D161A2"/>
    <w:rsid w:val="76DF3B1A"/>
    <w:rsid w:val="76E01F41"/>
    <w:rsid w:val="76E9529A"/>
    <w:rsid w:val="76EB7264"/>
    <w:rsid w:val="76EF3D2C"/>
    <w:rsid w:val="76F9147F"/>
    <w:rsid w:val="76FA1495"/>
    <w:rsid w:val="76FF2D0F"/>
    <w:rsid w:val="77072CA8"/>
    <w:rsid w:val="770B16B4"/>
    <w:rsid w:val="77136CB0"/>
    <w:rsid w:val="771805CB"/>
    <w:rsid w:val="771B741D"/>
    <w:rsid w:val="771F6F0D"/>
    <w:rsid w:val="772207AC"/>
    <w:rsid w:val="773F135E"/>
    <w:rsid w:val="774B7D02"/>
    <w:rsid w:val="77642B72"/>
    <w:rsid w:val="77644920"/>
    <w:rsid w:val="77660698"/>
    <w:rsid w:val="777D06E3"/>
    <w:rsid w:val="777D1E86"/>
    <w:rsid w:val="777E0606"/>
    <w:rsid w:val="778B7459"/>
    <w:rsid w:val="77996CC0"/>
    <w:rsid w:val="77BE6726"/>
    <w:rsid w:val="77C356D5"/>
    <w:rsid w:val="77C61AA8"/>
    <w:rsid w:val="77C875A5"/>
    <w:rsid w:val="77C96E79"/>
    <w:rsid w:val="77D15D7E"/>
    <w:rsid w:val="77DD0A83"/>
    <w:rsid w:val="77F71C38"/>
    <w:rsid w:val="77FC724F"/>
    <w:rsid w:val="780B7492"/>
    <w:rsid w:val="78160310"/>
    <w:rsid w:val="78177844"/>
    <w:rsid w:val="781C7039"/>
    <w:rsid w:val="78564BB1"/>
    <w:rsid w:val="78577977"/>
    <w:rsid w:val="78624E83"/>
    <w:rsid w:val="78774B27"/>
    <w:rsid w:val="78827754"/>
    <w:rsid w:val="78A07EF6"/>
    <w:rsid w:val="78B90C9C"/>
    <w:rsid w:val="78C80EDF"/>
    <w:rsid w:val="78E47CFE"/>
    <w:rsid w:val="78E55F35"/>
    <w:rsid w:val="78E8577B"/>
    <w:rsid w:val="78F023DA"/>
    <w:rsid w:val="78F30652"/>
    <w:rsid w:val="790E0FE8"/>
    <w:rsid w:val="790F6B0E"/>
    <w:rsid w:val="79110AD8"/>
    <w:rsid w:val="791D56CF"/>
    <w:rsid w:val="79206F6D"/>
    <w:rsid w:val="792C3B64"/>
    <w:rsid w:val="792D2B46"/>
    <w:rsid w:val="79304E75"/>
    <w:rsid w:val="79312F28"/>
    <w:rsid w:val="79334EF2"/>
    <w:rsid w:val="79425135"/>
    <w:rsid w:val="796450AB"/>
    <w:rsid w:val="79694470"/>
    <w:rsid w:val="796E3B0E"/>
    <w:rsid w:val="796E5F2A"/>
    <w:rsid w:val="796F0529"/>
    <w:rsid w:val="79751067"/>
    <w:rsid w:val="79764F6E"/>
    <w:rsid w:val="79815591"/>
    <w:rsid w:val="79872B48"/>
    <w:rsid w:val="79984D55"/>
    <w:rsid w:val="79B17BC5"/>
    <w:rsid w:val="79B323EB"/>
    <w:rsid w:val="79B55092"/>
    <w:rsid w:val="79B9081F"/>
    <w:rsid w:val="79BD47BC"/>
    <w:rsid w:val="79BE0C60"/>
    <w:rsid w:val="79CB17D1"/>
    <w:rsid w:val="79D044EF"/>
    <w:rsid w:val="79FA5A10"/>
    <w:rsid w:val="79FC3536"/>
    <w:rsid w:val="7A1E34AC"/>
    <w:rsid w:val="7A2501C8"/>
    <w:rsid w:val="7A326F58"/>
    <w:rsid w:val="7A3525A4"/>
    <w:rsid w:val="7A3727C0"/>
    <w:rsid w:val="7A546ECE"/>
    <w:rsid w:val="7A5C3FD5"/>
    <w:rsid w:val="7A5F74BC"/>
    <w:rsid w:val="7A613399"/>
    <w:rsid w:val="7A61783D"/>
    <w:rsid w:val="7A6B246A"/>
    <w:rsid w:val="7A7255A6"/>
    <w:rsid w:val="7AA91265"/>
    <w:rsid w:val="7AB12572"/>
    <w:rsid w:val="7AB20098"/>
    <w:rsid w:val="7AB61937"/>
    <w:rsid w:val="7AC322A6"/>
    <w:rsid w:val="7AE07E53"/>
    <w:rsid w:val="7AEA54F7"/>
    <w:rsid w:val="7AFD57B8"/>
    <w:rsid w:val="7B002BB2"/>
    <w:rsid w:val="7B02682E"/>
    <w:rsid w:val="7B160627"/>
    <w:rsid w:val="7B2368A0"/>
    <w:rsid w:val="7B256ABC"/>
    <w:rsid w:val="7B310FBD"/>
    <w:rsid w:val="7B364826"/>
    <w:rsid w:val="7B4231CA"/>
    <w:rsid w:val="7B445194"/>
    <w:rsid w:val="7B4B60C0"/>
    <w:rsid w:val="7B4E1B6F"/>
    <w:rsid w:val="7B6969A9"/>
    <w:rsid w:val="7B7F61CD"/>
    <w:rsid w:val="7B841A35"/>
    <w:rsid w:val="7B852963"/>
    <w:rsid w:val="7B875081"/>
    <w:rsid w:val="7B8E5D6D"/>
    <w:rsid w:val="7B95154C"/>
    <w:rsid w:val="7BB11B26"/>
    <w:rsid w:val="7BBF481B"/>
    <w:rsid w:val="7BCD518A"/>
    <w:rsid w:val="7BD0027A"/>
    <w:rsid w:val="7BDE6A7E"/>
    <w:rsid w:val="7BE20509"/>
    <w:rsid w:val="7BF045C5"/>
    <w:rsid w:val="7BF10DD0"/>
    <w:rsid w:val="7BF12D7D"/>
    <w:rsid w:val="7C042B76"/>
    <w:rsid w:val="7C25567E"/>
    <w:rsid w:val="7C6779D2"/>
    <w:rsid w:val="7C6929D9"/>
    <w:rsid w:val="7C7750F6"/>
    <w:rsid w:val="7C8415C1"/>
    <w:rsid w:val="7C855A65"/>
    <w:rsid w:val="7C9428A4"/>
    <w:rsid w:val="7CB77BE8"/>
    <w:rsid w:val="7CC80851"/>
    <w:rsid w:val="7CDD6705"/>
    <w:rsid w:val="7CF93D5D"/>
    <w:rsid w:val="7D0A5F6A"/>
    <w:rsid w:val="7D157953"/>
    <w:rsid w:val="7D184638"/>
    <w:rsid w:val="7D2376F2"/>
    <w:rsid w:val="7D256900"/>
    <w:rsid w:val="7D27455C"/>
    <w:rsid w:val="7D2C4132"/>
    <w:rsid w:val="7D371C1F"/>
    <w:rsid w:val="7D3C3975"/>
    <w:rsid w:val="7D425FCE"/>
    <w:rsid w:val="7D466695"/>
    <w:rsid w:val="7D4B4E66"/>
    <w:rsid w:val="7D725243"/>
    <w:rsid w:val="7D752E25"/>
    <w:rsid w:val="7D761851"/>
    <w:rsid w:val="7D8C697F"/>
    <w:rsid w:val="7D8F021D"/>
    <w:rsid w:val="7D913F95"/>
    <w:rsid w:val="7D9677FD"/>
    <w:rsid w:val="7DB67EA0"/>
    <w:rsid w:val="7DBA3683"/>
    <w:rsid w:val="7DC75C09"/>
    <w:rsid w:val="7DDC1195"/>
    <w:rsid w:val="7DE8278A"/>
    <w:rsid w:val="7DF32EA2"/>
    <w:rsid w:val="7DFA6886"/>
    <w:rsid w:val="7E152F54"/>
    <w:rsid w:val="7E1A042F"/>
    <w:rsid w:val="7E1A4F6B"/>
    <w:rsid w:val="7E21356B"/>
    <w:rsid w:val="7E24305B"/>
    <w:rsid w:val="7E2E5C88"/>
    <w:rsid w:val="7E33329E"/>
    <w:rsid w:val="7E3E4FAA"/>
    <w:rsid w:val="7E4254A0"/>
    <w:rsid w:val="7E4F6A09"/>
    <w:rsid w:val="7E550395"/>
    <w:rsid w:val="7E682F48"/>
    <w:rsid w:val="7E6950CA"/>
    <w:rsid w:val="7E6B0C8A"/>
    <w:rsid w:val="7E7062A0"/>
    <w:rsid w:val="7E835FD4"/>
    <w:rsid w:val="7E956EBF"/>
    <w:rsid w:val="7EAF6DC9"/>
    <w:rsid w:val="7EB02B41"/>
    <w:rsid w:val="7EB10D93"/>
    <w:rsid w:val="7EC02D84"/>
    <w:rsid w:val="7EC11C74"/>
    <w:rsid w:val="7ED44A81"/>
    <w:rsid w:val="7EE0405C"/>
    <w:rsid w:val="7EE527EB"/>
    <w:rsid w:val="7EE8052D"/>
    <w:rsid w:val="7EF61968"/>
    <w:rsid w:val="7EF70770"/>
    <w:rsid w:val="7F0A3FFF"/>
    <w:rsid w:val="7F1475B9"/>
    <w:rsid w:val="7F1B7FBA"/>
    <w:rsid w:val="7F313C82"/>
    <w:rsid w:val="7F3948E4"/>
    <w:rsid w:val="7F48126D"/>
    <w:rsid w:val="7F590AE3"/>
    <w:rsid w:val="7F696E9A"/>
    <w:rsid w:val="7F9935D5"/>
    <w:rsid w:val="7FC93EBA"/>
    <w:rsid w:val="7FCF6FF7"/>
    <w:rsid w:val="7FE75214"/>
    <w:rsid w:val="7FEC7BA9"/>
    <w:rsid w:val="7FF058EB"/>
    <w:rsid w:val="7FF2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kern w:val="44"/>
      <w:sz w:val="32"/>
      <w:szCs w:val="20"/>
    </w:rPr>
  </w:style>
  <w:style w:type="paragraph" w:styleId="5">
    <w:name w:val="heading 2"/>
    <w:basedOn w:val="1"/>
    <w:next w:val="1"/>
    <w:autoRedefine/>
    <w:qFormat/>
    <w:uiPriority w:val="0"/>
    <w:pPr>
      <w:keepNext/>
      <w:keepLines/>
      <w:spacing w:before="260" w:after="260" w:line="500" w:lineRule="exact"/>
      <w:outlineLvl w:val="1"/>
    </w:pPr>
    <w:rPr>
      <w:rFonts w:ascii="Arial" w:hAnsi="Arial" w:eastAsia="黑体"/>
      <w:sz w:val="28"/>
      <w:szCs w:val="20"/>
    </w:rPr>
  </w:style>
  <w:style w:type="paragraph" w:styleId="6">
    <w:name w:val="heading 3"/>
    <w:basedOn w:val="1"/>
    <w:next w:val="1"/>
    <w:autoRedefine/>
    <w:qFormat/>
    <w:uiPriority w:val="0"/>
    <w:pPr>
      <w:keepNext/>
      <w:keepLines/>
      <w:spacing w:before="260" w:after="260" w:line="412" w:lineRule="auto"/>
      <w:outlineLvl w:val="2"/>
    </w:pPr>
    <w:rPr>
      <w:b/>
      <w:sz w:val="32"/>
      <w:szCs w:val="20"/>
    </w:rPr>
  </w:style>
  <w:style w:type="paragraph" w:styleId="7">
    <w:name w:val="heading 4"/>
    <w:basedOn w:val="1"/>
    <w:next w:val="1"/>
    <w:autoRedefine/>
    <w:qFormat/>
    <w:uiPriority w:val="0"/>
    <w:pPr>
      <w:keepNext/>
      <w:keepLines/>
      <w:spacing w:before="280" w:after="290" w:line="376" w:lineRule="auto"/>
      <w:outlineLvl w:val="3"/>
    </w:pPr>
    <w:rPr>
      <w:rFonts w:ascii="Calibri Light" w:hAnsi="Calibri Light"/>
      <w:b/>
      <w:bCs/>
      <w:sz w:val="28"/>
      <w:szCs w:val="28"/>
    </w:rPr>
  </w:style>
  <w:style w:type="paragraph" w:styleId="8">
    <w:name w:val="heading 8"/>
    <w:basedOn w:val="1"/>
    <w:next w:val="1"/>
    <w:qFormat/>
    <w:uiPriority w:val="1"/>
    <w:pPr>
      <w:ind w:left="305"/>
      <w:outlineLvl w:val="7"/>
    </w:pPr>
    <w:rPr>
      <w:rFonts w:ascii="宋体" w:hAnsi="宋体" w:eastAsia="宋体" w:cs="宋体"/>
      <w:sz w:val="28"/>
      <w:szCs w:val="28"/>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szCs w:val="20"/>
    </w:rPr>
  </w:style>
  <w:style w:type="paragraph" w:styleId="3">
    <w:name w:val="toc 4"/>
    <w:basedOn w:val="1"/>
    <w:next w:val="1"/>
    <w:qFormat/>
    <w:uiPriority w:val="39"/>
    <w:pPr>
      <w:ind w:left="1260" w:leftChars="600"/>
    </w:pPr>
  </w:style>
  <w:style w:type="paragraph" w:styleId="9">
    <w:name w:val="table of authorities"/>
    <w:basedOn w:val="1"/>
    <w:next w:val="1"/>
    <w:autoRedefine/>
    <w:qFormat/>
    <w:uiPriority w:val="0"/>
    <w:pPr>
      <w:ind w:left="420" w:leftChars="200"/>
    </w:pPr>
  </w:style>
  <w:style w:type="paragraph" w:styleId="10">
    <w:name w:val="toa heading"/>
    <w:basedOn w:val="1"/>
    <w:next w:val="1"/>
    <w:qFormat/>
    <w:uiPriority w:val="0"/>
    <w:pPr>
      <w:spacing w:before="120"/>
    </w:pPr>
    <w:rPr>
      <w:rFonts w:ascii="Cambria" w:hAnsi="Cambria"/>
      <w:sz w:val="24"/>
      <w:szCs w:val="24"/>
    </w:rPr>
  </w:style>
  <w:style w:type="paragraph" w:styleId="11">
    <w:name w:val="annotation text"/>
    <w:basedOn w:val="1"/>
    <w:autoRedefine/>
    <w:qFormat/>
    <w:uiPriority w:val="0"/>
    <w:pPr>
      <w:jc w:val="left"/>
    </w:pPr>
  </w:style>
  <w:style w:type="paragraph" w:styleId="12">
    <w:name w:val="index 6"/>
    <w:basedOn w:val="1"/>
    <w:next w:val="1"/>
    <w:qFormat/>
    <w:uiPriority w:val="99"/>
    <w:pPr>
      <w:ind w:left="2100"/>
    </w:pPr>
  </w:style>
  <w:style w:type="paragraph" w:styleId="13">
    <w:name w:val="Body Text"/>
    <w:basedOn w:val="1"/>
    <w:next w:val="1"/>
    <w:autoRedefine/>
    <w:semiHidden/>
    <w:qFormat/>
    <w:uiPriority w:val="0"/>
    <w:pPr>
      <w:spacing w:before="100" w:beforeAutospacing="1" w:after="100" w:afterAutospacing="1" w:line="600" w:lineRule="auto"/>
    </w:pPr>
    <w:rPr>
      <w:kern w:val="0"/>
      <w:sz w:val="20"/>
    </w:rPr>
  </w:style>
  <w:style w:type="paragraph" w:styleId="14">
    <w:name w:val="Body Text Indent"/>
    <w:basedOn w:val="1"/>
    <w:next w:val="15"/>
    <w:autoRedefine/>
    <w:qFormat/>
    <w:uiPriority w:val="0"/>
    <w:pPr>
      <w:ind w:firstLine="630"/>
    </w:pPr>
    <w:rPr>
      <w:sz w:val="32"/>
      <w:szCs w:val="20"/>
    </w:rPr>
  </w:style>
  <w:style w:type="paragraph" w:styleId="15">
    <w:name w:val="envelope return"/>
    <w:basedOn w:val="1"/>
    <w:qFormat/>
    <w:uiPriority w:val="0"/>
    <w:pPr>
      <w:snapToGrid w:val="0"/>
    </w:pPr>
    <w:rPr>
      <w:rFonts w:ascii="Arial" w:hAnsi="Arial" w:eastAsia="宋体" w:cs="Arial"/>
    </w:rPr>
  </w:style>
  <w:style w:type="paragraph" w:styleId="16">
    <w:name w:val="Plain Text"/>
    <w:basedOn w:val="1"/>
    <w:next w:val="1"/>
    <w:autoRedefine/>
    <w:qFormat/>
    <w:uiPriority w:val="0"/>
    <w:rPr>
      <w:rFonts w:ascii="宋体" w:hAnsi="Courier New" w:cs="Courier New"/>
      <w:szCs w:val="21"/>
    </w:rPr>
  </w:style>
  <w:style w:type="paragraph" w:styleId="17">
    <w:name w:val="Date"/>
    <w:basedOn w:val="1"/>
    <w:next w:val="1"/>
    <w:autoRedefine/>
    <w:qFormat/>
    <w:uiPriority w:val="0"/>
    <w:rPr>
      <w:color w:val="000000"/>
      <w:kern w:val="0"/>
      <w:sz w:val="30"/>
    </w:rPr>
  </w:style>
  <w:style w:type="paragraph" w:styleId="18">
    <w:name w:val="Body Text Indent 2"/>
    <w:basedOn w:val="1"/>
    <w:autoRedefine/>
    <w:qFormat/>
    <w:uiPriority w:val="0"/>
    <w:pPr>
      <w:ind w:firstLine="630"/>
    </w:pPr>
    <w:rPr>
      <w:sz w:val="32"/>
      <w:szCs w:val="20"/>
    </w:rPr>
  </w:style>
  <w:style w:type="paragraph" w:styleId="19">
    <w:name w:val="footer"/>
    <w:basedOn w:val="1"/>
    <w:autoRedefine/>
    <w:qFormat/>
    <w:uiPriority w:val="0"/>
    <w:pPr>
      <w:tabs>
        <w:tab w:val="center" w:pos="4153"/>
        <w:tab w:val="right" w:pos="8306"/>
      </w:tabs>
      <w:snapToGrid w:val="0"/>
      <w:jc w:val="left"/>
    </w:pPr>
    <w:rPr>
      <w:sz w:val="18"/>
      <w:szCs w:val="20"/>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21">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22">
    <w:name w:val="Body Text 2"/>
    <w:basedOn w:val="1"/>
    <w:autoRedefine/>
    <w:qFormat/>
    <w:uiPriority w:val="0"/>
    <w:pPr>
      <w:autoSpaceDE w:val="0"/>
      <w:autoSpaceDN w:val="0"/>
      <w:adjustRightInd w:val="0"/>
      <w:jc w:val="center"/>
    </w:pPr>
    <w:rPr>
      <w:rFonts w:ascii="幼圆" w:eastAsia="幼圆"/>
      <w:b/>
      <w:bCs/>
      <w:color w:val="000000"/>
      <w:kern w:val="0"/>
      <w:sz w:val="72"/>
      <w:szCs w:val="44"/>
    </w:rPr>
  </w:style>
  <w:style w:type="paragraph" w:styleId="23">
    <w:name w:val="HTML Preformatted"/>
    <w:basedOn w:val="1"/>
    <w:qFormat/>
    <w:uiPriority w:val="0"/>
    <w:rPr>
      <w:rFonts w:ascii="Courier New" w:hAnsi="Courier New" w:eastAsia="宋体" w:cs="Times New Roman"/>
      <w:sz w:val="20"/>
    </w:rPr>
  </w:style>
  <w:style w:type="paragraph" w:styleId="2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25">
    <w:name w:val="Body Text First Indent"/>
    <w:basedOn w:val="13"/>
    <w:qFormat/>
    <w:uiPriority w:val="0"/>
    <w:pPr>
      <w:tabs>
        <w:tab w:val="left" w:pos="567"/>
        <w:tab w:val="left" w:pos="630"/>
      </w:tabs>
      <w:spacing w:after="120" w:afterLines="0"/>
      <w:ind w:firstLine="100" w:firstLineChars="100"/>
      <w:jc w:val="both"/>
      <w:textAlignment w:val="auto"/>
    </w:pPr>
    <w:rPr>
      <w:rFonts w:ascii="Times New Roman"/>
      <w:sz w:val="21"/>
      <w:szCs w:val="24"/>
    </w:rPr>
  </w:style>
  <w:style w:type="paragraph" w:styleId="26">
    <w:name w:val="Body Text First Indent 2"/>
    <w:basedOn w:val="14"/>
    <w:next w:val="1"/>
    <w:qFormat/>
    <w:uiPriority w:val="0"/>
    <w:pPr>
      <w:ind w:firstLine="420" w:firstLineChars="200"/>
    </w:pPr>
    <w:rPr>
      <w:rFonts w:ascii="Times New Roman" w:hAnsi="Times New Roman" w:eastAsia="宋体" w:cs="Times New Roman"/>
      <w:kern w:val="0"/>
      <w:sz w:val="20"/>
      <w:szCs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rFonts w:ascii="Times New Roman" w:hAnsi="Times New Roman" w:eastAsia="宋体" w:cs="Times New Roman"/>
      <w:b/>
    </w:rPr>
  </w:style>
  <w:style w:type="character" w:styleId="31">
    <w:name w:val="page number"/>
    <w:basedOn w:val="29"/>
    <w:autoRedefine/>
    <w:qFormat/>
    <w:uiPriority w:val="0"/>
  </w:style>
  <w:style w:type="character" w:styleId="32">
    <w:name w:val="Hyperlink"/>
    <w:autoRedefine/>
    <w:qFormat/>
    <w:uiPriority w:val="0"/>
    <w:rPr>
      <w:color w:val="136EC2"/>
      <w:u w:val="single"/>
    </w:rPr>
  </w:style>
  <w:style w:type="paragraph" w:customStyle="1" w:styleId="33">
    <w:name w:val="正文（缩进）"/>
    <w:basedOn w:val="1"/>
    <w:autoRedefine/>
    <w:qFormat/>
    <w:uiPriority w:val="0"/>
    <w:pPr>
      <w:spacing w:beforeLines="50" w:afterLines="50"/>
      <w:ind w:firstLine="480"/>
    </w:pPr>
    <w:rPr>
      <w:sz w:val="24"/>
    </w:rPr>
  </w:style>
  <w:style w:type="paragraph" w:customStyle="1" w:styleId="34">
    <w:name w:val="正文缩进1"/>
    <w:basedOn w:val="1"/>
    <w:autoRedefine/>
    <w:qFormat/>
    <w:uiPriority w:val="0"/>
    <w:pPr>
      <w:ind w:firstLine="420" w:firstLineChars="200"/>
    </w:pPr>
  </w:style>
  <w:style w:type="paragraph" w:customStyle="1" w:styleId="3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Table Paragraph"/>
    <w:basedOn w:val="1"/>
    <w:autoRedefine/>
    <w:qFormat/>
    <w:uiPriority w:val="1"/>
    <w:rPr>
      <w:rFonts w:ascii="宋体" w:hAnsi="宋体" w:eastAsia="宋体" w:cs="宋体"/>
      <w:lang w:val="zh-CN" w:eastAsia="zh-CN" w:bidi="zh-CN"/>
    </w:rPr>
  </w:style>
  <w:style w:type="paragraph" w:customStyle="1" w:styleId="37">
    <w:name w:val="p0"/>
    <w:basedOn w:val="1"/>
    <w:autoRedefine/>
    <w:qFormat/>
    <w:uiPriority w:val="0"/>
    <w:pPr>
      <w:widowControl/>
    </w:pPr>
    <w:rPr>
      <w:kern w:val="0"/>
      <w:szCs w:val="21"/>
    </w:rPr>
  </w:style>
  <w:style w:type="paragraph" w:customStyle="1" w:styleId="38">
    <w:name w:val="样式 首行缩进:  2 字符"/>
    <w:basedOn w:val="1"/>
    <w:autoRedefine/>
    <w:qFormat/>
    <w:uiPriority w:val="0"/>
    <w:pPr>
      <w:spacing w:line="400" w:lineRule="exact"/>
      <w:ind w:firstLine="200" w:firstLineChars="200"/>
    </w:pPr>
    <w:rPr>
      <w:rFonts w:cs="宋体"/>
      <w:sz w:val="24"/>
    </w:rPr>
  </w:style>
  <w:style w:type="paragraph" w:customStyle="1" w:styleId="39">
    <w:name w:val="Char1"/>
    <w:basedOn w:val="1"/>
    <w:autoRedefine/>
    <w:qFormat/>
    <w:uiPriority w:val="0"/>
    <w:rPr>
      <w:szCs w:val="21"/>
    </w:rPr>
  </w:style>
  <w:style w:type="paragraph" w:styleId="40">
    <w:name w:val="List Paragraph"/>
    <w:basedOn w:val="1"/>
    <w:autoRedefine/>
    <w:qFormat/>
    <w:uiPriority w:val="34"/>
    <w:pPr>
      <w:ind w:firstLine="420" w:firstLineChars="200"/>
    </w:pPr>
  </w:style>
  <w:style w:type="paragraph" w:customStyle="1" w:styleId="41">
    <w:name w:val="Other|1"/>
    <w:basedOn w:val="1"/>
    <w:autoRedefine/>
    <w:qFormat/>
    <w:uiPriority w:val="0"/>
    <w:rPr>
      <w:rFonts w:ascii="宋体" w:hAnsi="宋体" w:eastAsia="宋体" w:cs="宋体"/>
      <w:sz w:val="17"/>
      <w:szCs w:val="17"/>
      <w:lang w:val="zh-CN" w:eastAsia="zh-CN" w:bidi="zh-CN"/>
    </w:rPr>
  </w:style>
  <w:style w:type="paragraph" w:customStyle="1" w:styleId="42">
    <w:name w:val="Body text|1"/>
    <w:basedOn w:val="1"/>
    <w:autoRedefine/>
    <w:qFormat/>
    <w:uiPriority w:val="0"/>
    <w:rPr>
      <w:rFonts w:ascii="宋体" w:hAnsi="宋体" w:eastAsia="宋体" w:cs="宋体"/>
      <w:sz w:val="19"/>
      <w:szCs w:val="19"/>
      <w:lang w:val="zh-CN" w:eastAsia="zh-CN" w:bidi="zh-CN"/>
    </w:rPr>
  </w:style>
  <w:style w:type="character" w:customStyle="1" w:styleId="43">
    <w:name w:val="font71"/>
    <w:basedOn w:val="29"/>
    <w:autoRedefine/>
    <w:qFormat/>
    <w:uiPriority w:val="0"/>
    <w:rPr>
      <w:rFonts w:hint="eastAsia" w:ascii="宋体" w:hAnsi="宋体" w:eastAsia="宋体" w:cs="宋体"/>
      <w:color w:val="000000"/>
      <w:sz w:val="21"/>
      <w:szCs w:val="21"/>
      <w:u w:val="none"/>
    </w:rPr>
  </w:style>
  <w:style w:type="character" w:customStyle="1" w:styleId="44">
    <w:name w:val="font61"/>
    <w:basedOn w:val="29"/>
    <w:autoRedefine/>
    <w:qFormat/>
    <w:uiPriority w:val="0"/>
    <w:rPr>
      <w:rFonts w:hint="default" w:ascii="Arial" w:hAnsi="Arial" w:cs="Arial"/>
      <w:color w:val="000000"/>
      <w:sz w:val="22"/>
      <w:szCs w:val="22"/>
      <w:u w:val="none"/>
    </w:rPr>
  </w:style>
  <w:style w:type="character" w:customStyle="1" w:styleId="45">
    <w:name w:val="font11"/>
    <w:basedOn w:val="29"/>
    <w:autoRedefine/>
    <w:qFormat/>
    <w:uiPriority w:val="0"/>
    <w:rPr>
      <w:rFonts w:hint="eastAsia" w:ascii="宋体" w:hAnsi="宋体" w:eastAsia="宋体" w:cs="宋体"/>
      <w:color w:val="000000"/>
      <w:sz w:val="22"/>
      <w:szCs w:val="22"/>
      <w:u w:val="none"/>
    </w:rPr>
  </w:style>
  <w:style w:type="paragraph" w:customStyle="1" w:styleId="46">
    <w:name w:val="Default"/>
    <w:next w:val="47"/>
    <w:autoRedefine/>
    <w:qFormat/>
    <w:uiPriority w:val="0"/>
    <w:pPr>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47">
    <w:name w:val="大标题"/>
    <w:basedOn w:val="1"/>
    <w:next w:val="26"/>
    <w:qFormat/>
    <w:uiPriority w:val="0"/>
    <w:pPr>
      <w:jc w:val="center"/>
    </w:pPr>
    <w:rPr>
      <w:rFonts w:ascii="Arial" w:hAnsi="Arial" w:eastAsia="宋体" w:cs="Times New Roman"/>
      <w:b/>
      <w:sz w:val="28"/>
      <w:szCs w:val="24"/>
    </w:rPr>
  </w:style>
  <w:style w:type="paragraph" w:customStyle="1" w:styleId="48">
    <w:name w:val="UP正文"/>
    <w:basedOn w:val="1"/>
    <w:autoRedefine/>
    <w:qFormat/>
    <w:uiPriority w:val="0"/>
    <w:pPr>
      <w:spacing w:line="360" w:lineRule="auto"/>
      <w:ind w:left="420" w:leftChars="200" w:firstLine="420" w:firstLineChars="200"/>
    </w:pPr>
    <w:rPr>
      <w:rFonts w:ascii="Tahoma" w:hAnsi="Calibri"/>
      <w:szCs w:val="20"/>
    </w:rPr>
  </w:style>
  <w:style w:type="character" w:customStyle="1" w:styleId="49">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50">
    <w:name w:val="PlainText"/>
    <w:basedOn w:val="1"/>
    <w:autoRedefine/>
    <w:qFormat/>
    <w:uiPriority w:val="0"/>
    <w:pPr>
      <w:jc w:val="both"/>
      <w:textAlignment w:val="baseline"/>
    </w:pPr>
    <w:rPr>
      <w:rFonts w:ascii="宋体" w:hAnsi="Courier New"/>
      <w:kern w:val="2"/>
      <w:sz w:val="21"/>
      <w:szCs w:val="21"/>
      <w:lang w:val="en-US" w:eastAsia="zh-CN" w:bidi="ar-SA"/>
    </w:rPr>
  </w:style>
  <w:style w:type="character" w:customStyle="1" w:styleId="51">
    <w:name w:val="font51"/>
    <w:basedOn w:val="29"/>
    <w:autoRedefine/>
    <w:qFormat/>
    <w:uiPriority w:val="0"/>
    <w:rPr>
      <w:rFonts w:hint="eastAsia" w:ascii="宋体" w:hAnsi="宋体" w:eastAsia="宋体" w:cs="宋体"/>
      <w:color w:val="000000"/>
      <w:sz w:val="20"/>
      <w:szCs w:val="20"/>
      <w:u w:val="none"/>
    </w:rPr>
  </w:style>
  <w:style w:type="character" w:customStyle="1" w:styleId="52">
    <w:name w:val="font41"/>
    <w:basedOn w:val="29"/>
    <w:autoRedefine/>
    <w:qFormat/>
    <w:uiPriority w:val="0"/>
    <w:rPr>
      <w:rFonts w:hint="eastAsia" w:ascii="宋体" w:hAnsi="宋体" w:eastAsia="宋体" w:cs="宋体"/>
      <w:color w:val="000000"/>
      <w:sz w:val="20"/>
      <w:szCs w:val="20"/>
      <w:u w:val="none"/>
    </w:rPr>
  </w:style>
  <w:style w:type="character" w:customStyle="1" w:styleId="53">
    <w:name w:val="font31"/>
    <w:basedOn w:val="29"/>
    <w:autoRedefine/>
    <w:qFormat/>
    <w:uiPriority w:val="0"/>
    <w:rPr>
      <w:rFonts w:hint="eastAsia" w:ascii="宋体" w:hAnsi="宋体" w:eastAsia="宋体" w:cs="宋体"/>
      <w:color w:val="000000"/>
      <w:sz w:val="22"/>
      <w:szCs w:val="22"/>
      <w:u w:val="none"/>
    </w:rPr>
  </w:style>
  <w:style w:type="character" w:customStyle="1" w:styleId="54">
    <w:name w:val="font01"/>
    <w:basedOn w:val="29"/>
    <w:autoRedefine/>
    <w:qFormat/>
    <w:uiPriority w:val="0"/>
    <w:rPr>
      <w:rFonts w:hint="eastAsia" w:ascii="宋体" w:hAnsi="宋体" w:eastAsia="宋体" w:cs="宋体"/>
      <w:color w:val="000000"/>
      <w:sz w:val="21"/>
      <w:szCs w:val="21"/>
      <w:u w:val="none"/>
    </w:rPr>
  </w:style>
  <w:style w:type="paragraph" w:customStyle="1" w:styleId="55">
    <w:name w:val="Table Text"/>
    <w:basedOn w:val="1"/>
    <w:autoRedefine/>
    <w:semiHidden/>
    <w:qFormat/>
    <w:uiPriority w:val="0"/>
    <w:rPr>
      <w:rFonts w:ascii="宋体" w:hAnsi="宋体" w:eastAsia="宋体" w:cs="宋体"/>
      <w:sz w:val="24"/>
      <w:szCs w:val="24"/>
      <w:lang w:val="en-US" w:eastAsia="en-US" w:bidi="ar-SA"/>
    </w:rPr>
  </w:style>
  <w:style w:type="paragraph" w:customStyle="1" w:styleId="56">
    <w:name w:val="彩色列表1"/>
    <w:basedOn w:val="1"/>
    <w:autoRedefine/>
    <w:qFormat/>
    <w:uiPriority w:val="0"/>
    <w:pPr>
      <w:ind w:firstLine="420" w:firstLineChars="200"/>
    </w:pPr>
    <w:rPr>
      <w:rFonts w:ascii="Times New Roman" w:hAnsi="Times New Roman" w:eastAsia="宋体" w:cs="Times New Roman"/>
    </w:rPr>
  </w:style>
  <w:style w:type="character" w:customStyle="1" w:styleId="57">
    <w:name w:val="font21"/>
    <w:basedOn w:val="29"/>
    <w:autoRedefine/>
    <w:qFormat/>
    <w:uiPriority w:val="0"/>
    <w:rPr>
      <w:rFonts w:hint="eastAsia" w:ascii="仿宋" w:hAnsi="仿宋" w:eastAsia="仿宋" w:cs="仿宋"/>
      <w:color w:val="000000"/>
      <w:sz w:val="22"/>
      <w:szCs w:val="22"/>
      <w:u w:val="none"/>
    </w:rPr>
  </w:style>
  <w:style w:type="table" w:customStyle="1" w:styleId="58">
    <w:name w:val="Table Normal"/>
    <w:autoRedefine/>
    <w:semiHidden/>
    <w:unhideWhenUsed/>
    <w:qFormat/>
    <w:uiPriority w:val="0"/>
    <w:tblPr>
      <w:tblCellMar>
        <w:top w:w="0" w:type="dxa"/>
        <w:left w:w="0" w:type="dxa"/>
        <w:bottom w:w="0" w:type="dxa"/>
        <w:right w:w="0" w:type="dxa"/>
      </w:tblCellMar>
    </w:tblPr>
  </w:style>
  <w:style w:type="paragraph" w:customStyle="1" w:styleId="59">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0">
    <w:name w:val="bookmark-item uuid-1536114237662 code-00006"/>
    <w:autoRedefine/>
    <w:qFormat/>
    <w:uiPriority w:val="0"/>
  </w:style>
  <w:style w:type="character" w:customStyle="1" w:styleId="61">
    <w:name w:val="UserStyle_12"/>
    <w:qFormat/>
    <w:uiPriority w:val="0"/>
    <w:rPr>
      <w:kern w:val="2"/>
      <w:sz w:val="21"/>
      <w:szCs w:val="24"/>
      <w:lang w:val="en-US" w:eastAsia="zh-CN" w:bidi="ar-SA"/>
    </w:rPr>
  </w:style>
  <w:style w:type="paragraph" w:customStyle="1" w:styleId="62">
    <w:name w:val="章正文"/>
    <w:basedOn w:val="1"/>
    <w:qFormat/>
    <w:uiPriority w:val="0"/>
    <w:pPr>
      <w:spacing w:beforeLines="50" w:after="120" w:line="300" w:lineRule="auto"/>
      <w:ind w:firstLine="480"/>
    </w:pPr>
    <w:rPr>
      <w:rFonts w:ascii="Helvetica" w:hAnsi="Helvetica" w:eastAsia="宋体" w:cs="Times New Roman"/>
    </w:rPr>
  </w:style>
  <w:style w:type="paragraph" w:customStyle="1" w:styleId="63">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6">
    <w:name w:val="正文缩进_1"/>
    <w:basedOn w:val="67"/>
    <w:qFormat/>
    <w:uiPriority w:val="0"/>
    <w:pPr>
      <w:ind w:firstLine="420" w:firstLineChars="200"/>
    </w:pPr>
    <w:rPr>
      <w:rFonts w:ascii="Calibri" w:hAnsi="Calibri" w:eastAsia="宋体" w:cs="Times New Roman"/>
      <w:kern w:val="0"/>
      <w:sz w:val="20"/>
      <w:szCs w:val="20"/>
    </w:rPr>
  </w:style>
  <w:style w:type="paragraph" w:customStyle="1" w:styleId="6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
    <w:qFormat/>
    <w:uiPriority w:val="0"/>
    <w:rPr>
      <w:rFonts w:ascii="Times New Roman" w:hAnsi="Times New Roman" w:eastAsia="Times New Roman" w:cs="Times New Roman"/>
      <w:sz w:val="24"/>
      <w:szCs w:val="24"/>
      <w:lang w:val="en-US" w:eastAsia="zh-CN" w:bidi="ar-SA"/>
    </w:rPr>
  </w:style>
  <w:style w:type="paragraph" w:customStyle="1" w:styleId="69">
    <w:name w:val="首行缩进"/>
    <w:basedOn w:val="1"/>
    <w:qFormat/>
    <w:uiPriority w:val="0"/>
    <w:pPr>
      <w:ind w:firstLine="480" w:firstLineChars="200"/>
    </w:pPr>
    <w:rPr>
      <w:szCs w:val="20"/>
      <w:lang w:val="zh-CN"/>
    </w:rPr>
  </w:style>
  <w:style w:type="paragraph" w:customStyle="1" w:styleId="70">
    <w:name w:val="UserStyle_0"/>
    <w:next w:val="1"/>
    <w:qFormat/>
    <w:uiPriority w:val="0"/>
    <w:pPr>
      <w:widowControl/>
      <w:ind w:firstLine="200" w:firstLineChars="200"/>
      <w:jc w:val="both"/>
      <w:textAlignment w:val="baseline"/>
    </w:pPr>
    <w:rPr>
      <w:rFonts w:ascii="宋体" w:hAnsi="Times New Roman" w:eastAsia="宋体" w:cs="Times New Roman"/>
      <w:sz w:val="21"/>
      <w:szCs w:val="22"/>
      <w:lang w:val="en-US" w:eastAsia="zh-CN" w:bidi="ar-SA"/>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qFormat/>
    <w:uiPriority w:val="0"/>
    <w:pPr>
      <w:ind w:firstLine="420" w:firstLineChars="200"/>
    </w:pPr>
    <w:rPr>
      <w:szCs w:val="21"/>
    </w:rPr>
  </w:style>
  <w:style w:type="paragraph" w:customStyle="1" w:styleId="73">
    <w:name w:val="Heading2"/>
    <w:basedOn w:val="1"/>
    <w:next w:val="74"/>
    <w:qFormat/>
    <w:uiPriority w:val="0"/>
    <w:pPr>
      <w:keepNext/>
      <w:keepLines/>
      <w:spacing w:before="120" w:line="300" w:lineRule="auto"/>
      <w:jc w:val="center"/>
      <w:textAlignment w:val="baseline"/>
    </w:pPr>
    <w:rPr>
      <w:rFonts w:ascii="Arial" w:hAnsi="Arial" w:eastAsia="黑体"/>
      <w:b/>
      <w:kern w:val="0"/>
      <w:sz w:val="30"/>
      <w:szCs w:val="20"/>
      <w:lang w:val="en-US" w:eastAsia="zh-CN" w:bidi="ar-SA"/>
    </w:rPr>
  </w:style>
  <w:style w:type="paragraph" w:customStyle="1" w:styleId="74">
    <w:name w:val="NormalIndent"/>
    <w:basedOn w:val="1"/>
    <w:qFormat/>
    <w:uiPriority w:val="0"/>
    <w:pPr>
      <w:ind w:firstLine="420"/>
      <w:jc w:val="left"/>
      <w:textAlignment w:val="baseline"/>
    </w:pPr>
    <w:rPr>
      <w:rFonts w:ascii="宋体"/>
      <w:kern w:val="0"/>
      <w:sz w:val="24"/>
      <w:szCs w:val="20"/>
      <w:lang w:val="en-US" w:eastAsia="zh-CN" w:bidi="ar-SA"/>
    </w:rPr>
  </w:style>
  <w:style w:type="paragraph" w:customStyle="1" w:styleId="75">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76">
    <w:name w:val="纯文本1"/>
    <w:basedOn w:val="1"/>
    <w:qFormat/>
    <w:uiPriority w:val="0"/>
    <w:rPr>
      <w:rFonts w:ascii="宋体" w:hAnsi="Courier New"/>
      <w:kern w:val="0"/>
      <w:sz w:val="20"/>
      <w:szCs w:val="20"/>
    </w:r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paragraph" w:customStyle="1" w:styleId="7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1026" textRotate="1"/>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28133</Words>
  <Characters>30352</Characters>
  <Lines>0</Lines>
  <Paragraphs>0</Paragraphs>
  <TotalTime>55</TotalTime>
  <ScaleCrop>false</ScaleCrop>
  <LinksUpToDate>false</LinksUpToDate>
  <CharactersWithSpaces>30582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2020-12-22T10:25:00Z</dcterms:created>
  <dc:creator>吴涛</dc:creator>
  <cp:lastModifiedBy>*喵了个咪*</cp:lastModifiedBy>
  <cp:lastPrinted>2021-12-02T05:18:00Z</cp:lastPrinted>
  <dcterms:modified xsi:type="dcterms:W3CDTF">2025-06-30T10:52:57Z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F04B3D02D1F6472282548A0F5F80B50E_13</vt:lpwstr>
  </property>
  <property fmtid="{D5CDD505-2E9C-101B-9397-08002B2CF9AE}" pid="4" name="KSOTemplateDocerSaveRecord">
    <vt:lpwstr>eyJoZGlkIjoiM2RlZGFmODA5MzY0N2VjNjRmMWI4MDA2OGQwMDMxZGMiLCJ1c2VySWQiOiIzOTcyMzQwMjEifQ==</vt:lpwstr>
  </property>
</Properties>
</file>