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C5E4A">
      <w:pPr>
        <w:pStyle w:val="35"/>
        <w:ind w:left="0" w:leftChars="0" w:firstLine="0" w:firstLineChars="0"/>
        <w:rPr>
          <w:rFonts w:hint="eastAsia" w:ascii="仿宋" w:hAnsi="仿宋" w:eastAsia="仿宋" w:cs="仿宋"/>
          <w:color w:val="auto"/>
          <w:highlight w:val="none"/>
        </w:rPr>
      </w:pPr>
    </w:p>
    <w:p w14:paraId="1A035EDD">
      <w:pPr>
        <w:pStyle w:val="35"/>
        <w:rPr>
          <w:rFonts w:hint="eastAsia" w:ascii="仿宋" w:hAnsi="仿宋" w:eastAsia="仿宋" w:cs="仿宋"/>
          <w:color w:val="auto"/>
          <w:highlight w:val="none"/>
        </w:rPr>
      </w:pPr>
    </w:p>
    <w:p w14:paraId="0E650021">
      <w:pPr>
        <w:snapToGrid w:val="0"/>
        <w:spacing w:before="666" w:beforeLines="200" w:line="360" w:lineRule="auto"/>
        <w:jc w:val="center"/>
        <w:outlineLvl w:val="0"/>
        <w:rPr>
          <w:rFonts w:hint="eastAsia" w:ascii="仿宋" w:hAnsi="仿宋" w:eastAsia="仿宋" w:cs="仿宋"/>
          <w:color w:val="auto"/>
          <w:sz w:val="48"/>
          <w:szCs w:val="48"/>
          <w:highlight w:val="none"/>
          <w:lang w:eastAsia="zh-CN"/>
        </w:rPr>
      </w:pPr>
      <w:r>
        <w:rPr>
          <w:rFonts w:hint="eastAsia" w:ascii="仿宋" w:hAnsi="仿宋" w:eastAsia="仿宋" w:cs="仿宋"/>
          <w:b/>
          <w:bCs w:val="0"/>
          <w:color w:val="auto"/>
          <w:sz w:val="48"/>
          <w:szCs w:val="48"/>
          <w:highlight w:val="none"/>
          <w:lang w:val="en-US" w:eastAsia="zh-CN"/>
        </w:rPr>
        <w:t>察布查尔锡伯自治县公安局2025年五金杂货采购项目</w:t>
      </w:r>
    </w:p>
    <w:p w14:paraId="5515B45F">
      <w:pPr>
        <w:pStyle w:val="16"/>
        <w:adjustRightInd w:val="0"/>
        <w:snapToGrid w:val="0"/>
        <w:spacing w:line="360" w:lineRule="auto"/>
        <w:jc w:val="center"/>
        <w:rPr>
          <w:rFonts w:hint="eastAsia" w:ascii="仿宋" w:hAnsi="仿宋" w:eastAsia="仿宋" w:cs="仿宋"/>
          <w:b/>
          <w:color w:val="auto"/>
          <w:sz w:val="28"/>
          <w:szCs w:val="28"/>
          <w:highlight w:val="none"/>
        </w:rPr>
      </w:pPr>
    </w:p>
    <w:p w14:paraId="77B20DB4">
      <w:pPr>
        <w:pStyle w:val="16"/>
        <w:adjustRightInd w:val="0"/>
        <w:snapToGrid w:val="0"/>
        <w:spacing w:line="360" w:lineRule="auto"/>
        <w:jc w:val="center"/>
        <w:rPr>
          <w:rFonts w:hint="eastAsia" w:ascii="仿宋" w:hAnsi="仿宋" w:eastAsia="仿宋" w:cs="仿宋"/>
          <w:b/>
          <w:color w:val="auto"/>
          <w:sz w:val="28"/>
          <w:szCs w:val="28"/>
          <w:highlight w:val="none"/>
        </w:rPr>
      </w:pPr>
    </w:p>
    <w:p w14:paraId="1DA65EA0">
      <w:pPr>
        <w:pStyle w:val="16"/>
        <w:adjustRightInd w:val="0"/>
        <w:snapToGrid w:val="0"/>
        <w:spacing w:line="360" w:lineRule="auto"/>
        <w:jc w:val="center"/>
        <w:rPr>
          <w:rFonts w:hint="eastAsia" w:ascii="仿宋" w:hAnsi="仿宋" w:eastAsia="仿宋" w:cs="仿宋"/>
          <w:b/>
          <w:color w:val="auto"/>
          <w:sz w:val="28"/>
          <w:szCs w:val="28"/>
          <w:highlight w:val="none"/>
        </w:rPr>
      </w:pPr>
    </w:p>
    <w:p w14:paraId="26CD9F81">
      <w:pPr>
        <w:pStyle w:val="16"/>
        <w:adjustRightInd w:val="0"/>
        <w:snapToGrid w:val="0"/>
        <w:spacing w:line="360" w:lineRule="auto"/>
        <w:rPr>
          <w:rFonts w:hint="eastAsia" w:ascii="仿宋" w:hAnsi="仿宋" w:eastAsia="仿宋" w:cs="仿宋"/>
          <w:b/>
          <w:color w:val="auto"/>
          <w:sz w:val="28"/>
          <w:szCs w:val="28"/>
          <w:highlight w:val="none"/>
        </w:rPr>
      </w:pPr>
    </w:p>
    <w:p w14:paraId="4D26761C">
      <w:pPr>
        <w:pStyle w:val="16"/>
        <w:adjustRightInd w:val="0"/>
        <w:snapToGrid w:val="0"/>
        <w:spacing w:line="360" w:lineRule="auto"/>
        <w:jc w:val="center"/>
        <w:outlineLvl w:val="0"/>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lang w:val="en-US" w:eastAsia="zh-CN"/>
        </w:rPr>
        <w:t xml:space="preserve"> </w:t>
      </w:r>
      <w:bookmarkStart w:id="0" w:name="_Toc3482"/>
      <w:bookmarkStart w:id="1" w:name="_Toc4773"/>
      <w:r>
        <w:rPr>
          <w:rFonts w:hint="eastAsia" w:ascii="仿宋" w:hAnsi="仿宋" w:eastAsia="仿宋" w:cs="仿宋"/>
          <w:b/>
          <w:color w:val="auto"/>
          <w:sz w:val="30"/>
          <w:szCs w:val="30"/>
          <w:highlight w:val="none"/>
        </w:rPr>
        <w:t>采购项目编号：</w:t>
      </w:r>
      <w:bookmarkEnd w:id="0"/>
      <w:bookmarkEnd w:id="1"/>
      <w:r>
        <w:rPr>
          <w:rFonts w:hint="eastAsia" w:ascii="仿宋" w:hAnsi="仿宋" w:eastAsia="仿宋" w:cs="仿宋"/>
          <w:b/>
          <w:color w:val="auto"/>
          <w:sz w:val="30"/>
          <w:szCs w:val="30"/>
          <w:highlight w:val="none"/>
          <w:lang w:eastAsia="zh-CN"/>
        </w:rPr>
        <w:t>XJ</w:t>
      </w:r>
      <w:r>
        <w:rPr>
          <w:rFonts w:hint="eastAsia" w:ascii="仿宋" w:hAnsi="仿宋" w:eastAsia="仿宋" w:cs="仿宋"/>
          <w:b/>
          <w:color w:val="auto"/>
          <w:sz w:val="30"/>
          <w:szCs w:val="30"/>
          <w:highlight w:val="none"/>
          <w:lang w:val="en-US" w:eastAsia="zh-CN"/>
        </w:rPr>
        <w:t>CRZ</w:t>
      </w:r>
      <w:r>
        <w:rPr>
          <w:rFonts w:hint="eastAsia" w:ascii="仿宋" w:hAnsi="仿宋" w:eastAsia="仿宋" w:cs="仿宋"/>
          <w:b/>
          <w:color w:val="auto"/>
          <w:sz w:val="30"/>
          <w:szCs w:val="30"/>
          <w:highlight w:val="none"/>
          <w:lang w:eastAsia="zh-CN"/>
        </w:rPr>
        <w:t>CG-202</w:t>
      </w:r>
      <w:r>
        <w:rPr>
          <w:rFonts w:hint="eastAsia" w:ascii="仿宋" w:hAnsi="仿宋" w:eastAsia="仿宋" w:cs="仿宋"/>
          <w:b/>
          <w:color w:val="auto"/>
          <w:sz w:val="30"/>
          <w:szCs w:val="30"/>
          <w:highlight w:val="none"/>
          <w:lang w:val="en-US" w:eastAsia="zh-CN"/>
        </w:rPr>
        <w:t>5</w:t>
      </w:r>
      <w:r>
        <w:rPr>
          <w:rFonts w:hint="eastAsia" w:ascii="仿宋" w:hAnsi="仿宋" w:eastAsia="仿宋" w:cs="仿宋"/>
          <w:b/>
          <w:color w:val="auto"/>
          <w:sz w:val="30"/>
          <w:szCs w:val="30"/>
          <w:highlight w:val="none"/>
          <w:lang w:eastAsia="zh-CN"/>
        </w:rPr>
        <w:t>00</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lang w:eastAsia="zh-CN"/>
        </w:rPr>
        <w:t>8</w:t>
      </w:r>
    </w:p>
    <w:p w14:paraId="73595C4A">
      <w:pPr>
        <w:pStyle w:val="16"/>
        <w:adjustRightInd w:val="0"/>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84"/>
          <w:szCs w:val="84"/>
          <w:highlight w:val="none"/>
        </w:rPr>
        <w:t>招标文件</w:t>
      </w:r>
    </w:p>
    <w:p w14:paraId="766DB217">
      <w:pPr>
        <w:pStyle w:val="16"/>
        <w:adjustRightInd w:val="0"/>
        <w:snapToGrid w:val="0"/>
        <w:spacing w:before="166" w:beforeLines="50" w:line="360" w:lineRule="auto"/>
        <w:rPr>
          <w:rFonts w:hint="eastAsia" w:ascii="仿宋" w:hAnsi="仿宋" w:eastAsia="仿宋" w:cs="仿宋"/>
          <w:b/>
          <w:color w:val="auto"/>
          <w:sz w:val="32"/>
          <w:szCs w:val="32"/>
          <w:highlight w:val="none"/>
        </w:rPr>
      </w:pPr>
    </w:p>
    <w:p w14:paraId="22AF0360">
      <w:pPr>
        <w:pStyle w:val="16"/>
        <w:adjustRightInd w:val="0"/>
        <w:snapToGrid w:val="0"/>
        <w:spacing w:before="166" w:beforeLines="50" w:line="360" w:lineRule="auto"/>
        <w:rPr>
          <w:rFonts w:hint="eastAsia" w:ascii="仿宋" w:hAnsi="仿宋" w:eastAsia="仿宋" w:cs="仿宋"/>
          <w:b/>
          <w:color w:val="auto"/>
          <w:sz w:val="32"/>
          <w:szCs w:val="32"/>
          <w:highlight w:val="none"/>
        </w:rPr>
      </w:pPr>
    </w:p>
    <w:p w14:paraId="57F6AA49">
      <w:pPr>
        <w:pStyle w:val="16"/>
        <w:adjustRightInd w:val="0"/>
        <w:snapToGrid w:val="0"/>
        <w:spacing w:before="166" w:beforeLines="50" w:line="360" w:lineRule="auto"/>
        <w:rPr>
          <w:rFonts w:hint="eastAsia" w:ascii="仿宋" w:hAnsi="仿宋" w:eastAsia="仿宋" w:cs="仿宋"/>
          <w:b/>
          <w:color w:val="auto"/>
          <w:sz w:val="32"/>
          <w:szCs w:val="32"/>
          <w:highlight w:val="none"/>
        </w:rPr>
      </w:pPr>
    </w:p>
    <w:p w14:paraId="45C62352">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outlineLvl w:val="0"/>
        <w:rPr>
          <w:rFonts w:hint="eastAsia" w:ascii="仿宋" w:hAnsi="仿宋" w:eastAsia="仿宋" w:cs="仿宋"/>
          <w:b/>
          <w:bCs/>
          <w:color w:val="auto"/>
          <w:spacing w:val="20"/>
          <w:sz w:val="30"/>
          <w:szCs w:val="30"/>
          <w:highlight w:val="none"/>
          <w:lang w:val="zh-CN"/>
        </w:rPr>
      </w:pPr>
      <w:bookmarkStart w:id="2" w:name="_Toc31752"/>
      <w:bookmarkStart w:id="3" w:name="_Toc20065"/>
      <w:r>
        <w:rPr>
          <w:rFonts w:hint="eastAsia" w:ascii="仿宋" w:hAnsi="仿宋" w:eastAsia="仿宋" w:cs="仿宋"/>
          <w:b/>
          <w:bCs/>
          <w:color w:val="auto"/>
          <w:spacing w:val="20"/>
          <w:sz w:val="30"/>
          <w:szCs w:val="30"/>
          <w:highlight w:val="none"/>
        </w:rPr>
        <w:t>采购人</w:t>
      </w:r>
      <w:r>
        <w:rPr>
          <w:rFonts w:hint="eastAsia" w:ascii="仿宋" w:hAnsi="仿宋" w:eastAsia="仿宋" w:cs="仿宋"/>
          <w:b/>
          <w:bCs/>
          <w:color w:val="auto"/>
          <w:spacing w:val="20"/>
          <w:sz w:val="30"/>
          <w:szCs w:val="30"/>
          <w:highlight w:val="none"/>
          <w:lang w:val="zh-CN"/>
        </w:rPr>
        <w:t>：</w:t>
      </w:r>
      <w:r>
        <w:rPr>
          <w:rFonts w:hint="eastAsia" w:ascii="仿宋" w:hAnsi="仿宋" w:eastAsia="仿宋" w:cs="仿宋"/>
          <w:b/>
          <w:bCs/>
          <w:color w:val="auto"/>
          <w:spacing w:val="20"/>
          <w:sz w:val="30"/>
          <w:szCs w:val="30"/>
          <w:highlight w:val="none"/>
          <w:u w:val="single"/>
          <w:lang w:val="zh-CN"/>
        </w:rPr>
        <w:t>察布查尔锡伯自治县公安局</w:t>
      </w:r>
      <w:bookmarkEnd w:id="2"/>
      <w:bookmarkEnd w:id="3"/>
    </w:p>
    <w:p w14:paraId="655D3B31">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rPr>
          <w:rFonts w:hint="eastAsia" w:ascii="仿宋" w:hAnsi="仿宋" w:eastAsia="仿宋" w:cs="仿宋"/>
          <w:color w:val="auto"/>
          <w:spacing w:val="20"/>
          <w:sz w:val="30"/>
          <w:szCs w:val="30"/>
          <w:highlight w:val="none"/>
        </w:rPr>
      </w:pPr>
      <w:r>
        <w:rPr>
          <w:rFonts w:hint="eastAsia" w:ascii="仿宋" w:hAnsi="仿宋" w:eastAsia="仿宋" w:cs="仿宋"/>
          <w:b/>
          <w:bCs/>
          <w:color w:val="auto"/>
          <w:spacing w:val="20"/>
          <w:sz w:val="30"/>
          <w:szCs w:val="30"/>
          <w:highlight w:val="none"/>
        </w:rPr>
        <w:t>采购</w:t>
      </w:r>
      <w:r>
        <w:rPr>
          <w:rFonts w:hint="eastAsia" w:ascii="仿宋" w:hAnsi="仿宋" w:eastAsia="仿宋" w:cs="仿宋"/>
          <w:b/>
          <w:bCs/>
          <w:color w:val="auto"/>
          <w:spacing w:val="20"/>
          <w:sz w:val="30"/>
          <w:szCs w:val="30"/>
          <w:highlight w:val="none"/>
          <w:lang w:val="zh-CN"/>
        </w:rPr>
        <w:t>代理机构：</w:t>
      </w:r>
      <w:r>
        <w:rPr>
          <w:rFonts w:hint="eastAsia" w:ascii="仿宋" w:hAnsi="仿宋" w:eastAsia="仿宋" w:cs="仿宋"/>
          <w:b/>
          <w:bCs/>
          <w:color w:val="auto"/>
          <w:spacing w:val="20"/>
          <w:sz w:val="30"/>
          <w:szCs w:val="30"/>
          <w:highlight w:val="none"/>
          <w:u w:val="single"/>
          <w:lang w:val="zh-CN"/>
        </w:rPr>
        <w:t>新疆长润泽建设工程管理有限公司</w:t>
      </w:r>
    </w:p>
    <w:p w14:paraId="6A7909E9">
      <w:pPr>
        <w:keepNext w:val="0"/>
        <w:keepLines w:val="0"/>
        <w:pageBreakBefore w:val="0"/>
        <w:widowControl w:val="0"/>
        <w:kinsoku/>
        <w:wordWrap/>
        <w:overflowPunct/>
        <w:topLinePunct w:val="0"/>
        <w:autoSpaceDE w:val="0"/>
        <w:autoSpaceDN w:val="0"/>
        <w:bidi w:val="0"/>
        <w:adjustRightInd/>
        <w:snapToGrid/>
        <w:spacing w:line="480" w:lineRule="exact"/>
        <w:ind w:firstLine="682" w:firstLineChars="200"/>
        <w:jc w:val="left"/>
        <w:textAlignment w:val="auto"/>
        <w:rPr>
          <w:rFonts w:hint="eastAsia" w:ascii="仿宋" w:hAnsi="仿宋" w:eastAsia="仿宋" w:cs="仿宋"/>
          <w:b/>
          <w:bCs/>
          <w:color w:val="auto"/>
          <w:spacing w:val="-8"/>
          <w:sz w:val="30"/>
          <w:szCs w:val="30"/>
          <w:highlight w:val="none"/>
          <w:lang w:val="zh-CN"/>
        </w:rPr>
        <w:sectPr>
          <w:headerReference r:id="rId5"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docGrid w:type="lines" w:linePitch="333" w:charSpace="0"/>
        </w:sectPr>
      </w:pPr>
      <w:r>
        <w:rPr>
          <w:rFonts w:hint="eastAsia" w:ascii="仿宋" w:hAnsi="仿宋" w:eastAsia="仿宋" w:cs="仿宋"/>
          <w:b/>
          <w:bCs/>
          <w:color w:val="auto"/>
          <w:spacing w:val="20"/>
          <w:sz w:val="30"/>
          <w:szCs w:val="30"/>
          <w:highlight w:val="none"/>
          <w:lang w:val="en-US" w:eastAsia="zh-CN"/>
        </w:rPr>
        <w:t>編制日期：</w:t>
      </w:r>
      <w:r>
        <w:rPr>
          <w:rFonts w:hint="eastAsia" w:ascii="仿宋" w:hAnsi="仿宋" w:eastAsia="仿宋" w:cs="仿宋"/>
          <w:b/>
          <w:bCs/>
          <w:color w:val="auto"/>
          <w:spacing w:val="20"/>
          <w:sz w:val="30"/>
          <w:szCs w:val="30"/>
          <w:highlight w:val="none"/>
          <w:u w:val="single"/>
          <w:lang w:val="zh-CN"/>
        </w:rPr>
        <w:t>20</w:t>
      </w:r>
      <w:r>
        <w:rPr>
          <w:rFonts w:hint="eastAsia" w:ascii="仿宋" w:hAnsi="仿宋" w:eastAsia="仿宋" w:cs="仿宋"/>
          <w:b/>
          <w:bCs/>
          <w:color w:val="auto"/>
          <w:spacing w:val="20"/>
          <w:sz w:val="30"/>
          <w:szCs w:val="30"/>
          <w:highlight w:val="none"/>
          <w:u w:val="single"/>
          <w:lang w:val="en-US" w:eastAsia="zh-CN"/>
        </w:rPr>
        <w:t>25</w:t>
      </w:r>
      <w:r>
        <w:rPr>
          <w:rFonts w:hint="eastAsia" w:ascii="仿宋" w:hAnsi="仿宋" w:eastAsia="仿宋" w:cs="仿宋"/>
          <w:b/>
          <w:bCs/>
          <w:color w:val="auto"/>
          <w:spacing w:val="20"/>
          <w:sz w:val="30"/>
          <w:szCs w:val="30"/>
          <w:highlight w:val="none"/>
          <w:u w:val="single"/>
          <w:lang w:val="zh-CN"/>
        </w:rPr>
        <w:t>年</w:t>
      </w:r>
      <w:r>
        <w:rPr>
          <w:rFonts w:hint="eastAsia" w:ascii="仿宋" w:hAnsi="仿宋" w:eastAsia="仿宋" w:cs="仿宋"/>
          <w:b/>
          <w:bCs/>
          <w:color w:val="auto"/>
          <w:spacing w:val="20"/>
          <w:sz w:val="30"/>
          <w:szCs w:val="30"/>
          <w:highlight w:val="none"/>
          <w:u w:val="single"/>
          <w:lang w:val="en-US" w:eastAsia="zh-CN"/>
        </w:rPr>
        <w:t>06</w:t>
      </w:r>
      <w:r>
        <w:rPr>
          <w:rFonts w:hint="eastAsia" w:ascii="仿宋" w:hAnsi="仿宋" w:eastAsia="仿宋" w:cs="仿宋"/>
          <w:b/>
          <w:bCs/>
          <w:color w:val="auto"/>
          <w:spacing w:val="20"/>
          <w:sz w:val="30"/>
          <w:szCs w:val="30"/>
          <w:highlight w:val="none"/>
          <w:u w:val="single"/>
          <w:lang w:val="zh-CN"/>
        </w:rPr>
        <w:t>月</w:t>
      </w:r>
      <w:r>
        <w:rPr>
          <w:rFonts w:hint="eastAsia" w:ascii="仿宋" w:hAnsi="仿宋" w:eastAsia="仿宋" w:cs="仿宋"/>
          <w:b/>
          <w:bCs/>
          <w:color w:val="auto"/>
          <w:spacing w:val="20"/>
          <w:sz w:val="30"/>
          <w:szCs w:val="30"/>
          <w:highlight w:val="none"/>
          <w:u w:val="single"/>
          <w:lang w:val="en-US" w:eastAsia="zh-CN"/>
        </w:rPr>
        <w:t>30日</w:t>
      </w:r>
    </w:p>
    <w:p w14:paraId="3715AB05">
      <w:pPr>
        <w:spacing w:line="360" w:lineRule="auto"/>
        <w:ind w:firstLine="203" w:firstLineChars="46"/>
        <w:jc w:val="center"/>
        <w:rPr>
          <w:rFonts w:hint="eastAsia" w:ascii="仿宋" w:hAnsi="仿宋" w:eastAsia="仿宋" w:cs="仿宋"/>
          <w:b/>
          <w:bCs/>
          <w:color w:val="auto"/>
          <w:sz w:val="44"/>
          <w:szCs w:val="44"/>
          <w:highlight w:val="none"/>
          <w:lang w:val="zh-CN"/>
        </w:rPr>
      </w:pPr>
      <w:r>
        <w:rPr>
          <w:rFonts w:hint="eastAsia" w:ascii="仿宋" w:hAnsi="仿宋" w:eastAsia="仿宋" w:cs="仿宋"/>
          <w:b/>
          <w:bCs/>
          <w:color w:val="auto"/>
          <w:sz w:val="44"/>
          <w:szCs w:val="44"/>
          <w:highlight w:val="none"/>
          <w:lang w:val="zh-CN"/>
        </w:rPr>
        <w:t>温馨提示</w:t>
      </w:r>
    </w:p>
    <w:p w14:paraId="0C6E4B3E">
      <w:pPr>
        <w:spacing w:line="360" w:lineRule="auto"/>
        <w:ind w:firstLine="623" w:firstLineChars="194"/>
        <w:rPr>
          <w:rFonts w:hint="eastAsia" w:ascii="仿宋" w:hAnsi="仿宋" w:eastAsia="仿宋" w:cs="仿宋"/>
          <w:b/>
          <w:bCs/>
          <w:color w:val="auto"/>
          <w:sz w:val="32"/>
          <w:szCs w:val="32"/>
          <w:highlight w:val="none"/>
          <w:lang w:val="zh-CN"/>
        </w:rPr>
      </w:pPr>
    </w:p>
    <w:p w14:paraId="1CA3A88D">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en-US" w:eastAsia="zh-CN"/>
        </w:rPr>
        <w:t>获取</w:t>
      </w:r>
      <w:r>
        <w:rPr>
          <w:rFonts w:hint="eastAsia" w:ascii="仿宋" w:hAnsi="仿宋" w:eastAsia="仿宋" w:cs="仿宋"/>
          <w:bCs/>
          <w:color w:val="auto"/>
          <w:sz w:val="30"/>
          <w:szCs w:val="30"/>
          <w:highlight w:val="none"/>
          <w:lang w:val="zh-CN"/>
        </w:rPr>
        <w:t>招标文件后，请仔细阅读，特别注意粗体部分，如有疑问，请来电咨询。电话：</w:t>
      </w:r>
      <w:r>
        <w:rPr>
          <w:rFonts w:hint="eastAsia" w:ascii="仿宋" w:hAnsi="仿宋" w:eastAsia="仿宋" w:cs="仿宋"/>
          <w:bCs/>
          <w:color w:val="auto"/>
          <w:sz w:val="30"/>
          <w:szCs w:val="30"/>
          <w:highlight w:val="none"/>
          <w:lang w:val="en-US" w:eastAsia="zh-CN"/>
        </w:rPr>
        <w:t>13095182426</w:t>
      </w:r>
      <w:r>
        <w:rPr>
          <w:rFonts w:hint="eastAsia" w:ascii="仿宋" w:hAnsi="仿宋" w:eastAsia="仿宋" w:cs="仿宋"/>
          <w:bCs/>
          <w:color w:val="auto"/>
          <w:sz w:val="30"/>
          <w:szCs w:val="30"/>
          <w:highlight w:val="none"/>
          <w:lang w:val="zh-CN" w:eastAsia="zh-CN"/>
        </w:rPr>
        <w:tab/>
      </w:r>
    </w:p>
    <w:p w14:paraId="3966E71D">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zh-CN" w:eastAsia="zh-CN"/>
        </w:rPr>
      </w:pPr>
      <w:r>
        <w:rPr>
          <w:rFonts w:hint="eastAsia" w:ascii="仿宋" w:hAnsi="仿宋" w:eastAsia="仿宋" w:cs="仿宋"/>
          <w:bCs/>
          <w:color w:val="auto"/>
          <w:sz w:val="30"/>
          <w:szCs w:val="30"/>
          <w:highlight w:val="none"/>
          <w:lang w:val="zh-CN" w:eastAsia="zh-CN"/>
        </w:rPr>
        <w:t>请将</w:t>
      </w:r>
      <w:r>
        <w:rPr>
          <w:rFonts w:hint="eastAsia" w:ascii="仿宋" w:hAnsi="仿宋" w:eastAsia="仿宋" w:cs="仿宋"/>
          <w:bCs/>
          <w:color w:val="auto"/>
          <w:sz w:val="30"/>
          <w:szCs w:val="30"/>
          <w:highlight w:val="none"/>
          <w:lang w:val="en-US" w:eastAsia="zh-CN"/>
        </w:rPr>
        <w:t>投标</w:t>
      </w:r>
      <w:r>
        <w:rPr>
          <w:rFonts w:hint="eastAsia" w:ascii="仿宋" w:hAnsi="仿宋" w:eastAsia="仿宋" w:cs="仿宋"/>
          <w:bCs/>
          <w:color w:val="auto"/>
          <w:sz w:val="30"/>
          <w:szCs w:val="30"/>
          <w:highlight w:val="none"/>
          <w:lang w:val="zh-CN" w:eastAsia="zh-CN"/>
        </w:rPr>
        <w:t>保证金汇至下列指定账户：</w:t>
      </w:r>
    </w:p>
    <w:p w14:paraId="70F52DD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开户名称：新疆长润泽建设工程管理有限公司</w:t>
      </w:r>
    </w:p>
    <w:p w14:paraId="55045CFF">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开户行:中信银行股份有限公司伊犁分行</w:t>
      </w:r>
    </w:p>
    <w:p w14:paraId="6E25AE4A">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账号：8113 7010 1270 0221 619</w:t>
      </w:r>
    </w:p>
    <w:p w14:paraId="259CA423">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行号：302898000133</w:t>
      </w:r>
    </w:p>
    <w:p w14:paraId="34ED3FA1">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注：投标保证金以到账时间为准，投标人提交投标保证金应充分考虑资金在途时间。汇款单上需注明项目名称、金额等。</w:t>
      </w:r>
    </w:p>
    <w:p w14:paraId="3FC3C5E7">
      <w:pPr>
        <w:pStyle w:val="8"/>
        <w:spacing w:before="120" w:beforeLines="50"/>
        <w:ind w:firstLine="0"/>
        <w:rPr>
          <w:rFonts w:hint="eastAsia" w:ascii="仿宋" w:hAnsi="仿宋" w:eastAsia="仿宋" w:cs="仿宋"/>
          <w:b/>
          <w:color w:val="auto"/>
          <w:kern w:val="44"/>
          <w:sz w:val="44"/>
          <w:szCs w:val="44"/>
          <w:highlight w:val="none"/>
        </w:rPr>
      </w:pPr>
    </w:p>
    <w:p w14:paraId="2906B5D4">
      <w:pPr>
        <w:pStyle w:val="8"/>
        <w:spacing w:before="120" w:beforeLines="50"/>
        <w:ind w:firstLine="0"/>
        <w:rPr>
          <w:rFonts w:hint="eastAsia" w:ascii="仿宋" w:hAnsi="仿宋" w:eastAsia="仿宋" w:cs="仿宋"/>
          <w:b/>
          <w:color w:val="auto"/>
          <w:kern w:val="44"/>
          <w:sz w:val="44"/>
          <w:szCs w:val="44"/>
          <w:highlight w:val="none"/>
        </w:rPr>
      </w:pPr>
    </w:p>
    <w:p w14:paraId="0489D163">
      <w:pPr>
        <w:pStyle w:val="8"/>
        <w:spacing w:before="120" w:beforeLines="50"/>
        <w:ind w:firstLine="0"/>
        <w:rPr>
          <w:rFonts w:hint="eastAsia" w:ascii="仿宋" w:hAnsi="仿宋" w:eastAsia="仿宋" w:cs="仿宋"/>
          <w:b/>
          <w:color w:val="auto"/>
          <w:kern w:val="44"/>
          <w:sz w:val="44"/>
          <w:szCs w:val="44"/>
          <w:highlight w:val="none"/>
        </w:rPr>
      </w:pPr>
    </w:p>
    <w:p w14:paraId="26D722AE">
      <w:pPr>
        <w:pStyle w:val="8"/>
        <w:spacing w:before="120" w:beforeLines="50"/>
        <w:ind w:firstLine="0"/>
        <w:rPr>
          <w:rFonts w:hint="eastAsia" w:ascii="仿宋" w:hAnsi="仿宋" w:eastAsia="仿宋" w:cs="仿宋"/>
          <w:b/>
          <w:color w:val="auto"/>
          <w:kern w:val="44"/>
          <w:sz w:val="44"/>
          <w:szCs w:val="44"/>
          <w:highlight w:val="none"/>
        </w:rPr>
      </w:pPr>
    </w:p>
    <w:p w14:paraId="64681073">
      <w:pPr>
        <w:pStyle w:val="8"/>
        <w:spacing w:before="120" w:beforeLines="50"/>
        <w:ind w:firstLine="0"/>
        <w:rPr>
          <w:rFonts w:hint="eastAsia" w:ascii="仿宋" w:hAnsi="仿宋" w:eastAsia="仿宋" w:cs="仿宋"/>
          <w:b/>
          <w:color w:val="auto"/>
          <w:kern w:val="44"/>
          <w:sz w:val="44"/>
          <w:szCs w:val="44"/>
          <w:highlight w:val="none"/>
        </w:rPr>
      </w:pPr>
    </w:p>
    <w:p w14:paraId="3859FEB3">
      <w:pPr>
        <w:pStyle w:val="8"/>
        <w:spacing w:before="120" w:beforeLines="50"/>
        <w:ind w:firstLine="0"/>
        <w:rPr>
          <w:rFonts w:hint="eastAsia" w:ascii="仿宋" w:hAnsi="仿宋" w:eastAsia="仿宋" w:cs="仿宋"/>
          <w:b/>
          <w:color w:val="auto"/>
          <w:kern w:val="44"/>
          <w:sz w:val="44"/>
          <w:szCs w:val="44"/>
          <w:highlight w:val="none"/>
        </w:rPr>
      </w:pPr>
    </w:p>
    <w:p w14:paraId="43A83C2D">
      <w:pPr>
        <w:pStyle w:val="8"/>
        <w:spacing w:before="120" w:beforeLines="50"/>
        <w:ind w:firstLine="0"/>
        <w:rPr>
          <w:rFonts w:hint="eastAsia" w:ascii="仿宋" w:hAnsi="仿宋" w:eastAsia="仿宋" w:cs="仿宋"/>
          <w:b/>
          <w:color w:val="auto"/>
          <w:kern w:val="44"/>
          <w:sz w:val="44"/>
          <w:szCs w:val="44"/>
          <w:highlight w:val="none"/>
        </w:rPr>
      </w:pPr>
    </w:p>
    <w:p w14:paraId="4836E7F7">
      <w:pPr>
        <w:pStyle w:val="8"/>
        <w:spacing w:before="120" w:beforeLines="50"/>
        <w:ind w:firstLine="0"/>
        <w:rPr>
          <w:rFonts w:hint="eastAsia" w:ascii="仿宋" w:hAnsi="仿宋" w:eastAsia="仿宋" w:cs="仿宋"/>
          <w:b/>
          <w:color w:val="auto"/>
          <w:kern w:val="44"/>
          <w:sz w:val="44"/>
          <w:szCs w:val="44"/>
          <w:highlight w:val="none"/>
        </w:rPr>
        <w:sectPr>
          <w:footerReference r:id="rId8"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ascii="宋体" w:hAnsi="宋体" w:eastAsia="宋体" w:cs="Times New Roman"/>
          <w:color w:val="auto"/>
          <w:kern w:val="2"/>
          <w:sz w:val="21"/>
          <w:szCs w:val="24"/>
          <w:lang w:val="en-US" w:eastAsia="zh-CN" w:bidi="ar-SA"/>
        </w:rPr>
        <w:id w:val="147477765"/>
        <w15:color w:val="DBDBDB"/>
        <w:docPartObj>
          <w:docPartGallery w:val="Table of Contents"/>
          <w:docPartUnique/>
        </w:docPartObj>
      </w:sdtPr>
      <w:sdtEndPr>
        <w:rPr>
          <w:rFonts w:hint="eastAsia" w:ascii="仿宋" w:hAnsi="仿宋" w:eastAsia="仿宋" w:cs="仿宋"/>
          <w:color w:val="auto"/>
          <w:kern w:val="44"/>
          <w:sz w:val="21"/>
          <w:szCs w:val="44"/>
          <w:highlight w:val="none"/>
          <w:lang w:val="en-US" w:eastAsia="zh-CN" w:bidi="ar-SA"/>
        </w:rPr>
      </w:sdtEndPr>
      <w:sdtContent>
        <w:p w14:paraId="55B6787B">
          <w:pPr>
            <w:spacing w:before="0" w:beforeLines="0" w:after="0" w:afterLines="0" w:line="240" w:lineRule="auto"/>
            <w:ind w:left="0" w:leftChars="0" w:right="0" w:rightChars="0" w:firstLine="0" w:firstLineChars="0"/>
            <w:jc w:val="center"/>
            <w:rPr>
              <w:rFonts w:hint="eastAsia" w:ascii="仿宋" w:hAnsi="仿宋" w:eastAsia="仿宋" w:cs="仿宋"/>
              <w:color w:val="auto"/>
              <w:sz w:val="28"/>
              <w:szCs w:val="28"/>
            </w:rPr>
          </w:pPr>
          <w:r>
            <w:rPr>
              <w:rFonts w:hint="eastAsia" w:ascii="仿宋" w:hAnsi="仿宋" w:eastAsia="仿宋" w:cs="仿宋"/>
              <w:b/>
              <w:bCs/>
              <w:color w:val="auto"/>
              <w:sz w:val="32"/>
              <w:szCs w:val="32"/>
            </w:rPr>
            <w:t>目录</w:t>
          </w:r>
          <w:r>
            <w:rPr>
              <w:rFonts w:hint="eastAsia" w:ascii="仿宋" w:hAnsi="仿宋" w:eastAsia="仿宋" w:cs="仿宋"/>
              <w:b/>
              <w:color w:val="auto"/>
              <w:kern w:val="44"/>
              <w:sz w:val="28"/>
              <w:szCs w:val="28"/>
              <w:highlight w:val="none"/>
            </w:rPr>
            <w:fldChar w:fldCharType="begin"/>
          </w:r>
          <w:r>
            <w:rPr>
              <w:rFonts w:hint="eastAsia" w:ascii="仿宋" w:hAnsi="仿宋" w:eastAsia="仿宋" w:cs="仿宋"/>
              <w:b/>
              <w:color w:val="auto"/>
              <w:kern w:val="44"/>
              <w:sz w:val="28"/>
              <w:szCs w:val="28"/>
              <w:highlight w:val="none"/>
            </w:rPr>
            <w:instrText xml:space="preserve">TOC \o "1-1" \h \u </w:instrText>
          </w:r>
          <w:r>
            <w:rPr>
              <w:rFonts w:hint="eastAsia" w:ascii="仿宋" w:hAnsi="仿宋" w:eastAsia="仿宋" w:cs="仿宋"/>
              <w:b/>
              <w:color w:val="auto"/>
              <w:kern w:val="44"/>
              <w:sz w:val="28"/>
              <w:szCs w:val="28"/>
              <w:highlight w:val="none"/>
            </w:rPr>
            <w:fldChar w:fldCharType="separate"/>
          </w:r>
        </w:p>
        <w:p w14:paraId="225CEA56">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_Toc18522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rPr>
            <w:t>第一章</w:t>
          </w:r>
          <w:r>
            <w:rPr>
              <w:rFonts w:hint="eastAsia" w:ascii="仿宋" w:hAnsi="仿宋" w:eastAsia="仿宋" w:cs="仿宋"/>
              <w:color w:val="auto"/>
              <w:kern w:val="44"/>
              <w:sz w:val="30"/>
              <w:szCs w:val="30"/>
              <w:highlight w:val="none"/>
              <w:lang w:val="en-US" w:eastAsia="zh-CN"/>
            </w:rPr>
            <w:t xml:space="preserve"> </w:t>
          </w:r>
          <w:r>
            <w:rPr>
              <w:rFonts w:hint="eastAsia" w:ascii="仿宋" w:hAnsi="仿宋" w:eastAsia="仿宋" w:cs="仿宋"/>
              <w:color w:val="auto"/>
              <w:sz w:val="30"/>
              <w:szCs w:val="30"/>
              <w:highlight w:val="none"/>
            </w:rPr>
            <w:t>招标公告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_Toc18522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05F30FE4">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_Toc5890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第二章 投标供应商须知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_Toc5890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7</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7E1C62EB">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_Toc24805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第三章 评标方法和标准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_Toc24805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31</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09E99E7D">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_Toc12287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bidi="ar-SA"/>
            </w:rPr>
            <w:t>第四章 采购需求及商务要求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_Toc12287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36</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7E840D3A">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_Toc30823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rPr>
            <w:t>第五章 投标文件格式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_Toc30823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48</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2A9A0679">
          <w:pPr>
            <w:pStyle w:val="77"/>
            <w:tabs>
              <w:tab w:val="right" w:leader="dot" w:pos="8306"/>
            </w:tabs>
            <w:jc w:val="center"/>
            <w:rPr>
              <w:rFonts w:hint="eastAsia" w:ascii="仿宋" w:hAnsi="仿宋" w:eastAsia="仿宋" w:cs="仿宋"/>
              <w:color w:val="auto"/>
              <w:sz w:val="30"/>
              <w:szCs w:val="30"/>
            </w:rPr>
          </w:pPr>
          <w:r>
            <w:rPr>
              <w:rFonts w:hint="eastAsia" w:ascii="仿宋" w:hAnsi="仿宋" w:eastAsia="仿宋" w:cs="仿宋"/>
              <w:color w:val="auto"/>
              <w:kern w:val="44"/>
              <w:sz w:val="30"/>
              <w:szCs w:val="30"/>
              <w:highlight w:val="none"/>
            </w:rPr>
            <w:fldChar w:fldCharType="begin"/>
          </w:r>
          <w:r>
            <w:rPr>
              <w:rFonts w:hint="eastAsia" w:ascii="仿宋" w:hAnsi="仿宋" w:eastAsia="仿宋" w:cs="仿宋"/>
              <w:color w:val="auto"/>
              <w:kern w:val="44"/>
              <w:sz w:val="30"/>
              <w:szCs w:val="30"/>
              <w:highlight w:val="none"/>
            </w:rPr>
            <w:instrText xml:space="preserve"> HYPERLINK \l _Toc12058 </w:instrText>
          </w:r>
          <w:r>
            <w:rPr>
              <w:rFonts w:hint="eastAsia" w:ascii="仿宋" w:hAnsi="仿宋" w:eastAsia="仿宋" w:cs="仿宋"/>
              <w:color w:val="auto"/>
              <w:kern w:val="44"/>
              <w:sz w:val="30"/>
              <w:szCs w:val="30"/>
              <w:highlight w:val="none"/>
            </w:rPr>
            <w:fldChar w:fldCharType="separate"/>
          </w:r>
          <w:r>
            <w:rPr>
              <w:rFonts w:hint="eastAsia" w:ascii="仿宋" w:hAnsi="仿宋" w:eastAsia="仿宋" w:cs="仿宋"/>
              <w:color w:val="auto"/>
              <w:kern w:val="44"/>
              <w:sz w:val="30"/>
              <w:szCs w:val="30"/>
              <w:highlight w:val="none"/>
              <w:lang w:val="en-US" w:eastAsia="zh-CN"/>
            </w:rPr>
            <w:t>第六章 采购合同格式</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_Toc12058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71</w:t>
          </w:r>
          <w:r>
            <w:rPr>
              <w:rFonts w:hint="eastAsia" w:ascii="仿宋" w:hAnsi="仿宋" w:eastAsia="仿宋" w:cs="仿宋"/>
              <w:color w:val="auto"/>
              <w:sz w:val="30"/>
              <w:szCs w:val="30"/>
            </w:rPr>
            <w:fldChar w:fldCharType="end"/>
          </w:r>
          <w:r>
            <w:rPr>
              <w:rFonts w:hint="eastAsia" w:ascii="仿宋" w:hAnsi="仿宋" w:eastAsia="仿宋" w:cs="仿宋"/>
              <w:color w:val="auto"/>
              <w:kern w:val="44"/>
              <w:sz w:val="30"/>
              <w:szCs w:val="30"/>
              <w:highlight w:val="none"/>
            </w:rPr>
            <w:fldChar w:fldCharType="end"/>
          </w:r>
        </w:p>
        <w:p w14:paraId="007B6097">
          <w:pPr>
            <w:pStyle w:val="8"/>
            <w:spacing w:before="120" w:beforeLines="50"/>
            <w:ind w:firstLine="0"/>
            <w:rPr>
              <w:rFonts w:hint="eastAsia" w:ascii="仿宋" w:hAnsi="仿宋" w:eastAsia="仿宋" w:cs="仿宋"/>
              <w:b/>
              <w:color w:val="auto"/>
              <w:kern w:val="44"/>
              <w:sz w:val="44"/>
              <w:szCs w:val="44"/>
              <w:highlight w:val="none"/>
            </w:rPr>
          </w:pPr>
          <w:r>
            <w:rPr>
              <w:rFonts w:hint="eastAsia" w:ascii="仿宋" w:hAnsi="仿宋" w:eastAsia="仿宋" w:cs="仿宋"/>
              <w:color w:val="auto"/>
              <w:kern w:val="44"/>
              <w:sz w:val="28"/>
              <w:szCs w:val="28"/>
              <w:highlight w:val="none"/>
            </w:rPr>
            <w:fldChar w:fldCharType="end"/>
          </w:r>
        </w:p>
      </w:sdtContent>
    </w:sdt>
    <w:p w14:paraId="15EC2C73">
      <w:pPr>
        <w:rPr>
          <w:rFonts w:hint="eastAsia" w:ascii="仿宋" w:hAnsi="仿宋" w:eastAsia="仿宋" w:cs="仿宋"/>
          <w:bCs/>
          <w:color w:val="auto"/>
          <w:sz w:val="36"/>
          <w:highlight w:val="none"/>
        </w:rPr>
      </w:pPr>
      <w:r>
        <w:rPr>
          <w:rFonts w:hint="eastAsia" w:ascii="仿宋" w:hAnsi="仿宋" w:eastAsia="仿宋" w:cs="仿宋"/>
          <w:bCs/>
          <w:color w:val="auto"/>
          <w:sz w:val="36"/>
          <w:highlight w:val="none"/>
        </w:rPr>
        <w:br w:type="page"/>
      </w:r>
    </w:p>
    <w:p w14:paraId="54929800">
      <w:pPr>
        <w:pStyle w:val="8"/>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color w:val="auto"/>
          <w:sz w:val="44"/>
          <w:szCs w:val="44"/>
          <w:highlight w:val="none"/>
        </w:rPr>
      </w:pPr>
      <w:bookmarkStart w:id="4" w:name="_Toc8018"/>
      <w:bookmarkStart w:id="5" w:name="_Toc18522"/>
      <w:r>
        <w:rPr>
          <w:rFonts w:hint="eastAsia" w:ascii="仿宋" w:hAnsi="仿宋" w:eastAsia="仿宋" w:cs="仿宋"/>
          <w:b/>
          <w:color w:val="auto"/>
          <w:kern w:val="44"/>
          <w:sz w:val="44"/>
          <w:szCs w:val="44"/>
          <w:highlight w:val="none"/>
        </w:rPr>
        <w:t>第一章</w:t>
      </w:r>
      <w:r>
        <w:rPr>
          <w:rFonts w:hint="eastAsia" w:ascii="仿宋" w:hAnsi="仿宋" w:eastAsia="仿宋" w:cs="仿宋"/>
          <w:b/>
          <w:color w:val="auto"/>
          <w:kern w:val="44"/>
          <w:sz w:val="44"/>
          <w:szCs w:val="44"/>
          <w:highlight w:val="none"/>
          <w:lang w:val="en-US" w:eastAsia="zh-CN"/>
        </w:rPr>
        <w:t xml:space="preserve"> </w:t>
      </w:r>
      <w:r>
        <w:rPr>
          <w:rFonts w:hint="eastAsia" w:ascii="仿宋" w:hAnsi="仿宋" w:eastAsia="仿宋" w:cs="仿宋"/>
          <w:b/>
          <w:color w:val="auto"/>
          <w:sz w:val="44"/>
          <w:szCs w:val="44"/>
          <w:highlight w:val="none"/>
        </w:rPr>
        <w:t>招标公告</w:t>
      </w:r>
      <w:bookmarkEnd w:id="4"/>
      <w:bookmarkEnd w:id="5"/>
    </w:p>
    <w:p w14:paraId="0089CCD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hint="eastAsia" w:ascii="仿宋" w:hAnsi="仿宋" w:eastAsia="仿宋" w:cs="仿宋"/>
          <w:i w:val="0"/>
          <w:iCs w:val="0"/>
          <w:color w:val="auto"/>
          <w:sz w:val="28"/>
          <w:szCs w:val="28"/>
          <w:highlight w:val="none"/>
          <w:u w:val="none"/>
        </w:rPr>
      </w:pPr>
      <w:bookmarkStart w:id="6" w:name="_Toc213396759"/>
      <w:bookmarkStart w:id="7" w:name="_Toc217446031"/>
      <w:bookmarkStart w:id="8" w:name="_Toc213396945"/>
      <w:bookmarkStart w:id="9" w:name="_Toc213397009"/>
      <w:bookmarkStart w:id="10" w:name="_Toc213496267"/>
      <w:bookmarkStart w:id="11" w:name="_Toc89075871"/>
      <w:bookmarkStart w:id="12" w:name="_Toc77400776"/>
      <w:bookmarkStart w:id="13" w:name="_Toc183682339"/>
      <w:bookmarkStart w:id="14" w:name="_Toc183582202"/>
      <w:r>
        <w:rPr>
          <w:rFonts w:hint="eastAsia" w:ascii="仿宋" w:hAnsi="仿宋" w:eastAsia="仿宋" w:cs="仿宋"/>
          <w:b/>
          <w:bCs/>
          <w:i w:val="0"/>
          <w:iCs w:val="0"/>
          <w:color w:val="auto"/>
          <w:sz w:val="28"/>
          <w:szCs w:val="28"/>
          <w:highlight w:val="none"/>
          <w:u w:val="none"/>
        </w:rPr>
        <w:t>项目概况</w:t>
      </w:r>
      <w:r>
        <w:rPr>
          <w:rFonts w:hint="eastAsia" w:ascii="仿宋" w:hAnsi="仿宋" w:eastAsia="仿宋" w:cs="仿宋"/>
          <w:b/>
          <w:bCs/>
          <w:i w:val="0"/>
          <w:iCs w:val="0"/>
          <w:color w:val="auto"/>
          <w:sz w:val="28"/>
          <w:szCs w:val="28"/>
          <w:highlight w:val="none"/>
          <w:u w:val="none"/>
          <w:lang w:eastAsia="zh-CN"/>
        </w:rPr>
        <w:t>：</w:t>
      </w:r>
      <w:r>
        <w:rPr>
          <w:rFonts w:hint="eastAsia" w:ascii="仿宋" w:hAnsi="仿宋" w:eastAsia="仿宋" w:cs="仿宋"/>
          <w:i w:val="0"/>
          <w:iCs w:val="0"/>
          <w:color w:val="auto"/>
          <w:sz w:val="28"/>
          <w:szCs w:val="28"/>
          <w:highlight w:val="none"/>
          <w:u w:val="single"/>
          <w:lang w:eastAsia="zh-CN"/>
        </w:rPr>
        <w:t>察布查尔锡伯自治县公安局2025年五金杂货采购项目</w:t>
      </w:r>
      <w:r>
        <w:rPr>
          <w:rFonts w:hint="eastAsia" w:ascii="仿宋" w:hAnsi="仿宋" w:eastAsia="仿宋" w:cs="仿宋"/>
          <w:i w:val="0"/>
          <w:iCs w:val="0"/>
          <w:color w:val="auto"/>
          <w:sz w:val="28"/>
          <w:szCs w:val="28"/>
          <w:highlight w:val="none"/>
          <w:u w:val="none"/>
        </w:rPr>
        <w:t>的潜在</w:t>
      </w:r>
      <w:r>
        <w:rPr>
          <w:rFonts w:hint="eastAsia" w:ascii="仿宋" w:hAnsi="仿宋" w:eastAsia="仿宋" w:cs="仿宋"/>
          <w:i w:val="0"/>
          <w:iCs w:val="0"/>
          <w:color w:val="auto"/>
          <w:sz w:val="28"/>
          <w:szCs w:val="28"/>
          <w:highlight w:val="none"/>
          <w:u w:val="none"/>
          <w:lang w:val="en-US" w:eastAsia="zh-CN"/>
        </w:rPr>
        <w:t>投标人</w:t>
      </w:r>
      <w:r>
        <w:rPr>
          <w:rFonts w:hint="eastAsia" w:ascii="仿宋" w:hAnsi="仿宋" w:eastAsia="仿宋" w:cs="仿宋"/>
          <w:i w:val="0"/>
          <w:iCs w:val="0"/>
          <w:color w:val="auto"/>
          <w:sz w:val="28"/>
          <w:szCs w:val="28"/>
          <w:highlight w:val="none"/>
          <w:u w:val="none"/>
        </w:rPr>
        <w:t>应在政采云系统平台（https://www.zcygov.cn/）获取采购文件，并于</w:t>
      </w:r>
      <w:r>
        <w:rPr>
          <w:rFonts w:hint="eastAsia" w:ascii="仿宋" w:hAnsi="仿宋" w:eastAsia="仿宋" w:cs="仿宋"/>
          <w:i w:val="0"/>
          <w:iCs w:val="0"/>
          <w:color w:val="auto"/>
          <w:sz w:val="28"/>
          <w:szCs w:val="28"/>
          <w:highlight w:val="none"/>
          <w:u w:val="single"/>
          <w:lang w:val="en-US" w:eastAsia="zh-CN"/>
        </w:rPr>
        <w:t>2025</w:t>
      </w:r>
      <w:r>
        <w:rPr>
          <w:rFonts w:hint="eastAsia" w:ascii="仿宋" w:hAnsi="仿宋" w:eastAsia="仿宋" w:cs="仿宋"/>
          <w:bCs/>
          <w:i w:val="0"/>
          <w:iCs w:val="0"/>
          <w:color w:val="auto"/>
          <w:sz w:val="28"/>
          <w:szCs w:val="28"/>
          <w:highlight w:val="none"/>
          <w:u w:val="single"/>
        </w:rPr>
        <w:t>年</w:t>
      </w:r>
      <w:r>
        <w:rPr>
          <w:rFonts w:hint="eastAsia" w:ascii="仿宋" w:hAnsi="仿宋" w:eastAsia="仿宋" w:cs="仿宋"/>
          <w:color w:val="auto"/>
          <w:kern w:val="2"/>
          <w:sz w:val="28"/>
          <w:szCs w:val="28"/>
          <w:highlight w:val="none"/>
          <w:u w:val="single"/>
          <w:lang w:val="en-US" w:eastAsia="zh-CN" w:bidi="ar-SA"/>
        </w:rPr>
        <w:t>07月23日11点</w:t>
      </w:r>
      <w:r>
        <w:rPr>
          <w:rFonts w:hint="eastAsia" w:ascii="仿宋" w:hAnsi="仿宋" w:eastAsia="仿宋" w:cs="仿宋"/>
          <w:i w:val="0"/>
          <w:iCs w:val="0"/>
          <w:color w:val="auto"/>
          <w:sz w:val="28"/>
          <w:szCs w:val="28"/>
          <w:highlight w:val="none"/>
          <w:u w:val="single"/>
          <w:lang w:val="en-US" w:eastAsia="zh-CN"/>
        </w:rPr>
        <w:t>00</w:t>
      </w:r>
      <w:r>
        <w:rPr>
          <w:rFonts w:hint="eastAsia" w:ascii="仿宋" w:hAnsi="仿宋" w:eastAsia="仿宋" w:cs="仿宋"/>
          <w:i w:val="0"/>
          <w:iCs w:val="0"/>
          <w:color w:val="auto"/>
          <w:sz w:val="28"/>
          <w:szCs w:val="28"/>
          <w:highlight w:val="none"/>
          <w:u w:val="single"/>
        </w:rPr>
        <w:t>分</w:t>
      </w:r>
      <w:r>
        <w:rPr>
          <w:rFonts w:hint="eastAsia" w:ascii="仿宋" w:hAnsi="仿宋" w:eastAsia="仿宋" w:cs="仿宋"/>
          <w:bCs/>
          <w:i w:val="0"/>
          <w:iCs w:val="0"/>
          <w:color w:val="auto"/>
          <w:sz w:val="28"/>
          <w:szCs w:val="28"/>
          <w:highlight w:val="none"/>
          <w:u w:val="none"/>
        </w:rPr>
        <w:t>（北京时间）前递交投标文件</w:t>
      </w:r>
      <w:r>
        <w:rPr>
          <w:rFonts w:hint="eastAsia" w:ascii="仿宋" w:hAnsi="仿宋" w:eastAsia="仿宋" w:cs="仿宋"/>
          <w:i w:val="0"/>
          <w:iCs w:val="0"/>
          <w:color w:val="auto"/>
          <w:sz w:val="28"/>
          <w:szCs w:val="28"/>
          <w:highlight w:val="none"/>
          <w:u w:val="none"/>
        </w:rPr>
        <w:t>。</w:t>
      </w:r>
    </w:p>
    <w:p w14:paraId="005760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i w:val="0"/>
          <w:iCs w:val="0"/>
          <w:color w:val="auto"/>
          <w:sz w:val="28"/>
          <w:szCs w:val="28"/>
          <w:highlight w:val="none"/>
          <w:lang w:val="en-US" w:eastAsia="zh-CN"/>
        </w:rPr>
      </w:pPr>
      <w:bookmarkStart w:id="15" w:name="_Toc32150"/>
      <w:bookmarkStart w:id="16" w:name="_Toc28359079"/>
      <w:bookmarkStart w:id="17" w:name="_Toc28359002"/>
      <w:bookmarkStart w:id="18" w:name="_Toc35393621"/>
      <w:bookmarkStart w:id="19" w:name="_Toc35393790"/>
      <w:bookmarkStart w:id="20" w:name="_Hlk24379207"/>
      <w:bookmarkStart w:id="21" w:name="_Toc35393624"/>
      <w:bookmarkStart w:id="22" w:name="_Toc35393793"/>
      <w:bookmarkStart w:id="23" w:name="_Toc28359082"/>
      <w:bookmarkStart w:id="24" w:name="_Toc28359005"/>
      <w:r>
        <w:rPr>
          <w:rFonts w:hint="eastAsia" w:ascii="仿宋" w:hAnsi="仿宋" w:eastAsia="仿宋" w:cs="仿宋"/>
          <w:b/>
          <w:bCs/>
          <w:i w:val="0"/>
          <w:iCs w:val="0"/>
          <w:color w:val="auto"/>
          <w:sz w:val="28"/>
          <w:szCs w:val="28"/>
          <w:highlight w:val="none"/>
          <w:lang w:val="en-US" w:eastAsia="zh-CN"/>
        </w:rPr>
        <w:t>一、项目基本情况</w:t>
      </w:r>
      <w:bookmarkEnd w:id="15"/>
      <w:bookmarkEnd w:id="16"/>
      <w:bookmarkEnd w:id="17"/>
      <w:bookmarkEnd w:id="18"/>
      <w:bookmarkEnd w:id="19"/>
    </w:p>
    <w:p w14:paraId="4CC76E2D">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项目编号：</w:t>
      </w:r>
      <w:r>
        <w:rPr>
          <w:rFonts w:hint="eastAsia" w:ascii="仿宋" w:hAnsi="仿宋" w:eastAsia="仿宋" w:cs="仿宋"/>
          <w:b w:val="0"/>
          <w:bCs w:val="0"/>
          <w:i w:val="0"/>
          <w:iCs w:val="0"/>
          <w:color w:val="auto"/>
          <w:sz w:val="28"/>
          <w:szCs w:val="28"/>
          <w:highlight w:val="none"/>
          <w:lang w:val="en-US" w:eastAsia="zh-CN"/>
        </w:rPr>
        <w:t>XJCRZCG-20250028</w:t>
      </w:r>
    </w:p>
    <w:p w14:paraId="7241E118">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项目名称：</w:t>
      </w:r>
      <w:r>
        <w:rPr>
          <w:rFonts w:hint="eastAsia" w:ascii="仿宋" w:hAnsi="仿宋" w:eastAsia="仿宋" w:cs="仿宋"/>
          <w:b w:val="0"/>
          <w:bCs w:val="0"/>
          <w:i w:val="0"/>
          <w:iCs w:val="0"/>
          <w:color w:val="auto"/>
          <w:sz w:val="28"/>
          <w:szCs w:val="28"/>
          <w:highlight w:val="none"/>
          <w:lang w:val="en-US" w:eastAsia="zh-CN"/>
        </w:rPr>
        <w:t>察布查尔锡伯自治县公安局2025年五金杂货采购项目</w:t>
      </w:r>
    </w:p>
    <w:bookmarkEnd w:id="20"/>
    <w:p w14:paraId="34948B54">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采购方式：</w:t>
      </w:r>
      <w:r>
        <w:rPr>
          <w:rFonts w:hint="eastAsia" w:ascii="仿宋" w:hAnsi="仿宋" w:eastAsia="仿宋" w:cs="仿宋"/>
          <w:b w:val="0"/>
          <w:bCs w:val="0"/>
          <w:i w:val="0"/>
          <w:iCs w:val="0"/>
          <w:color w:val="auto"/>
          <w:sz w:val="28"/>
          <w:szCs w:val="28"/>
          <w:highlight w:val="none"/>
          <w:lang w:val="en-US" w:eastAsia="zh-CN"/>
        </w:rPr>
        <w:t>公开招标</w:t>
      </w:r>
    </w:p>
    <w:p w14:paraId="3B9EB458">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预算金额：20万元</w:t>
      </w:r>
    </w:p>
    <w:p w14:paraId="39783206">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最高限价：20万元</w:t>
      </w:r>
    </w:p>
    <w:p w14:paraId="58BE8819">
      <w:pPr>
        <w:keepNext w:val="0"/>
        <w:keepLines w:val="0"/>
        <w:pageBreakBefore w:val="0"/>
        <w:widowControl w:val="0"/>
        <w:kinsoku/>
        <w:wordWrap/>
        <w:overflowPunct/>
        <w:topLinePunct w:val="0"/>
        <w:autoSpaceDE/>
        <w:autoSpaceDN/>
        <w:bidi w:val="0"/>
        <w:adjustRightInd/>
        <w:snapToGrid/>
        <w:spacing w:line="480" w:lineRule="exact"/>
        <w:ind w:left="0" w:leftChars="0" w:firstLine="562" w:firstLineChars="200"/>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采购需求</w:t>
      </w:r>
      <w:r>
        <w:rPr>
          <w:rFonts w:hint="eastAsia" w:ascii="仿宋" w:hAnsi="仿宋" w:eastAsia="仿宋" w:cs="仿宋"/>
          <w:b w:val="0"/>
          <w:bCs w:val="0"/>
          <w:i w:val="0"/>
          <w:iCs w:val="0"/>
          <w:color w:val="auto"/>
          <w:sz w:val="28"/>
          <w:szCs w:val="28"/>
          <w:highlight w:val="none"/>
          <w:lang w:val="en-US" w:eastAsia="zh-CN"/>
        </w:rPr>
        <w:t>：为察布查尔锡伯自治县公安局提供五金杂货（具体内容详见招标文件）</w:t>
      </w:r>
    </w:p>
    <w:p w14:paraId="7CA0EA5F">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合同履约期限：</w:t>
      </w:r>
      <w:r>
        <w:rPr>
          <w:rFonts w:hint="eastAsia" w:ascii="仿宋" w:hAnsi="仿宋" w:eastAsia="仿宋" w:cs="仿宋"/>
          <w:b w:val="0"/>
          <w:bCs w:val="0"/>
          <w:i w:val="0"/>
          <w:iCs w:val="0"/>
          <w:color w:val="auto"/>
          <w:sz w:val="28"/>
          <w:szCs w:val="28"/>
          <w:highlight w:val="none"/>
          <w:lang w:val="en-US" w:eastAsia="zh-CN"/>
        </w:rPr>
        <w:t>自合同签订之日起1年。</w:t>
      </w:r>
    </w:p>
    <w:p w14:paraId="46490F0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本项目不接受联合体。</w:t>
      </w:r>
    </w:p>
    <w:p w14:paraId="724DE669">
      <w:pPr>
        <w:pStyle w:val="3"/>
        <w:pageBreakBefore w:val="0"/>
        <w:widowControl w:val="0"/>
        <w:kinsoku/>
        <w:wordWrap/>
        <w:overflowPunct/>
        <w:topLinePunct w:val="0"/>
        <w:autoSpaceDE/>
        <w:autoSpaceDN/>
        <w:bidi w:val="0"/>
        <w:adjustRightInd/>
        <w:snapToGrid w:val="0"/>
        <w:spacing w:before="0" w:beforeAutospacing="0" w:after="0" w:afterAutospacing="0" w:line="480" w:lineRule="exact"/>
        <w:textAlignment w:val="auto"/>
        <w:rPr>
          <w:rFonts w:hint="eastAsia" w:ascii="仿宋" w:hAnsi="仿宋" w:eastAsia="仿宋" w:cs="仿宋"/>
          <w:b/>
          <w:bCs w:val="0"/>
          <w:i w:val="0"/>
          <w:iCs w:val="0"/>
          <w:color w:val="auto"/>
          <w:sz w:val="28"/>
          <w:szCs w:val="28"/>
          <w:highlight w:val="none"/>
          <w:lang w:val="en-US" w:eastAsia="zh-CN"/>
        </w:rPr>
      </w:pPr>
      <w:bookmarkStart w:id="25" w:name="_Toc27094"/>
      <w:bookmarkStart w:id="26" w:name="_Toc28359003"/>
      <w:bookmarkStart w:id="27" w:name="_Toc35393622"/>
      <w:bookmarkStart w:id="28" w:name="_Toc28359080"/>
      <w:bookmarkStart w:id="29" w:name="_Toc35393791"/>
      <w:r>
        <w:rPr>
          <w:rFonts w:hint="eastAsia" w:ascii="仿宋" w:hAnsi="仿宋" w:eastAsia="仿宋" w:cs="仿宋"/>
          <w:b/>
          <w:bCs w:val="0"/>
          <w:i w:val="0"/>
          <w:iCs w:val="0"/>
          <w:color w:val="auto"/>
          <w:sz w:val="28"/>
          <w:szCs w:val="28"/>
          <w:highlight w:val="none"/>
          <w:lang w:val="en-US" w:eastAsia="zh-CN"/>
        </w:rPr>
        <w:t>二、申请人的资格要求：</w:t>
      </w:r>
      <w:bookmarkEnd w:id="25"/>
      <w:bookmarkEnd w:id="26"/>
      <w:bookmarkEnd w:id="27"/>
      <w:bookmarkEnd w:id="28"/>
      <w:bookmarkEnd w:id="29"/>
    </w:p>
    <w:p w14:paraId="34413A0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562" w:firstLineChars="200"/>
        <w:textAlignment w:val="auto"/>
        <w:rPr>
          <w:rFonts w:hint="eastAsia" w:ascii="仿宋" w:hAnsi="仿宋" w:eastAsia="仿宋" w:cs="仿宋"/>
          <w:b/>
          <w:bCs/>
          <w:i w:val="0"/>
          <w:iCs w:val="0"/>
          <w:color w:val="auto"/>
          <w:sz w:val="28"/>
          <w:szCs w:val="28"/>
          <w:highlight w:val="none"/>
          <w:u w:val="none"/>
          <w:lang w:eastAsia="zh-CN"/>
        </w:rPr>
      </w:pPr>
      <w:r>
        <w:rPr>
          <w:rFonts w:hint="eastAsia" w:ascii="仿宋" w:hAnsi="仿宋" w:eastAsia="仿宋" w:cs="仿宋"/>
          <w:b/>
          <w:bCs/>
          <w:i w:val="0"/>
          <w:iCs w:val="0"/>
          <w:color w:val="auto"/>
          <w:sz w:val="28"/>
          <w:szCs w:val="28"/>
          <w:highlight w:val="none"/>
          <w:u w:val="none"/>
        </w:rPr>
        <w:t>1.满足《中华人民共和国政府采购法》第二十二条规定</w:t>
      </w:r>
      <w:r>
        <w:rPr>
          <w:rFonts w:hint="eastAsia" w:ascii="仿宋" w:hAnsi="仿宋" w:eastAsia="仿宋" w:cs="仿宋"/>
          <w:b/>
          <w:bCs/>
          <w:i w:val="0"/>
          <w:iCs w:val="0"/>
          <w:color w:val="auto"/>
          <w:sz w:val="28"/>
          <w:szCs w:val="28"/>
          <w:highlight w:val="none"/>
          <w:u w:val="none"/>
          <w:lang w:eastAsia="zh-CN"/>
        </w:rPr>
        <w:t>：</w:t>
      </w:r>
    </w:p>
    <w:p w14:paraId="77C586A8">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bookmarkStart w:id="30" w:name="_Toc28359004"/>
      <w:bookmarkStart w:id="31" w:name="_Toc35393792"/>
      <w:bookmarkStart w:id="32" w:name="_Toc35393623"/>
      <w:bookmarkStart w:id="33" w:name="_Toc28359081"/>
      <w:r>
        <w:rPr>
          <w:rFonts w:hint="eastAsia" w:ascii="仿宋" w:hAnsi="仿宋" w:eastAsia="仿宋" w:cs="仿宋"/>
          <w:b w:val="0"/>
          <w:bCs w:val="0"/>
          <w:i w:val="0"/>
          <w:iCs w:val="0"/>
          <w:color w:val="auto"/>
          <w:sz w:val="28"/>
          <w:szCs w:val="28"/>
          <w:highlight w:val="none"/>
          <w:lang w:val="en-US" w:eastAsia="zh-CN"/>
        </w:rPr>
        <w:t xml:space="preserve">（1）法定代表人授权委托书【法定代表人参加提供法定代表人身份证明书】。 </w:t>
      </w:r>
    </w:p>
    <w:p w14:paraId="4951F34A">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（2）投标供应商需提供投标保证金。</w:t>
      </w:r>
    </w:p>
    <w:p w14:paraId="73DCE00E">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（3）投标供应商具有独立承担民事责任和履行合同能力，持有工商行政管理部门核发的有效期内营业执照。</w:t>
      </w:r>
    </w:p>
    <w:p w14:paraId="28CFF190">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（4）社保机构或税务机构出具的投标供应商近3个月中任意1个月的社会保障资金证明。依法不需要缴纳社会保障资金的应提供相应说明。</w:t>
      </w:r>
    </w:p>
    <w:p w14:paraId="6F5B046C">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（5）税务机关出具的投标供应商近3个月中任意1个月的依法纳税凭证或有电子专用章的完税证明。依法免税的应提供相应文件说明。 </w:t>
      </w:r>
    </w:p>
    <w:p w14:paraId="635586D7">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（6）会计师事务所出具的2023（或2024）年度财务审计报告或银行出具的资信证明。</w:t>
      </w:r>
    </w:p>
    <w:p w14:paraId="2FC4EAC3">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（7）投标供应商需提供参加采购活动前三年内，在经营活动中没有重大违法记录，需提供无重大违法记录声明函；供应商不得为“信用中国”网站（网址：www.creditchina.gov.cn ）中列入严重失信主体名单信息的供应商；</w:t>
      </w:r>
      <w:r>
        <w:rPr>
          <w:rFonts w:hint="eastAsia" w:ascii="仿宋" w:hAnsi="仿宋" w:eastAsia="仿宋" w:cs="仿宋"/>
          <w:color w:val="auto"/>
          <w:sz w:val="28"/>
          <w:szCs w:val="28"/>
          <w:highlight w:val="none"/>
          <w:lang w:val="en-US" w:eastAsia="zh-CN"/>
        </w:rPr>
        <w:t>不得为“国家企业信用信息公示系统”网站（网址：http://www.gsxt.gov.cn/corp-query-homepage.html）列入严重违法失信企业名单（黑名单）的供应商；</w:t>
      </w:r>
      <w:r>
        <w:rPr>
          <w:rFonts w:hint="eastAsia" w:ascii="仿宋" w:hAnsi="仿宋" w:eastAsia="仿宋" w:cs="仿宋"/>
          <w:b w:val="0"/>
          <w:bCs w:val="0"/>
          <w:i w:val="0"/>
          <w:iCs w:val="0"/>
          <w:color w:val="auto"/>
          <w:sz w:val="28"/>
          <w:szCs w:val="28"/>
          <w:highlight w:val="none"/>
          <w:lang w:val="en-US" w:eastAsia="zh-CN"/>
        </w:rPr>
        <w:t>不得为中国政府采购网（www.ccgp.gov.cn ）政府采购严重违法失信行为记录名单中被财政部门禁止参加政府采购活动的供应商（处罚决定规定的时间和地域范围内），均须提供查询结果打印件（网页打印件须自招标公告发布之日起至首次提交响应文件截止时间内从上述网站中打印加盖企业公章）。</w:t>
      </w:r>
    </w:p>
    <w:p w14:paraId="4C90D505">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说明：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bookmarkEnd w:id="21"/>
    <w:bookmarkEnd w:id="22"/>
    <w:bookmarkEnd w:id="23"/>
    <w:bookmarkEnd w:id="24"/>
    <w:bookmarkEnd w:id="30"/>
    <w:bookmarkEnd w:id="31"/>
    <w:bookmarkEnd w:id="32"/>
    <w:bookmarkEnd w:id="33"/>
    <w:p w14:paraId="24D762F1">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outlineLvl w:val="1"/>
        <w:rPr>
          <w:rFonts w:hint="eastAsia" w:ascii="仿宋" w:hAnsi="仿宋" w:eastAsia="仿宋" w:cs="仿宋"/>
          <w:color w:val="auto"/>
          <w:sz w:val="28"/>
          <w:szCs w:val="28"/>
          <w:highlight w:val="none"/>
        </w:rPr>
      </w:pPr>
      <w:bookmarkStart w:id="34" w:name="_Toc27227"/>
      <w:bookmarkStart w:id="35" w:name="_Toc27388"/>
      <w:bookmarkStart w:id="36" w:name="_Toc28359085"/>
      <w:bookmarkStart w:id="37" w:name="_Toc28359008"/>
      <w:bookmarkStart w:id="38" w:name="_Toc35393627"/>
      <w:bookmarkStart w:id="39" w:name="_Toc35393796"/>
      <w:r>
        <w:rPr>
          <w:rStyle w:val="30"/>
          <w:rFonts w:hint="eastAsia" w:ascii="仿宋" w:hAnsi="仿宋" w:eastAsia="仿宋" w:cs="仿宋"/>
          <w:color w:val="auto"/>
          <w:sz w:val="28"/>
          <w:szCs w:val="28"/>
          <w:highlight w:val="none"/>
        </w:rPr>
        <w:t>三、获取招标文件</w:t>
      </w:r>
      <w:bookmarkEnd w:id="34"/>
      <w:bookmarkEnd w:id="35"/>
    </w:p>
    <w:p w14:paraId="5EB13A0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bookmarkStart w:id="40" w:name="_Toc18503"/>
      <w:bookmarkStart w:id="41" w:name="_Toc4966"/>
      <w:bookmarkStart w:id="42" w:name="_Toc31267"/>
      <w:r>
        <w:rPr>
          <w:rFonts w:hint="eastAsia" w:ascii="仿宋" w:hAnsi="仿宋" w:eastAsia="仿宋" w:cs="仿宋"/>
          <w:color w:val="auto"/>
          <w:kern w:val="0"/>
          <w:sz w:val="28"/>
          <w:szCs w:val="28"/>
          <w:highlight w:val="none"/>
          <w:lang w:bidi="ar"/>
        </w:rPr>
        <w:t>获取时间：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6</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01</w:t>
      </w:r>
      <w:r>
        <w:rPr>
          <w:rFonts w:hint="eastAsia" w:ascii="仿宋" w:hAnsi="仿宋" w:eastAsia="仿宋" w:cs="仿宋"/>
          <w:color w:val="auto"/>
          <w:kern w:val="0"/>
          <w:sz w:val="28"/>
          <w:szCs w:val="28"/>
          <w:highlight w:val="none"/>
          <w:u w:val="single"/>
          <w:lang w:bidi="ar"/>
        </w:rPr>
        <w:t>日至202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08</w:t>
      </w:r>
      <w:r>
        <w:rPr>
          <w:rFonts w:hint="eastAsia" w:ascii="仿宋" w:hAnsi="仿宋" w:eastAsia="仿宋" w:cs="仿宋"/>
          <w:color w:val="auto"/>
          <w:kern w:val="0"/>
          <w:sz w:val="28"/>
          <w:szCs w:val="28"/>
          <w:highlight w:val="none"/>
          <w:u w:val="single"/>
          <w:lang w:bidi="ar"/>
        </w:rPr>
        <w:t>日，每天上午10:00至14:00，下午</w:t>
      </w:r>
      <w:r>
        <w:rPr>
          <w:rFonts w:hint="eastAsia" w:ascii="仿宋" w:hAnsi="仿宋" w:eastAsia="仿宋" w:cs="仿宋"/>
          <w:color w:val="auto"/>
          <w:kern w:val="0"/>
          <w:sz w:val="28"/>
          <w:szCs w:val="28"/>
          <w:highlight w:val="none"/>
          <w:u w:val="single"/>
          <w:lang w:val="en-US" w:eastAsia="zh-CN" w:bidi="ar"/>
        </w:rPr>
        <w:t>16</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0至</w:t>
      </w:r>
      <w:r>
        <w:rPr>
          <w:rFonts w:hint="eastAsia" w:ascii="仿宋" w:hAnsi="仿宋" w:eastAsia="仿宋" w:cs="仿宋"/>
          <w:color w:val="auto"/>
          <w:kern w:val="0"/>
          <w:sz w:val="28"/>
          <w:szCs w:val="28"/>
          <w:highlight w:val="none"/>
          <w:u w:val="single"/>
          <w:lang w:val="en-US" w:eastAsia="zh-CN" w:bidi="ar"/>
        </w:rPr>
        <w:t>20</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00</w:t>
      </w:r>
      <w:r>
        <w:rPr>
          <w:rFonts w:hint="eastAsia" w:ascii="仿宋" w:hAnsi="仿宋" w:eastAsia="仿宋" w:cs="仿宋"/>
          <w:color w:val="auto"/>
          <w:kern w:val="0"/>
          <w:sz w:val="28"/>
          <w:szCs w:val="28"/>
          <w:highlight w:val="none"/>
          <w:u w:val="single"/>
          <w:lang w:bidi="ar"/>
        </w:rPr>
        <w:t>北京时间（法定节假日除外）</w:t>
      </w:r>
      <w:r>
        <w:rPr>
          <w:rFonts w:hint="eastAsia" w:ascii="仿宋" w:hAnsi="仿宋" w:eastAsia="仿宋" w:cs="仿宋"/>
          <w:color w:val="auto"/>
          <w:kern w:val="0"/>
          <w:sz w:val="28"/>
          <w:szCs w:val="28"/>
          <w:highlight w:val="none"/>
          <w:lang w:bidi="ar"/>
        </w:rPr>
        <w:t>。</w:t>
      </w:r>
    </w:p>
    <w:p w14:paraId="21A0E49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kern w:val="0"/>
          <w:sz w:val="28"/>
          <w:szCs w:val="28"/>
          <w:highlight w:val="none"/>
          <w:lang w:bidi="ar"/>
        </w:rPr>
        <w:t>地</w:t>
      </w:r>
      <w:r>
        <w:rPr>
          <w:rFonts w:hint="eastAsia" w:ascii="仿宋" w:hAnsi="仿宋" w:eastAsia="仿宋" w:cs="仿宋"/>
          <w:b w:val="0"/>
          <w:bCs w:val="0"/>
          <w:i w:val="0"/>
          <w:iCs w:val="0"/>
          <w:color w:val="auto"/>
          <w:sz w:val="28"/>
          <w:szCs w:val="28"/>
          <w:highlight w:val="none"/>
          <w:lang w:val="en-US" w:eastAsia="zh-CN"/>
        </w:rPr>
        <w:t>点：政采云系统平台http://www.ccgp-xinjiang.gov.cn/线上报名及获取招标文件 </w:t>
      </w:r>
    </w:p>
    <w:p w14:paraId="1E2164D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55"/>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方式：供应商登录政采云平台http://www.ccgp-xinjiang.gov.cn/在线申请获取招标文件（进入“项目采购”应用，在获取招标文件菜单中选择项目，申请获取招标文件） </w:t>
      </w:r>
    </w:p>
    <w:p w14:paraId="1D5553D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outlineLvl w:val="1"/>
        <w:rPr>
          <w:rFonts w:hint="eastAsia" w:ascii="仿宋" w:hAnsi="仿宋" w:eastAsia="仿宋" w:cs="仿宋"/>
          <w:color w:val="auto"/>
          <w:sz w:val="28"/>
          <w:szCs w:val="28"/>
          <w:highlight w:val="none"/>
        </w:rPr>
      </w:pPr>
      <w:bookmarkStart w:id="43" w:name="_Toc25445"/>
      <w:bookmarkStart w:id="44" w:name="_Toc16554"/>
      <w:r>
        <w:rPr>
          <w:rStyle w:val="30"/>
          <w:rFonts w:hint="eastAsia" w:ascii="仿宋" w:hAnsi="仿宋" w:eastAsia="仿宋" w:cs="仿宋"/>
          <w:color w:val="auto"/>
          <w:sz w:val="28"/>
          <w:szCs w:val="28"/>
          <w:highlight w:val="none"/>
        </w:rPr>
        <w:t>四、提交投标文件截止时间、开标时间和地点</w:t>
      </w:r>
      <w:bookmarkEnd w:id="40"/>
      <w:bookmarkEnd w:id="41"/>
      <w:bookmarkEnd w:id="42"/>
      <w:bookmarkEnd w:id="43"/>
      <w:bookmarkEnd w:id="44"/>
    </w:p>
    <w:p w14:paraId="4F81AB2F">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bidi="ar"/>
        </w:rPr>
      </w:pPr>
      <w:bookmarkStart w:id="45" w:name="_Toc9900"/>
      <w:bookmarkStart w:id="46" w:name="_Toc1345"/>
      <w:bookmarkStart w:id="47" w:name="_Toc16244"/>
      <w:r>
        <w:rPr>
          <w:rFonts w:hint="eastAsia" w:ascii="仿宋" w:hAnsi="仿宋" w:eastAsia="仿宋" w:cs="仿宋"/>
          <w:color w:val="auto"/>
          <w:kern w:val="0"/>
          <w:sz w:val="28"/>
          <w:szCs w:val="28"/>
          <w:highlight w:val="none"/>
          <w:lang w:bidi="ar"/>
        </w:rPr>
        <w:t>截止时间：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23</w:t>
      </w:r>
      <w:r>
        <w:rPr>
          <w:rFonts w:hint="eastAsia" w:ascii="仿宋" w:hAnsi="仿宋" w:eastAsia="仿宋" w:cs="仿宋"/>
          <w:color w:val="auto"/>
          <w:kern w:val="0"/>
          <w:sz w:val="28"/>
          <w:szCs w:val="28"/>
          <w:highlight w:val="none"/>
          <w:u w:val="single"/>
          <w:lang w:bidi="ar"/>
        </w:rPr>
        <w:t>日</w:t>
      </w:r>
      <w:r>
        <w:rPr>
          <w:rFonts w:hint="eastAsia" w:ascii="仿宋" w:hAnsi="仿宋" w:eastAsia="仿宋" w:cs="仿宋"/>
          <w:color w:val="auto"/>
          <w:kern w:val="0"/>
          <w:sz w:val="28"/>
          <w:szCs w:val="28"/>
          <w:highlight w:val="none"/>
          <w:u w:val="single"/>
          <w:lang w:val="en-US" w:eastAsia="zh-CN" w:bidi="ar"/>
        </w:rPr>
        <w:t>11</w:t>
      </w:r>
      <w:r>
        <w:rPr>
          <w:rFonts w:hint="eastAsia" w:ascii="仿宋" w:hAnsi="仿宋" w:eastAsia="仿宋" w:cs="仿宋"/>
          <w:color w:val="auto"/>
          <w:kern w:val="0"/>
          <w:sz w:val="28"/>
          <w:szCs w:val="28"/>
          <w:highlight w:val="none"/>
          <w:u w:val="single"/>
          <w:lang w:bidi="ar"/>
        </w:rPr>
        <w:t xml:space="preserve"> 点</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0分(北京时间）</w:t>
      </w:r>
    </w:p>
    <w:p w14:paraId="4D45040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开标时间：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23</w:t>
      </w:r>
      <w:r>
        <w:rPr>
          <w:rFonts w:hint="eastAsia" w:ascii="仿宋" w:hAnsi="仿宋" w:eastAsia="仿宋" w:cs="仿宋"/>
          <w:color w:val="auto"/>
          <w:kern w:val="0"/>
          <w:sz w:val="28"/>
          <w:szCs w:val="28"/>
          <w:highlight w:val="none"/>
          <w:u w:val="single"/>
          <w:lang w:bidi="ar"/>
        </w:rPr>
        <w:t>日</w:t>
      </w:r>
      <w:r>
        <w:rPr>
          <w:rFonts w:hint="eastAsia" w:ascii="仿宋" w:hAnsi="仿宋" w:eastAsia="仿宋" w:cs="仿宋"/>
          <w:color w:val="auto"/>
          <w:kern w:val="0"/>
          <w:sz w:val="28"/>
          <w:szCs w:val="28"/>
          <w:highlight w:val="none"/>
          <w:u w:val="single"/>
          <w:lang w:val="en-US" w:eastAsia="zh-CN" w:bidi="ar"/>
        </w:rPr>
        <w:t>11</w:t>
      </w:r>
      <w:r>
        <w:rPr>
          <w:rFonts w:hint="eastAsia" w:ascii="仿宋" w:hAnsi="仿宋" w:eastAsia="仿宋" w:cs="仿宋"/>
          <w:color w:val="auto"/>
          <w:kern w:val="0"/>
          <w:sz w:val="28"/>
          <w:szCs w:val="28"/>
          <w:highlight w:val="none"/>
          <w:u w:val="single"/>
          <w:lang w:bidi="ar"/>
        </w:rPr>
        <w:t>点</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0分(北京时间）</w:t>
      </w:r>
    </w:p>
    <w:p w14:paraId="3A9BC9B1">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地点：</w:t>
      </w:r>
      <w:r>
        <w:rPr>
          <w:rFonts w:hint="eastAsia" w:ascii="仿宋" w:hAnsi="仿宋" w:eastAsia="仿宋" w:cs="仿宋"/>
          <w:color w:val="auto"/>
          <w:sz w:val="28"/>
          <w:szCs w:val="28"/>
          <w:highlight w:val="none"/>
        </w:rPr>
        <w:t>政采云系统平台http://www.ccgp-xinjiang.gov.cn/</w:t>
      </w:r>
    </w:p>
    <w:p w14:paraId="29CDFC0B">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1"/>
        <w:rPr>
          <w:rFonts w:hint="eastAsia" w:ascii="仿宋" w:hAnsi="仿宋" w:eastAsia="仿宋" w:cs="仿宋"/>
          <w:b/>
          <w:bCs/>
          <w:color w:val="auto"/>
          <w:kern w:val="0"/>
          <w:sz w:val="28"/>
          <w:szCs w:val="28"/>
          <w:highlight w:val="none"/>
          <w:lang w:bidi="ar"/>
        </w:rPr>
      </w:pPr>
      <w:bookmarkStart w:id="48" w:name="_Toc32534"/>
      <w:r>
        <w:rPr>
          <w:rFonts w:hint="eastAsia" w:ascii="仿宋" w:hAnsi="仿宋" w:eastAsia="仿宋" w:cs="仿宋"/>
          <w:b/>
          <w:bCs/>
          <w:color w:val="auto"/>
          <w:kern w:val="0"/>
          <w:sz w:val="28"/>
          <w:szCs w:val="28"/>
          <w:highlight w:val="none"/>
          <w:lang w:bidi="ar"/>
        </w:rPr>
        <w:t>五、公告期限</w:t>
      </w:r>
      <w:bookmarkEnd w:id="45"/>
      <w:bookmarkEnd w:id="46"/>
      <w:bookmarkEnd w:id="47"/>
      <w:bookmarkEnd w:id="48"/>
    </w:p>
    <w:p w14:paraId="324F3C01">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自本公告发布之日起5个工作日。</w:t>
      </w:r>
    </w:p>
    <w:p w14:paraId="659E11F5">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outlineLvl w:val="1"/>
        <w:rPr>
          <w:rFonts w:hint="eastAsia" w:ascii="仿宋" w:hAnsi="仿宋" w:eastAsia="仿宋" w:cs="仿宋"/>
          <w:b/>
          <w:bCs/>
          <w:color w:val="auto"/>
          <w:kern w:val="0"/>
          <w:sz w:val="28"/>
          <w:szCs w:val="28"/>
          <w:highlight w:val="none"/>
          <w:lang w:bidi="ar"/>
        </w:rPr>
      </w:pPr>
      <w:bookmarkStart w:id="49" w:name="_Toc26076"/>
      <w:bookmarkStart w:id="50" w:name="_Toc30912"/>
      <w:bookmarkStart w:id="51" w:name="_Toc25851"/>
      <w:bookmarkStart w:id="52" w:name="_Toc6850"/>
      <w:r>
        <w:rPr>
          <w:rFonts w:hint="eastAsia" w:ascii="仿宋" w:hAnsi="仿宋" w:eastAsia="仿宋" w:cs="仿宋"/>
          <w:b/>
          <w:bCs/>
          <w:color w:val="auto"/>
          <w:kern w:val="0"/>
          <w:sz w:val="28"/>
          <w:szCs w:val="28"/>
          <w:highlight w:val="none"/>
          <w:lang w:bidi="ar"/>
        </w:rPr>
        <w:t>其他补充事宜</w:t>
      </w:r>
      <w:bookmarkEnd w:id="49"/>
      <w:bookmarkEnd w:id="50"/>
      <w:bookmarkEnd w:id="51"/>
      <w:bookmarkEnd w:id="52"/>
    </w:p>
    <w:p w14:paraId="2B6F83A7">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1.本项目实行网上投标，采用电子投标文件</w:t>
      </w:r>
      <w:r>
        <w:rPr>
          <w:rFonts w:hint="eastAsia" w:ascii="仿宋" w:hAnsi="仿宋" w:eastAsia="仿宋" w:cs="仿宋"/>
          <w:color w:val="auto"/>
          <w:sz w:val="28"/>
          <w:szCs w:val="28"/>
          <w:highlight w:val="none"/>
          <w:lang w:eastAsia="zh-CN"/>
        </w:rPr>
        <w:t>。</w:t>
      </w:r>
    </w:p>
    <w:p w14:paraId="56F2EAB6">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"https://www.xjca.com.cn/）或下载\“新疆政务通\”APP自行进行申领。如需咨询，请联系新疆CA服务热线0991-2819290；"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https://www.xjca.com.cn/）或下载“新疆政务通”APP自行申领。如需咨询，请联系新疆CA服务热线099</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982485</w:t>
      </w:r>
      <w:r>
        <w:rPr>
          <w:rFonts w:hint="eastAsia" w:ascii="仿宋" w:hAnsi="仿宋" w:eastAsia="仿宋" w:cs="仿宋"/>
          <w:color w:val="auto"/>
          <w:sz w:val="28"/>
          <w:szCs w:val="28"/>
          <w:highlight w:val="none"/>
          <w:lang w:eastAsia="zh-CN"/>
        </w:rPr>
        <w:t>。</w:t>
      </w:r>
    </w:p>
    <w:p w14:paraId="0E048D11">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代理机构不予异常处理，视为供应商自动弃标</w:t>
      </w:r>
      <w:r>
        <w:rPr>
          <w:rFonts w:hint="eastAsia" w:ascii="仿宋" w:hAnsi="仿宋" w:eastAsia="仿宋" w:cs="仿宋"/>
          <w:color w:val="auto"/>
          <w:sz w:val="28"/>
          <w:szCs w:val="28"/>
          <w:highlight w:val="none"/>
          <w:lang w:eastAsia="zh-CN"/>
        </w:rPr>
        <w:t>。</w:t>
      </w:r>
    </w:p>
    <w:p w14:paraId="097ADA01">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4.供应商应当在投标截止时间前,将生成的“电子加密投标文件”上传递交至“政府采购云平台”,投标截止时间以后上传递交的投标文件将被“政府采购云平台”拒收</w:t>
      </w:r>
      <w:r>
        <w:rPr>
          <w:rFonts w:hint="eastAsia" w:ascii="仿宋" w:hAnsi="仿宋" w:eastAsia="仿宋" w:cs="仿宋"/>
          <w:color w:val="auto"/>
          <w:sz w:val="28"/>
          <w:szCs w:val="28"/>
          <w:highlight w:val="none"/>
          <w:lang w:eastAsia="zh-CN"/>
        </w:rPr>
        <w:t>。</w:t>
      </w:r>
    </w:p>
    <w:p w14:paraId="0B24BF17">
      <w:pPr>
        <w:keepNext w:val="0"/>
        <w:keepLines w:val="0"/>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前须提前配置好电脑浏览器（建议使用360浏览器或谷歌浏览器）,开标时登录政采云平台，在“项目采购-开标评标”功能中，使用制作加密电子投标文件的CA锁进行解密及报价确认。本项目投标文件的解密时间定为30分钟内,若供应商在规定时间内因自身原因导致无法正常解密,后果由供应商自行承担。</w:t>
      </w:r>
    </w:p>
    <w:p w14:paraId="1E1281B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outlineLvl w:val="1"/>
        <w:rPr>
          <w:rFonts w:hint="eastAsia"/>
          <w:color w:val="auto"/>
          <w:highlight w:val="none"/>
          <w:lang w:val="en-US" w:eastAsia="zh-CN"/>
        </w:rPr>
      </w:pPr>
      <w:bookmarkStart w:id="53" w:name="_Toc24640"/>
      <w:bookmarkStart w:id="54" w:name="_Toc21382"/>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供应商登录政采云平台，在开标时间后30分钟内用“项目采购-开标评标”功能进行解密投标文件。若供应商在规定时间内未按时解密的，视为无效投标。解密与加密投标文件须使用同一个CA。</w:t>
      </w:r>
      <w:bookmarkEnd w:id="53"/>
      <w:bookmarkEnd w:id="54"/>
    </w:p>
    <w:p w14:paraId="425C2E79">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leftChars="0" w:firstLine="0" w:firstLineChars="0"/>
        <w:jc w:val="both"/>
        <w:textAlignment w:val="auto"/>
        <w:rPr>
          <w:rFonts w:hint="eastAsia" w:ascii="仿宋" w:hAnsi="仿宋" w:eastAsia="仿宋" w:cs="仿宋"/>
          <w:b/>
          <w:bCs w:val="0"/>
          <w:i w:val="0"/>
          <w:iCs w:val="0"/>
          <w:color w:val="auto"/>
          <w:sz w:val="28"/>
          <w:szCs w:val="28"/>
          <w:highlight w:val="none"/>
        </w:rPr>
      </w:pPr>
      <w:bookmarkStart w:id="55" w:name="_Toc30277"/>
      <w:r>
        <w:rPr>
          <w:rFonts w:hint="eastAsia" w:ascii="仿宋" w:hAnsi="仿宋" w:eastAsia="仿宋" w:cs="仿宋"/>
          <w:b/>
          <w:bCs w:val="0"/>
          <w:i w:val="0"/>
          <w:iCs w:val="0"/>
          <w:color w:val="auto"/>
          <w:sz w:val="28"/>
          <w:szCs w:val="28"/>
          <w:highlight w:val="none"/>
        </w:rPr>
        <w:t>七、对本次招标提出询问，请按以下方式联系</w:t>
      </w:r>
      <w:bookmarkEnd w:id="36"/>
      <w:bookmarkEnd w:id="37"/>
      <w:bookmarkEnd w:id="38"/>
      <w:bookmarkEnd w:id="39"/>
      <w:bookmarkEnd w:id="55"/>
    </w:p>
    <w:p w14:paraId="12D15A8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1.采购人信息</w:t>
      </w:r>
    </w:p>
    <w:p w14:paraId="2EFECFE5">
      <w:pPr>
        <w:keepNext w:val="0"/>
        <w:keepLines w:val="0"/>
        <w:pageBreakBefore w:val="0"/>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u w:val="none"/>
        </w:rPr>
        <w:t>名 称：</w:t>
      </w:r>
      <w:r>
        <w:rPr>
          <w:rFonts w:hint="eastAsia" w:ascii="仿宋" w:hAnsi="仿宋" w:eastAsia="仿宋" w:cs="仿宋"/>
          <w:i w:val="0"/>
          <w:iCs w:val="0"/>
          <w:color w:val="auto"/>
          <w:sz w:val="28"/>
          <w:szCs w:val="28"/>
          <w:highlight w:val="none"/>
          <w:u w:val="none"/>
          <w:lang w:eastAsia="zh-CN"/>
        </w:rPr>
        <w:t>察布查尔锡伯自治县公安局</w:t>
      </w:r>
      <w:r>
        <w:rPr>
          <w:rFonts w:hint="eastAsia" w:ascii="仿宋" w:hAnsi="仿宋" w:eastAsia="仿宋" w:cs="仿宋"/>
          <w:i w:val="0"/>
          <w:iCs w:val="0"/>
          <w:color w:val="auto"/>
          <w:sz w:val="28"/>
          <w:szCs w:val="28"/>
          <w:highlight w:val="none"/>
          <w:u w:val="none"/>
          <w:lang w:val="en-US" w:eastAsia="zh-CN"/>
        </w:rPr>
        <w:t xml:space="preserve"> </w:t>
      </w:r>
    </w:p>
    <w:p w14:paraId="70FF308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rPr>
      </w:pPr>
      <w:r>
        <w:rPr>
          <w:rFonts w:hint="eastAsia" w:ascii="仿宋" w:hAnsi="仿宋" w:eastAsia="仿宋" w:cs="仿宋"/>
          <w:i w:val="0"/>
          <w:iCs w:val="0"/>
          <w:color w:val="auto"/>
          <w:sz w:val="28"/>
          <w:szCs w:val="28"/>
          <w:highlight w:val="none"/>
        </w:rPr>
        <w:t>地</w:t>
      </w:r>
      <w:r>
        <w:rPr>
          <w:rFonts w:hint="eastAsia" w:ascii="仿宋" w:hAnsi="仿宋" w:eastAsia="仿宋" w:cs="仿宋"/>
          <w:i w:val="0"/>
          <w:iCs w:val="0"/>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lang w:eastAsia="zh-CN"/>
        </w:rPr>
        <w:t>址：</w:t>
      </w:r>
      <w:r>
        <w:rPr>
          <w:rFonts w:hint="eastAsia" w:ascii="仿宋" w:hAnsi="仿宋" w:eastAsia="仿宋" w:cs="仿宋"/>
          <w:i w:val="0"/>
          <w:iCs w:val="0"/>
          <w:color w:val="auto"/>
          <w:sz w:val="28"/>
          <w:szCs w:val="28"/>
          <w:highlight w:val="none"/>
          <w:lang w:val="en-US" w:eastAsia="zh-CN"/>
        </w:rPr>
        <w:t>察布查尔锡伯自治县</w:t>
      </w:r>
    </w:p>
    <w:p w14:paraId="32E52D95">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bookmarkStart w:id="56" w:name="_Toc28359086"/>
      <w:bookmarkStart w:id="57" w:name="_Toc28359009"/>
      <w:r>
        <w:rPr>
          <w:rFonts w:hint="eastAsia" w:ascii="仿宋" w:hAnsi="仿宋" w:eastAsia="仿宋" w:cs="仿宋"/>
          <w:i w:val="0"/>
          <w:iCs w:val="0"/>
          <w:color w:val="auto"/>
          <w:sz w:val="28"/>
          <w:szCs w:val="28"/>
          <w:highlight w:val="none"/>
        </w:rPr>
        <w:t>联系人：</w:t>
      </w:r>
      <w:r>
        <w:rPr>
          <w:rFonts w:hint="eastAsia" w:ascii="仿宋" w:hAnsi="仿宋" w:eastAsia="仿宋" w:cs="仿宋"/>
          <w:i w:val="0"/>
          <w:iCs w:val="0"/>
          <w:color w:val="auto"/>
          <w:sz w:val="28"/>
          <w:szCs w:val="28"/>
          <w:highlight w:val="none"/>
          <w:lang w:val="en-US" w:eastAsia="zh-CN"/>
        </w:rPr>
        <w:t>杨斌</w:t>
      </w:r>
    </w:p>
    <w:p w14:paraId="408EF320">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联系方式：</w:t>
      </w:r>
      <w:r>
        <w:rPr>
          <w:rFonts w:hint="eastAsia" w:ascii="仿宋" w:hAnsi="仿宋" w:eastAsia="仿宋" w:cs="仿宋"/>
          <w:i w:val="0"/>
          <w:iCs w:val="0"/>
          <w:color w:val="auto"/>
          <w:sz w:val="28"/>
          <w:szCs w:val="28"/>
          <w:highlight w:val="none"/>
          <w:lang w:val="en-US" w:eastAsia="zh-CN"/>
        </w:rPr>
        <w:t>17799490306</w:t>
      </w:r>
    </w:p>
    <w:p w14:paraId="0D87E66B">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rPr>
        <w:t>2.采购代理机构信息</w:t>
      </w:r>
      <w:bookmarkEnd w:id="56"/>
      <w:bookmarkEnd w:id="57"/>
    </w:p>
    <w:p w14:paraId="5344BEAF">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rPr>
        <w:t>名 称：</w:t>
      </w:r>
      <w:r>
        <w:rPr>
          <w:rFonts w:hint="eastAsia" w:ascii="仿宋" w:hAnsi="仿宋" w:eastAsia="仿宋" w:cs="仿宋"/>
          <w:i w:val="0"/>
          <w:iCs w:val="0"/>
          <w:color w:val="auto"/>
          <w:sz w:val="28"/>
          <w:szCs w:val="28"/>
          <w:highlight w:val="none"/>
          <w:lang w:eastAsia="zh-CN"/>
        </w:rPr>
        <w:t>新疆长润泽建设工程管理有限公司</w:t>
      </w:r>
    </w:p>
    <w:p w14:paraId="73B6B0A7">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地 址：伊宁市金茂新天地B座16楼</w:t>
      </w:r>
    </w:p>
    <w:p w14:paraId="5E8F8C64">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rPr>
        <w:t>项目联系人：</w:t>
      </w:r>
      <w:r>
        <w:rPr>
          <w:rFonts w:hint="eastAsia" w:ascii="仿宋" w:hAnsi="仿宋" w:eastAsia="仿宋" w:cs="仿宋"/>
          <w:i w:val="0"/>
          <w:iCs w:val="0"/>
          <w:color w:val="auto"/>
          <w:sz w:val="28"/>
          <w:szCs w:val="28"/>
          <w:highlight w:val="none"/>
          <w:lang w:val="en-US" w:eastAsia="zh-CN"/>
        </w:rPr>
        <w:t>邱工</w:t>
      </w:r>
    </w:p>
    <w:p w14:paraId="1846EA5C">
      <w:pPr>
        <w:keepNext w:val="0"/>
        <w:keepLines w:val="0"/>
        <w:pageBreakBefore w:val="0"/>
        <w:widowControl/>
        <w:kinsoku/>
        <w:wordWrap/>
        <w:overflowPunct/>
        <w:topLinePunct w:val="0"/>
        <w:autoSpaceDE/>
        <w:autoSpaceDN/>
        <w:bidi w:val="0"/>
        <w:adjustRightInd/>
        <w:snapToGrid/>
        <w:spacing w:beforeAutospacing="0" w:afterAutospacing="0" w:line="480" w:lineRule="exact"/>
        <w:ind w:left="0" w:leftChars="0" w:firstLine="560" w:firstLineChars="200"/>
        <w:jc w:val="left"/>
        <w:textAlignment w:val="auto"/>
        <w:rPr>
          <w:rFonts w:hint="default" w:ascii="仿宋" w:hAnsi="仿宋" w:eastAsia="仿宋" w:cs="仿宋"/>
          <w:i w:val="0"/>
          <w:iCs w:val="0"/>
          <w:color w:val="auto"/>
          <w:sz w:val="28"/>
          <w:szCs w:val="28"/>
          <w:highlight w:val="none"/>
          <w:lang w:val="en-US"/>
        </w:rPr>
      </w:pPr>
      <w:r>
        <w:rPr>
          <w:rFonts w:hint="eastAsia" w:ascii="仿宋" w:hAnsi="仿宋" w:eastAsia="仿宋" w:cs="仿宋"/>
          <w:i w:val="0"/>
          <w:iCs w:val="0"/>
          <w:color w:val="auto"/>
          <w:sz w:val="28"/>
          <w:szCs w:val="28"/>
          <w:highlight w:val="none"/>
        </w:rPr>
        <w:t>项目联系方式：</w:t>
      </w:r>
      <w:r>
        <w:rPr>
          <w:rFonts w:hint="eastAsia" w:ascii="仿宋" w:hAnsi="仿宋" w:eastAsia="仿宋" w:cs="仿宋"/>
          <w:i w:val="0"/>
          <w:iCs w:val="0"/>
          <w:color w:val="auto"/>
          <w:sz w:val="28"/>
          <w:szCs w:val="28"/>
          <w:highlight w:val="none"/>
          <w:lang w:val="en-US" w:eastAsia="zh-CN"/>
        </w:rPr>
        <w:t>13095182426</w:t>
      </w:r>
    </w:p>
    <w:p w14:paraId="01B18AF6">
      <w:pPr>
        <w:pageBreakBefore w:val="0"/>
        <w:kinsoku/>
        <w:wordWrap/>
        <w:overflowPunct/>
        <w:topLinePunct w:val="0"/>
        <w:autoSpaceDE/>
        <w:autoSpaceDN/>
        <w:bidi w:val="0"/>
        <w:adjustRightInd/>
        <w:spacing w:line="480" w:lineRule="exact"/>
        <w:textAlignment w:val="auto"/>
        <w:rPr>
          <w:rFonts w:hint="eastAsia" w:ascii="仿宋" w:hAnsi="仿宋" w:eastAsia="仿宋" w:cs="仿宋"/>
          <w:b/>
          <w:color w:val="auto"/>
          <w:kern w:val="44"/>
          <w:sz w:val="44"/>
          <w:szCs w:val="44"/>
          <w:highlight w:val="none"/>
        </w:rPr>
      </w:pPr>
      <w:r>
        <w:rPr>
          <w:rFonts w:hint="eastAsia" w:ascii="仿宋" w:hAnsi="仿宋" w:eastAsia="仿宋" w:cs="仿宋"/>
          <w:b/>
          <w:color w:val="auto"/>
          <w:kern w:val="44"/>
          <w:sz w:val="44"/>
          <w:szCs w:val="44"/>
          <w:highlight w:val="none"/>
        </w:rPr>
        <w:br w:type="page"/>
      </w:r>
    </w:p>
    <w:p w14:paraId="74508CEA">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bookmarkStart w:id="58" w:name="_Toc12457"/>
      <w:bookmarkStart w:id="59" w:name="_Toc5890"/>
      <w:r>
        <w:rPr>
          <w:rFonts w:hint="eastAsia" w:ascii="仿宋" w:hAnsi="仿宋" w:eastAsia="仿宋" w:cs="仿宋"/>
          <w:b/>
          <w:color w:val="auto"/>
          <w:kern w:val="44"/>
          <w:sz w:val="44"/>
          <w:szCs w:val="44"/>
          <w:highlight w:val="none"/>
          <w:lang w:val="en-US" w:eastAsia="zh-CN" w:bidi="ar-SA"/>
        </w:rPr>
        <w:t>第二章 投标供应商须知</w:t>
      </w:r>
      <w:bookmarkEnd w:id="6"/>
      <w:bookmarkEnd w:id="7"/>
      <w:bookmarkEnd w:id="8"/>
      <w:bookmarkEnd w:id="9"/>
      <w:bookmarkEnd w:id="10"/>
      <w:bookmarkEnd w:id="58"/>
      <w:bookmarkEnd w:id="59"/>
      <w:bookmarkStart w:id="60" w:name="_Toc213496268"/>
      <w:bookmarkStart w:id="61" w:name="_Toc217446032"/>
      <w:bookmarkStart w:id="62" w:name="_Toc213396946"/>
      <w:bookmarkStart w:id="63" w:name="_Toc213397010"/>
      <w:bookmarkStart w:id="64" w:name="_Toc213396760"/>
      <w:bookmarkStart w:id="65" w:name="_Toc184274915"/>
      <w:bookmarkStart w:id="66" w:name="_Toc189727030"/>
      <w:bookmarkStart w:id="67" w:name="_Toc184283909"/>
    </w:p>
    <w:bookmarkEnd w:id="60"/>
    <w:bookmarkEnd w:id="61"/>
    <w:bookmarkEnd w:id="62"/>
    <w:bookmarkEnd w:id="63"/>
    <w:bookmarkEnd w:id="64"/>
    <w:bookmarkEnd w:id="65"/>
    <w:bookmarkEnd w:id="66"/>
    <w:bookmarkEnd w:id="67"/>
    <w:p w14:paraId="6538B64B">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eastAsia="zh-CN"/>
        </w:rPr>
      </w:pPr>
      <w:bookmarkStart w:id="68" w:name="_Toc4179"/>
      <w:r>
        <w:rPr>
          <w:rFonts w:hint="eastAsia" w:ascii="仿宋" w:hAnsi="仿宋" w:eastAsia="仿宋" w:cs="仿宋"/>
          <w:b/>
          <w:bCs w:val="0"/>
          <w:color w:val="auto"/>
          <w:sz w:val="36"/>
          <w:szCs w:val="36"/>
          <w:highlight w:val="none"/>
          <w:lang w:val="en-US" w:eastAsia="zh-CN"/>
        </w:rPr>
        <w:t>第一部分 投标</w:t>
      </w:r>
      <w:r>
        <w:rPr>
          <w:rFonts w:hint="eastAsia" w:ascii="仿宋" w:hAnsi="仿宋" w:eastAsia="仿宋" w:cs="仿宋"/>
          <w:b/>
          <w:bCs w:val="0"/>
          <w:color w:val="auto"/>
          <w:sz w:val="36"/>
          <w:szCs w:val="36"/>
          <w:highlight w:val="none"/>
          <w:lang w:eastAsia="zh-CN"/>
        </w:rPr>
        <w:t>供应商须知资料表</w:t>
      </w:r>
      <w:bookmarkEnd w:id="68"/>
    </w:p>
    <w:tbl>
      <w:tblPr>
        <w:tblStyle w:val="27"/>
        <w:tblW w:w="995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811"/>
        <w:gridCol w:w="2065"/>
        <w:gridCol w:w="7077"/>
      </w:tblGrid>
      <w:tr w14:paraId="6A4D494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bottom w:val="single" w:color="auto" w:sz="8" w:space="0"/>
              <w:right w:val="single" w:color="auto" w:sz="8" w:space="0"/>
            </w:tcBorders>
            <w:noWrap w:val="0"/>
            <w:vAlign w:val="center"/>
          </w:tcPr>
          <w:p w14:paraId="22B7CA06">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 xml:space="preserve">序号 </w:t>
            </w:r>
          </w:p>
        </w:tc>
        <w:tc>
          <w:tcPr>
            <w:tcW w:w="2065" w:type="dxa"/>
            <w:tcBorders>
              <w:left w:val="single" w:color="auto" w:sz="8" w:space="0"/>
              <w:bottom w:val="single" w:color="auto" w:sz="8" w:space="0"/>
              <w:right w:val="single" w:color="auto" w:sz="8" w:space="0"/>
            </w:tcBorders>
            <w:noWrap w:val="0"/>
            <w:vAlign w:val="center"/>
          </w:tcPr>
          <w:p w14:paraId="55A5E38C">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内容</w:t>
            </w:r>
          </w:p>
        </w:tc>
        <w:tc>
          <w:tcPr>
            <w:tcW w:w="7077" w:type="dxa"/>
            <w:tcBorders>
              <w:left w:val="single" w:color="auto" w:sz="8" w:space="0"/>
              <w:bottom w:val="single" w:color="auto" w:sz="8" w:space="0"/>
            </w:tcBorders>
            <w:noWrap w:val="0"/>
            <w:vAlign w:val="center"/>
          </w:tcPr>
          <w:p w14:paraId="78212E88">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说明和要求</w:t>
            </w:r>
          </w:p>
        </w:tc>
      </w:tr>
      <w:tr w14:paraId="1F0A263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54" w:hRule="atLeast"/>
          <w:jc w:val="center"/>
        </w:trPr>
        <w:tc>
          <w:tcPr>
            <w:tcW w:w="811" w:type="dxa"/>
            <w:tcBorders>
              <w:top w:val="single" w:color="auto" w:sz="8" w:space="0"/>
              <w:bottom w:val="single" w:color="auto" w:sz="8" w:space="0"/>
              <w:right w:val="single" w:color="auto" w:sz="8" w:space="0"/>
            </w:tcBorders>
            <w:noWrap w:val="0"/>
            <w:vAlign w:val="center"/>
          </w:tcPr>
          <w:p w14:paraId="084E0FDA">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0888EEA">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采购人</w:t>
            </w:r>
          </w:p>
        </w:tc>
        <w:tc>
          <w:tcPr>
            <w:tcW w:w="7077" w:type="dxa"/>
            <w:tcBorders>
              <w:top w:val="single" w:color="auto" w:sz="8" w:space="0"/>
              <w:left w:val="single" w:color="auto" w:sz="8" w:space="0"/>
              <w:bottom w:val="single" w:color="auto" w:sz="8" w:space="0"/>
            </w:tcBorders>
            <w:noWrap w:val="0"/>
            <w:vAlign w:val="center"/>
          </w:tcPr>
          <w:p w14:paraId="5A3D02A1">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察布查尔锡伯自治县公安局</w:t>
            </w:r>
            <w:r>
              <w:rPr>
                <w:rFonts w:hint="eastAsia" w:ascii="仿宋" w:hAnsi="仿宋" w:eastAsia="仿宋" w:cs="仿宋"/>
                <w:color w:val="auto"/>
                <w:sz w:val="28"/>
                <w:szCs w:val="28"/>
                <w:highlight w:val="none"/>
                <w:lang w:val="en-US" w:eastAsia="zh-CN"/>
              </w:rPr>
              <w:t xml:space="preserve"> </w:t>
            </w:r>
          </w:p>
          <w:p w14:paraId="4AE82626">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址：</w:t>
            </w:r>
            <w:r>
              <w:rPr>
                <w:rFonts w:hint="eastAsia" w:ascii="仿宋" w:hAnsi="仿宋" w:eastAsia="仿宋" w:cs="仿宋"/>
                <w:color w:val="auto"/>
                <w:sz w:val="28"/>
                <w:szCs w:val="28"/>
                <w:highlight w:val="none"/>
                <w:lang w:val="en-US" w:eastAsia="zh-CN"/>
              </w:rPr>
              <w:t>察布查尔锡伯自治县</w:t>
            </w:r>
          </w:p>
          <w:p w14:paraId="01E62984">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杨斌</w:t>
            </w:r>
          </w:p>
          <w:p w14:paraId="1374A83B">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17799490306</w:t>
            </w:r>
          </w:p>
        </w:tc>
      </w:tr>
      <w:tr w14:paraId="3529E22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69" w:hRule="atLeast"/>
          <w:jc w:val="center"/>
        </w:trPr>
        <w:tc>
          <w:tcPr>
            <w:tcW w:w="811" w:type="dxa"/>
            <w:tcBorders>
              <w:top w:val="single" w:color="auto" w:sz="8" w:space="0"/>
              <w:bottom w:val="single" w:color="auto" w:sz="8" w:space="0"/>
              <w:right w:val="single" w:color="auto" w:sz="8" w:space="0"/>
            </w:tcBorders>
            <w:noWrap w:val="0"/>
            <w:vAlign w:val="center"/>
          </w:tcPr>
          <w:p w14:paraId="1246035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7D82785">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采购代理机构</w:t>
            </w:r>
          </w:p>
        </w:tc>
        <w:tc>
          <w:tcPr>
            <w:tcW w:w="7077" w:type="dxa"/>
            <w:tcBorders>
              <w:top w:val="single" w:color="auto" w:sz="8" w:space="0"/>
              <w:left w:val="single" w:color="auto" w:sz="8" w:space="0"/>
              <w:bottom w:val="single" w:color="auto" w:sz="8" w:space="0"/>
            </w:tcBorders>
            <w:noWrap w:val="0"/>
            <w:vAlign w:val="center"/>
          </w:tcPr>
          <w:p w14:paraId="1279D056">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名 称：新疆长润泽建设工程管理有限公司</w:t>
            </w:r>
          </w:p>
          <w:p w14:paraId="5FCBC322">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地 址：伊宁市金茂新天地B座16楼</w:t>
            </w:r>
          </w:p>
          <w:p w14:paraId="31CD8884">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项目联系人：</w:t>
            </w:r>
            <w:r>
              <w:rPr>
                <w:rFonts w:hint="eastAsia" w:ascii="仿宋" w:hAnsi="仿宋" w:eastAsia="仿宋" w:cs="仿宋"/>
                <w:color w:val="auto"/>
                <w:sz w:val="28"/>
                <w:szCs w:val="28"/>
                <w:highlight w:val="none"/>
                <w:lang w:val="en-US" w:eastAsia="zh-CN"/>
              </w:rPr>
              <w:t>邱工</w:t>
            </w:r>
          </w:p>
          <w:p w14:paraId="0913A2CC">
            <w:pPr>
              <w:pStyle w:val="1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项目联系方式：</w:t>
            </w:r>
            <w:r>
              <w:rPr>
                <w:rFonts w:hint="eastAsia" w:ascii="仿宋" w:hAnsi="仿宋" w:eastAsia="仿宋" w:cs="仿宋"/>
                <w:color w:val="auto"/>
                <w:sz w:val="28"/>
                <w:szCs w:val="28"/>
                <w:highlight w:val="none"/>
                <w:lang w:val="en-US" w:eastAsia="zh-CN"/>
              </w:rPr>
              <w:t>13095182426</w:t>
            </w:r>
          </w:p>
        </w:tc>
      </w:tr>
      <w:tr w14:paraId="0CC752F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811" w:type="dxa"/>
            <w:tcBorders>
              <w:top w:val="single" w:color="auto" w:sz="8" w:space="0"/>
              <w:bottom w:val="single" w:color="auto" w:sz="8" w:space="0"/>
              <w:right w:val="single" w:color="auto" w:sz="8" w:space="0"/>
            </w:tcBorders>
            <w:noWrap w:val="0"/>
            <w:vAlign w:val="center"/>
          </w:tcPr>
          <w:p w14:paraId="4618050C">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D5FB024">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采购项目名称</w:t>
            </w:r>
          </w:p>
        </w:tc>
        <w:tc>
          <w:tcPr>
            <w:tcW w:w="7077" w:type="dxa"/>
            <w:tcBorders>
              <w:top w:val="single" w:color="auto" w:sz="8" w:space="0"/>
              <w:left w:val="single" w:color="auto" w:sz="8" w:space="0"/>
              <w:bottom w:val="single" w:color="auto" w:sz="8" w:space="0"/>
            </w:tcBorders>
            <w:noWrap w:val="0"/>
            <w:vAlign w:val="center"/>
          </w:tcPr>
          <w:p w14:paraId="7465A934">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察布查尔锡伯自治县公安局2025年五金杂货采购项目</w:t>
            </w:r>
          </w:p>
        </w:tc>
      </w:tr>
      <w:tr w14:paraId="2F50618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bottom w:val="single" w:color="auto" w:sz="8" w:space="0"/>
              <w:right w:val="single" w:color="auto" w:sz="8" w:space="0"/>
            </w:tcBorders>
            <w:noWrap w:val="0"/>
            <w:vAlign w:val="center"/>
          </w:tcPr>
          <w:p w14:paraId="329E1798">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660316A">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采购项目编号</w:t>
            </w:r>
          </w:p>
        </w:tc>
        <w:tc>
          <w:tcPr>
            <w:tcW w:w="7077" w:type="dxa"/>
            <w:tcBorders>
              <w:top w:val="single" w:color="auto" w:sz="8" w:space="0"/>
              <w:left w:val="single" w:color="auto" w:sz="8" w:space="0"/>
              <w:bottom w:val="single" w:color="auto" w:sz="8" w:space="0"/>
            </w:tcBorders>
            <w:noWrap w:val="0"/>
            <w:vAlign w:val="center"/>
          </w:tcPr>
          <w:p w14:paraId="58C0880F">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XJCRZCG-20250028</w:t>
            </w:r>
          </w:p>
        </w:tc>
      </w:tr>
      <w:tr w14:paraId="29FEF1B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1" w:hRule="exact"/>
          <w:jc w:val="center"/>
        </w:trPr>
        <w:tc>
          <w:tcPr>
            <w:tcW w:w="811" w:type="dxa"/>
            <w:tcBorders>
              <w:top w:val="single" w:color="auto" w:sz="8" w:space="0"/>
              <w:bottom w:val="single" w:color="auto" w:sz="8" w:space="0"/>
              <w:right w:val="single" w:color="auto" w:sz="8" w:space="0"/>
            </w:tcBorders>
            <w:noWrap w:val="0"/>
            <w:vAlign w:val="center"/>
          </w:tcPr>
          <w:p w14:paraId="5E5F3272">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BCC019B">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资金来源</w:t>
            </w:r>
          </w:p>
        </w:tc>
        <w:tc>
          <w:tcPr>
            <w:tcW w:w="7077" w:type="dxa"/>
            <w:tcBorders>
              <w:top w:val="single" w:color="auto" w:sz="8" w:space="0"/>
              <w:left w:val="single" w:color="auto" w:sz="8" w:space="0"/>
              <w:bottom w:val="single" w:color="auto" w:sz="8" w:space="0"/>
            </w:tcBorders>
            <w:noWrap w:val="0"/>
            <w:vAlign w:val="center"/>
          </w:tcPr>
          <w:p w14:paraId="2192D0BF">
            <w:pPr>
              <w:keepNext w:val="0"/>
              <w:keepLines w:val="0"/>
              <w:pageBreakBefore w:val="0"/>
              <w:kinsoku/>
              <w:wordWrap/>
              <w:overflowPunct/>
              <w:topLinePunct w:val="0"/>
              <w:bidi w:val="0"/>
              <w:snapToGrid/>
              <w:spacing w:line="390" w:lineRule="exact"/>
              <w:ind w:right="0" w:right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财政性资金</w:t>
            </w:r>
          </w:p>
        </w:tc>
      </w:tr>
      <w:tr w14:paraId="431A52F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93" w:hRule="exact"/>
          <w:jc w:val="center"/>
        </w:trPr>
        <w:tc>
          <w:tcPr>
            <w:tcW w:w="811" w:type="dxa"/>
            <w:vMerge w:val="restart"/>
            <w:tcBorders>
              <w:top w:val="single" w:color="auto" w:sz="8" w:space="0"/>
              <w:right w:val="single" w:color="auto" w:sz="8" w:space="0"/>
            </w:tcBorders>
            <w:noWrap w:val="0"/>
            <w:vAlign w:val="center"/>
          </w:tcPr>
          <w:p w14:paraId="3D6FBBE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E15D766">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预算金额</w:t>
            </w:r>
          </w:p>
        </w:tc>
        <w:tc>
          <w:tcPr>
            <w:tcW w:w="7077" w:type="dxa"/>
            <w:tcBorders>
              <w:top w:val="single" w:color="auto" w:sz="8" w:space="0"/>
              <w:left w:val="single" w:color="auto" w:sz="8" w:space="0"/>
              <w:bottom w:val="single" w:color="auto" w:sz="8" w:space="0"/>
            </w:tcBorders>
            <w:noWrap w:val="0"/>
            <w:vAlign w:val="center"/>
          </w:tcPr>
          <w:p w14:paraId="46AB9E19">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本项目总预算金额：20万元。</w:t>
            </w:r>
          </w:p>
          <w:p w14:paraId="5D7FF4A9">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备注：预算金额为预估年计划采购金额，作为投标人投标报</w:t>
            </w:r>
            <w:r>
              <w:rPr>
                <w:rFonts w:hint="eastAsia" w:ascii="仿宋" w:hAnsi="仿宋" w:eastAsia="仿宋" w:cs="仿宋"/>
                <w:color w:val="auto"/>
                <w:sz w:val="28"/>
                <w:szCs w:val="28"/>
                <w:highlight w:val="none"/>
                <w:u w:val="none"/>
                <w:lang w:val="en-US" w:eastAsia="zh-CN" w:bidi="ar-SA"/>
              </w:rPr>
              <w:t>价的参考依据，不作为实际发生量的结算金额。</w:t>
            </w:r>
          </w:p>
        </w:tc>
      </w:tr>
      <w:tr w14:paraId="68E2850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01" w:hRule="exact"/>
          <w:jc w:val="center"/>
        </w:trPr>
        <w:tc>
          <w:tcPr>
            <w:tcW w:w="811" w:type="dxa"/>
            <w:vMerge w:val="continue"/>
            <w:tcBorders>
              <w:bottom w:val="single" w:color="auto" w:sz="8" w:space="0"/>
              <w:right w:val="single" w:color="auto" w:sz="8" w:space="0"/>
            </w:tcBorders>
            <w:noWrap w:val="0"/>
            <w:vAlign w:val="center"/>
          </w:tcPr>
          <w:p w14:paraId="42DBBC9F">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F2B25EA">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最高限价</w:t>
            </w:r>
          </w:p>
        </w:tc>
        <w:tc>
          <w:tcPr>
            <w:tcW w:w="7077" w:type="dxa"/>
            <w:tcBorders>
              <w:top w:val="single" w:color="auto" w:sz="8" w:space="0"/>
              <w:left w:val="single" w:color="auto" w:sz="8" w:space="0"/>
              <w:bottom w:val="single" w:color="auto" w:sz="8" w:space="0"/>
            </w:tcBorders>
            <w:noWrap w:val="0"/>
            <w:vAlign w:val="center"/>
          </w:tcPr>
          <w:p w14:paraId="16395A39">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本项目最高限价：20万元。</w:t>
            </w:r>
          </w:p>
        </w:tc>
      </w:tr>
      <w:tr w14:paraId="23C87DC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63" w:hRule="exact"/>
          <w:jc w:val="center"/>
        </w:trPr>
        <w:tc>
          <w:tcPr>
            <w:tcW w:w="811" w:type="dxa"/>
            <w:tcBorders>
              <w:top w:val="single" w:color="auto" w:sz="8" w:space="0"/>
              <w:bottom w:val="single" w:color="auto" w:sz="8" w:space="0"/>
              <w:right w:val="single" w:color="auto" w:sz="8" w:space="0"/>
            </w:tcBorders>
            <w:noWrap w:val="0"/>
            <w:vAlign w:val="center"/>
          </w:tcPr>
          <w:p w14:paraId="1BEB233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B1AA7D0">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tc>
        <w:tc>
          <w:tcPr>
            <w:tcW w:w="7077" w:type="dxa"/>
            <w:tcBorders>
              <w:top w:val="single" w:color="auto" w:sz="8" w:space="0"/>
              <w:left w:val="single" w:color="auto" w:sz="8" w:space="0"/>
              <w:bottom w:val="single" w:color="auto" w:sz="8" w:space="0"/>
            </w:tcBorders>
            <w:noWrap w:val="0"/>
            <w:vAlign w:val="center"/>
          </w:tcPr>
          <w:p w14:paraId="07F07EE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b w:val="0"/>
                <w:bCs w:val="0"/>
                <w:i w:val="0"/>
                <w:iCs w:val="0"/>
                <w:color w:val="auto"/>
                <w:sz w:val="28"/>
                <w:szCs w:val="28"/>
                <w:highlight w:val="none"/>
                <w:lang w:val="en-US" w:eastAsia="zh-CN"/>
              </w:rPr>
              <w:t>为察布查尔锡伯自治县公安局提供五金杂货（具体内容详见招标文件）</w:t>
            </w:r>
          </w:p>
        </w:tc>
      </w:tr>
      <w:tr w14:paraId="0D256E3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26" w:hRule="exact"/>
          <w:jc w:val="center"/>
        </w:trPr>
        <w:tc>
          <w:tcPr>
            <w:tcW w:w="811" w:type="dxa"/>
            <w:tcBorders>
              <w:top w:val="single" w:color="auto" w:sz="8" w:space="0"/>
              <w:bottom w:val="single" w:color="auto" w:sz="8" w:space="0"/>
              <w:right w:val="single" w:color="auto" w:sz="8" w:space="0"/>
            </w:tcBorders>
            <w:noWrap w:val="0"/>
            <w:vAlign w:val="center"/>
          </w:tcPr>
          <w:p w14:paraId="1FEF0E53">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1AE582A8">
            <w:pPr>
              <w:pStyle w:val="16"/>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rPr>
              <w:t>合同履约期限、地点</w:t>
            </w:r>
          </w:p>
        </w:tc>
        <w:tc>
          <w:tcPr>
            <w:tcW w:w="7077" w:type="dxa"/>
            <w:tcBorders>
              <w:top w:val="single" w:color="auto" w:sz="8" w:space="0"/>
              <w:left w:val="single" w:color="auto" w:sz="8" w:space="0"/>
              <w:bottom w:val="single" w:color="auto" w:sz="8" w:space="0"/>
            </w:tcBorders>
            <w:noWrap w:val="0"/>
            <w:vAlign w:val="center"/>
          </w:tcPr>
          <w:p w14:paraId="5E4BE039">
            <w:pPr>
              <w:keepNext w:val="0"/>
              <w:keepLines w:val="0"/>
              <w:pageBreakBefore w:val="0"/>
              <w:widowControl/>
              <w:kinsoku/>
              <w:wordWrap/>
              <w:overflowPunct/>
              <w:topLinePunct w:val="0"/>
              <w:autoSpaceDE/>
              <w:autoSpaceDN/>
              <w:bidi w:val="0"/>
              <w:adjustRightInd/>
              <w:spacing w:after="0" w:line="440" w:lineRule="exact"/>
              <w:jc w:val="left"/>
              <w:textAlignment w:val="auto"/>
              <w:rPr>
                <w:rFonts w:hint="eastAsia" w:ascii="仿宋" w:hAnsi="仿宋" w:eastAsia="仿宋" w:cs="仿宋"/>
                <w:color w:val="auto"/>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合同履约期限：自合同签订之日起1年</w:t>
            </w:r>
          </w:p>
          <w:p w14:paraId="3B5C5ACD">
            <w:pPr>
              <w:keepNext w:val="0"/>
              <w:keepLines w:val="0"/>
              <w:pageBreakBefore w:val="0"/>
              <w:widowControl/>
              <w:kinsoku/>
              <w:wordWrap/>
              <w:overflowPunct/>
              <w:topLinePunct w:val="0"/>
              <w:autoSpaceDE/>
              <w:autoSpaceDN/>
              <w:bidi w:val="0"/>
              <w:adjustRightInd/>
              <w:spacing w:after="0" w:line="440" w:lineRule="exact"/>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bidi="ar-SA"/>
              </w:rPr>
              <w:t>地点：</w:t>
            </w:r>
            <w:r>
              <w:rPr>
                <w:rFonts w:hint="eastAsia" w:ascii="仿宋" w:hAnsi="仿宋" w:eastAsia="仿宋" w:cs="仿宋"/>
                <w:color w:val="auto"/>
                <w:sz w:val="28"/>
                <w:szCs w:val="28"/>
                <w:highlight w:val="none"/>
                <w:lang w:val="en-US" w:eastAsia="zh-CN"/>
              </w:rPr>
              <w:t>采购人指定地点</w:t>
            </w:r>
          </w:p>
        </w:tc>
      </w:tr>
      <w:tr w14:paraId="2E73A2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994" w:hRule="exact"/>
          <w:jc w:val="center"/>
        </w:trPr>
        <w:tc>
          <w:tcPr>
            <w:tcW w:w="811" w:type="dxa"/>
            <w:tcBorders>
              <w:top w:val="single" w:color="auto" w:sz="8" w:space="0"/>
              <w:bottom w:val="single" w:color="auto" w:sz="8" w:space="0"/>
              <w:right w:val="single" w:color="auto" w:sz="8" w:space="0"/>
            </w:tcBorders>
            <w:noWrap w:val="0"/>
            <w:vAlign w:val="center"/>
          </w:tcPr>
          <w:p w14:paraId="7FF4EBC9">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9CBFA6B">
            <w:pPr>
              <w:pStyle w:val="16"/>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质保期限</w:t>
            </w:r>
          </w:p>
        </w:tc>
        <w:tc>
          <w:tcPr>
            <w:tcW w:w="7077" w:type="dxa"/>
            <w:tcBorders>
              <w:top w:val="single" w:color="auto" w:sz="8" w:space="0"/>
              <w:left w:val="single" w:color="auto" w:sz="8" w:space="0"/>
              <w:bottom w:val="single" w:color="auto" w:sz="8" w:space="0"/>
            </w:tcBorders>
            <w:noWrap w:val="0"/>
            <w:vAlign w:val="center"/>
          </w:tcPr>
          <w:p w14:paraId="75518CF0">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货物质保期为1年，自交货使用之日起计算。质保期内，一切维修换件保养费用和备品备件均由中标人提供（不可抗力（如火灾、雷击等）造成的故障除外）；在正常使用条件下由于材料或制造上的缺陷而造成损坏的零件，中标人应提供保修。质保期外出现的货物质量问题，由中标人负责解决的，采购人支付相应的费用；在任何时候，中标人均不能免除因货物本身的缺陷所应付的责任。质保期内，如货物或零部件因质量原因出现故障而造成短期停用时，则质保期相应顺延，如停用时间累计超过60天则质保期重新计算。  </w:t>
            </w:r>
          </w:p>
          <w:p w14:paraId="11D3878E">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en-US" w:eastAsia="zh-CN"/>
              </w:rPr>
            </w:pPr>
          </w:p>
        </w:tc>
      </w:tr>
      <w:tr w14:paraId="0E51A1C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38" w:hRule="exact"/>
          <w:jc w:val="center"/>
        </w:trPr>
        <w:tc>
          <w:tcPr>
            <w:tcW w:w="811" w:type="dxa"/>
            <w:tcBorders>
              <w:top w:val="single" w:color="auto" w:sz="8" w:space="0"/>
              <w:bottom w:val="single" w:color="auto" w:sz="8" w:space="0"/>
              <w:right w:val="single" w:color="auto" w:sz="8" w:space="0"/>
            </w:tcBorders>
            <w:noWrap w:val="0"/>
            <w:vAlign w:val="center"/>
          </w:tcPr>
          <w:p w14:paraId="31C4430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EA1C78B">
            <w:pPr>
              <w:pStyle w:val="16"/>
              <w:keepNext w:val="0"/>
              <w:keepLines w:val="0"/>
              <w:pageBreakBefore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bidi="ar-SA"/>
              </w:rPr>
              <w:t>交货时间</w:t>
            </w:r>
          </w:p>
        </w:tc>
        <w:tc>
          <w:tcPr>
            <w:tcW w:w="7077" w:type="dxa"/>
            <w:tcBorders>
              <w:top w:val="single" w:color="auto" w:sz="8" w:space="0"/>
              <w:left w:val="single" w:color="auto" w:sz="8" w:space="0"/>
              <w:bottom w:val="single" w:color="auto" w:sz="8" w:space="0"/>
            </w:tcBorders>
            <w:noWrap w:val="0"/>
            <w:vAlign w:val="center"/>
          </w:tcPr>
          <w:p w14:paraId="7488A0DC">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lang w:val="en-US" w:eastAsia="zh-CN"/>
              </w:rPr>
              <w:t>自合同签订生效之日起1年内，采购人根据需求不定期向中标人发出日常配送需求通知，自接到采购人配送通知后，需在2小时内按本次供货需求送货上门。货物在交付采购人相关部门验收合格前，在包装、保管、装卸、运输等过程中如造成货物的损坏、灭失，责任由中标人承担，并在4小时内完成补货。</w:t>
            </w:r>
          </w:p>
        </w:tc>
      </w:tr>
      <w:tr w14:paraId="50F1579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811" w:type="dxa"/>
            <w:tcBorders>
              <w:top w:val="single" w:color="auto" w:sz="8" w:space="0"/>
              <w:bottom w:val="single" w:color="auto" w:sz="8" w:space="0"/>
              <w:right w:val="single" w:color="auto" w:sz="8" w:space="0"/>
            </w:tcBorders>
            <w:noWrap w:val="0"/>
            <w:vAlign w:val="center"/>
          </w:tcPr>
          <w:p w14:paraId="0BE79EB8">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69D855B">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采购方式</w:t>
            </w:r>
          </w:p>
        </w:tc>
        <w:tc>
          <w:tcPr>
            <w:tcW w:w="7077" w:type="dxa"/>
            <w:tcBorders>
              <w:top w:val="single" w:color="auto" w:sz="8" w:space="0"/>
              <w:left w:val="single" w:color="auto" w:sz="8" w:space="0"/>
              <w:bottom w:val="single" w:color="auto" w:sz="8" w:space="0"/>
            </w:tcBorders>
            <w:noWrap w:val="0"/>
            <w:vAlign w:val="center"/>
          </w:tcPr>
          <w:p w14:paraId="0E516F1C">
            <w:pPr>
              <w:pStyle w:val="36"/>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公开招标</w:t>
            </w:r>
          </w:p>
        </w:tc>
      </w:tr>
      <w:tr w14:paraId="0A2197B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40" w:hRule="exact"/>
          <w:jc w:val="center"/>
        </w:trPr>
        <w:tc>
          <w:tcPr>
            <w:tcW w:w="811" w:type="dxa"/>
            <w:tcBorders>
              <w:top w:val="single" w:color="auto" w:sz="8" w:space="0"/>
              <w:bottom w:val="single" w:color="auto" w:sz="8" w:space="0"/>
              <w:right w:val="single" w:color="auto" w:sz="8" w:space="0"/>
            </w:tcBorders>
            <w:noWrap w:val="0"/>
            <w:vAlign w:val="center"/>
          </w:tcPr>
          <w:p w14:paraId="49900E3B">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F893099">
            <w:pPr>
              <w:pStyle w:val="36"/>
              <w:keepNext w:val="0"/>
              <w:keepLines w:val="0"/>
              <w:pageBreakBefore w:val="0"/>
              <w:widowControl w:val="0"/>
              <w:kinsoku/>
              <w:wordWrap/>
              <w:overflowPunct/>
              <w:topLinePunct w:val="0"/>
              <w:bidi w:val="0"/>
              <w:snapToGrid/>
              <w:spacing w:line="440" w:lineRule="exact"/>
              <w:ind w:left="38"/>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是否专门面向中小</w:t>
            </w:r>
            <w:r>
              <w:rPr>
                <w:rFonts w:hint="eastAsia" w:ascii="仿宋" w:hAnsi="仿宋" w:eastAsia="仿宋" w:cs="仿宋"/>
                <w:color w:val="auto"/>
                <w:sz w:val="28"/>
                <w:szCs w:val="28"/>
                <w:highlight w:val="none"/>
                <w:lang w:val="en-US" w:eastAsia="zh-CN"/>
              </w:rPr>
              <w:t>微</w:t>
            </w:r>
            <w:r>
              <w:rPr>
                <w:rFonts w:hint="eastAsia" w:ascii="仿宋" w:hAnsi="仿宋" w:eastAsia="仿宋" w:cs="仿宋"/>
                <w:color w:val="auto"/>
                <w:sz w:val="28"/>
                <w:szCs w:val="28"/>
                <w:highlight w:val="none"/>
                <w:lang w:val="zh-CN"/>
              </w:rPr>
              <w:t>企业采购</w:t>
            </w:r>
          </w:p>
        </w:tc>
        <w:tc>
          <w:tcPr>
            <w:tcW w:w="7077" w:type="dxa"/>
            <w:tcBorders>
              <w:top w:val="single" w:color="auto" w:sz="8" w:space="0"/>
              <w:left w:val="single" w:color="auto" w:sz="8" w:space="0"/>
              <w:bottom w:val="single" w:color="auto" w:sz="8" w:space="0"/>
            </w:tcBorders>
            <w:noWrap w:val="0"/>
            <w:vAlign w:val="center"/>
          </w:tcPr>
          <w:p w14:paraId="2643D564">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□是      ☑否</w:t>
            </w:r>
          </w:p>
        </w:tc>
      </w:tr>
      <w:tr w14:paraId="466EF39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811" w:type="dxa"/>
            <w:tcBorders>
              <w:top w:val="single" w:color="auto" w:sz="8" w:space="0"/>
              <w:bottom w:val="single" w:color="auto" w:sz="8" w:space="0"/>
              <w:right w:val="single" w:color="auto" w:sz="8" w:space="0"/>
            </w:tcBorders>
            <w:noWrap w:val="0"/>
            <w:vAlign w:val="center"/>
          </w:tcPr>
          <w:p w14:paraId="1D6A931A">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090EEB7">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是否采购进口产品</w:t>
            </w:r>
          </w:p>
        </w:tc>
        <w:tc>
          <w:tcPr>
            <w:tcW w:w="7077" w:type="dxa"/>
            <w:tcBorders>
              <w:top w:val="single" w:color="auto" w:sz="8" w:space="0"/>
              <w:left w:val="single" w:color="auto" w:sz="8" w:space="0"/>
              <w:bottom w:val="single" w:color="auto" w:sz="8" w:space="0"/>
            </w:tcBorders>
            <w:noWrap w:val="0"/>
            <w:vAlign w:val="center"/>
          </w:tcPr>
          <w:p w14:paraId="426F472C">
            <w:pPr>
              <w:pStyle w:val="36"/>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□是      ☑否</w:t>
            </w:r>
          </w:p>
        </w:tc>
      </w:tr>
      <w:tr w14:paraId="70A4728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bottom w:val="single" w:color="auto" w:sz="8" w:space="0"/>
              <w:right w:val="single" w:color="auto" w:sz="8" w:space="0"/>
            </w:tcBorders>
            <w:noWrap w:val="0"/>
            <w:vAlign w:val="center"/>
          </w:tcPr>
          <w:p w14:paraId="7E5D6E7A">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3766849">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联合体投标</w:t>
            </w:r>
          </w:p>
        </w:tc>
        <w:tc>
          <w:tcPr>
            <w:tcW w:w="7077" w:type="dxa"/>
            <w:tcBorders>
              <w:top w:val="single" w:color="auto" w:sz="8" w:space="0"/>
              <w:left w:val="single" w:color="auto" w:sz="8" w:space="0"/>
              <w:bottom w:val="single" w:color="auto" w:sz="8" w:space="0"/>
            </w:tcBorders>
            <w:noWrap w:val="0"/>
            <w:vAlign w:val="top"/>
          </w:tcPr>
          <w:p w14:paraId="359C22DD">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      ☑否</w:t>
            </w:r>
          </w:p>
        </w:tc>
      </w:tr>
      <w:tr w14:paraId="0F597B5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60" w:hRule="atLeast"/>
          <w:jc w:val="center"/>
        </w:trPr>
        <w:tc>
          <w:tcPr>
            <w:tcW w:w="811" w:type="dxa"/>
            <w:tcBorders>
              <w:top w:val="single" w:color="auto" w:sz="8" w:space="0"/>
              <w:bottom w:val="single" w:color="auto" w:sz="8" w:space="0"/>
              <w:right w:val="single" w:color="auto" w:sz="8" w:space="0"/>
            </w:tcBorders>
            <w:noWrap w:val="0"/>
            <w:vAlign w:val="center"/>
          </w:tcPr>
          <w:p w14:paraId="1715164A">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1220D22">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rPr>
              <w:t>招标文件获取日期</w:t>
            </w:r>
          </w:p>
        </w:tc>
        <w:tc>
          <w:tcPr>
            <w:tcW w:w="7077" w:type="dxa"/>
            <w:tcBorders>
              <w:top w:val="single" w:color="auto" w:sz="8" w:space="0"/>
              <w:left w:val="single" w:color="auto" w:sz="8" w:space="0"/>
              <w:bottom w:val="single" w:color="auto" w:sz="8" w:space="0"/>
            </w:tcBorders>
            <w:noWrap w:val="0"/>
            <w:vAlign w:val="center"/>
          </w:tcPr>
          <w:p w14:paraId="534CD74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lang w:val="en-US" w:eastAsia="zh-CN"/>
              </w:rPr>
              <w:t>时间：</w:t>
            </w:r>
            <w:r>
              <w:rPr>
                <w:rFonts w:hint="eastAsia" w:ascii="仿宋" w:hAnsi="仿宋" w:eastAsia="仿宋" w:cs="仿宋"/>
                <w:color w:val="auto"/>
                <w:kern w:val="0"/>
                <w:sz w:val="28"/>
                <w:szCs w:val="28"/>
                <w:highlight w:val="none"/>
                <w:u w:val="single"/>
                <w:lang w:bidi="ar"/>
              </w:rPr>
              <w:t>202</w:t>
            </w:r>
            <w:r>
              <w:rPr>
                <w:rFonts w:hint="eastAsia" w:ascii="仿宋" w:hAnsi="仿宋" w:eastAsia="仿宋" w:cs="仿宋"/>
                <w:color w:val="auto"/>
                <w:kern w:val="0"/>
                <w:sz w:val="28"/>
                <w:szCs w:val="28"/>
                <w:highlight w:val="none"/>
                <w:u w:val="single"/>
                <w:lang w:val="en-US" w:eastAsia="zh-CN" w:bidi="ar"/>
              </w:rPr>
              <w:t>6</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01</w:t>
            </w:r>
            <w:r>
              <w:rPr>
                <w:rFonts w:hint="eastAsia" w:ascii="仿宋" w:hAnsi="仿宋" w:eastAsia="仿宋" w:cs="仿宋"/>
                <w:color w:val="auto"/>
                <w:kern w:val="0"/>
                <w:sz w:val="28"/>
                <w:szCs w:val="28"/>
                <w:highlight w:val="none"/>
                <w:u w:val="single"/>
                <w:lang w:bidi="ar"/>
              </w:rPr>
              <w:t>日至202</w:t>
            </w:r>
            <w:r>
              <w:rPr>
                <w:rFonts w:hint="eastAsia" w:ascii="仿宋" w:hAnsi="仿宋" w:eastAsia="仿宋" w:cs="仿宋"/>
                <w:color w:val="auto"/>
                <w:kern w:val="0"/>
                <w:sz w:val="28"/>
                <w:szCs w:val="28"/>
                <w:highlight w:val="none"/>
                <w:u w:val="single"/>
                <w:lang w:val="en-US" w:eastAsia="zh-CN" w:bidi="ar"/>
              </w:rPr>
              <w:t>5</w:t>
            </w:r>
            <w:r>
              <w:rPr>
                <w:rFonts w:hint="eastAsia" w:ascii="仿宋" w:hAnsi="仿宋" w:eastAsia="仿宋" w:cs="仿宋"/>
                <w:color w:val="auto"/>
                <w:kern w:val="0"/>
                <w:sz w:val="28"/>
                <w:szCs w:val="28"/>
                <w:highlight w:val="none"/>
                <w:u w:val="single"/>
                <w:lang w:bidi="ar"/>
              </w:rPr>
              <w:t>年</w:t>
            </w:r>
            <w:r>
              <w:rPr>
                <w:rFonts w:hint="eastAsia" w:ascii="仿宋" w:hAnsi="仿宋" w:eastAsia="仿宋" w:cs="仿宋"/>
                <w:color w:val="auto"/>
                <w:kern w:val="0"/>
                <w:sz w:val="28"/>
                <w:szCs w:val="28"/>
                <w:highlight w:val="none"/>
                <w:u w:val="single"/>
                <w:lang w:val="en-US" w:eastAsia="zh-CN" w:bidi="ar"/>
              </w:rPr>
              <w:t>07</w:t>
            </w:r>
            <w:r>
              <w:rPr>
                <w:rFonts w:hint="eastAsia" w:ascii="仿宋" w:hAnsi="仿宋" w:eastAsia="仿宋" w:cs="仿宋"/>
                <w:color w:val="auto"/>
                <w:kern w:val="0"/>
                <w:sz w:val="28"/>
                <w:szCs w:val="28"/>
                <w:highlight w:val="none"/>
                <w:u w:val="single"/>
                <w:lang w:bidi="ar"/>
              </w:rPr>
              <w:t>月</w:t>
            </w:r>
            <w:r>
              <w:rPr>
                <w:rFonts w:hint="eastAsia" w:ascii="仿宋" w:hAnsi="仿宋" w:eastAsia="仿宋" w:cs="仿宋"/>
                <w:color w:val="auto"/>
                <w:kern w:val="0"/>
                <w:sz w:val="28"/>
                <w:szCs w:val="28"/>
                <w:highlight w:val="none"/>
                <w:u w:val="single"/>
                <w:lang w:val="en-US" w:eastAsia="zh-CN" w:bidi="ar"/>
              </w:rPr>
              <w:t>08</w:t>
            </w:r>
            <w:r>
              <w:rPr>
                <w:rFonts w:hint="eastAsia" w:ascii="仿宋" w:hAnsi="仿宋" w:eastAsia="仿宋" w:cs="仿宋"/>
                <w:color w:val="auto"/>
                <w:kern w:val="0"/>
                <w:sz w:val="28"/>
                <w:szCs w:val="28"/>
                <w:highlight w:val="none"/>
                <w:u w:val="single"/>
                <w:lang w:bidi="ar"/>
              </w:rPr>
              <w:t>日，每天上午10:00至14:00，下午</w:t>
            </w:r>
            <w:r>
              <w:rPr>
                <w:rFonts w:hint="eastAsia" w:ascii="仿宋" w:hAnsi="仿宋" w:eastAsia="仿宋" w:cs="仿宋"/>
                <w:color w:val="auto"/>
                <w:kern w:val="0"/>
                <w:sz w:val="28"/>
                <w:szCs w:val="28"/>
                <w:highlight w:val="none"/>
                <w:u w:val="single"/>
                <w:lang w:val="en-US" w:eastAsia="zh-CN" w:bidi="ar"/>
              </w:rPr>
              <w:t>16</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w:t>
            </w:r>
            <w:r>
              <w:rPr>
                <w:rFonts w:hint="eastAsia" w:ascii="仿宋" w:hAnsi="仿宋" w:eastAsia="仿宋" w:cs="仿宋"/>
                <w:color w:val="auto"/>
                <w:kern w:val="0"/>
                <w:sz w:val="28"/>
                <w:szCs w:val="28"/>
                <w:highlight w:val="none"/>
                <w:u w:val="single"/>
                <w:lang w:bidi="ar"/>
              </w:rPr>
              <w:t>0至</w:t>
            </w:r>
            <w:r>
              <w:rPr>
                <w:rFonts w:hint="eastAsia" w:ascii="仿宋" w:hAnsi="仿宋" w:eastAsia="仿宋" w:cs="仿宋"/>
                <w:color w:val="auto"/>
                <w:kern w:val="0"/>
                <w:sz w:val="28"/>
                <w:szCs w:val="28"/>
                <w:highlight w:val="none"/>
                <w:u w:val="single"/>
                <w:lang w:val="en-US" w:eastAsia="zh-CN" w:bidi="ar"/>
              </w:rPr>
              <w:t>20</w:t>
            </w:r>
            <w:r>
              <w:rPr>
                <w:rFonts w:hint="eastAsia" w:ascii="仿宋" w:hAnsi="仿宋" w:eastAsia="仿宋" w:cs="仿宋"/>
                <w:color w:val="auto"/>
                <w:kern w:val="0"/>
                <w:sz w:val="28"/>
                <w:szCs w:val="28"/>
                <w:highlight w:val="none"/>
                <w:u w:val="single"/>
                <w:lang w:bidi="ar"/>
              </w:rPr>
              <w:t>:</w:t>
            </w:r>
            <w:r>
              <w:rPr>
                <w:rFonts w:hint="eastAsia" w:ascii="仿宋" w:hAnsi="仿宋" w:eastAsia="仿宋" w:cs="仿宋"/>
                <w:color w:val="auto"/>
                <w:kern w:val="0"/>
                <w:sz w:val="28"/>
                <w:szCs w:val="28"/>
                <w:highlight w:val="none"/>
                <w:u w:val="single"/>
                <w:lang w:val="en-US" w:eastAsia="zh-CN" w:bidi="ar"/>
              </w:rPr>
              <w:t>00</w:t>
            </w:r>
            <w:r>
              <w:rPr>
                <w:rFonts w:hint="eastAsia" w:ascii="仿宋" w:hAnsi="仿宋" w:eastAsia="仿宋" w:cs="仿宋"/>
                <w:color w:val="auto"/>
                <w:kern w:val="0"/>
                <w:sz w:val="28"/>
                <w:szCs w:val="28"/>
                <w:highlight w:val="none"/>
                <w:u w:val="single"/>
                <w:lang w:bidi="ar"/>
              </w:rPr>
              <w:t>北京时间（法定节假日除外）</w:t>
            </w:r>
            <w:r>
              <w:rPr>
                <w:rFonts w:hint="eastAsia" w:ascii="仿宋" w:hAnsi="仿宋" w:eastAsia="仿宋" w:cs="仿宋"/>
                <w:color w:val="auto"/>
                <w:sz w:val="28"/>
                <w:szCs w:val="28"/>
                <w:highlight w:val="none"/>
                <w:u w:val="single"/>
                <w:lang w:val="zh-CN" w:eastAsia="zh-CN"/>
              </w:rPr>
              <w:t>。</w:t>
            </w:r>
          </w:p>
        </w:tc>
      </w:tr>
      <w:tr w14:paraId="57002EF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315" w:hRule="atLeast"/>
          <w:jc w:val="center"/>
        </w:trPr>
        <w:tc>
          <w:tcPr>
            <w:tcW w:w="811" w:type="dxa"/>
            <w:tcBorders>
              <w:top w:val="single" w:color="auto" w:sz="8" w:space="0"/>
              <w:bottom w:val="single" w:color="auto" w:sz="8" w:space="0"/>
              <w:right w:val="single" w:color="auto" w:sz="8" w:space="0"/>
            </w:tcBorders>
            <w:noWrap w:val="0"/>
            <w:vAlign w:val="center"/>
          </w:tcPr>
          <w:p w14:paraId="732A7E88">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91F8721">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投标截止时间</w:t>
            </w:r>
            <w:r>
              <w:rPr>
                <w:rFonts w:hint="eastAsia" w:ascii="仿宋" w:hAnsi="仿宋" w:eastAsia="仿宋" w:cs="仿宋"/>
                <w:b w:val="0"/>
                <w:bCs w:val="0"/>
                <w:color w:val="auto"/>
                <w:sz w:val="28"/>
                <w:szCs w:val="28"/>
                <w:highlight w:val="none"/>
                <w:lang w:val="en-US" w:eastAsia="zh-CN"/>
              </w:rPr>
              <w:t>及</w:t>
            </w:r>
            <w:r>
              <w:rPr>
                <w:rFonts w:hint="eastAsia" w:ascii="仿宋" w:hAnsi="仿宋" w:eastAsia="仿宋" w:cs="仿宋"/>
                <w:b w:val="0"/>
                <w:bCs w:val="0"/>
                <w:color w:val="auto"/>
                <w:sz w:val="28"/>
                <w:szCs w:val="28"/>
                <w:highlight w:val="none"/>
                <w:lang w:val="zh-CN"/>
              </w:rPr>
              <w:t>递交投标文件地点</w:t>
            </w:r>
          </w:p>
        </w:tc>
        <w:tc>
          <w:tcPr>
            <w:tcW w:w="7077" w:type="dxa"/>
            <w:tcBorders>
              <w:top w:val="single" w:color="auto" w:sz="8" w:space="0"/>
              <w:left w:val="single" w:color="auto" w:sz="8" w:space="0"/>
              <w:bottom w:val="single" w:color="auto" w:sz="8" w:space="0"/>
            </w:tcBorders>
            <w:noWrap w:val="0"/>
            <w:vAlign w:val="center"/>
          </w:tcPr>
          <w:p w14:paraId="48D09F29">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投标截止时间：</w:t>
            </w:r>
            <w:r>
              <w:rPr>
                <w:rFonts w:hint="eastAsia" w:ascii="仿宋" w:hAnsi="仿宋" w:eastAsia="仿宋" w:cs="仿宋"/>
                <w:color w:val="auto"/>
                <w:sz w:val="28"/>
                <w:szCs w:val="28"/>
                <w:highlight w:val="none"/>
                <w:u w:val="single"/>
                <w:lang w:val="en-US" w:eastAsia="zh-CN"/>
              </w:rPr>
              <w:t>2025年07月23日（北京时间11 :00分 ）</w:t>
            </w:r>
            <w:r>
              <w:rPr>
                <w:rFonts w:hint="eastAsia" w:ascii="仿宋" w:hAnsi="仿宋" w:eastAsia="仿宋" w:cs="仿宋"/>
                <w:color w:val="auto"/>
                <w:sz w:val="28"/>
                <w:szCs w:val="28"/>
                <w:highlight w:val="none"/>
                <w:lang w:val="en-US" w:eastAsia="zh-CN"/>
              </w:rPr>
              <w:t>。</w:t>
            </w:r>
          </w:p>
          <w:p w14:paraId="44BF86B2">
            <w:pPr>
              <w:keepNext w:val="0"/>
              <w:keepLines w:val="0"/>
              <w:pageBreakBefore w:val="0"/>
              <w:widowControl/>
              <w:kinsoku/>
              <w:wordWrap/>
              <w:overflowPunct/>
              <w:topLinePunct w:val="0"/>
              <w:bidi w:val="0"/>
              <w:snapToGrid/>
              <w:spacing w:line="390" w:lineRule="exact"/>
              <w:ind w:right="0" w:rightChars="0"/>
              <w:jc w:val="left"/>
              <w:textAlignment w:val="auto"/>
              <w:rPr>
                <w:rFonts w:hint="eastAsia"/>
                <w:color w:val="auto"/>
                <w:sz w:val="28"/>
                <w:szCs w:val="28"/>
                <w:lang w:eastAsia="zh-CN"/>
              </w:rPr>
            </w:pPr>
            <w:r>
              <w:rPr>
                <w:rFonts w:hint="eastAsia" w:ascii="仿宋" w:hAnsi="仿宋" w:eastAsia="仿宋" w:cs="仿宋"/>
                <w:color w:val="auto"/>
                <w:sz w:val="28"/>
                <w:szCs w:val="28"/>
                <w:highlight w:val="none"/>
                <w:lang w:val="zh-CN" w:eastAsia="zh-CN"/>
              </w:rPr>
              <w:t>递交投标文件地点：请登录政采云投标客户端，在截止时间前将加密的电子投标文件上传到新疆政府采购网对应的位置（逾期上传或者未上传指定地点的投标文件，采购人不予受理）</w:t>
            </w:r>
          </w:p>
        </w:tc>
      </w:tr>
      <w:tr w14:paraId="0FA7AA7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62" w:hRule="atLeast"/>
          <w:jc w:val="center"/>
        </w:trPr>
        <w:tc>
          <w:tcPr>
            <w:tcW w:w="811" w:type="dxa"/>
            <w:tcBorders>
              <w:top w:val="single" w:color="auto" w:sz="8" w:space="0"/>
              <w:bottom w:val="single" w:color="auto" w:sz="8" w:space="0"/>
              <w:right w:val="single" w:color="auto" w:sz="8" w:space="0"/>
            </w:tcBorders>
            <w:noWrap w:val="0"/>
            <w:vAlign w:val="center"/>
          </w:tcPr>
          <w:p w14:paraId="06F6AA25">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3E08F2D">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开标时间</w:t>
            </w:r>
            <w:r>
              <w:rPr>
                <w:rFonts w:hint="eastAsia" w:ascii="仿宋" w:hAnsi="仿宋" w:eastAsia="仿宋" w:cs="仿宋"/>
                <w:b w:val="0"/>
                <w:bCs w:val="0"/>
                <w:color w:val="auto"/>
                <w:sz w:val="28"/>
                <w:szCs w:val="28"/>
                <w:highlight w:val="none"/>
                <w:lang w:val="en-US" w:eastAsia="zh-CN"/>
              </w:rPr>
              <w:t>及开标地点</w:t>
            </w:r>
          </w:p>
        </w:tc>
        <w:tc>
          <w:tcPr>
            <w:tcW w:w="7077" w:type="dxa"/>
            <w:tcBorders>
              <w:top w:val="single" w:color="auto" w:sz="8" w:space="0"/>
              <w:left w:val="single" w:color="auto" w:sz="8" w:space="0"/>
              <w:bottom w:val="single" w:color="auto" w:sz="8" w:space="0"/>
            </w:tcBorders>
            <w:noWrap w:val="0"/>
            <w:vAlign w:val="center"/>
          </w:tcPr>
          <w:p w14:paraId="04FCF074">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开标时间：</w:t>
            </w:r>
            <w:r>
              <w:rPr>
                <w:rFonts w:hint="eastAsia" w:ascii="仿宋" w:hAnsi="仿宋" w:eastAsia="仿宋" w:cs="仿宋"/>
                <w:color w:val="auto"/>
                <w:sz w:val="28"/>
                <w:szCs w:val="28"/>
                <w:highlight w:val="none"/>
                <w:u w:val="single"/>
                <w:lang w:val="zh-CN" w:eastAsia="zh-CN"/>
              </w:rPr>
              <w:t>202</w:t>
            </w:r>
            <w:r>
              <w:rPr>
                <w:rFonts w:hint="eastAsia" w:ascii="仿宋" w:hAnsi="仿宋" w:eastAsia="仿宋" w:cs="仿宋"/>
                <w:color w:val="auto"/>
                <w:sz w:val="28"/>
                <w:szCs w:val="28"/>
                <w:highlight w:val="none"/>
                <w:u w:val="single"/>
                <w:lang w:val="en-US" w:eastAsia="zh-CN"/>
              </w:rPr>
              <w:t>5</w:t>
            </w:r>
            <w:r>
              <w:rPr>
                <w:rFonts w:hint="eastAsia" w:ascii="仿宋" w:hAnsi="仿宋" w:eastAsia="仿宋" w:cs="仿宋"/>
                <w:color w:val="auto"/>
                <w:sz w:val="28"/>
                <w:szCs w:val="28"/>
                <w:highlight w:val="none"/>
                <w:u w:val="single"/>
                <w:lang w:val="zh-CN" w:eastAsia="zh-CN"/>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lang w:val="zh-CN" w:eastAsia="zh-CN"/>
              </w:rPr>
              <w:t>月</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lang w:val="zh-CN" w:eastAsia="zh-CN"/>
              </w:rPr>
              <w:t>日（北京时间</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lang w:val="zh-CN" w:eastAsia="zh-CN"/>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lang w:val="zh-CN" w:eastAsia="zh-CN"/>
              </w:rPr>
              <w:t>0分）</w:t>
            </w:r>
            <w:r>
              <w:rPr>
                <w:rFonts w:hint="eastAsia" w:ascii="仿宋" w:hAnsi="仿宋" w:eastAsia="仿宋" w:cs="仿宋"/>
                <w:color w:val="auto"/>
                <w:sz w:val="28"/>
                <w:szCs w:val="28"/>
                <w:highlight w:val="none"/>
                <w:lang w:val="zh-CN" w:eastAsia="zh-CN"/>
              </w:rPr>
              <w:t>　　　    　</w:t>
            </w:r>
          </w:p>
          <w:p w14:paraId="53A6C27E">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开标地点</w:t>
            </w:r>
            <w:r>
              <w:rPr>
                <w:rFonts w:hint="eastAsia" w:ascii="仿宋" w:hAnsi="仿宋" w:eastAsia="仿宋" w:cs="仿宋"/>
                <w:color w:val="auto"/>
                <w:sz w:val="28"/>
                <w:szCs w:val="28"/>
                <w:highlight w:val="none"/>
                <w:lang w:val="zh-CN" w:eastAsia="zh-CN"/>
              </w:rPr>
              <w:t>：政采云平台（http://www.ccgp-xinjiang.gov.cn/）</w:t>
            </w:r>
          </w:p>
          <w:p w14:paraId="34CE164E">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eastAsia="zh-CN"/>
              </w:rPr>
              <w:t>开标时间后30分钟内供应商可以登录“政采云”平台，用“项目采购-开标评标”功能进行解密响应文件，解密时长为：30分钟。</w:t>
            </w:r>
          </w:p>
        </w:tc>
      </w:tr>
      <w:tr w14:paraId="66BCC05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bottom w:val="single" w:color="auto" w:sz="8" w:space="0"/>
              <w:right w:val="single" w:color="auto" w:sz="8" w:space="0"/>
            </w:tcBorders>
            <w:noWrap w:val="0"/>
            <w:vAlign w:val="center"/>
          </w:tcPr>
          <w:p w14:paraId="6C865FA5">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0C2083D">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考察现场、标前答疑会</w:t>
            </w:r>
          </w:p>
        </w:tc>
        <w:tc>
          <w:tcPr>
            <w:tcW w:w="7077" w:type="dxa"/>
            <w:tcBorders>
              <w:top w:val="single" w:color="auto" w:sz="8" w:space="0"/>
              <w:left w:val="single" w:color="auto" w:sz="8" w:space="0"/>
              <w:bottom w:val="single" w:color="auto" w:sz="8" w:space="0"/>
            </w:tcBorders>
            <w:noWrap w:val="0"/>
            <w:vAlign w:val="center"/>
          </w:tcPr>
          <w:p w14:paraId="5BEB2831">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sym w:font="Wingdings 2" w:char="0052"/>
            </w:r>
            <w:r>
              <w:rPr>
                <w:rFonts w:hint="eastAsia" w:ascii="仿宋" w:hAnsi="仿宋" w:eastAsia="仿宋" w:cs="仿宋"/>
                <w:color w:val="auto"/>
                <w:sz w:val="28"/>
                <w:szCs w:val="28"/>
                <w:highlight w:val="none"/>
                <w:lang w:val="zh-CN"/>
              </w:rPr>
              <w:t>不组织</w:t>
            </w:r>
          </w:p>
          <w:p w14:paraId="6ADB3422">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□组织，时间、地点另行书面通知</w:t>
            </w:r>
          </w:p>
        </w:tc>
      </w:tr>
      <w:tr w14:paraId="47A69EB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bottom w:val="single" w:color="auto" w:sz="8" w:space="0"/>
              <w:right w:val="single" w:color="auto" w:sz="8" w:space="0"/>
            </w:tcBorders>
            <w:noWrap w:val="0"/>
            <w:vAlign w:val="center"/>
          </w:tcPr>
          <w:p w14:paraId="504A2A2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8B838DB">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转包与分包履约</w:t>
            </w:r>
          </w:p>
        </w:tc>
        <w:tc>
          <w:tcPr>
            <w:tcW w:w="7077" w:type="dxa"/>
            <w:tcBorders>
              <w:top w:val="single" w:color="auto" w:sz="8" w:space="0"/>
              <w:left w:val="single" w:color="auto" w:sz="8" w:space="0"/>
              <w:bottom w:val="single" w:color="auto" w:sz="8" w:space="0"/>
            </w:tcBorders>
            <w:noWrap w:val="0"/>
            <w:vAlign w:val="center"/>
          </w:tcPr>
          <w:p w14:paraId="2E1E52C5">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不得转包</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不允许分包。</w:t>
            </w:r>
          </w:p>
        </w:tc>
      </w:tr>
      <w:tr w14:paraId="40C9621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6" w:hRule="atLeast"/>
          <w:jc w:val="center"/>
        </w:trPr>
        <w:tc>
          <w:tcPr>
            <w:tcW w:w="811" w:type="dxa"/>
            <w:tcBorders>
              <w:top w:val="single" w:color="auto" w:sz="8" w:space="0"/>
              <w:bottom w:val="single" w:color="auto" w:sz="8" w:space="0"/>
              <w:right w:val="single" w:color="auto" w:sz="8" w:space="0"/>
            </w:tcBorders>
            <w:noWrap w:val="0"/>
            <w:vAlign w:val="center"/>
          </w:tcPr>
          <w:p w14:paraId="34865D39">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ABB7DD7">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付款方式</w:t>
            </w:r>
          </w:p>
        </w:tc>
        <w:tc>
          <w:tcPr>
            <w:tcW w:w="7077" w:type="dxa"/>
            <w:tcBorders>
              <w:top w:val="single" w:color="auto" w:sz="8" w:space="0"/>
              <w:left w:val="single" w:color="auto" w:sz="8" w:space="0"/>
              <w:bottom w:val="single" w:color="auto" w:sz="8" w:space="0"/>
            </w:tcBorders>
            <w:noWrap w:val="0"/>
            <w:vAlign w:val="center"/>
          </w:tcPr>
          <w:p w14:paraId="45F041CA">
            <w:pPr>
              <w:keepNext w:val="0"/>
              <w:keepLines w:val="0"/>
              <w:pageBreakBefore w:val="0"/>
              <w:widowControl/>
              <w:kinsoku/>
              <w:wordWrap/>
              <w:overflowPunct/>
              <w:topLinePunct w:val="0"/>
              <w:bidi w:val="0"/>
              <w:snapToGrid/>
              <w:spacing w:line="390" w:lineRule="exact"/>
              <w:ind w:right="0" w:rightChars="0"/>
              <w:jc w:val="left"/>
              <w:textAlignment w:val="auto"/>
              <w:rPr>
                <w:rFonts w:hint="eastAsia" w:ascii="仿宋" w:hAnsi="仿宋" w:eastAsia="仿宋" w:cs="仿宋"/>
                <w:b/>
                <w:bCs/>
                <w:color w:val="auto"/>
                <w:sz w:val="28"/>
                <w:szCs w:val="28"/>
                <w:highlight w:val="none"/>
                <w:lang w:val="zh-CN"/>
              </w:rPr>
            </w:pPr>
            <w:r>
              <w:rPr>
                <w:rFonts w:hint="eastAsia" w:ascii="仿宋" w:hAnsi="仿宋" w:eastAsia="仿宋" w:cs="仿宋"/>
                <w:color w:val="auto"/>
                <w:sz w:val="28"/>
                <w:szCs w:val="28"/>
                <w:highlight w:val="none"/>
                <w:lang w:val="en-US" w:eastAsia="zh-CN"/>
              </w:rPr>
              <w:t>支付比例100%,①计费方式：结算价=参考单价×实际数量×报价统一折扣率，不得借故加价或要求任何附加费用。②结算时间：每季度结算一次；③结算依据：以每次提供的货物清单、增值税专用发票为准</w:t>
            </w:r>
            <w:r>
              <w:rPr>
                <w:rFonts w:hint="eastAsia" w:ascii="仿宋" w:hAnsi="仿宋" w:eastAsia="仿宋" w:cs="仿宋"/>
                <w:b w:val="0"/>
                <w:bCs w:val="0"/>
                <w:color w:val="auto"/>
                <w:sz w:val="28"/>
                <w:szCs w:val="28"/>
                <w:highlight w:val="none"/>
                <w:lang w:val="en-US" w:eastAsia="zh-CN"/>
              </w:rPr>
              <w:t>，采购人在收到中标人的上述凭证后，15天内办理支付手续。（备注：</w:t>
            </w:r>
            <w:r>
              <w:rPr>
                <w:rFonts w:hint="eastAsia" w:ascii="仿宋" w:hAnsi="仿宋" w:eastAsia="仿宋" w:cs="仿宋"/>
                <w:b w:val="0"/>
                <w:bCs w:val="0"/>
                <w:color w:val="auto"/>
                <w:kern w:val="0"/>
                <w:sz w:val="28"/>
                <w:szCs w:val="28"/>
                <w:highlight w:val="none"/>
                <w:lang w:val="en-US" w:eastAsia="zh-CN" w:bidi="ar-SA"/>
              </w:rPr>
              <w:t>最终付款方式以和甲方单位签订合同为主。</w:t>
            </w:r>
            <w:r>
              <w:rPr>
                <w:rFonts w:hint="eastAsia" w:ascii="仿宋" w:hAnsi="仿宋" w:eastAsia="仿宋" w:cs="仿宋"/>
                <w:b w:val="0"/>
                <w:bCs w:val="0"/>
                <w:color w:val="auto"/>
                <w:sz w:val="28"/>
                <w:szCs w:val="28"/>
                <w:highlight w:val="none"/>
                <w:lang w:val="en-US" w:eastAsia="zh-CN"/>
              </w:rPr>
              <w:t>）</w:t>
            </w:r>
          </w:p>
        </w:tc>
      </w:tr>
      <w:tr w14:paraId="28EB915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811" w:type="dxa"/>
            <w:tcBorders>
              <w:top w:val="single" w:color="auto" w:sz="8" w:space="0"/>
              <w:bottom w:val="single" w:color="auto" w:sz="8" w:space="0"/>
              <w:right w:val="single" w:color="auto" w:sz="8" w:space="0"/>
            </w:tcBorders>
            <w:noWrap w:val="0"/>
            <w:vAlign w:val="center"/>
          </w:tcPr>
          <w:p w14:paraId="650B94C8">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214DF16">
            <w:pPr>
              <w:pStyle w:val="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招标文件澄清</w:t>
            </w:r>
          </w:p>
          <w:p w14:paraId="25A046D8">
            <w:pPr>
              <w:pStyle w:val="8"/>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或修改时间、形式</w:t>
            </w:r>
          </w:p>
        </w:tc>
        <w:tc>
          <w:tcPr>
            <w:tcW w:w="7077" w:type="dxa"/>
            <w:tcBorders>
              <w:top w:val="single" w:color="auto" w:sz="8" w:space="0"/>
              <w:left w:val="single" w:color="auto" w:sz="8" w:space="0"/>
              <w:bottom w:val="single" w:color="auto" w:sz="8" w:space="0"/>
            </w:tcBorders>
            <w:noWrap w:val="0"/>
            <w:vAlign w:val="center"/>
          </w:tcPr>
          <w:p w14:paraId="00419666">
            <w:pPr>
              <w:pStyle w:val="8"/>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rPr>
              <w:t>时间：</w:t>
            </w:r>
            <w:r>
              <w:rPr>
                <w:rFonts w:hint="eastAsia" w:ascii="仿宋" w:hAnsi="仿宋" w:eastAsia="仿宋" w:cs="仿宋"/>
                <w:color w:val="auto"/>
                <w:sz w:val="28"/>
                <w:szCs w:val="28"/>
                <w:highlight w:val="none"/>
              </w:rPr>
              <w:t>递交投标文件</w:t>
            </w:r>
            <w:r>
              <w:rPr>
                <w:rFonts w:hint="eastAsia" w:ascii="仿宋" w:hAnsi="仿宋" w:eastAsia="仿宋" w:cs="仿宋"/>
                <w:color w:val="auto"/>
                <w:sz w:val="28"/>
                <w:szCs w:val="28"/>
                <w:highlight w:val="none"/>
                <w:lang w:eastAsia="zh-CN"/>
              </w:rPr>
              <w:t>截止</w:t>
            </w:r>
            <w:r>
              <w:rPr>
                <w:rFonts w:hint="eastAsia" w:ascii="仿宋" w:hAnsi="仿宋" w:eastAsia="仿宋" w:cs="仿宋"/>
                <w:color w:val="auto"/>
                <w:sz w:val="28"/>
                <w:szCs w:val="28"/>
                <w:highlight w:val="none"/>
              </w:rPr>
              <w:t>时间15日前</w:t>
            </w:r>
            <w:r>
              <w:rPr>
                <w:rFonts w:hint="eastAsia" w:ascii="仿宋" w:hAnsi="仿宋" w:eastAsia="仿宋" w:cs="仿宋"/>
                <w:color w:val="auto"/>
                <w:sz w:val="28"/>
                <w:szCs w:val="28"/>
                <w:highlight w:val="none"/>
                <w:lang w:val="en-US" w:eastAsia="zh-CN"/>
              </w:rPr>
              <w:t>。</w:t>
            </w:r>
          </w:p>
          <w:p w14:paraId="55ED042F">
            <w:pPr>
              <w:pStyle w:val="8"/>
              <w:keepNext w:val="0"/>
              <w:keepLines w:val="0"/>
              <w:pageBreakBefore w:val="0"/>
              <w:kinsoku/>
              <w:wordWrap/>
              <w:overflowPunct/>
              <w:topLinePunct w:val="0"/>
              <w:bidi w:val="0"/>
              <w:snapToGrid/>
              <w:spacing w:line="390" w:lineRule="exact"/>
              <w:ind w:left="0" w:leftChars="0" w:right="0" w:rightChars="0" w:firstLine="0" w:firstLineChars="0"/>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形式：</w:t>
            </w:r>
            <w:r>
              <w:rPr>
                <w:rFonts w:hint="eastAsia" w:ascii="仿宋" w:hAnsi="仿宋" w:eastAsia="仿宋" w:cs="仿宋"/>
                <w:color w:val="auto"/>
                <w:sz w:val="28"/>
                <w:szCs w:val="28"/>
                <w:highlight w:val="none"/>
                <w:lang w:eastAsia="zh-CN"/>
              </w:rPr>
              <w:t>政采云平</w:t>
            </w:r>
            <w:r>
              <w:rPr>
                <w:rFonts w:hint="eastAsia" w:ascii="仿宋" w:hAnsi="仿宋" w:eastAsia="仿宋" w:cs="仿宋"/>
                <w:color w:val="auto"/>
                <w:sz w:val="28"/>
                <w:szCs w:val="28"/>
                <w:highlight w:val="none"/>
                <w:lang w:val="en-US" w:eastAsia="zh-CN"/>
              </w:rPr>
              <w:t>台发布更正澄清公告</w:t>
            </w:r>
            <w:r>
              <w:rPr>
                <w:rFonts w:hint="eastAsia" w:ascii="仿宋" w:hAnsi="仿宋" w:eastAsia="仿宋" w:cs="仿宋"/>
                <w:color w:val="auto"/>
                <w:sz w:val="28"/>
                <w:szCs w:val="28"/>
                <w:highlight w:val="none"/>
                <w:lang w:eastAsia="zh-CN"/>
              </w:rPr>
              <w:t>。</w:t>
            </w:r>
          </w:p>
        </w:tc>
      </w:tr>
      <w:tr w14:paraId="709F602E">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bottom w:val="single" w:color="auto" w:sz="8" w:space="0"/>
              <w:right w:val="single" w:color="auto" w:sz="8" w:space="0"/>
            </w:tcBorders>
            <w:noWrap w:val="0"/>
            <w:vAlign w:val="center"/>
          </w:tcPr>
          <w:p w14:paraId="1548CC37">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62102E5">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构成招标文件的</w:t>
            </w:r>
          </w:p>
          <w:p w14:paraId="7367A28D">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其他文件</w:t>
            </w:r>
          </w:p>
        </w:tc>
        <w:tc>
          <w:tcPr>
            <w:tcW w:w="7077" w:type="dxa"/>
            <w:tcBorders>
              <w:top w:val="single" w:color="auto" w:sz="8" w:space="0"/>
              <w:left w:val="single" w:color="auto" w:sz="8" w:space="0"/>
              <w:bottom w:val="single" w:color="auto" w:sz="8" w:space="0"/>
            </w:tcBorders>
            <w:noWrap w:val="0"/>
            <w:vAlign w:val="center"/>
          </w:tcPr>
          <w:p w14:paraId="22EB9053">
            <w:pPr>
              <w:pStyle w:val="36"/>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rPr>
              <w:t>招标文件的澄清</w:t>
            </w:r>
            <w:r>
              <w:rPr>
                <w:rFonts w:hint="eastAsia" w:ascii="仿宋" w:hAnsi="仿宋" w:eastAsia="仿宋" w:cs="仿宋"/>
                <w:color w:val="auto"/>
                <w:sz w:val="28"/>
                <w:szCs w:val="28"/>
                <w:highlight w:val="none"/>
              </w:rPr>
              <w:t>、修改及有关补充通知为招标文件的有效组成部分</w:t>
            </w:r>
            <w:r>
              <w:rPr>
                <w:rFonts w:hint="eastAsia" w:ascii="仿宋" w:hAnsi="仿宋" w:eastAsia="仿宋" w:cs="仿宋"/>
                <w:color w:val="auto"/>
                <w:sz w:val="28"/>
                <w:szCs w:val="28"/>
                <w:highlight w:val="none"/>
                <w:lang w:eastAsia="zh-CN"/>
              </w:rPr>
              <w:t>。</w:t>
            </w:r>
          </w:p>
        </w:tc>
      </w:tr>
      <w:tr w14:paraId="2A17BE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bottom w:val="single" w:color="auto" w:sz="8" w:space="0"/>
              <w:right w:val="single" w:color="auto" w:sz="8" w:space="0"/>
            </w:tcBorders>
            <w:noWrap w:val="0"/>
            <w:vAlign w:val="center"/>
          </w:tcPr>
          <w:p w14:paraId="3B0036F5">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B991FB3">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投标人对招标文件提出质疑的时间、形式</w:t>
            </w:r>
          </w:p>
        </w:tc>
        <w:tc>
          <w:tcPr>
            <w:tcW w:w="7077" w:type="dxa"/>
            <w:tcBorders>
              <w:top w:val="single" w:color="auto" w:sz="8" w:space="0"/>
              <w:left w:val="single" w:color="auto" w:sz="8" w:space="0"/>
              <w:bottom w:val="single" w:color="auto" w:sz="8" w:space="0"/>
            </w:tcBorders>
            <w:noWrap w:val="0"/>
            <w:vAlign w:val="center"/>
          </w:tcPr>
          <w:p w14:paraId="32081904">
            <w:pPr>
              <w:pStyle w:val="36"/>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时间：自投标人收到招标文件之日起7个工作日内，超过期限的采购人或采购代理机构不再受理。</w:t>
            </w:r>
          </w:p>
          <w:p w14:paraId="3C9601FA">
            <w:pPr>
              <w:pStyle w:val="36"/>
              <w:keepNext w:val="0"/>
              <w:keepLines w:val="0"/>
              <w:pageBreakBefore w:val="0"/>
              <w:widowControl w:val="0"/>
              <w:kinsoku/>
              <w:wordWrap/>
              <w:overflowPunct/>
              <w:topLinePunct w:val="0"/>
              <w:autoSpaceDE w:val="0"/>
              <w:autoSpaceDN w:val="0"/>
              <w:bidi w:val="0"/>
              <w:adjustRightInd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形式：书面形式。</w:t>
            </w:r>
          </w:p>
        </w:tc>
      </w:tr>
      <w:tr w14:paraId="144E3A7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239" w:hRule="exact"/>
          <w:jc w:val="center"/>
        </w:trPr>
        <w:tc>
          <w:tcPr>
            <w:tcW w:w="811" w:type="dxa"/>
            <w:tcBorders>
              <w:top w:val="single" w:color="auto" w:sz="8" w:space="0"/>
              <w:bottom w:val="single" w:color="auto" w:sz="8" w:space="0"/>
              <w:right w:val="single" w:color="auto" w:sz="8" w:space="0"/>
            </w:tcBorders>
            <w:noWrap w:val="0"/>
            <w:vAlign w:val="center"/>
          </w:tcPr>
          <w:p w14:paraId="7848044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80CF0D6">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对投标人提出质疑答复时间、形式</w:t>
            </w:r>
          </w:p>
        </w:tc>
        <w:tc>
          <w:tcPr>
            <w:tcW w:w="7077" w:type="dxa"/>
            <w:tcBorders>
              <w:top w:val="single" w:color="auto" w:sz="8" w:space="0"/>
              <w:left w:val="single" w:color="auto" w:sz="8" w:space="0"/>
              <w:bottom w:val="single" w:color="auto" w:sz="8" w:space="0"/>
            </w:tcBorders>
            <w:noWrap w:val="0"/>
            <w:vAlign w:val="center"/>
          </w:tcPr>
          <w:p w14:paraId="071B69BE">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时间：自收到投标人质疑函之日起7个工作日内。</w:t>
            </w:r>
          </w:p>
          <w:p w14:paraId="6B2FBF66">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形式：书面形式。</w:t>
            </w:r>
          </w:p>
        </w:tc>
      </w:tr>
      <w:tr w14:paraId="44A5996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45" w:hRule="exact"/>
          <w:jc w:val="center"/>
        </w:trPr>
        <w:tc>
          <w:tcPr>
            <w:tcW w:w="811" w:type="dxa"/>
            <w:tcBorders>
              <w:top w:val="single" w:color="auto" w:sz="8" w:space="0"/>
              <w:bottom w:val="single" w:color="auto" w:sz="8" w:space="0"/>
              <w:right w:val="single" w:color="auto" w:sz="8" w:space="0"/>
            </w:tcBorders>
            <w:noWrap w:val="0"/>
            <w:vAlign w:val="center"/>
          </w:tcPr>
          <w:p w14:paraId="0DCC7B32">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C01C778">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投标响应文件有效期</w:t>
            </w:r>
          </w:p>
        </w:tc>
        <w:tc>
          <w:tcPr>
            <w:tcW w:w="7077" w:type="dxa"/>
            <w:tcBorders>
              <w:top w:val="single" w:color="auto" w:sz="8" w:space="0"/>
              <w:left w:val="single" w:color="auto" w:sz="8" w:space="0"/>
              <w:bottom w:val="single" w:color="auto" w:sz="8" w:space="0"/>
            </w:tcBorders>
            <w:noWrap w:val="0"/>
            <w:vAlign w:val="center"/>
          </w:tcPr>
          <w:p w14:paraId="7C2A504A">
            <w:pPr>
              <w:pStyle w:val="36"/>
              <w:keepNext w:val="0"/>
              <w:keepLines w:val="0"/>
              <w:pageBreakBefore w:val="0"/>
              <w:kinsoku/>
              <w:wordWrap/>
              <w:overflowPunct/>
              <w:topLinePunct w:val="0"/>
              <w:bidi w:val="0"/>
              <w:snapToGrid/>
              <w:spacing w:line="390" w:lineRule="exact"/>
              <w:ind w:right="0" w:right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从投标截止日起90</w:t>
            </w:r>
            <w:r>
              <w:rPr>
                <w:rFonts w:hint="eastAsia" w:ascii="仿宋" w:hAnsi="仿宋" w:eastAsia="仿宋" w:cs="仿宋"/>
                <w:color w:val="auto"/>
                <w:sz w:val="28"/>
                <w:szCs w:val="28"/>
                <w:highlight w:val="none"/>
              </w:rPr>
              <w:t>日历</w:t>
            </w:r>
            <w:r>
              <w:rPr>
                <w:rFonts w:hint="eastAsia" w:ascii="仿宋" w:hAnsi="仿宋" w:eastAsia="仿宋" w:cs="仿宋"/>
                <w:color w:val="auto"/>
                <w:sz w:val="28"/>
                <w:szCs w:val="28"/>
                <w:highlight w:val="none"/>
                <w:lang w:val="zh-CN"/>
              </w:rPr>
              <w:t>日</w:t>
            </w:r>
          </w:p>
        </w:tc>
      </w:tr>
      <w:tr w14:paraId="49AC92F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66" w:hRule="exact"/>
          <w:jc w:val="center"/>
        </w:trPr>
        <w:tc>
          <w:tcPr>
            <w:tcW w:w="811" w:type="dxa"/>
            <w:tcBorders>
              <w:top w:val="single" w:color="auto" w:sz="8" w:space="0"/>
              <w:bottom w:val="single" w:color="auto" w:sz="8" w:space="0"/>
              <w:right w:val="single" w:color="auto" w:sz="8" w:space="0"/>
            </w:tcBorders>
            <w:noWrap w:val="0"/>
            <w:vAlign w:val="center"/>
          </w:tcPr>
          <w:p w14:paraId="1BA5CFF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74F132C">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是否允许递交多个</w:t>
            </w:r>
          </w:p>
          <w:p w14:paraId="3803DD89">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备选投标方案</w:t>
            </w:r>
          </w:p>
        </w:tc>
        <w:tc>
          <w:tcPr>
            <w:tcW w:w="7077" w:type="dxa"/>
            <w:tcBorders>
              <w:top w:val="single" w:color="auto" w:sz="8" w:space="0"/>
              <w:left w:val="single" w:color="auto" w:sz="8" w:space="0"/>
              <w:bottom w:val="single" w:color="auto" w:sz="8" w:space="0"/>
            </w:tcBorders>
            <w:noWrap w:val="0"/>
            <w:vAlign w:val="center"/>
          </w:tcPr>
          <w:p w14:paraId="6F05A0B7">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不允许</w:t>
            </w:r>
          </w:p>
        </w:tc>
      </w:tr>
      <w:tr w14:paraId="0C6C22C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811" w:type="dxa"/>
            <w:tcBorders>
              <w:top w:val="single" w:color="auto" w:sz="8" w:space="0"/>
              <w:bottom w:val="single" w:color="auto" w:sz="8" w:space="0"/>
              <w:right w:val="single" w:color="auto" w:sz="8" w:space="0"/>
            </w:tcBorders>
            <w:noWrap w:val="0"/>
            <w:vAlign w:val="center"/>
          </w:tcPr>
          <w:p w14:paraId="0FC203A4">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3DA01016">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投标保证金</w:t>
            </w:r>
          </w:p>
        </w:tc>
        <w:tc>
          <w:tcPr>
            <w:tcW w:w="7077" w:type="dxa"/>
            <w:tcBorders>
              <w:top w:val="single" w:color="auto" w:sz="8" w:space="0"/>
              <w:left w:val="single" w:color="auto" w:sz="8" w:space="0"/>
              <w:bottom w:val="single" w:color="auto" w:sz="8" w:space="0"/>
            </w:tcBorders>
            <w:noWrap w:val="0"/>
            <w:vAlign w:val="center"/>
          </w:tcPr>
          <w:p w14:paraId="44F73904">
            <w:pPr>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是否要求投标人递交投标保证金：要求</w:t>
            </w:r>
          </w:p>
          <w:p w14:paraId="6EC3118E">
            <w:pPr>
              <w:pStyle w:val="16"/>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right="0" w:rightChars="0"/>
              <w:jc w:val="left"/>
              <w:textAlignment w:val="auto"/>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sz w:val="28"/>
                <w:szCs w:val="28"/>
                <w:highlight w:val="none"/>
              </w:rPr>
              <w:t>保证金数额</w:t>
            </w:r>
            <w:r>
              <w:rPr>
                <w:rFonts w:hint="eastAsia" w:ascii="仿宋" w:hAnsi="仿宋" w:eastAsia="仿宋" w:cs="仿宋"/>
                <w:color w:val="auto"/>
                <w:sz w:val="28"/>
                <w:szCs w:val="28"/>
                <w:highlight w:val="none"/>
              </w:rPr>
              <w:t>（按照预算金额2%以内的整数计算）</w:t>
            </w: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2"/>
                <w:sz w:val="28"/>
                <w:szCs w:val="28"/>
                <w:highlight w:val="none"/>
                <w:lang w:val="en-US" w:eastAsia="zh-CN" w:bidi="ar-SA"/>
              </w:rPr>
              <w:t>4000元</w:t>
            </w:r>
          </w:p>
          <w:p w14:paraId="59EE8D7C">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交款方式：投标保证金应当以支票、汇票、本票或者金融机构、担保机构出具的保函等非现金形式提交。银行转账可以采取支票、电汇、网银、汇票、本票等方式，均应从基本账户转出。</w:t>
            </w:r>
          </w:p>
          <w:p w14:paraId="7FA924EA">
            <w:pPr>
              <w:pStyle w:val="64"/>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户    名：新疆长润泽建设工程管理有限公司</w:t>
            </w:r>
          </w:p>
          <w:p w14:paraId="06D38D55">
            <w:pPr>
              <w:pStyle w:val="64"/>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开户行:中信银行股份有限公司伊犁分行</w:t>
            </w:r>
          </w:p>
          <w:p w14:paraId="6CD0F9A4">
            <w:pPr>
              <w:pStyle w:val="64"/>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账号：8113 7010 1270 0221 619</w:t>
            </w:r>
          </w:p>
          <w:p w14:paraId="37B442B2">
            <w:pPr>
              <w:pStyle w:val="64"/>
              <w:keepNext w:val="0"/>
              <w:keepLines w:val="0"/>
              <w:pageBreakBefore w:val="0"/>
              <w:kinsoku/>
              <w:wordWrap/>
              <w:overflowPunct/>
              <w:topLinePunct w:val="0"/>
              <w:bidi w:val="0"/>
              <w:adjustRightInd/>
              <w:spacing w:line="440" w:lineRule="exact"/>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行号：302898000133</w:t>
            </w:r>
          </w:p>
          <w:p w14:paraId="715B78B5">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在递交的投标保证金转账单附注说明中写清：项目名称，投标保证金递交截止时间：</w:t>
            </w:r>
            <w:r>
              <w:rPr>
                <w:rFonts w:hint="eastAsia" w:ascii="仿宋" w:hAnsi="仿宋" w:eastAsia="仿宋" w:cs="仿宋"/>
                <w:b/>
                <w:bCs/>
                <w:color w:val="auto"/>
                <w:kern w:val="2"/>
                <w:sz w:val="28"/>
                <w:szCs w:val="28"/>
                <w:highlight w:val="none"/>
                <w:lang w:val="en-US" w:eastAsia="zh-CN" w:bidi="ar-SA"/>
              </w:rPr>
              <w:t>同提交投标文件截止时间。</w:t>
            </w:r>
          </w:p>
          <w:p w14:paraId="2568EB60">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新疆政府采购电子保函操作流程：登录新疆政府采购网,进入“政采贷/电子保函”模块，即可在线完成电子保函的申请。若有任何问题，可以联系政采云金融服务专属客服，电话：400-903-9583。</w:t>
            </w:r>
          </w:p>
          <w:p w14:paraId="0F7595C3">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潜在供应商可以自主选择以上任一种递交方式提交保证金。</w:t>
            </w:r>
          </w:p>
        </w:tc>
      </w:tr>
      <w:tr w14:paraId="3636E11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03" w:hRule="exact"/>
          <w:jc w:val="center"/>
        </w:trPr>
        <w:tc>
          <w:tcPr>
            <w:tcW w:w="811" w:type="dxa"/>
            <w:tcBorders>
              <w:top w:val="single" w:color="auto" w:sz="8" w:space="0"/>
              <w:bottom w:val="single" w:color="auto" w:sz="8" w:space="0"/>
              <w:right w:val="single" w:color="auto" w:sz="8" w:space="0"/>
            </w:tcBorders>
            <w:noWrap w:val="0"/>
            <w:vAlign w:val="center"/>
          </w:tcPr>
          <w:p w14:paraId="0A4F938C">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6108500">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解密</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val="zh-CN"/>
              </w:rPr>
              <w:t>文件现场是否提供样品</w:t>
            </w:r>
          </w:p>
        </w:tc>
        <w:tc>
          <w:tcPr>
            <w:tcW w:w="7077" w:type="dxa"/>
            <w:tcBorders>
              <w:top w:val="single" w:color="auto" w:sz="8" w:space="0"/>
              <w:left w:val="single" w:color="auto" w:sz="8" w:space="0"/>
              <w:bottom w:val="single" w:color="auto" w:sz="8" w:space="0"/>
            </w:tcBorders>
            <w:noWrap w:val="0"/>
            <w:vAlign w:val="center"/>
          </w:tcPr>
          <w:p w14:paraId="0AEA56D7">
            <w:pPr>
              <w:spacing w:line="320" w:lineRule="exact"/>
              <w:ind w:right="105" w:rightChars="50"/>
              <w:rPr>
                <w:rFonts w:hint="eastAsia" w:ascii="仿宋" w:hAnsi="仿宋" w:eastAsia="仿宋" w:cs="仿宋"/>
                <w:color w:val="auto"/>
                <w:kern w:val="0"/>
                <w:sz w:val="28"/>
                <w:szCs w:val="28"/>
                <w:highlight w:val="none"/>
                <w:lang w:val="zh-CN" w:eastAsia="zh-CN" w:bidi="ar-SA"/>
              </w:rPr>
            </w:pPr>
            <w:r>
              <w:rPr>
                <w:rFonts w:hint="eastAsia" w:ascii="仿宋" w:hAnsi="仿宋" w:eastAsia="仿宋" w:cs="仿宋"/>
                <w:color w:val="auto"/>
                <w:kern w:val="0"/>
                <w:sz w:val="28"/>
                <w:szCs w:val="28"/>
                <w:highlight w:val="none"/>
                <w:lang w:val="zh-CN" w:eastAsia="zh-CN" w:bidi="ar-SA"/>
              </w:rPr>
              <w:sym w:font="Wingdings 2" w:char="0052"/>
            </w:r>
            <w:r>
              <w:rPr>
                <w:rFonts w:hint="eastAsia" w:ascii="仿宋" w:hAnsi="仿宋" w:eastAsia="仿宋" w:cs="仿宋"/>
                <w:color w:val="auto"/>
                <w:kern w:val="0"/>
                <w:sz w:val="28"/>
                <w:szCs w:val="28"/>
                <w:highlight w:val="none"/>
                <w:lang w:val="zh-CN" w:eastAsia="zh-CN" w:bidi="ar-SA"/>
              </w:rPr>
              <w:t xml:space="preserve">  不需要</w:t>
            </w:r>
          </w:p>
          <w:p w14:paraId="56D4BB28">
            <w:pPr>
              <w:spacing w:line="340" w:lineRule="exact"/>
              <w:ind w:right="105" w:rightChars="50"/>
              <w:rPr>
                <w:rFonts w:hint="eastAsia" w:ascii="仿宋" w:hAnsi="仿宋" w:eastAsia="仿宋" w:cs="仿宋"/>
                <w:color w:val="auto"/>
                <w:sz w:val="28"/>
                <w:szCs w:val="28"/>
                <w:highlight w:val="none"/>
                <w:lang w:val="zh-CN"/>
              </w:rPr>
            </w:pPr>
            <w:r>
              <w:rPr>
                <w:rFonts w:hint="eastAsia" w:ascii="仿宋" w:hAnsi="仿宋" w:eastAsia="仿宋" w:cs="仿宋"/>
                <w:color w:val="auto"/>
                <w:kern w:val="0"/>
                <w:sz w:val="28"/>
                <w:szCs w:val="28"/>
                <w:highlight w:val="none"/>
                <w:lang w:val="zh-CN" w:eastAsia="zh-CN" w:bidi="ar-SA"/>
              </w:rPr>
              <w:t>□  需要，样品要求：</w:t>
            </w:r>
          </w:p>
        </w:tc>
      </w:tr>
      <w:tr w14:paraId="1526DD9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29" w:hRule="exact"/>
          <w:jc w:val="center"/>
        </w:trPr>
        <w:tc>
          <w:tcPr>
            <w:tcW w:w="811" w:type="dxa"/>
            <w:tcBorders>
              <w:top w:val="single" w:color="auto" w:sz="8" w:space="0"/>
              <w:bottom w:val="single" w:color="auto" w:sz="8" w:space="0"/>
              <w:right w:val="single" w:color="auto" w:sz="8" w:space="0"/>
            </w:tcBorders>
            <w:noWrap w:val="0"/>
            <w:vAlign w:val="center"/>
          </w:tcPr>
          <w:p w14:paraId="6D58D9EA">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29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BAB1338">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投标文件签字</w:t>
            </w:r>
          </w:p>
          <w:p w14:paraId="4D03D9C6">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或盖章要求</w:t>
            </w:r>
          </w:p>
        </w:tc>
        <w:tc>
          <w:tcPr>
            <w:tcW w:w="7077" w:type="dxa"/>
            <w:tcBorders>
              <w:top w:val="single" w:color="auto" w:sz="8" w:space="0"/>
              <w:left w:val="single" w:color="auto" w:sz="8" w:space="0"/>
              <w:bottom w:val="single" w:color="auto" w:sz="8" w:space="0"/>
            </w:tcBorders>
            <w:noWrap w:val="0"/>
            <w:vAlign w:val="center"/>
          </w:tcPr>
          <w:p w14:paraId="4ECF4F8B">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投标人必须按照招标文件的规定和要求签字、盖章</w:t>
            </w:r>
          </w:p>
        </w:tc>
      </w:tr>
      <w:tr w14:paraId="5329146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400" w:hRule="exact"/>
          <w:jc w:val="center"/>
        </w:trPr>
        <w:tc>
          <w:tcPr>
            <w:tcW w:w="811" w:type="dxa"/>
            <w:tcBorders>
              <w:top w:val="single" w:color="auto" w:sz="8" w:space="0"/>
              <w:bottom w:val="single" w:color="auto" w:sz="8" w:space="0"/>
              <w:right w:val="single" w:color="auto" w:sz="8" w:space="0"/>
            </w:tcBorders>
            <w:noWrap w:val="0"/>
            <w:vAlign w:val="center"/>
          </w:tcPr>
          <w:p w14:paraId="04A893FF">
            <w:pPr>
              <w:pStyle w:val="36"/>
              <w:keepNext w:val="0"/>
              <w:keepLines w:val="0"/>
              <w:pageBreakBefore w:val="0"/>
              <w:kinsoku/>
              <w:wordWrap/>
              <w:overflowPunct/>
              <w:topLinePunct w:val="0"/>
              <w:bidi w:val="0"/>
              <w:snapToGrid/>
              <w:spacing w:line="40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30</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F3AB326">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w:t>
            </w:r>
          </w:p>
        </w:tc>
        <w:tc>
          <w:tcPr>
            <w:tcW w:w="7077" w:type="dxa"/>
            <w:tcBorders>
              <w:top w:val="single" w:color="auto" w:sz="8" w:space="0"/>
              <w:left w:val="single" w:color="auto" w:sz="8" w:space="0"/>
              <w:bottom w:val="single" w:color="auto" w:sz="8" w:space="0"/>
            </w:tcBorders>
            <w:noWrap w:val="0"/>
            <w:vAlign w:val="center"/>
          </w:tcPr>
          <w:p w14:paraId="56CAB60F">
            <w:pPr>
              <w:pStyle w:val="64"/>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zh-CN" w:eastAsia="zh-CN" w:bidi="ar-SA"/>
              </w:rPr>
              <w:t>本项目采用不见面开标，供应商需要递交电子投标文件。加密的电子投标文件，在公开招标截止时间前通过新疆政采云平台上传到指定位置，无需递交纸质文件。</w:t>
            </w:r>
          </w:p>
          <w:p w14:paraId="1F66AE73">
            <w:pPr>
              <w:pStyle w:val="65"/>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2.本项目采用远程不见面交易的模式。开标当日，供应商需在任意地点新疆政采云http://www.ccgp-xinjiang.gov.cn/网上开标完成远程解密、提疑澄清、开标唱标、结果公布等交互环节。供应商必须使用能正确解密投标文件的“新疆政采云数字证书”在规定的时间内完成远程解密，因供应商原因未能解密、解密失败或解密超时，视为供应商撤销其投标文件，系统内投标文件将被退回；因采购人原因或网上政采云平台发生故障，导致无法按时完成投标文件解密或开、评标工作无法进行的，可根据实际情况相应延迟解密时间或调整开、评标时间（友情提示：若供应商已领取副锁（含多把副锁）请注意正副锁的使用差别，务必使用生成投标文件的那把锁解密）。</w:t>
            </w:r>
          </w:p>
          <w:p w14:paraId="009BC014">
            <w:pPr>
              <w:pStyle w:val="65"/>
              <w:keepNext w:val="0"/>
              <w:keepLines w:val="0"/>
              <w:pageBreakBefore w:val="0"/>
              <w:kinsoku/>
              <w:wordWrap/>
              <w:overflowPunct/>
              <w:topLinePunct w:val="0"/>
              <w:bidi w:val="0"/>
              <w:adjustRightInd/>
              <w:spacing w:line="440" w:lineRule="exact"/>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 xml:space="preserve">不见面开标默认解密时长：30分钟    </w:t>
            </w:r>
          </w:p>
          <w:p w14:paraId="7DD661DA">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eastAsia="zh-CN" w:bidi="ar-SA"/>
              </w:rPr>
              <w:t>关于能否延长解密时间的约定：开标现场若发现默认解密时长不足，由采购人决定是否延长解密时长。</w:t>
            </w:r>
          </w:p>
        </w:tc>
      </w:tr>
      <w:tr w14:paraId="3C42758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94" w:hRule="exact"/>
          <w:jc w:val="center"/>
        </w:trPr>
        <w:tc>
          <w:tcPr>
            <w:tcW w:w="811" w:type="dxa"/>
            <w:tcBorders>
              <w:top w:val="single" w:color="auto" w:sz="8" w:space="0"/>
              <w:bottom w:val="single" w:color="auto" w:sz="8" w:space="0"/>
              <w:right w:val="single" w:color="auto" w:sz="8" w:space="0"/>
            </w:tcBorders>
            <w:noWrap w:val="0"/>
            <w:vAlign w:val="center"/>
          </w:tcPr>
          <w:p w14:paraId="750D6BFB">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31</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0DB3A1CD">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投标文件是否退还</w:t>
            </w:r>
          </w:p>
        </w:tc>
        <w:tc>
          <w:tcPr>
            <w:tcW w:w="7077" w:type="dxa"/>
            <w:tcBorders>
              <w:top w:val="single" w:color="auto" w:sz="8" w:space="0"/>
              <w:left w:val="single" w:color="auto" w:sz="8" w:space="0"/>
              <w:bottom w:val="single" w:color="auto" w:sz="8" w:space="0"/>
            </w:tcBorders>
            <w:noWrap w:val="0"/>
            <w:vAlign w:val="center"/>
          </w:tcPr>
          <w:p w14:paraId="10EAC20C">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14:paraId="6656211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bottom w:val="single" w:color="auto" w:sz="8" w:space="0"/>
              <w:right w:val="single" w:color="auto" w:sz="8" w:space="0"/>
            </w:tcBorders>
            <w:noWrap w:val="0"/>
            <w:vAlign w:val="center"/>
          </w:tcPr>
          <w:p w14:paraId="2B73CCA9">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32</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4B090B0">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评标方法及标准</w:t>
            </w:r>
          </w:p>
        </w:tc>
        <w:tc>
          <w:tcPr>
            <w:tcW w:w="7077" w:type="dxa"/>
            <w:tcBorders>
              <w:top w:val="single" w:color="auto" w:sz="8" w:space="0"/>
              <w:left w:val="single" w:color="auto" w:sz="8" w:space="0"/>
              <w:bottom w:val="single" w:color="auto" w:sz="8" w:space="0"/>
            </w:tcBorders>
            <w:noWrap w:val="0"/>
            <w:vAlign w:val="center"/>
          </w:tcPr>
          <w:p w14:paraId="17D98CD9">
            <w:pPr>
              <w:pageBreakBefore w:val="0"/>
              <w:kinsoku/>
              <w:wordWrap/>
              <w:overflowPunct/>
              <w:topLinePunct w:val="0"/>
              <w:bidi w:val="0"/>
              <w:spacing w:beforeAutospacing="0" w:line="48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采用</w:t>
            </w:r>
            <w:r>
              <w:rPr>
                <w:rFonts w:hint="eastAsia" w:ascii="仿宋" w:hAnsi="仿宋" w:eastAsia="仿宋" w:cs="仿宋"/>
                <w:color w:val="auto"/>
                <w:kern w:val="2"/>
                <w:sz w:val="28"/>
                <w:szCs w:val="28"/>
                <w:highlight w:val="none"/>
                <w:lang w:val="zh-CN" w:eastAsia="zh-CN" w:bidi="ar-SA"/>
              </w:rPr>
              <w:t>综合评分法，是指投标文件满足招标文件全部实质性要求，且按照评审因素的量化指标评审得分最高的供应商为中标候选人的评标方法。</w:t>
            </w:r>
          </w:p>
        </w:tc>
      </w:tr>
      <w:tr w14:paraId="3F64290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811" w:type="dxa"/>
            <w:tcBorders>
              <w:top w:val="single" w:color="auto" w:sz="8" w:space="0"/>
              <w:bottom w:val="single" w:color="auto" w:sz="8" w:space="0"/>
              <w:right w:val="single" w:color="auto" w:sz="8" w:space="0"/>
            </w:tcBorders>
            <w:noWrap w:val="0"/>
            <w:vAlign w:val="center"/>
          </w:tcPr>
          <w:p w14:paraId="3E4FEFD3">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33</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2012C82E">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color w:val="auto"/>
                <w:sz w:val="28"/>
                <w:szCs w:val="28"/>
                <w:highlight w:val="none"/>
              </w:rPr>
              <w:t>推荐中标候选供应商的数量</w:t>
            </w:r>
          </w:p>
        </w:tc>
        <w:tc>
          <w:tcPr>
            <w:tcW w:w="7077" w:type="dxa"/>
            <w:tcBorders>
              <w:top w:val="single" w:color="auto" w:sz="8" w:space="0"/>
              <w:left w:val="single" w:color="auto" w:sz="8" w:space="0"/>
              <w:bottom w:val="single" w:color="auto" w:sz="8" w:space="0"/>
            </w:tcBorders>
            <w:noWrap w:val="0"/>
            <w:vAlign w:val="center"/>
          </w:tcPr>
          <w:p w14:paraId="71E6B6B4">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b w:val="0"/>
                <w:bCs w:val="0"/>
                <w:color w:val="auto"/>
                <w:sz w:val="28"/>
                <w:szCs w:val="28"/>
                <w:highlight w:val="none"/>
                <w:lang w:val="zh-CN"/>
              </w:rPr>
            </w:pPr>
            <w:r>
              <w:rPr>
                <w:rFonts w:hint="eastAsia" w:ascii="仿宋" w:hAnsi="仿宋" w:eastAsia="仿宋" w:cs="仿宋"/>
                <w:b w:val="0"/>
                <w:bCs w:val="0"/>
                <w:i w:val="0"/>
                <w:iCs w:val="0"/>
                <w:color w:val="auto"/>
                <w:sz w:val="28"/>
                <w:szCs w:val="28"/>
                <w:highlight w:val="none"/>
                <w:u w:val="none"/>
              </w:rPr>
              <w:t>1家</w:t>
            </w:r>
          </w:p>
        </w:tc>
      </w:tr>
      <w:tr w14:paraId="41272DC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39" w:hRule="atLeast"/>
          <w:jc w:val="center"/>
        </w:trPr>
        <w:tc>
          <w:tcPr>
            <w:tcW w:w="811" w:type="dxa"/>
            <w:tcBorders>
              <w:top w:val="single" w:color="auto" w:sz="8" w:space="0"/>
              <w:bottom w:val="single" w:color="auto" w:sz="8" w:space="0"/>
              <w:right w:val="single" w:color="auto" w:sz="8" w:space="0"/>
            </w:tcBorders>
            <w:noWrap w:val="0"/>
            <w:vAlign w:val="center"/>
          </w:tcPr>
          <w:p w14:paraId="6378C3F0">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34</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EA0C352">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是否授权评标委员会确定中标人</w:t>
            </w:r>
          </w:p>
        </w:tc>
        <w:tc>
          <w:tcPr>
            <w:tcW w:w="7077" w:type="dxa"/>
            <w:tcBorders>
              <w:top w:val="single" w:color="auto" w:sz="8" w:space="0"/>
              <w:left w:val="single" w:color="auto" w:sz="8" w:space="0"/>
              <w:bottom w:val="single" w:color="auto" w:sz="8" w:space="0"/>
            </w:tcBorders>
            <w:noWrap w:val="0"/>
            <w:vAlign w:val="center"/>
          </w:tcPr>
          <w:p w14:paraId="5B447DA8">
            <w:pPr>
              <w:pStyle w:val="36"/>
              <w:keepNext w:val="0"/>
              <w:keepLines w:val="0"/>
              <w:pageBreakBefore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否</w:t>
            </w:r>
          </w:p>
        </w:tc>
      </w:tr>
      <w:tr w14:paraId="0A4D6A3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550" w:hRule="atLeast"/>
          <w:jc w:val="center"/>
        </w:trPr>
        <w:tc>
          <w:tcPr>
            <w:tcW w:w="811" w:type="dxa"/>
            <w:tcBorders>
              <w:top w:val="single" w:color="auto" w:sz="8" w:space="0"/>
              <w:bottom w:val="single" w:color="auto" w:sz="8" w:space="0"/>
              <w:right w:val="single" w:color="auto" w:sz="8" w:space="0"/>
            </w:tcBorders>
            <w:noWrap w:val="0"/>
            <w:vAlign w:val="center"/>
          </w:tcPr>
          <w:p w14:paraId="30A6A526">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35</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00EBF01">
            <w:pPr>
              <w:pStyle w:val="36"/>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b w:val="0"/>
                <w:bCs/>
                <w:color w:val="auto"/>
                <w:sz w:val="28"/>
                <w:szCs w:val="28"/>
                <w:highlight w:val="none"/>
              </w:rPr>
              <w:t>公告发布媒</w:t>
            </w:r>
          </w:p>
        </w:tc>
        <w:tc>
          <w:tcPr>
            <w:tcW w:w="7077" w:type="dxa"/>
            <w:tcBorders>
              <w:top w:val="single" w:color="auto" w:sz="8" w:space="0"/>
              <w:left w:val="single" w:color="auto" w:sz="8" w:space="0"/>
              <w:bottom w:val="single" w:color="auto" w:sz="8" w:space="0"/>
            </w:tcBorders>
            <w:noWrap w:val="0"/>
            <w:vAlign w:val="center"/>
          </w:tcPr>
          <w:p w14:paraId="5E9BD8E3">
            <w:pPr>
              <w:pStyle w:val="36"/>
              <w:keepNext w:val="0"/>
              <w:keepLines w:val="0"/>
              <w:pageBreakBefore w:val="0"/>
              <w:widowControl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b w:val="0"/>
                <w:bCs/>
                <w:color w:val="auto"/>
                <w:sz w:val="28"/>
                <w:szCs w:val="28"/>
                <w:highlight w:val="none"/>
              </w:rPr>
              <w:t>《</w:t>
            </w:r>
            <w:r>
              <w:rPr>
                <w:rFonts w:hint="eastAsia" w:ascii="仿宋" w:hAnsi="仿宋" w:eastAsia="仿宋" w:cs="仿宋"/>
                <w:color w:val="auto"/>
                <w:kern w:val="0"/>
                <w:sz w:val="28"/>
                <w:szCs w:val="28"/>
                <w:highlight w:val="none"/>
                <w:lang w:val="zh-CN" w:eastAsia="zh-CN" w:bidi="ar-SA"/>
              </w:rPr>
              <w:t>新疆政府采购网》(http://www.ccgp-xinjiang.gov.cn/)、</w:t>
            </w:r>
            <w:r>
              <w:rPr>
                <w:rFonts w:hint="eastAsia" w:ascii="仿宋" w:hAnsi="仿宋" w:eastAsia="仿宋" w:cs="仿宋"/>
                <w:color w:val="auto"/>
                <w:kern w:val="0"/>
                <w:sz w:val="28"/>
                <w:szCs w:val="28"/>
                <w:highlight w:val="none"/>
                <w:lang w:val="en-US" w:eastAsia="zh-CN" w:bidi="ar-SA"/>
              </w:rPr>
              <w:t>伊犁州公共资源交易平台http://ggzy.xjyl.gov.cn。</w:t>
            </w:r>
          </w:p>
        </w:tc>
      </w:tr>
      <w:tr w14:paraId="34705C65">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6" w:hRule="atLeast"/>
          <w:jc w:val="center"/>
        </w:trPr>
        <w:tc>
          <w:tcPr>
            <w:tcW w:w="811" w:type="dxa"/>
            <w:tcBorders>
              <w:top w:val="single" w:color="auto" w:sz="8" w:space="0"/>
              <w:bottom w:val="single" w:color="auto" w:sz="8" w:space="0"/>
              <w:right w:val="single" w:color="auto" w:sz="8" w:space="0"/>
            </w:tcBorders>
            <w:noWrap w:val="0"/>
            <w:vAlign w:val="center"/>
          </w:tcPr>
          <w:p w14:paraId="566F5634">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36</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6CA7D9AA">
            <w:pPr>
              <w:pStyle w:val="36"/>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履约保证金</w:t>
            </w:r>
          </w:p>
        </w:tc>
        <w:tc>
          <w:tcPr>
            <w:tcW w:w="7077" w:type="dxa"/>
            <w:tcBorders>
              <w:top w:val="single" w:color="auto" w:sz="8" w:space="0"/>
              <w:left w:val="single" w:color="auto" w:sz="8" w:space="0"/>
              <w:bottom w:val="single" w:color="auto" w:sz="8" w:space="0"/>
            </w:tcBorders>
            <w:noWrap w:val="0"/>
            <w:vAlign w:val="center"/>
          </w:tcPr>
          <w:p w14:paraId="7B165D7E">
            <w:pPr>
              <w:pStyle w:val="33"/>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fldChar w:fldCharType="begin"/>
            </w:r>
            <w:r>
              <w:rPr>
                <w:rFonts w:hint="eastAsia" w:ascii="仿宋" w:hAnsi="仿宋" w:eastAsia="仿宋" w:cs="仿宋"/>
                <w:color w:val="auto"/>
                <w:kern w:val="2"/>
                <w:sz w:val="28"/>
                <w:szCs w:val="28"/>
                <w:highlight w:val="none"/>
                <w:lang w:val="zh-CN" w:eastAsia="zh-CN" w:bidi="ar-SA"/>
              </w:rPr>
              <w:instrText xml:space="preserve">eq \o\ac(□,</w:instrText>
            </w:r>
            <w:r>
              <w:rPr>
                <w:rFonts w:hint="eastAsia" w:ascii="仿宋" w:hAnsi="仿宋" w:eastAsia="仿宋" w:cs="仿宋"/>
                <w:color w:val="auto"/>
                <w:kern w:val="2"/>
                <w:position w:val="3"/>
                <w:sz w:val="19"/>
                <w:szCs w:val="28"/>
                <w:highlight w:val="none"/>
                <w:lang w:val="zh-CN" w:eastAsia="zh-CN" w:bidi="ar-SA"/>
              </w:rPr>
              <w:instrText xml:space="preserve">√</w:instrText>
            </w:r>
            <w:r>
              <w:rPr>
                <w:rFonts w:hint="eastAsia" w:ascii="仿宋" w:hAnsi="仿宋" w:eastAsia="仿宋" w:cs="仿宋"/>
                <w:color w:val="auto"/>
                <w:kern w:val="2"/>
                <w:sz w:val="28"/>
                <w:szCs w:val="28"/>
                <w:highlight w:val="none"/>
                <w:lang w:val="zh-CN" w:eastAsia="zh-CN" w:bidi="ar-SA"/>
              </w:rPr>
              <w:instrText xml:space="preserve">)</w:instrText>
            </w:r>
            <w:r>
              <w:rPr>
                <w:rFonts w:hint="eastAsia" w:ascii="仿宋" w:hAnsi="仿宋" w:eastAsia="仿宋" w:cs="仿宋"/>
                <w:color w:val="auto"/>
                <w:kern w:val="2"/>
                <w:sz w:val="28"/>
                <w:szCs w:val="28"/>
                <w:highlight w:val="none"/>
                <w:lang w:val="zh-CN" w:eastAsia="zh-CN" w:bidi="ar-SA"/>
              </w:rPr>
              <w:fldChar w:fldCharType="end"/>
            </w:r>
            <w:r>
              <w:rPr>
                <w:rFonts w:hint="eastAsia" w:ascii="仿宋" w:hAnsi="仿宋" w:eastAsia="仿宋" w:cs="仿宋"/>
                <w:color w:val="auto"/>
                <w:kern w:val="2"/>
                <w:sz w:val="28"/>
                <w:szCs w:val="28"/>
                <w:highlight w:val="none"/>
                <w:lang w:val="zh-CN" w:eastAsia="zh-CN" w:bidi="ar-SA"/>
              </w:rPr>
              <w:t>不要求提供</w:t>
            </w:r>
          </w:p>
          <w:p w14:paraId="039AD73D">
            <w:pPr>
              <w:pStyle w:val="33"/>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fldChar w:fldCharType="begin"/>
            </w:r>
            <w:r>
              <w:rPr>
                <w:rFonts w:hint="eastAsia" w:ascii="仿宋" w:hAnsi="仿宋" w:eastAsia="仿宋" w:cs="仿宋"/>
                <w:color w:val="auto"/>
                <w:kern w:val="2"/>
                <w:sz w:val="28"/>
                <w:szCs w:val="28"/>
                <w:highlight w:val="none"/>
                <w:lang w:val="zh-CN" w:eastAsia="zh-CN" w:bidi="ar-SA"/>
              </w:rPr>
              <w:instrText xml:space="preserve">eq \o\ac(□)</w:instrText>
            </w:r>
            <w:r>
              <w:rPr>
                <w:rFonts w:hint="eastAsia" w:ascii="仿宋" w:hAnsi="仿宋" w:eastAsia="仿宋" w:cs="仿宋"/>
                <w:color w:val="auto"/>
                <w:kern w:val="2"/>
                <w:sz w:val="28"/>
                <w:szCs w:val="28"/>
                <w:highlight w:val="none"/>
                <w:lang w:val="zh-CN" w:eastAsia="zh-CN" w:bidi="ar-SA"/>
              </w:rPr>
              <w:fldChar w:fldCharType="end"/>
            </w:r>
            <w:r>
              <w:rPr>
                <w:rFonts w:hint="eastAsia" w:ascii="仿宋" w:hAnsi="仿宋" w:eastAsia="仿宋" w:cs="仿宋"/>
                <w:color w:val="auto"/>
                <w:kern w:val="2"/>
                <w:sz w:val="28"/>
                <w:szCs w:val="28"/>
                <w:highlight w:val="none"/>
                <w:lang w:val="zh-CN" w:eastAsia="zh-CN" w:bidi="ar-SA"/>
              </w:rPr>
              <w:t>要求提供。</w:t>
            </w:r>
          </w:p>
          <w:p w14:paraId="650A7806">
            <w:pPr>
              <w:pStyle w:val="36"/>
              <w:keepNext w:val="0"/>
              <w:keepLines w:val="0"/>
              <w:pageBreakBefore w:val="0"/>
              <w:widowControl w:val="0"/>
              <w:kinsoku/>
              <w:wordWrap/>
              <w:overflowPunct/>
              <w:topLinePunct w:val="0"/>
              <w:bidi w:val="0"/>
              <w:snapToGrid/>
              <w:spacing w:line="390" w:lineRule="exact"/>
              <w:ind w:right="0" w:rightChars="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kern w:val="2"/>
                <w:sz w:val="28"/>
                <w:szCs w:val="28"/>
                <w:highlight w:val="none"/>
                <w:lang w:val="zh-CN" w:eastAsia="zh-CN" w:bidi="ar-SA"/>
              </w:rPr>
              <w:t>履约保证金的数额不得超过政府采购合同金额的10%，本采购项目履约保证金为合同金额的</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zh-CN" w:eastAsia="zh-CN" w:bidi="ar-SA"/>
              </w:rPr>
              <w:t>%，提交方式为：以电汇方式递交履约保证金须在电汇凭据附言栏中写明</w:t>
            </w:r>
            <w:r>
              <w:rPr>
                <w:rFonts w:hint="eastAsia" w:ascii="仿宋" w:hAnsi="仿宋" w:eastAsia="仿宋" w:cs="仿宋"/>
                <w:color w:val="auto"/>
                <w:kern w:val="2"/>
                <w:sz w:val="28"/>
                <w:szCs w:val="28"/>
                <w:highlight w:val="none"/>
                <w:lang w:val="en-US" w:eastAsia="zh-CN" w:bidi="ar-SA"/>
              </w:rPr>
              <w:t>项目</w:t>
            </w:r>
            <w:r>
              <w:rPr>
                <w:rFonts w:hint="eastAsia" w:ascii="仿宋" w:hAnsi="仿宋" w:eastAsia="仿宋" w:cs="仿宋"/>
                <w:color w:val="auto"/>
                <w:kern w:val="2"/>
                <w:sz w:val="28"/>
                <w:szCs w:val="28"/>
                <w:highlight w:val="none"/>
                <w:lang w:val="zh-CN" w:eastAsia="zh-CN" w:bidi="ar-SA"/>
              </w:rPr>
              <w:t>编号及用途(履约保证金)。中标（</w:t>
            </w:r>
            <w:r>
              <w:rPr>
                <w:rFonts w:hint="eastAsia" w:ascii="仿宋" w:hAnsi="仿宋" w:eastAsia="仿宋" w:cs="仿宋"/>
                <w:color w:val="auto"/>
                <w:kern w:val="2"/>
                <w:sz w:val="28"/>
                <w:szCs w:val="28"/>
                <w:highlight w:val="none"/>
                <w:lang w:val="en-US" w:eastAsia="zh-CN" w:bidi="ar-SA"/>
              </w:rPr>
              <w:t>成交</w:t>
            </w:r>
            <w:r>
              <w:rPr>
                <w:rFonts w:hint="eastAsia" w:ascii="仿宋" w:hAnsi="仿宋" w:eastAsia="仿宋" w:cs="仿宋"/>
                <w:color w:val="auto"/>
                <w:kern w:val="2"/>
                <w:sz w:val="28"/>
                <w:szCs w:val="28"/>
                <w:highlight w:val="none"/>
                <w:lang w:val="zh-CN" w:eastAsia="zh-CN" w:bidi="ar-SA"/>
              </w:rPr>
              <w:t>）供应商应当以支票、汇票、本票或者金融机构、担保机构出具的保函等非现金形式向采购方交纳履约保证金。</w:t>
            </w:r>
          </w:p>
        </w:tc>
      </w:tr>
      <w:tr w14:paraId="2D770FA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7" w:hRule="atLeast"/>
          <w:jc w:val="center"/>
        </w:trPr>
        <w:tc>
          <w:tcPr>
            <w:tcW w:w="811" w:type="dxa"/>
            <w:tcBorders>
              <w:top w:val="single" w:color="auto" w:sz="8" w:space="0"/>
              <w:bottom w:val="single" w:color="auto" w:sz="8" w:space="0"/>
              <w:right w:val="single" w:color="auto" w:sz="8" w:space="0"/>
            </w:tcBorders>
            <w:noWrap w:val="0"/>
            <w:vAlign w:val="center"/>
          </w:tcPr>
          <w:p w14:paraId="68B0E0E1">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37</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4EB6ED89">
            <w:pPr>
              <w:pStyle w:val="36"/>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开标现场是否</w:t>
            </w:r>
          </w:p>
          <w:p w14:paraId="0F988DCE">
            <w:pPr>
              <w:pStyle w:val="36"/>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演示与述标</w:t>
            </w:r>
          </w:p>
        </w:tc>
        <w:tc>
          <w:tcPr>
            <w:tcW w:w="7077" w:type="dxa"/>
            <w:tcBorders>
              <w:top w:val="single" w:color="auto" w:sz="8" w:space="0"/>
              <w:left w:val="single" w:color="auto" w:sz="8" w:space="0"/>
              <w:bottom w:val="single" w:color="auto" w:sz="8" w:space="0"/>
            </w:tcBorders>
            <w:noWrap w:val="0"/>
            <w:vAlign w:val="center"/>
          </w:tcPr>
          <w:p w14:paraId="45BD75EB">
            <w:pPr>
              <w:keepNext w:val="0"/>
              <w:keepLines w:val="0"/>
              <w:pageBreakBefore w:val="0"/>
              <w:widowControl w:val="0"/>
              <w:tabs>
                <w:tab w:val="left" w:pos="279"/>
              </w:tabs>
              <w:kinsoku/>
              <w:wordWrap/>
              <w:overflowPunct/>
              <w:topLinePunct w:val="0"/>
              <w:bidi w:val="0"/>
              <w:adjustRightInd/>
              <w:snapToGrid/>
              <w:spacing w:line="36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 xml:space="preserve"> 需要  </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 xml:space="preserve"> 不需要</w:t>
            </w:r>
          </w:p>
        </w:tc>
      </w:tr>
      <w:tr w14:paraId="19A2183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bottom w:val="single" w:color="auto" w:sz="8" w:space="0"/>
              <w:right w:val="single" w:color="auto" w:sz="8" w:space="0"/>
            </w:tcBorders>
            <w:noWrap w:val="0"/>
            <w:vAlign w:val="center"/>
          </w:tcPr>
          <w:p w14:paraId="659AC1B8">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38</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79168BEC">
            <w:pPr>
              <w:pStyle w:val="36"/>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资格要求</w:t>
            </w:r>
          </w:p>
        </w:tc>
        <w:tc>
          <w:tcPr>
            <w:tcW w:w="7077" w:type="dxa"/>
            <w:tcBorders>
              <w:top w:val="single" w:color="auto" w:sz="8" w:space="0"/>
              <w:left w:val="single" w:color="auto" w:sz="8" w:space="0"/>
              <w:bottom w:val="single" w:color="auto" w:sz="8" w:space="0"/>
            </w:tcBorders>
            <w:noWrap w:val="0"/>
            <w:vAlign w:val="center"/>
          </w:tcPr>
          <w:p w14:paraId="468DF512">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满</w:t>
            </w:r>
            <w:r>
              <w:rPr>
                <w:rFonts w:hint="eastAsia" w:ascii="仿宋" w:hAnsi="仿宋" w:eastAsia="仿宋" w:cs="仿宋"/>
                <w:color w:val="auto"/>
                <w:sz w:val="28"/>
                <w:szCs w:val="28"/>
                <w:highlight w:val="none"/>
                <w:lang w:val="zh-CN" w:eastAsia="zh-CN"/>
              </w:rPr>
              <w:t>足《中华人民共和国政府采购法》第二十二条规定：</w:t>
            </w:r>
          </w:p>
          <w:p w14:paraId="14675E0B">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（1）法定代表人授权委托书【法定代表人参加提供法定代表人身份证明书】。 </w:t>
            </w:r>
          </w:p>
          <w:p w14:paraId="7550E82D">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（2）投标供应商需提供投标保证金。</w:t>
            </w:r>
          </w:p>
          <w:p w14:paraId="616E586F">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（3）投标供应商具有独立承担民事责任和履行合同能力，持有工商行政管理部门核发的有效期内营业执照。</w:t>
            </w:r>
          </w:p>
          <w:p w14:paraId="4E1219AC">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（4）社保机构或税务机构出具的投标供应商近3个月中任意1个月的社会保障资金证明。依法不需要缴纳社会保障资金的应提供相应说明。</w:t>
            </w:r>
          </w:p>
          <w:p w14:paraId="42ED5BB6">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（5）税务机关出具的投标供应商近3个月中任意1个月的依法纳税凭证或有电子专用章的完税证明。依法免税的应提供相应文件说明。 </w:t>
            </w:r>
          </w:p>
          <w:p w14:paraId="3168338A">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（6）会计师事务所出具的2023（或2024）年度财务审计报告或银行出具的资信证明。</w:t>
            </w:r>
          </w:p>
          <w:p w14:paraId="51652203">
            <w:pPr>
              <w:keepNext w:val="0"/>
              <w:keepLines w:val="0"/>
              <w:pageBreakBefore w:val="0"/>
              <w:widowControl w:val="0"/>
              <w:kinsoku/>
              <w:wordWrap w:val="0"/>
              <w:overflowPunct/>
              <w:topLinePunct w:val="0"/>
              <w:autoSpaceDE/>
              <w:autoSpaceDN/>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（7）投标供应商需提供参加采购活动前三年内，在经营活动中没有重大违法记录，需提供无重大违法记录声明函；供应商不得为“信用中国”网站（网址：www.creditchina.gov.cn ）中列入严重失信主体名单信息的供应商；不得为“国家企业信用信息公示系统”网站（网址：http://www.gsxt.gov.cn/corp-query-homepage.html）列入严重违法失信企业名单（黑名单）的供应商；不得为中国政府采购网（www.ccgp.gov.cn ）政府采购严重违法失信行为记录名单中被财政部门禁止参加政府采购活动的供应商（处罚决定规定的时间和地域范围内），均须提供查询结果打印件（网页打印件须自招标公告发布之日起至首次提交响应文件截止时间内从上述网站中打印加盖企业公章）。</w:t>
            </w:r>
          </w:p>
          <w:p w14:paraId="3AB97915">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说明：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18FD455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817" w:hRule="atLeast"/>
          <w:jc w:val="center"/>
        </w:trPr>
        <w:tc>
          <w:tcPr>
            <w:tcW w:w="811" w:type="dxa"/>
            <w:tcBorders>
              <w:top w:val="single" w:color="auto" w:sz="8" w:space="0"/>
              <w:bottom w:val="single" w:color="auto" w:sz="8" w:space="0"/>
              <w:right w:val="single" w:color="auto" w:sz="8" w:space="0"/>
            </w:tcBorders>
            <w:noWrap w:val="0"/>
            <w:vAlign w:val="center"/>
          </w:tcPr>
          <w:p w14:paraId="43915E8B">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bidi="ar-SA"/>
              </w:rPr>
            </w:pPr>
            <w:r>
              <w:rPr>
                <w:rFonts w:hint="eastAsia" w:ascii="仿宋" w:hAnsi="仿宋" w:eastAsia="仿宋" w:cs="仿宋"/>
                <w:color w:val="auto"/>
                <w:sz w:val="28"/>
                <w:szCs w:val="28"/>
                <w:highlight w:val="none"/>
                <w:lang w:val="en-US" w:eastAsia="zh-CN" w:bidi="ar-SA"/>
              </w:rPr>
              <w:t>39</w:t>
            </w:r>
          </w:p>
        </w:tc>
        <w:tc>
          <w:tcPr>
            <w:tcW w:w="2065" w:type="dxa"/>
            <w:tcBorders>
              <w:top w:val="single" w:color="auto" w:sz="8" w:space="0"/>
              <w:left w:val="single" w:color="auto" w:sz="8" w:space="0"/>
              <w:bottom w:val="single" w:color="auto" w:sz="8" w:space="0"/>
              <w:right w:val="single" w:color="auto" w:sz="8" w:space="0"/>
            </w:tcBorders>
            <w:noWrap w:val="0"/>
            <w:vAlign w:val="center"/>
          </w:tcPr>
          <w:p w14:paraId="5255C9C6">
            <w:pPr>
              <w:pStyle w:val="36"/>
              <w:keepNext w:val="0"/>
              <w:keepLines w:val="0"/>
              <w:pageBreakBefore w:val="0"/>
              <w:widowControl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采购标的</w:t>
            </w:r>
            <w:r>
              <w:rPr>
                <w:rFonts w:hint="eastAsia" w:ascii="仿宋" w:hAnsi="仿宋" w:eastAsia="仿宋" w:cs="仿宋"/>
                <w:color w:val="auto"/>
                <w:sz w:val="28"/>
                <w:szCs w:val="28"/>
                <w:highlight w:val="none"/>
                <w:lang w:val="en-US" w:eastAsia="zh-CN"/>
              </w:rPr>
              <w:t>所属行业</w:t>
            </w:r>
          </w:p>
        </w:tc>
        <w:tc>
          <w:tcPr>
            <w:tcW w:w="7077" w:type="dxa"/>
            <w:tcBorders>
              <w:top w:val="single" w:color="auto" w:sz="8" w:space="0"/>
              <w:left w:val="single" w:color="auto" w:sz="8" w:space="0"/>
              <w:bottom w:val="single" w:color="auto" w:sz="8" w:space="0"/>
            </w:tcBorders>
            <w:noWrap w:val="0"/>
            <w:vAlign w:val="center"/>
          </w:tcPr>
          <w:p w14:paraId="1018246E">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采购标的对应的中小企业划分标准所属行业为</w:t>
            </w:r>
            <w:r>
              <w:rPr>
                <w:rFonts w:hint="eastAsia" w:ascii="仿宋" w:hAnsi="仿宋" w:eastAsia="仿宋" w:cs="仿宋"/>
                <w:color w:val="auto"/>
                <w:sz w:val="28"/>
                <w:szCs w:val="28"/>
                <w:highlight w:val="none"/>
                <w:u w:val="single"/>
                <w:lang w:val="en-US" w:eastAsia="zh-CN"/>
              </w:rPr>
              <w:t>零售业</w:t>
            </w:r>
            <w:r>
              <w:rPr>
                <w:rFonts w:hint="eastAsia" w:ascii="仿宋" w:hAnsi="仿宋" w:eastAsia="仿宋" w:cs="仿宋"/>
                <w:color w:val="auto"/>
                <w:sz w:val="28"/>
                <w:szCs w:val="28"/>
                <w:highlight w:val="none"/>
                <w:lang w:val="en-US" w:eastAsia="zh-CN"/>
              </w:rPr>
              <w:t>：</w:t>
            </w:r>
          </w:p>
          <w:p w14:paraId="4881A426">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color w:val="auto"/>
              </w:rPr>
            </w:pPr>
            <w:r>
              <w:rPr>
                <w:rFonts w:hint="eastAsia" w:ascii="仿宋" w:hAnsi="仿宋" w:eastAsia="仿宋" w:cs="仿宋"/>
                <w:color w:val="auto"/>
                <w:sz w:val="28"/>
                <w:szCs w:val="28"/>
                <w:highlight w:val="none"/>
                <w:lang w:val="en-US" w:eastAsia="zh-CN"/>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0160BF9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11" w:type="dxa"/>
            <w:tcBorders>
              <w:top w:val="single" w:color="auto" w:sz="8" w:space="0"/>
              <w:right w:val="single" w:color="auto" w:sz="8" w:space="0"/>
            </w:tcBorders>
            <w:noWrap w:val="0"/>
            <w:vAlign w:val="center"/>
          </w:tcPr>
          <w:p w14:paraId="1C2D543E">
            <w:pPr>
              <w:pStyle w:val="3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2065" w:type="dxa"/>
            <w:tcBorders>
              <w:top w:val="single" w:color="auto" w:sz="8" w:space="0"/>
              <w:left w:val="single" w:color="auto" w:sz="8" w:space="0"/>
              <w:right w:val="single" w:color="auto" w:sz="8" w:space="0"/>
            </w:tcBorders>
            <w:noWrap w:val="0"/>
            <w:vAlign w:val="center"/>
          </w:tcPr>
          <w:p w14:paraId="31048D37">
            <w:pPr>
              <w:pStyle w:val="36"/>
              <w:keepNext w:val="0"/>
              <w:keepLines w:val="0"/>
              <w:pageBreakBefore w:val="0"/>
              <w:kinsoku/>
              <w:wordWrap/>
              <w:overflowPunct/>
              <w:topLinePunct w:val="0"/>
              <w:bidi w:val="0"/>
              <w:snapToGrid/>
              <w:spacing w:line="390" w:lineRule="exact"/>
              <w:ind w:left="0" w:leftChars="0" w:right="0" w:rightChars="0" w:firstLine="0" w:firstLineChars="0"/>
              <w:jc w:val="center"/>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其他</w:t>
            </w:r>
          </w:p>
        </w:tc>
        <w:tc>
          <w:tcPr>
            <w:tcW w:w="7077" w:type="dxa"/>
            <w:tcBorders>
              <w:top w:val="single" w:color="auto" w:sz="8" w:space="0"/>
              <w:left w:val="single" w:color="auto" w:sz="8" w:space="0"/>
            </w:tcBorders>
            <w:noWrap w:val="0"/>
            <w:vAlign w:val="center"/>
          </w:tcPr>
          <w:p w14:paraId="514215E6">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低于成本价不正当竞争预防措施：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交相关证明材料后，评标委员会应当结合采购项目采购需求、专业实际情况与其他供应商比较情况等就供应商提交相关证明材料进行审查评价。供应商拒绝或者变相拒绝提供有效相关证明材料或者相关证明材料不能证明其报价合理性的，评标委员会将投标文件作为无效处理。</w:t>
            </w:r>
          </w:p>
          <w:p w14:paraId="3C53B41D">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（2）投标文件制作工具，请在新疆政府采购网政采云平台首页--下载专区--电子招投标客户端下载中进行下载。</w:t>
            </w:r>
          </w:p>
          <w:p w14:paraId="105296F8">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（3）“电子投标文件”指利用新疆政府采购网政采云平台提供的“电子投标文件制作工具”编制加密的投标文件。</w:t>
            </w:r>
          </w:p>
          <w:p w14:paraId="08B47D84">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服务。</w:t>
            </w:r>
          </w:p>
          <w:p w14:paraId="5D1D1DD0">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文件解释权：本招标文件的解释权归新疆长润泽建设工程管理有限公司所有，当对一个问题有多种解释时以采购代理机构解释为准。采购文件未作须知明示，而又有法律法规规定的，采购代理机构将依据法律法规的规定进行解释。</w:t>
            </w:r>
          </w:p>
          <w:p w14:paraId="6062E9F8">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（6）录音录像：采购代理机构对开标、投标人资格审查和评标过程进行全程录音录像，并存档备查。</w:t>
            </w:r>
          </w:p>
          <w:p w14:paraId="42A7D640">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（7）合格投标人不足3家的，不得评标，不合格的投标人，不得进入评标环节。</w:t>
            </w:r>
          </w:p>
          <w:p w14:paraId="5BDFC59B">
            <w:pPr>
              <w:keepNext w:val="0"/>
              <w:keepLines w:val="0"/>
              <w:pageBreakBefore w:val="0"/>
              <w:widowControl w:val="0"/>
              <w:kinsoku/>
              <w:wordWrap/>
              <w:overflowPunct/>
              <w:topLinePunct w:val="0"/>
              <w:bidi w:val="0"/>
              <w:adjustRightInd/>
              <w:snapToGrid/>
              <w:spacing w:line="350" w:lineRule="exact"/>
              <w:ind w:right="0" w:right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（8）如有矛盾，以本表为准！</w:t>
            </w:r>
          </w:p>
        </w:tc>
      </w:tr>
    </w:tbl>
    <w:p w14:paraId="7BB258C3">
      <w:pPr>
        <w:pStyle w:val="3"/>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outlineLvl w:val="9"/>
        <w:rPr>
          <w:rFonts w:hint="eastAsia" w:ascii="仿宋" w:hAnsi="仿宋" w:eastAsia="仿宋" w:cs="仿宋"/>
          <w:color w:val="auto"/>
          <w:highlight w:val="none"/>
        </w:rPr>
      </w:pPr>
      <w:r>
        <w:rPr>
          <w:rFonts w:hint="eastAsia" w:ascii="仿宋" w:hAnsi="仿宋" w:eastAsia="仿宋" w:cs="仿宋"/>
          <w:color w:val="auto"/>
          <w:highlight w:val="none"/>
        </w:rPr>
        <w:br w:type="page"/>
      </w:r>
      <w:bookmarkEnd w:id="11"/>
      <w:bookmarkEnd w:id="12"/>
      <w:bookmarkEnd w:id="13"/>
      <w:bookmarkEnd w:id="14"/>
      <w:bookmarkStart w:id="69" w:name="_Toc520356143"/>
      <w:bookmarkStart w:id="70" w:name="_Toc216582805"/>
      <w:bookmarkStart w:id="71" w:name="_Toc9485"/>
      <w:bookmarkStart w:id="72" w:name="_Toc15004"/>
      <w:bookmarkStart w:id="73" w:name="_Toc7844"/>
      <w:bookmarkStart w:id="74" w:name="_Toc8264"/>
      <w:bookmarkStart w:id="75" w:name="_Toc518923060"/>
      <w:bookmarkStart w:id="76" w:name="_Toc217446081"/>
    </w:p>
    <w:p w14:paraId="78D01F9D">
      <w:pPr>
        <w:pageBreakBefore w:val="0"/>
        <w:widowControl w:val="0"/>
        <w:kinsoku/>
        <w:wordWrap/>
        <w:overflowPunct/>
        <w:topLinePunct w:val="0"/>
        <w:bidi w:val="0"/>
        <w:snapToGrid/>
        <w:spacing w:beforeAutospacing="0" w:line="480" w:lineRule="exact"/>
        <w:ind w:firstLine="723" w:firstLineChars="200"/>
        <w:jc w:val="center"/>
        <w:textAlignment w:val="auto"/>
        <w:rPr>
          <w:rFonts w:hint="eastAsia" w:ascii="仿宋" w:hAnsi="仿宋" w:eastAsia="仿宋" w:cs="仿宋"/>
          <w:b/>
          <w:bCs/>
          <w:color w:val="auto"/>
          <w:sz w:val="36"/>
          <w:szCs w:val="36"/>
          <w:highlight w:val="none"/>
          <w:lang w:val="en-US" w:eastAsia="zh-CN"/>
        </w:rPr>
      </w:pPr>
      <w:bookmarkStart w:id="77" w:name="_Toc30788"/>
      <w:r>
        <w:rPr>
          <w:rFonts w:hint="eastAsia" w:ascii="仿宋" w:hAnsi="仿宋" w:eastAsia="仿宋" w:cs="仿宋"/>
          <w:b/>
          <w:bCs/>
          <w:color w:val="auto"/>
          <w:sz w:val="36"/>
          <w:szCs w:val="36"/>
          <w:highlight w:val="none"/>
          <w:lang w:val="en-US" w:eastAsia="zh-CN"/>
        </w:rPr>
        <w:t>第二部分 投标须知</w:t>
      </w:r>
    </w:p>
    <w:p w14:paraId="47FCEC06">
      <w:pPr>
        <w:pStyle w:val="3"/>
        <w:pageBreakBefore w:val="0"/>
        <w:kinsoku/>
        <w:wordWrap/>
        <w:overflowPunct/>
        <w:topLinePunct w:val="0"/>
        <w:bidi w:val="0"/>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一</w:t>
      </w:r>
      <w:bookmarkEnd w:id="69"/>
      <w:bookmarkEnd w:id="70"/>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总  则</w:t>
      </w:r>
      <w:bookmarkEnd w:id="71"/>
      <w:bookmarkEnd w:id="72"/>
      <w:bookmarkEnd w:id="73"/>
      <w:bookmarkEnd w:id="74"/>
      <w:bookmarkEnd w:id="75"/>
      <w:bookmarkEnd w:id="77"/>
    </w:p>
    <w:p w14:paraId="58F36D89">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b/>
          <w:bCs/>
          <w:color w:val="auto"/>
          <w:sz w:val="28"/>
          <w:szCs w:val="28"/>
          <w:highlight w:val="none"/>
          <w:lang w:eastAsia="zh-CN"/>
        </w:rPr>
      </w:pPr>
      <w:bookmarkStart w:id="78" w:name="_Toc518923061"/>
      <w:bookmarkStart w:id="79" w:name="_Toc12013"/>
      <w:bookmarkStart w:id="80" w:name="_Toc520356144"/>
      <w:bookmarkStart w:id="81" w:name="_Toc20824"/>
      <w:bookmarkStart w:id="82" w:name="_Toc19817"/>
      <w:bookmarkStart w:id="83" w:name="_Toc809"/>
      <w:bookmarkStart w:id="84" w:name="_Toc520356146"/>
      <w:bookmarkStart w:id="85" w:name="_Toc518923065"/>
      <w:bookmarkStart w:id="86" w:name="_Toc23334"/>
      <w:bookmarkStart w:id="87" w:name="_Toc30070"/>
      <w:bookmarkStart w:id="88" w:name="_Toc216582806"/>
      <w:r>
        <w:rPr>
          <w:rFonts w:hint="eastAsia" w:ascii="仿宋" w:hAnsi="仿宋" w:eastAsia="仿宋" w:cs="仿宋"/>
          <w:b/>
          <w:bCs/>
          <w:color w:val="auto"/>
          <w:sz w:val="28"/>
          <w:szCs w:val="28"/>
          <w:highlight w:val="none"/>
        </w:rPr>
        <w:t>1.采购人、采购代理机构及</w:t>
      </w:r>
      <w:bookmarkEnd w:id="78"/>
      <w:bookmarkEnd w:id="79"/>
      <w:bookmarkEnd w:id="80"/>
      <w:r>
        <w:rPr>
          <w:rFonts w:hint="eastAsia" w:ascii="仿宋" w:hAnsi="仿宋" w:eastAsia="仿宋" w:cs="仿宋"/>
          <w:b/>
          <w:bCs/>
          <w:color w:val="auto"/>
          <w:sz w:val="28"/>
          <w:szCs w:val="28"/>
          <w:highlight w:val="none"/>
          <w:lang w:eastAsia="zh-CN"/>
        </w:rPr>
        <w:t>供应商</w:t>
      </w:r>
      <w:bookmarkEnd w:id="81"/>
      <w:bookmarkEnd w:id="82"/>
    </w:p>
    <w:p w14:paraId="2C96E3F2">
      <w:pPr>
        <w:pageBreakBefore w:val="0"/>
        <w:widowControl w:val="0"/>
        <w:tabs>
          <w:tab w:val="left" w:pos="0"/>
        </w:tabs>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1.1采购人：是指依法开展政府采购活动的国家机关、事业单位、团体组织。本项目的采购人见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6FC767A6">
      <w:pPr>
        <w:pageBreakBefore w:val="0"/>
        <w:widowControl w:val="0"/>
        <w:tabs>
          <w:tab w:val="left" w:pos="0"/>
        </w:tabs>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1.2采购代理机构：是指集中采购机构或从事采购代理业务的社会中介机构。本项目的采购代理机构见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15342029">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：是指向采购人提供货物、工程或者服务的法人、非法人组织或者自然人。本项目的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须满足以下条件：</w:t>
      </w:r>
    </w:p>
    <w:p w14:paraId="60228111">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1.3.1在中华人民共和国境内注册，能够独立承担民事责任，有生产或供应能力的本国供应商。</w:t>
      </w:r>
    </w:p>
    <w:p w14:paraId="48119BA6">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1.3.2具备《中华人民共和国政府采购法》第二十二条关于供应商条件的规定，遵守本项目采购人本级和上级财政部门政府采购的有关规定。</w:t>
      </w:r>
    </w:p>
    <w:p w14:paraId="06A1DE2F">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1.3.3以采购代理机构认可的方式获得了本项目的招标文件。</w:t>
      </w:r>
    </w:p>
    <w:p w14:paraId="36832201">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1.3.4符合</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中规定的其他要求。</w:t>
      </w:r>
    </w:p>
    <w:p w14:paraId="35A9AEA5">
      <w:pPr>
        <w:keepNext w:val="0"/>
        <w:keepLines w:val="0"/>
        <w:pageBreakBefore w:val="0"/>
        <w:widowControl w:val="0"/>
        <w:kinsoku/>
        <w:wordWrap/>
        <w:overflowPunct/>
        <w:topLinePunct w:val="0"/>
        <w:autoSpaceDE/>
        <w:autoSpaceDN/>
        <w:bidi w:val="0"/>
        <w:adjustRightInd/>
        <w:snapToGrid/>
        <w:spacing w:beforeAutospacing="0" w:line="48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中写明专门面向中小企业采购的，如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为非中小企业，投标被认定为投标无效。</w:t>
      </w:r>
    </w:p>
    <w:p w14:paraId="5C866A42">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中允许联合体投标，对联合体规定如下：</w:t>
      </w:r>
    </w:p>
    <w:p w14:paraId="60C02418">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1.4.1两个以上供应商可以组成一个投标联合体，以一个</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的身份投标。</w:t>
      </w:r>
    </w:p>
    <w:p w14:paraId="4952115C">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1.4.2联合体各方均应符合《中华人民共和国政府采购法》第二十二条规定的条件。</w:t>
      </w:r>
    </w:p>
    <w:p w14:paraId="5DC58052">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1.4.3采购人根据采购项目对</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的特殊要求，联合体中至少应当有一方符合相关规定。</w:t>
      </w:r>
    </w:p>
    <w:p w14:paraId="2BDA549B">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1.4.4联合体各方应签订共同投标协议，明确约定联合体各方承担的工作和相应的责任，并共同投标协议连同投标文件一并提交招标采购单位。</w:t>
      </w:r>
    </w:p>
    <w:p w14:paraId="1FF0F15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61CD241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1.4.6联合体中有同类资质的供应商按照联合体分工承担相同工作的，按照资质等级较低的供应商确定资质等级。</w:t>
      </w:r>
    </w:p>
    <w:p w14:paraId="289B31F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1.4.7以联合体形式参加政府采购活动的，联合体各方不得再单独参加或者与其他供应商另外组成联合体参加本项目投标，否则相关投标被认定为投标无效。</w:t>
      </w:r>
    </w:p>
    <w:p w14:paraId="0D521FE3">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1.4.8对联合体投标的其他资格要求见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7D27C62D">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1.5单位负责人为同一人或者存在直接控股、管理关系的不同供应商，相关投标被认定为投标无效。</w:t>
      </w:r>
    </w:p>
    <w:p w14:paraId="2F48044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1.6为本项目提供过整体设计、规范编制或者项目管理、监理、检测等服务的供应商，不得再参加本项目上述服务以外的其他采购活动。否则投标被认定为投标无效。</w:t>
      </w:r>
    </w:p>
    <w:p w14:paraId="78EAD6ED">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在投标过程中不得向采购人提供或给予影响其正常决策行为的任何有价值物品或服务。一经发现，投标被认定为投标无效。</w:t>
      </w:r>
    </w:p>
    <w:p w14:paraId="72AAFFD8">
      <w:pPr>
        <w:pStyle w:val="4"/>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89" w:name="_Toc9219"/>
      <w:bookmarkStart w:id="90" w:name="_Toc25173"/>
      <w:bookmarkStart w:id="91" w:name="_Toc2643"/>
      <w:bookmarkStart w:id="92" w:name="_Toc518923062"/>
      <w:r>
        <w:rPr>
          <w:rFonts w:hint="eastAsia" w:ascii="仿宋" w:hAnsi="仿宋" w:eastAsia="仿宋" w:cs="仿宋"/>
          <w:color w:val="auto"/>
          <w:sz w:val="28"/>
          <w:szCs w:val="28"/>
          <w:highlight w:val="none"/>
          <w:u w:val="none"/>
        </w:rPr>
        <w:t>2.资金来源</w:t>
      </w:r>
      <w:bookmarkEnd w:id="89"/>
      <w:bookmarkEnd w:id="90"/>
      <w:bookmarkEnd w:id="91"/>
      <w:bookmarkEnd w:id="92"/>
    </w:p>
    <w:p w14:paraId="701774AA">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2.1本项目的采购人已获得足以支付本次招标后所签订的合同项下的资金（包括财政性资金和本项目采购中无法与财政性资金分割的非财政性资金）。</w:t>
      </w:r>
    </w:p>
    <w:p w14:paraId="77B875A4">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2.2项目预算金额</w:t>
      </w:r>
      <w:r>
        <w:rPr>
          <w:rFonts w:hint="eastAsia" w:ascii="仿宋" w:hAnsi="仿宋" w:eastAsia="仿宋" w:cs="仿宋"/>
          <w:color w:val="auto"/>
          <w:sz w:val="28"/>
          <w:szCs w:val="28"/>
          <w:highlight w:val="none"/>
          <w:u w:val="none"/>
        </w:rPr>
        <w:t>见</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w:t>
      </w:r>
    </w:p>
    <w:p w14:paraId="39F68BDF">
      <w:pPr>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报价超过招标文件规定的</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的，投标被认定为投标无效。</w:t>
      </w:r>
    </w:p>
    <w:p w14:paraId="4F51C5AD">
      <w:pPr>
        <w:pStyle w:val="4"/>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93" w:name="_Toc11742"/>
      <w:bookmarkStart w:id="94" w:name="_Toc520356145"/>
      <w:bookmarkStart w:id="95" w:name="_Toc4207"/>
      <w:bookmarkStart w:id="96" w:name="_Toc518923063"/>
      <w:bookmarkStart w:id="97" w:name="_Toc28166"/>
      <w:r>
        <w:rPr>
          <w:rFonts w:hint="eastAsia" w:ascii="仿宋" w:hAnsi="仿宋" w:eastAsia="仿宋" w:cs="仿宋"/>
          <w:color w:val="auto"/>
          <w:sz w:val="28"/>
          <w:szCs w:val="28"/>
          <w:highlight w:val="none"/>
          <w:u w:val="none"/>
        </w:rPr>
        <w:t>3.投标费用</w:t>
      </w:r>
      <w:bookmarkEnd w:id="93"/>
      <w:bookmarkEnd w:id="94"/>
      <w:bookmarkEnd w:id="95"/>
      <w:bookmarkEnd w:id="96"/>
      <w:bookmarkEnd w:id="97"/>
    </w:p>
    <w:p w14:paraId="250FC9E8">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应承担所有与准备和参加投标有关的费用。</w:t>
      </w:r>
    </w:p>
    <w:p w14:paraId="49F58417">
      <w:pPr>
        <w:pStyle w:val="4"/>
        <w:pageBreakBefore w:val="0"/>
        <w:widowControl w:val="0"/>
        <w:kinsoku/>
        <w:wordWrap/>
        <w:overflowPunct/>
        <w:topLinePunct w:val="0"/>
        <w:bidi w:val="0"/>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98" w:name="_Toc5685"/>
      <w:bookmarkStart w:id="99" w:name="_Toc7152"/>
      <w:bookmarkStart w:id="100" w:name="_Toc32365"/>
      <w:bookmarkStart w:id="101" w:name="_Toc518923064"/>
      <w:r>
        <w:rPr>
          <w:rFonts w:hint="eastAsia" w:ascii="仿宋" w:hAnsi="仿宋" w:eastAsia="仿宋" w:cs="仿宋"/>
          <w:color w:val="auto"/>
          <w:sz w:val="28"/>
          <w:szCs w:val="28"/>
          <w:highlight w:val="none"/>
          <w:u w:val="none"/>
        </w:rPr>
        <w:t>4.适用法律</w:t>
      </w:r>
      <w:bookmarkEnd w:id="98"/>
      <w:bookmarkEnd w:id="99"/>
      <w:bookmarkEnd w:id="100"/>
      <w:bookmarkEnd w:id="101"/>
    </w:p>
    <w:p w14:paraId="0A53FAB3">
      <w:pPr>
        <w:pageBreakBefore w:val="0"/>
        <w:widowControl w:val="0"/>
        <w:kinsoku/>
        <w:wordWrap/>
        <w:overflowPunct/>
        <w:topLinePunct w:val="0"/>
        <w:bidi w:val="0"/>
        <w:snapToGrid/>
        <w:spacing w:beforeAutospacing="0" w:line="480" w:lineRule="exact"/>
        <w:textAlignment w:val="auto"/>
        <w:rPr>
          <w:rFonts w:hint="eastAsia" w:ascii="仿宋" w:hAnsi="仿宋" w:eastAsia="仿宋" w:cs="仿宋"/>
          <w:b/>
          <w:bCs/>
          <w:color w:val="auto"/>
          <w:sz w:val="36"/>
          <w:szCs w:val="36"/>
          <w:highlight w:val="none"/>
        </w:rPr>
      </w:pPr>
      <w:r>
        <w:rPr>
          <w:rFonts w:hint="eastAsia" w:ascii="仿宋" w:hAnsi="仿宋" w:eastAsia="仿宋" w:cs="仿宋"/>
          <w:color w:val="auto"/>
          <w:sz w:val="28"/>
          <w:szCs w:val="28"/>
          <w:highlight w:val="none"/>
        </w:rPr>
        <w:t xml:space="preserve">   本项目采购人、采购代理机构、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、评标委员会的相关行为均受《中华人民共和国政府采购法》、《中华人民共和国政府采购法实施条例》及本项目本级和上级财政部门政府采购有关规定的约束，其权利受到上述法律法规的保护。</w:t>
      </w:r>
      <w:bookmarkStart w:id="102" w:name="_Toc25297"/>
    </w:p>
    <w:p w14:paraId="570AE72C">
      <w:pPr>
        <w:pStyle w:val="3"/>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03" w:name="_Toc26886"/>
      <w:r>
        <w:rPr>
          <w:rFonts w:hint="eastAsia" w:ascii="仿宋" w:hAnsi="仿宋" w:eastAsia="仿宋" w:cs="仿宋"/>
          <w:b/>
          <w:bCs/>
          <w:color w:val="auto"/>
          <w:sz w:val="36"/>
          <w:szCs w:val="36"/>
          <w:highlight w:val="none"/>
        </w:rPr>
        <w:t>二</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招标文件</w:t>
      </w:r>
      <w:bookmarkEnd w:id="83"/>
      <w:bookmarkEnd w:id="84"/>
      <w:bookmarkEnd w:id="85"/>
      <w:bookmarkEnd w:id="86"/>
      <w:bookmarkEnd w:id="87"/>
      <w:bookmarkEnd w:id="88"/>
      <w:bookmarkEnd w:id="102"/>
      <w:bookmarkEnd w:id="103"/>
    </w:p>
    <w:p w14:paraId="0764D228">
      <w:pPr>
        <w:pageBreakBefore w:val="0"/>
        <w:widowControl w:val="0"/>
        <w:kinsoku/>
        <w:wordWrap/>
        <w:overflowPunct/>
        <w:topLinePunct w:val="0"/>
        <w:autoSpaceDE/>
        <w:autoSpaceDN/>
        <w:bidi w:val="0"/>
        <w:adjustRightInd/>
        <w:snapToGrid/>
        <w:spacing w:beforeAutospacing="0" w:line="480" w:lineRule="exact"/>
        <w:textAlignment w:val="auto"/>
        <w:rPr>
          <w:rFonts w:hint="eastAsia" w:ascii="仿宋" w:hAnsi="仿宋" w:eastAsia="仿宋" w:cs="仿宋"/>
          <w:b/>
          <w:bCs/>
          <w:color w:val="auto"/>
          <w:sz w:val="28"/>
          <w:szCs w:val="28"/>
          <w:highlight w:val="none"/>
          <w:lang w:val="en-US" w:eastAsia="zh-CN"/>
        </w:rPr>
      </w:pPr>
      <w:bookmarkStart w:id="104" w:name="_Toc32491"/>
      <w:bookmarkStart w:id="105" w:name="_Toc22990"/>
      <w:bookmarkStart w:id="106" w:name="_Toc520356147"/>
      <w:bookmarkStart w:id="107" w:name="_Toc30631"/>
      <w:bookmarkStart w:id="108" w:name="_Toc24789"/>
      <w:bookmarkStart w:id="109" w:name="_Toc518923066"/>
      <w:bookmarkStart w:id="110" w:name="_Toc18180"/>
      <w:r>
        <w:rPr>
          <w:rFonts w:hint="eastAsia" w:ascii="仿宋" w:hAnsi="仿宋" w:eastAsia="仿宋" w:cs="仿宋"/>
          <w:b/>
          <w:bCs/>
          <w:color w:val="auto"/>
          <w:sz w:val="28"/>
          <w:szCs w:val="28"/>
          <w:highlight w:val="none"/>
          <w:lang w:val="en-US" w:eastAsia="zh-CN"/>
        </w:rPr>
        <w:t>5.招标文件构成</w:t>
      </w:r>
      <w:bookmarkEnd w:id="104"/>
      <w:bookmarkEnd w:id="105"/>
      <w:bookmarkEnd w:id="106"/>
      <w:bookmarkEnd w:id="107"/>
      <w:bookmarkEnd w:id="108"/>
      <w:bookmarkEnd w:id="109"/>
      <w:bookmarkEnd w:id="110"/>
    </w:p>
    <w:p w14:paraId="0FB7EFF4">
      <w:pPr>
        <w:pageBreakBefore w:val="0"/>
        <w:widowControl w:val="0"/>
        <w:kinsoku/>
        <w:wordWrap/>
        <w:overflowPunct/>
        <w:topLinePunct w:val="0"/>
        <w:autoSpaceDE/>
        <w:autoSpaceDN/>
        <w:bidi w:val="0"/>
        <w:adjustRightInd/>
        <w:snapToGrid/>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5.1招标文件分为6章，内容如下：</w:t>
      </w:r>
    </w:p>
    <w:p w14:paraId="371DC02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_Toc18522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第一章 招标公告</w:t>
      </w:r>
      <w:r>
        <w:rPr>
          <w:rFonts w:hint="eastAsia" w:ascii="仿宋" w:hAnsi="仿宋" w:eastAsia="仿宋" w:cs="仿宋"/>
          <w:color w:val="auto"/>
          <w:sz w:val="28"/>
          <w:szCs w:val="28"/>
          <w:highlight w:val="none"/>
          <w:lang w:val="en-US" w:eastAsia="zh-CN"/>
        </w:rPr>
        <w:fldChar w:fldCharType="end"/>
      </w:r>
    </w:p>
    <w:p w14:paraId="671A7B2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_Toc5890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第二章 投标供应商须知</w:t>
      </w:r>
      <w:r>
        <w:rPr>
          <w:rFonts w:hint="eastAsia" w:ascii="仿宋" w:hAnsi="仿宋" w:eastAsia="仿宋" w:cs="仿宋"/>
          <w:color w:val="auto"/>
          <w:sz w:val="28"/>
          <w:szCs w:val="28"/>
          <w:highlight w:val="none"/>
          <w:lang w:val="en-US" w:eastAsia="zh-CN"/>
        </w:rPr>
        <w:fldChar w:fldCharType="end"/>
      </w:r>
    </w:p>
    <w:p w14:paraId="4F05AB4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_Toc24805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第三章 评标方法和标准</w:t>
      </w:r>
      <w:r>
        <w:rPr>
          <w:rFonts w:hint="eastAsia" w:ascii="仿宋" w:hAnsi="仿宋" w:eastAsia="仿宋" w:cs="仿宋"/>
          <w:color w:val="auto"/>
          <w:sz w:val="28"/>
          <w:szCs w:val="28"/>
          <w:highlight w:val="none"/>
          <w:lang w:val="en-US" w:eastAsia="zh-CN"/>
        </w:rPr>
        <w:fldChar w:fldCharType="end"/>
      </w:r>
    </w:p>
    <w:p w14:paraId="5355EB3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_Toc12287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第四章 采购需求及商务要求</w:t>
      </w:r>
      <w:r>
        <w:rPr>
          <w:rFonts w:hint="eastAsia" w:ascii="仿宋" w:hAnsi="仿宋" w:eastAsia="仿宋" w:cs="仿宋"/>
          <w:color w:val="auto"/>
          <w:sz w:val="28"/>
          <w:szCs w:val="28"/>
          <w:highlight w:val="none"/>
          <w:lang w:val="en-US" w:eastAsia="zh-CN"/>
        </w:rPr>
        <w:fldChar w:fldCharType="end"/>
      </w:r>
    </w:p>
    <w:p w14:paraId="7ED1B34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_Toc30823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第五章 投标文件格式</w:t>
      </w:r>
      <w:r>
        <w:rPr>
          <w:rFonts w:hint="eastAsia" w:ascii="仿宋" w:hAnsi="仿宋" w:eastAsia="仿宋" w:cs="仿宋"/>
          <w:color w:val="auto"/>
          <w:sz w:val="28"/>
          <w:szCs w:val="28"/>
          <w:highlight w:val="none"/>
          <w:lang w:val="en-US" w:eastAsia="zh-CN"/>
        </w:rPr>
        <w:fldChar w:fldCharType="end"/>
      </w:r>
    </w:p>
    <w:p w14:paraId="65AB561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\l _Toc12058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第六章 采购合同格式</w:t>
      </w:r>
      <w:r>
        <w:rPr>
          <w:rFonts w:hint="eastAsia" w:ascii="仿宋" w:hAnsi="仿宋" w:eastAsia="仿宋" w:cs="仿宋"/>
          <w:color w:val="auto"/>
          <w:sz w:val="28"/>
          <w:szCs w:val="28"/>
          <w:highlight w:val="none"/>
          <w:lang w:val="en-US" w:eastAsia="zh-CN"/>
        </w:rPr>
        <w:tab/>
      </w:r>
    </w:p>
    <w:p w14:paraId="603FFCD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b w:val="0"/>
          <w:color w:val="auto"/>
          <w:kern w:val="2"/>
          <w:sz w:val="28"/>
          <w:szCs w:val="28"/>
          <w:highlight w:val="none"/>
          <w:lang w:val="en-US" w:eastAsia="zh-CN" w:bidi="ar-SA"/>
        </w:rPr>
        <w:t>5.2如本文件的前后内容不一致，以最后描述为准。</w:t>
      </w:r>
    </w:p>
    <w:p w14:paraId="3C60E3A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5.3 </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应认真阅读招标文件所有的事项、格式、条款和技术规范等。如</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没有按照招标文件要求提交全部资料，或者投标文件没有对招标文件在各方面都做出实质性响应，投标被认定为</w:t>
      </w:r>
      <w:r>
        <w:rPr>
          <w:rFonts w:hint="eastAsia" w:ascii="仿宋" w:hAnsi="仿宋" w:eastAsia="仿宋" w:cs="仿宋"/>
          <w:b/>
          <w:bCs/>
          <w:color w:val="auto"/>
          <w:sz w:val="28"/>
          <w:szCs w:val="28"/>
          <w:highlight w:val="none"/>
        </w:rPr>
        <w:t>投标无效。</w:t>
      </w:r>
    </w:p>
    <w:p w14:paraId="339C4E98">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b w:val="0"/>
          <w:color w:val="auto"/>
          <w:sz w:val="28"/>
          <w:szCs w:val="28"/>
          <w:highlight w:val="none"/>
          <w:u w:val="none"/>
        </w:rPr>
      </w:pPr>
      <w:bookmarkStart w:id="111" w:name="_Toc520356148"/>
      <w:bookmarkStart w:id="112" w:name="_Toc13923"/>
      <w:bookmarkStart w:id="113" w:name="_Toc4505"/>
      <w:bookmarkStart w:id="114" w:name="_Toc23363"/>
      <w:bookmarkStart w:id="115" w:name="_Toc21314"/>
      <w:bookmarkStart w:id="116" w:name="_Toc31726"/>
      <w:bookmarkStart w:id="117" w:name="_Toc518923067"/>
      <w:r>
        <w:rPr>
          <w:rFonts w:hint="eastAsia" w:ascii="仿宋" w:hAnsi="仿宋" w:eastAsia="仿宋" w:cs="仿宋"/>
          <w:color w:val="auto"/>
          <w:sz w:val="28"/>
          <w:szCs w:val="28"/>
          <w:highlight w:val="none"/>
          <w:u w:val="none"/>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招标文件的澄清</w:t>
      </w:r>
      <w:bookmarkEnd w:id="111"/>
      <w:r>
        <w:rPr>
          <w:rFonts w:hint="eastAsia" w:ascii="仿宋" w:hAnsi="仿宋" w:eastAsia="仿宋" w:cs="仿宋"/>
          <w:color w:val="auto"/>
          <w:sz w:val="28"/>
          <w:szCs w:val="28"/>
          <w:highlight w:val="none"/>
          <w:u w:val="none"/>
        </w:rPr>
        <w:t>与修改</w:t>
      </w:r>
      <w:bookmarkEnd w:id="112"/>
      <w:bookmarkEnd w:id="113"/>
      <w:bookmarkEnd w:id="114"/>
      <w:bookmarkEnd w:id="115"/>
      <w:bookmarkEnd w:id="116"/>
      <w:bookmarkEnd w:id="117"/>
    </w:p>
    <w:p w14:paraId="09B67E6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bookmarkStart w:id="118" w:name="_Toc518923068"/>
      <w:bookmarkStart w:id="119" w:name="_Toc10994"/>
      <w:bookmarkStart w:id="120" w:name="_Toc515904806"/>
      <w:bookmarkStart w:id="121" w:name="_Toc520356149"/>
      <w:bookmarkStart w:id="122" w:name="_Ref467378678"/>
      <w:r>
        <w:rPr>
          <w:rFonts w:hint="eastAsia" w:ascii="仿宋" w:hAnsi="仿宋" w:eastAsia="仿宋" w:cs="仿宋"/>
          <w:color w:val="auto"/>
          <w:sz w:val="28"/>
          <w:szCs w:val="28"/>
          <w:highlight w:val="none"/>
        </w:rPr>
        <w:t>6.1采购人或者采购代理机构可以对已发出的招标文件进行必要的澄清或者修改。</w:t>
      </w:r>
    </w:p>
    <w:p w14:paraId="61A798A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6.2采购代理机构将以发布澄清（更正）公告的方式，澄清或修改招标文件，澄清或修改内容作为招标文件的组成部分。</w:t>
      </w:r>
    </w:p>
    <w:p w14:paraId="7234832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6.3澄清或者修改的内容可能影响投标文件编制的，采购人或者采购代理机构应当在投标截止时间至少15日前，以发布澄清（更正）公告的形式通知所有获取招标文件的潜在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；不足15日的，采购人或者采购代理机构应当顺延提交投标文件的截止时间。</w:t>
      </w:r>
      <w:bookmarkEnd w:id="118"/>
      <w:bookmarkEnd w:id="119"/>
      <w:bookmarkEnd w:id="120"/>
      <w:bookmarkEnd w:id="121"/>
      <w:bookmarkEnd w:id="122"/>
      <w:bookmarkStart w:id="123" w:name="_Toc516367020"/>
      <w:bookmarkStart w:id="124" w:name="_Toc216582807"/>
      <w:bookmarkStart w:id="125" w:name="_Toc25389"/>
      <w:bookmarkStart w:id="126" w:name="_Toc518923069"/>
      <w:bookmarkStart w:id="127" w:name="_Toc520356150"/>
      <w:bookmarkStart w:id="128" w:name="_Toc30238"/>
    </w:p>
    <w:p w14:paraId="63CB3DBF">
      <w:pPr>
        <w:rPr>
          <w:rFonts w:hint="eastAsia" w:ascii="仿宋" w:hAnsi="仿宋" w:eastAsia="仿宋" w:cs="仿宋"/>
          <w:b/>
          <w:bCs/>
          <w:color w:val="auto"/>
          <w:sz w:val="36"/>
          <w:szCs w:val="36"/>
          <w:highlight w:val="none"/>
        </w:rPr>
      </w:pPr>
      <w:bookmarkStart w:id="129" w:name="_Toc14607"/>
      <w:bookmarkStart w:id="130" w:name="_Toc3617"/>
    </w:p>
    <w:p w14:paraId="69242338">
      <w:pPr>
        <w:pStyle w:val="3"/>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31" w:name="_Toc14836"/>
      <w:r>
        <w:rPr>
          <w:rFonts w:hint="eastAsia" w:ascii="仿宋" w:hAnsi="仿宋" w:eastAsia="仿宋" w:cs="仿宋"/>
          <w:b/>
          <w:bCs/>
          <w:color w:val="auto"/>
          <w:sz w:val="36"/>
          <w:szCs w:val="36"/>
          <w:highlight w:val="none"/>
        </w:rPr>
        <w:t>三</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投标文件</w:t>
      </w:r>
      <w:bookmarkEnd w:id="123"/>
      <w:r>
        <w:rPr>
          <w:rFonts w:hint="eastAsia" w:ascii="仿宋" w:hAnsi="仿宋" w:eastAsia="仿宋" w:cs="仿宋"/>
          <w:b/>
          <w:bCs/>
          <w:color w:val="auto"/>
          <w:sz w:val="36"/>
          <w:szCs w:val="36"/>
          <w:highlight w:val="none"/>
        </w:rPr>
        <w:t>的编制</w:t>
      </w:r>
      <w:bookmarkEnd w:id="124"/>
      <w:bookmarkEnd w:id="125"/>
      <w:bookmarkEnd w:id="126"/>
      <w:bookmarkEnd w:id="127"/>
      <w:bookmarkEnd w:id="128"/>
      <w:bookmarkEnd w:id="129"/>
      <w:bookmarkEnd w:id="130"/>
      <w:bookmarkEnd w:id="131"/>
    </w:p>
    <w:p w14:paraId="63BAAF2C">
      <w:pPr>
        <w:pStyle w:val="4"/>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32" w:name="_Toc30570"/>
      <w:bookmarkStart w:id="133" w:name="_Toc515647767"/>
      <w:bookmarkStart w:id="134" w:name="_Toc520356151"/>
      <w:bookmarkStart w:id="135" w:name="_Toc14192"/>
      <w:bookmarkStart w:id="136" w:name="_Toc19777"/>
      <w:bookmarkStart w:id="137" w:name="_Toc516367021"/>
      <w:bookmarkStart w:id="138" w:name="_Toc7786"/>
      <w:bookmarkStart w:id="139" w:name="_Toc3553"/>
      <w:bookmarkStart w:id="140" w:name="_Toc28936"/>
      <w:bookmarkStart w:id="141" w:name="_Toc18535"/>
      <w:bookmarkStart w:id="142" w:name="_Toc22303"/>
      <w:bookmarkStart w:id="143" w:name="_Toc13282"/>
      <w:bookmarkStart w:id="144" w:name="_Toc216582808"/>
      <w:bookmarkStart w:id="145" w:name="_Toc518923078"/>
      <w:bookmarkStart w:id="146" w:name="_Toc520356159"/>
      <w:r>
        <w:rPr>
          <w:rFonts w:hint="eastAsia" w:ascii="仿宋" w:hAnsi="仿宋" w:eastAsia="仿宋" w:cs="仿宋"/>
          <w:color w:val="auto"/>
          <w:sz w:val="28"/>
          <w:szCs w:val="28"/>
          <w:u w:val="none"/>
        </w:rPr>
        <w:t>7.投标范围及投标文件中标准则和计量单位的使用</w:t>
      </w:r>
      <w:bookmarkEnd w:id="132"/>
      <w:bookmarkEnd w:id="133"/>
      <w:bookmarkEnd w:id="134"/>
      <w:bookmarkEnd w:id="135"/>
      <w:bookmarkEnd w:id="136"/>
      <w:bookmarkEnd w:id="137"/>
      <w:bookmarkEnd w:id="138"/>
      <w:bookmarkEnd w:id="139"/>
    </w:p>
    <w:p w14:paraId="4C0AFCD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7.1项目有分标段的，供应商可对招标文件其中某一个或几个标段货物进行投标，除非在</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中另有规定。</w:t>
      </w:r>
    </w:p>
    <w:p w14:paraId="48BD54AE">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7.2供应商应当对所投项目招标文件中“</w:t>
      </w:r>
      <w:r>
        <w:rPr>
          <w:rFonts w:hint="eastAsia" w:ascii="仿宋" w:hAnsi="仿宋" w:eastAsia="仿宋" w:cs="仿宋"/>
          <w:color w:val="auto"/>
          <w:sz w:val="28"/>
          <w:szCs w:val="28"/>
          <w:highlight w:val="none"/>
          <w:lang w:val="en-US" w:eastAsia="zh-CN"/>
        </w:rPr>
        <w:t>采购需求及商务要求</w:t>
      </w:r>
      <w:r>
        <w:rPr>
          <w:rFonts w:hint="eastAsia" w:ascii="仿宋" w:hAnsi="仿宋" w:eastAsia="仿宋" w:cs="仿宋"/>
          <w:color w:val="auto"/>
          <w:sz w:val="28"/>
          <w:szCs w:val="28"/>
        </w:rPr>
        <w:t>”所列的所有内容进行投标。</w:t>
      </w:r>
    </w:p>
    <w:p w14:paraId="645C66BD">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7.3无论招标文件第</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章否要求，供应商所投货物均应符合国家强制性标准。</w:t>
      </w:r>
    </w:p>
    <w:p w14:paraId="1BE0F5BD">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7.4除招标文件中有特殊要求外，投标文件中所使用的计量单位，应采用中华人民共和国法定计量单位。</w:t>
      </w:r>
    </w:p>
    <w:p w14:paraId="3649E7FF">
      <w:pPr>
        <w:pStyle w:val="4"/>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47" w:name="_Ref467306676"/>
      <w:bookmarkStart w:id="148" w:name="_Toc516367022"/>
      <w:bookmarkStart w:id="149" w:name="_Ref467306195"/>
      <w:bookmarkStart w:id="150" w:name="_Toc18692"/>
      <w:bookmarkStart w:id="151" w:name="_Toc32467"/>
      <w:bookmarkStart w:id="152" w:name="_Toc515647768"/>
      <w:bookmarkStart w:id="153" w:name="_Toc520356152"/>
      <w:bookmarkStart w:id="154" w:name="_Toc10364"/>
      <w:bookmarkStart w:id="155" w:name="_Toc28307"/>
      <w:bookmarkStart w:id="156" w:name="_Toc16425"/>
      <w:r>
        <w:rPr>
          <w:rFonts w:hint="eastAsia" w:ascii="仿宋" w:hAnsi="仿宋" w:eastAsia="仿宋" w:cs="仿宋"/>
          <w:color w:val="auto"/>
          <w:sz w:val="28"/>
          <w:szCs w:val="28"/>
          <w:u w:val="none"/>
        </w:rPr>
        <w:t>8.投标文件</w:t>
      </w:r>
      <w:bookmarkEnd w:id="147"/>
      <w:bookmarkEnd w:id="148"/>
      <w:bookmarkEnd w:id="149"/>
      <w:r>
        <w:rPr>
          <w:rFonts w:hint="eastAsia" w:ascii="仿宋" w:hAnsi="仿宋" w:eastAsia="仿宋" w:cs="仿宋"/>
          <w:color w:val="auto"/>
          <w:sz w:val="28"/>
          <w:szCs w:val="28"/>
          <w:u w:val="none"/>
        </w:rPr>
        <w:t>构成</w:t>
      </w:r>
      <w:bookmarkEnd w:id="150"/>
      <w:bookmarkEnd w:id="151"/>
      <w:bookmarkEnd w:id="152"/>
      <w:bookmarkEnd w:id="153"/>
      <w:bookmarkEnd w:id="154"/>
      <w:bookmarkEnd w:id="155"/>
      <w:r>
        <w:rPr>
          <w:rFonts w:hint="eastAsia" w:ascii="仿宋" w:hAnsi="仿宋" w:eastAsia="仿宋" w:cs="仿宋"/>
          <w:color w:val="auto"/>
          <w:sz w:val="28"/>
          <w:szCs w:val="28"/>
          <w:u w:val="none"/>
        </w:rPr>
        <w:t>（详见投标文件格式）</w:t>
      </w:r>
      <w:bookmarkEnd w:id="156"/>
    </w:p>
    <w:p w14:paraId="5048F1A6">
      <w:pPr>
        <w:pStyle w:val="64"/>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157" w:name="_Ref467052588"/>
      <w:bookmarkStart w:id="158" w:name="_Toc10379"/>
      <w:bookmarkStart w:id="159" w:name="_Toc516367023"/>
      <w:bookmarkStart w:id="160" w:name="_Toc4601"/>
      <w:bookmarkStart w:id="161" w:name="_Toc520356153"/>
      <w:bookmarkStart w:id="162" w:name="_Toc515647769"/>
      <w:bookmarkStart w:id="163" w:name="_Toc13143"/>
      <w:r>
        <w:rPr>
          <w:rFonts w:hint="eastAsia" w:ascii="仿宋" w:hAnsi="仿宋" w:eastAsia="仿宋" w:cs="仿宋"/>
          <w:color w:val="auto"/>
          <w:sz w:val="28"/>
          <w:szCs w:val="28"/>
        </w:rPr>
        <w:t>8.1本项目采用不见面开标，供应商需要递交电子投标文件。加密的电子投标文件，在公开招标截止时间前通过新疆政采云平台上传到指定位置，无需递交纸质文件。</w:t>
      </w:r>
    </w:p>
    <w:p w14:paraId="76C5F94B">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8.2开标当日，供应商无需到达开标现场，仅需通过政采云系统完成远程解密、提疑澄清、开标唱标、结果公布等交互环节。供应商必须使用能正确解密响应文件的“CA锁”在规定的时间内完成远程解密，因供应商原因未能解密、解密失败或解密超时，视为供应商撤销其响应文件，系统内响应文件将被退回；因采购人原因或政采云平台发生故障，导致无法按时完成响应文件解密或开、评标工作无法进行的，可根据实际情况相应延迟解密时间或调整开、评标时间。</w:t>
      </w:r>
    </w:p>
    <w:bookmarkEnd w:id="157"/>
    <w:p w14:paraId="1C1604EE">
      <w:pPr>
        <w:pStyle w:val="4"/>
        <w:pageBreakBefore w:val="0"/>
        <w:widowControl w:val="0"/>
        <w:tabs>
          <w:tab w:val="left" w:pos="900"/>
        </w:tabs>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64" w:name="_Toc25142"/>
      <w:bookmarkStart w:id="165" w:name="_Toc11034"/>
      <w:r>
        <w:rPr>
          <w:rFonts w:hint="eastAsia" w:ascii="仿宋" w:hAnsi="仿宋" w:eastAsia="仿宋" w:cs="仿宋"/>
          <w:color w:val="auto"/>
          <w:sz w:val="28"/>
          <w:szCs w:val="28"/>
          <w:u w:val="none"/>
        </w:rPr>
        <w:t>9.证明投标标的的合格性和符合招标文件规定的技术文件</w:t>
      </w:r>
      <w:bookmarkEnd w:id="158"/>
      <w:bookmarkEnd w:id="159"/>
      <w:bookmarkEnd w:id="160"/>
      <w:bookmarkEnd w:id="161"/>
      <w:bookmarkEnd w:id="162"/>
      <w:bookmarkEnd w:id="163"/>
      <w:bookmarkEnd w:id="164"/>
      <w:bookmarkEnd w:id="165"/>
    </w:p>
    <w:p w14:paraId="2A6CF413">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9.1供应商应提交证明文件，证明其投标内容符合招标文件规定。该证明文件是投标文件的一部分。</w:t>
      </w:r>
    </w:p>
    <w:p w14:paraId="180628E4">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166" w:name="_Ref467306244"/>
      <w:r>
        <w:rPr>
          <w:rFonts w:hint="eastAsia" w:ascii="仿宋" w:hAnsi="仿宋" w:eastAsia="仿宋" w:cs="仿宋"/>
          <w:color w:val="auto"/>
          <w:sz w:val="28"/>
          <w:szCs w:val="28"/>
        </w:rPr>
        <w:t>9.2上款所述的证明文件，可以是文字资料、图纸和数据，</w:t>
      </w:r>
      <w:bookmarkEnd w:id="166"/>
      <w:r>
        <w:rPr>
          <w:rFonts w:hint="eastAsia" w:ascii="仿宋" w:hAnsi="仿宋" w:eastAsia="仿宋" w:cs="仿宋"/>
          <w:color w:val="auto"/>
          <w:sz w:val="28"/>
          <w:szCs w:val="28"/>
        </w:rPr>
        <w:t>它包括：</w:t>
      </w:r>
    </w:p>
    <w:p w14:paraId="6EC543AE">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color w:val="auto"/>
          <w:sz w:val="28"/>
          <w:szCs w:val="28"/>
        </w:rPr>
      </w:pPr>
      <w:bookmarkStart w:id="167" w:name="_Toc26980"/>
      <w:r>
        <w:rPr>
          <w:rFonts w:hint="eastAsia" w:ascii="仿宋" w:hAnsi="仿宋" w:eastAsia="仿宋" w:cs="仿宋"/>
          <w:color w:val="auto"/>
          <w:sz w:val="28"/>
          <w:szCs w:val="28"/>
        </w:rPr>
        <w:t>9.2.1货物主要技术指标和性能的详细说明。</w:t>
      </w:r>
      <w:bookmarkEnd w:id="167"/>
    </w:p>
    <w:p w14:paraId="55B77A3C">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9.2.2货物从买方开始使用至招标文件规定的保质期内正常、连续地使用所必须的备件和专用工具清单，包括备件和专用工具的货源及现行价格。</w:t>
      </w:r>
    </w:p>
    <w:p w14:paraId="157398F0">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9.2.3对照招标文件技术规格，逐条说明所提供货物及伴随的工程和服务已对招标文件的技术规格做出了实质性的响应，或申明与技术规格条文的偏差和例外。</w:t>
      </w:r>
    </w:p>
    <w:p w14:paraId="4D1DCE27">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9.3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1ACC8750">
      <w:pPr>
        <w:pStyle w:val="4"/>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68" w:name="_Toc19624"/>
      <w:bookmarkStart w:id="169" w:name="_Toc515647770"/>
      <w:bookmarkStart w:id="170" w:name="_Toc2248"/>
      <w:bookmarkStart w:id="171" w:name="_Toc18482"/>
      <w:bookmarkStart w:id="172" w:name="_Toc520356155"/>
      <w:bookmarkStart w:id="173" w:name="_Toc17878"/>
      <w:bookmarkStart w:id="174" w:name="_Toc23231"/>
      <w:r>
        <w:rPr>
          <w:rFonts w:hint="eastAsia" w:ascii="仿宋" w:hAnsi="仿宋" w:eastAsia="仿宋" w:cs="仿宋"/>
          <w:color w:val="auto"/>
          <w:sz w:val="28"/>
          <w:szCs w:val="28"/>
          <w:u w:val="none"/>
        </w:rPr>
        <w:t>10.投标报价</w:t>
      </w:r>
      <w:bookmarkEnd w:id="168"/>
      <w:bookmarkEnd w:id="169"/>
      <w:bookmarkEnd w:id="170"/>
      <w:bookmarkEnd w:id="171"/>
      <w:bookmarkEnd w:id="172"/>
      <w:bookmarkEnd w:id="173"/>
      <w:bookmarkEnd w:id="174"/>
    </w:p>
    <w:p w14:paraId="77B0560B">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10.1</w:t>
      </w:r>
      <w:r>
        <w:rPr>
          <w:rFonts w:hint="eastAsia" w:ascii="仿宋" w:hAnsi="仿宋" w:eastAsia="仿宋" w:cs="仿宋"/>
          <w:color w:val="auto"/>
          <w:sz w:val="28"/>
          <w:szCs w:val="28"/>
          <w:lang w:val="en-US" w:eastAsia="zh-CN"/>
        </w:rPr>
        <w:t>本项目投标报价采用统一折扣率</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%的方式报价，对本项目报出唯一的折扣率。</w:t>
      </w:r>
      <w:r>
        <w:rPr>
          <w:rFonts w:hint="eastAsia" w:ascii="仿宋" w:hAnsi="仿宋" w:eastAsia="仿宋" w:cs="仿宋"/>
          <w:color w:val="auto"/>
          <w:sz w:val="28"/>
          <w:szCs w:val="28"/>
        </w:rPr>
        <w:t>同时，根据《中华人民共和国政府采购法》第二条的规定，为保证公平竞争，如有货物主体部分的赠与行为，投标被认定为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768B6DA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10.2供应商应在投标分项报价表上标明投标货物及相关服务的单价（如适用）和总价，并由法定代表人或</w:t>
      </w:r>
      <w:r>
        <w:rPr>
          <w:rFonts w:hint="eastAsia" w:ascii="仿宋" w:hAnsi="仿宋" w:eastAsia="仿宋" w:cs="仿宋"/>
          <w:color w:val="auto"/>
          <w:sz w:val="28"/>
          <w:szCs w:val="28"/>
          <w:lang w:val="en-US" w:eastAsia="zh-CN"/>
        </w:rPr>
        <w:t>被授权人</w:t>
      </w:r>
      <w:r>
        <w:rPr>
          <w:rFonts w:hint="eastAsia" w:ascii="仿宋" w:hAnsi="仿宋" w:eastAsia="仿宋" w:cs="仿宋"/>
          <w:color w:val="auto"/>
          <w:sz w:val="28"/>
          <w:szCs w:val="28"/>
        </w:rPr>
        <w:t>签署。</w:t>
      </w:r>
    </w:p>
    <w:p w14:paraId="179F1639">
      <w:pPr>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hint="eastAsia" w:ascii="仿宋" w:hAnsi="仿宋" w:eastAsia="仿宋" w:cs="仿宋"/>
          <w:color w:val="auto"/>
          <w:sz w:val="28"/>
          <w:szCs w:val="28"/>
        </w:rPr>
      </w:pPr>
      <w:bookmarkStart w:id="175" w:name="_Toc2180"/>
      <w:r>
        <w:rPr>
          <w:rFonts w:hint="eastAsia" w:ascii="仿宋" w:hAnsi="仿宋" w:eastAsia="仿宋" w:cs="仿宋"/>
          <w:color w:val="auto"/>
          <w:sz w:val="28"/>
          <w:szCs w:val="28"/>
        </w:rPr>
        <w:t>10.3投标分项报价表上的价格应按下列方式填写：</w:t>
      </w:r>
      <w:bookmarkEnd w:id="175"/>
    </w:p>
    <w:p w14:paraId="6AC537F2">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10.3.1投标货物（包括备品备件、专用工具等）的出厂价（包括已在中国国内的进口货物完税后的仓库交货价、展室交货价或货架交货价），投标货物安装、调试、检验、技术服务和培训等费用；</w:t>
      </w:r>
    </w:p>
    <w:p w14:paraId="3F420409">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10.3.2货物运至最终目的地的运输费和保险费用。</w:t>
      </w:r>
    </w:p>
    <w:p w14:paraId="7170A28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10.4供应商所报的各分项投标单价在合同履行过程中是固定不变的，不得以任何理由予以变更。任何包含价格调整要求的投标，投标被认定为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0558E15">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10.5每种货物只能有一个投标报价。采购人不接受具有附加条件的报价。</w:t>
      </w:r>
    </w:p>
    <w:p w14:paraId="74FA76F1">
      <w:pPr>
        <w:pStyle w:val="4"/>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76" w:name="_Toc7837"/>
      <w:bookmarkStart w:id="177" w:name="_Toc15493"/>
      <w:bookmarkStart w:id="178" w:name="_Ref467306513"/>
      <w:bookmarkStart w:id="179" w:name="_Toc520356156"/>
      <w:bookmarkStart w:id="180" w:name="_Toc11514"/>
      <w:bookmarkStart w:id="181" w:name="_Toc515647771"/>
      <w:bookmarkStart w:id="182" w:name="_Toc22212"/>
      <w:bookmarkStart w:id="183" w:name="_Toc17788"/>
      <w:r>
        <w:rPr>
          <w:rFonts w:hint="eastAsia" w:ascii="仿宋" w:hAnsi="仿宋" w:eastAsia="仿宋" w:cs="仿宋"/>
          <w:color w:val="auto"/>
          <w:sz w:val="28"/>
          <w:szCs w:val="28"/>
          <w:u w:val="none"/>
        </w:rPr>
        <w:t>11.投标保证金</w:t>
      </w:r>
      <w:bookmarkEnd w:id="176"/>
      <w:bookmarkEnd w:id="177"/>
      <w:bookmarkEnd w:id="178"/>
      <w:bookmarkEnd w:id="179"/>
      <w:bookmarkEnd w:id="180"/>
      <w:bookmarkEnd w:id="181"/>
      <w:bookmarkEnd w:id="182"/>
      <w:bookmarkEnd w:id="183"/>
    </w:p>
    <w:p w14:paraId="55C6A966">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184" w:name="_Ref467306302"/>
      <w:r>
        <w:rPr>
          <w:rFonts w:hint="eastAsia" w:ascii="仿宋" w:hAnsi="仿宋" w:eastAsia="仿宋" w:cs="仿宋"/>
          <w:color w:val="auto"/>
          <w:sz w:val="28"/>
          <w:szCs w:val="28"/>
        </w:rPr>
        <w:t>11.1供应商应提交</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中规定的投标保证金</w:t>
      </w:r>
      <w:bookmarkEnd w:id="184"/>
      <w:r>
        <w:rPr>
          <w:rFonts w:hint="eastAsia" w:ascii="仿宋" w:hAnsi="仿宋" w:eastAsia="仿宋" w:cs="仿宋"/>
          <w:color w:val="auto"/>
          <w:sz w:val="28"/>
          <w:szCs w:val="28"/>
        </w:rPr>
        <w:t>，并作为其投标的一部分。</w:t>
      </w:r>
    </w:p>
    <w:p w14:paraId="53724F94">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11.2供应商未按本招标文件规定提交投标保证金的，投标被认定为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341409C5">
      <w:pPr>
        <w:pStyle w:val="16"/>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11.3投标保证金应当以支票、汇票、本票或者金融机构、担保机构出具的保函等非现金形式提交。</w:t>
      </w:r>
    </w:p>
    <w:p w14:paraId="16AF247F">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11.4联合体投标的，可以由联合体中的一方或者共同提交投标保证金。以一方名义提交投标保证金的，对联合体各方均具有约束力。</w:t>
      </w:r>
    </w:p>
    <w:p w14:paraId="54BF1A6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11.5因供应商自身原因导致无法及时退还的，采购人或采购代理机构将不承担相应责任。</w:t>
      </w:r>
    </w:p>
    <w:p w14:paraId="705FFCC1">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.6投标保证金的退还</w:t>
      </w:r>
    </w:p>
    <w:p w14:paraId="476359DE">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1中标</w:t>
      </w:r>
      <w:r>
        <w:rPr>
          <w:rFonts w:hint="eastAsia" w:ascii="仿宋" w:hAnsi="仿宋" w:eastAsia="仿宋" w:cs="仿宋"/>
          <w:color w:val="auto"/>
          <w:sz w:val="28"/>
          <w:szCs w:val="28"/>
        </w:rPr>
        <w:t>人应在与采购人签订合同之日起5个工作日内，及时联系保证金收受机构办理投标保证金无息退还手续。</w:t>
      </w:r>
    </w:p>
    <w:p w14:paraId="4F06AB53">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.6.2未</w:t>
      </w: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投标人的投标保证金将在</w:t>
      </w: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通知书发出之日暨</w:t>
      </w:r>
      <w:r>
        <w:rPr>
          <w:rFonts w:hint="eastAsia" w:ascii="仿宋" w:hAnsi="仿宋" w:eastAsia="仿宋" w:cs="仿宋"/>
          <w:color w:val="auto"/>
          <w:sz w:val="28"/>
          <w:szCs w:val="28"/>
          <w:lang w:val="en-US" w:eastAsia="zh-CN"/>
        </w:rPr>
        <w:t>中标</w:t>
      </w:r>
      <w:r>
        <w:rPr>
          <w:rFonts w:hint="eastAsia" w:ascii="仿宋" w:hAnsi="仿宋" w:eastAsia="仿宋" w:cs="仿宋"/>
          <w:color w:val="auto"/>
          <w:sz w:val="28"/>
          <w:szCs w:val="28"/>
        </w:rPr>
        <w:t>结果公告公布之日起5个工作日内无息退还。投标人及时联系保证金收受机构办理退还投标保证金手续。</w:t>
      </w:r>
      <w:bookmarkStart w:id="185" w:name="_Toc518923075"/>
    </w:p>
    <w:bookmarkEnd w:id="185"/>
    <w:p w14:paraId="17BD5F93">
      <w:pPr>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.7因投标人自身原因导致无法及时退还的，采购人或采购代理机构将不承担相应责任。</w:t>
      </w:r>
    </w:p>
    <w:p w14:paraId="5409047B">
      <w:pPr>
        <w:pStyle w:val="4"/>
        <w:pageBreakBefore w:val="0"/>
        <w:widowControl w:val="0"/>
        <w:kinsoku/>
        <w:wordWrap/>
        <w:overflowPunct/>
        <w:topLinePunct w:val="0"/>
        <w:autoSpaceDE/>
        <w:autoSpaceDN/>
        <w:bidi w:val="0"/>
        <w:adjustRightInd/>
        <w:snapToGrid/>
        <w:spacing w:before="0" w:after="0" w:line="480" w:lineRule="exact"/>
        <w:textAlignment w:val="auto"/>
        <w:outlineLvl w:val="1"/>
        <w:rPr>
          <w:rFonts w:hint="eastAsia" w:ascii="仿宋" w:hAnsi="仿宋" w:eastAsia="仿宋" w:cs="仿宋"/>
          <w:color w:val="auto"/>
          <w:sz w:val="28"/>
          <w:szCs w:val="28"/>
          <w:u w:val="none"/>
        </w:rPr>
      </w:pPr>
      <w:bookmarkStart w:id="186" w:name="_Toc22901"/>
      <w:bookmarkStart w:id="187" w:name="_Toc3238"/>
      <w:bookmarkStart w:id="188" w:name="_Toc32569"/>
      <w:bookmarkStart w:id="189" w:name="_Toc23590"/>
      <w:bookmarkStart w:id="190" w:name="_Toc520356157"/>
      <w:bookmarkStart w:id="191" w:name="_Toc515647772"/>
      <w:bookmarkStart w:id="192" w:name="_Toc11080"/>
      <w:r>
        <w:rPr>
          <w:rFonts w:hint="eastAsia" w:ascii="仿宋" w:hAnsi="仿宋" w:eastAsia="仿宋" w:cs="仿宋"/>
          <w:color w:val="auto"/>
          <w:sz w:val="28"/>
          <w:szCs w:val="28"/>
          <w:u w:val="none"/>
        </w:rPr>
        <w:t>12.投标有效期</w:t>
      </w:r>
      <w:bookmarkEnd w:id="186"/>
      <w:bookmarkEnd w:id="187"/>
      <w:bookmarkEnd w:id="188"/>
      <w:bookmarkEnd w:id="189"/>
      <w:bookmarkEnd w:id="190"/>
      <w:bookmarkEnd w:id="191"/>
      <w:bookmarkEnd w:id="192"/>
    </w:p>
    <w:p w14:paraId="76F454FA">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12.1投标应在</w:t>
      </w:r>
      <w:r>
        <w:rPr>
          <w:rFonts w:hint="eastAsia" w:ascii="仿宋" w:hAnsi="仿宋" w:eastAsia="仿宋" w:cs="仿宋"/>
          <w:color w:val="auto"/>
          <w:sz w:val="28"/>
          <w:szCs w:val="28"/>
          <w:u w:val="single"/>
        </w:rPr>
        <w:t>供应商须知资料表</w:t>
      </w:r>
      <w:r>
        <w:rPr>
          <w:rFonts w:hint="eastAsia" w:ascii="仿宋" w:hAnsi="仿宋" w:eastAsia="仿宋" w:cs="仿宋"/>
          <w:color w:val="auto"/>
          <w:sz w:val="28"/>
          <w:szCs w:val="28"/>
        </w:rPr>
        <w:t>中规定时间内保持有效。投标有效期不满足要求的投标，投标被认定为</w:t>
      </w:r>
      <w:r>
        <w:rPr>
          <w:rFonts w:hint="eastAsia" w:ascii="仿宋" w:hAnsi="仿宋" w:eastAsia="仿宋" w:cs="仿宋"/>
          <w:b/>
          <w:bCs/>
          <w:color w:val="auto"/>
          <w:sz w:val="28"/>
          <w:szCs w:val="28"/>
        </w:rPr>
        <w:t>投标无效</w:t>
      </w:r>
      <w:r>
        <w:rPr>
          <w:rFonts w:hint="eastAsia" w:ascii="仿宋" w:hAnsi="仿宋" w:eastAsia="仿宋" w:cs="仿宋"/>
          <w:color w:val="auto"/>
          <w:sz w:val="28"/>
          <w:szCs w:val="28"/>
        </w:rPr>
        <w:t>。</w:t>
      </w:r>
    </w:p>
    <w:p w14:paraId="40CD75BB">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12.2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上述要求和答复都应以书面形式提交。</w:t>
      </w:r>
    </w:p>
    <w:p w14:paraId="23D965F8">
      <w:pPr>
        <w:pStyle w:val="3"/>
        <w:keepNext w:val="0"/>
        <w:keepLines w:val="0"/>
        <w:pageBreakBefore w:val="0"/>
        <w:widowControl w:val="0"/>
        <w:kinsoku/>
        <w:wordWrap/>
        <w:overflowPunct/>
        <w:topLinePunct w:val="0"/>
        <w:autoSpaceDE/>
        <w:autoSpaceDN/>
        <w:bidi w:val="0"/>
        <w:adjustRightInd/>
        <w:snapToGrid/>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193" w:name="_Toc29988"/>
      <w:r>
        <w:rPr>
          <w:rFonts w:hint="eastAsia" w:ascii="仿宋" w:hAnsi="仿宋" w:eastAsia="仿宋" w:cs="仿宋"/>
          <w:b/>
          <w:bCs/>
          <w:color w:val="auto"/>
          <w:sz w:val="36"/>
          <w:szCs w:val="36"/>
          <w:highlight w:val="none"/>
        </w:rPr>
        <w:t>四</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投标文件的递交</w:t>
      </w:r>
      <w:bookmarkEnd w:id="140"/>
      <w:bookmarkEnd w:id="141"/>
      <w:bookmarkEnd w:id="142"/>
      <w:bookmarkEnd w:id="143"/>
      <w:bookmarkEnd w:id="144"/>
      <w:bookmarkEnd w:id="145"/>
      <w:bookmarkEnd w:id="146"/>
      <w:bookmarkEnd w:id="193"/>
    </w:p>
    <w:p w14:paraId="5960EE15">
      <w:pPr>
        <w:pStyle w:val="4"/>
        <w:pageBreakBefore w:val="0"/>
        <w:widowControl w:val="0"/>
        <w:kinsoku/>
        <w:wordWrap/>
        <w:overflowPunct/>
        <w:topLinePunct w:val="0"/>
        <w:autoSpaceDE/>
        <w:autoSpaceDN/>
        <w:bidi w:val="0"/>
        <w:adjustRightInd/>
        <w:snapToGrid/>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194" w:name="_Toc515647775"/>
      <w:bookmarkStart w:id="195" w:name="_Toc520356160"/>
      <w:bookmarkStart w:id="196" w:name="_Toc26195"/>
      <w:bookmarkStart w:id="197" w:name="_Toc32337"/>
      <w:bookmarkStart w:id="198" w:name="_Toc20600"/>
      <w:bookmarkStart w:id="199" w:name="_Toc21645"/>
      <w:bookmarkStart w:id="200" w:name="_Toc314"/>
      <w:bookmarkStart w:id="201" w:name="_Toc32462"/>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.投标文件的密封和标记</w:t>
      </w:r>
      <w:bookmarkEnd w:id="194"/>
      <w:bookmarkEnd w:id="195"/>
      <w:bookmarkEnd w:id="196"/>
      <w:bookmarkEnd w:id="197"/>
      <w:bookmarkEnd w:id="198"/>
      <w:bookmarkEnd w:id="199"/>
      <w:bookmarkEnd w:id="200"/>
      <w:bookmarkEnd w:id="201"/>
    </w:p>
    <w:p w14:paraId="6A8E3CA8">
      <w:pPr>
        <w:pStyle w:val="66"/>
        <w:pageBreakBefore w:val="0"/>
        <w:widowControl w:val="0"/>
        <w:kinsoku/>
        <w:wordWrap/>
        <w:overflowPunct/>
        <w:topLinePunct w:val="0"/>
        <w:autoSpaceDE/>
        <w:autoSpaceDN/>
        <w:bidi w:val="0"/>
        <w:adjustRightInd/>
        <w:snapToGrid/>
        <w:spacing w:beforeAutospacing="0" w:line="480" w:lineRule="exact"/>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rPr>
        <w:t>响应文件的密封和标记。电子响应文件的内容通过数字证书进行加密并签章，投标截止时间前通过政采云平台上传到指定位置。未按要求加密</w:t>
      </w:r>
      <w:r>
        <w:rPr>
          <w:rFonts w:hint="eastAsia" w:ascii="仿宋" w:hAnsi="仿宋" w:eastAsia="仿宋" w:cs="仿宋"/>
          <w:color w:val="auto"/>
          <w:kern w:val="2"/>
          <w:sz w:val="28"/>
          <w:szCs w:val="28"/>
          <w:highlight w:val="none"/>
          <w:lang w:val="en-US" w:eastAsia="zh-CN"/>
        </w:rPr>
        <w:t>签章</w:t>
      </w:r>
      <w:r>
        <w:rPr>
          <w:rFonts w:hint="eastAsia" w:ascii="仿宋" w:hAnsi="仿宋" w:eastAsia="仿宋" w:cs="仿宋"/>
          <w:color w:val="auto"/>
          <w:kern w:val="2"/>
          <w:sz w:val="28"/>
          <w:szCs w:val="28"/>
          <w:highlight w:val="none"/>
        </w:rPr>
        <w:t>和数字证书认证的响应文件，电子评标系统将无法接受,代理机构及采购方不予受理。</w:t>
      </w:r>
    </w:p>
    <w:p w14:paraId="4F8FB851">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02" w:name="_Toc25030"/>
      <w:bookmarkStart w:id="203" w:name="_Toc16755"/>
      <w:bookmarkStart w:id="204" w:name="_Toc2352"/>
      <w:bookmarkStart w:id="205" w:name="_Toc9534"/>
      <w:bookmarkStart w:id="206" w:name="_Toc520356162"/>
      <w:bookmarkStart w:id="207" w:name="_Toc518923081"/>
      <w:bookmarkStart w:id="208" w:name="_Toc13921"/>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rPr>
        <w:t>.投标截止</w:t>
      </w:r>
      <w:bookmarkEnd w:id="202"/>
      <w:bookmarkEnd w:id="203"/>
    </w:p>
    <w:p w14:paraId="5BBE2EB3">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14.1供应商应按照本项目招标文件和政采云平台的要求编制电子响应文件，于投标截止时间之前将制作好的加密的电子响应文件上传到“政采云”平台。未在响应文件递交截止时间前完成上传的电子响应文件视为逾期送达，逾期上传或未按规定方式上传的电子响应文件，采购单位不予受理。本项目采用不见面开标，无需提供电子响应文件U盘、纸质响应文件。供应商在使用系统进行投标的过程中遇到涉及平台使用的任何问题，可致电政采云平台技术支持热线咨询，联系方式：95763。</w:t>
      </w:r>
    </w:p>
    <w:p w14:paraId="2D93E865">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14.2本项目实行网上投标，采用电子响应文件。若供应商参与投标，自行承担投标一切费用。</w:t>
      </w:r>
    </w:p>
    <w:p w14:paraId="59CD7210">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14.3本项目为电子招投标，</w:t>
      </w:r>
      <w:r>
        <w:rPr>
          <w:rFonts w:hint="eastAsia" w:ascii="仿宋" w:hAnsi="仿宋" w:eastAsia="仿宋" w:cs="仿宋"/>
          <w:color w:val="auto"/>
          <w:kern w:val="2"/>
          <w:sz w:val="28"/>
          <w:szCs w:val="28"/>
          <w:highlight w:val="none"/>
          <w:lang w:eastAsia="zh-CN"/>
        </w:rPr>
        <w:t>供应商</w:t>
      </w:r>
      <w:r>
        <w:rPr>
          <w:rFonts w:hint="eastAsia" w:ascii="仿宋" w:hAnsi="仿宋" w:eastAsia="仿宋" w:cs="仿宋"/>
          <w:color w:val="auto"/>
          <w:kern w:val="2"/>
          <w:sz w:val="28"/>
          <w:szCs w:val="28"/>
          <w:highlight w:val="none"/>
        </w:rPr>
        <w:t>需要使用CA加密设备，凡参加本项目须下载附件并填齐相关企业信息，然后发送至政采云公司指定邮箱，进行申领CA加密设备。</w:t>
      </w:r>
    </w:p>
    <w:p w14:paraId="6ADA0694">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14.4供应商将政采云电子交易客户端下载、安装完成后，可通过账号密码或CA登录客户端进行响应文件制作。客户端请至新疆政府采购网（</w:t>
      </w:r>
      <w:r>
        <w:rPr>
          <w:rFonts w:hint="eastAsia" w:ascii="仿宋" w:hAnsi="仿宋" w:eastAsia="仿宋" w:cs="仿宋"/>
          <w:color w:val="auto"/>
          <w:sz w:val="28"/>
          <w:szCs w:val="28"/>
          <w:highlight w:val="none"/>
        </w:rPr>
        <w:t>http://www.ccgp-xinjiang.gov.cn/</w:t>
      </w:r>
      <w:r>
        <w:rPr>
          <w:rFonts w:hint="eastAsia" w:ascii="仿宋" w:hAnsi="仿宋" w:eastAsia="仿宋" w:cs="仿宋"/>
          <w:color w:val="auto"/>
          <w:kern w:val="2"/>
          <w:sz w:val="28"/>
          <w:szCs w:val="28"/>
          <w:highlight w:val="none"/>
        </w:rPr>
        <w:t>）下载专区查看，如有问题可拨打政采云客户服务热线95763进行咨询。</w:t>
      </w:r>
    </w:p>
    <w:p w14:paraId="357E110D">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14.5开标时间后30分钟内供应商可以登录“政采云”平台，用“项目采购-开标评标”功能进行解密响应文件。若供应商在规定时间内未按时解密的，视为响应文件撤回。</w:t>
      </w:r>
    </w:p>
    <w:p w14:paraId="03B4F41B">
      <w:pPr>
        <w:pStyle w:val="4"/>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09" w:name="_Toc19533"/>
      <w:r>
        <w:rPr>
          <w:rFonts w:hint="eastAsia" w:ascii="仿宋" w:hAnsi="仿宋" w:eastAsia="仿宋" w:cs="仿宋"/>
          <w:b w:val="0"/>
          <w:color w:val="auto"/>
          <w:kern w:val="2"/>
          <w:sz w:val="28"/>
          <w:szCs w:val="28"/>
          <w:highlight w:val="none"/>
          <w:u w:val="none"/>
          <w:lang w:val="en-US" w:eastAsia="zh-CN"/>
        </w:rPr>
        <w:t>14.6开标时报价签字确认时段不得超过30分钟。</w:t>
      </w:r>
      <w:bookmarkEnd w:id="209"/>
    </w:p>
    <w:bookmarkEnd w:id="204"/>
    <w:bookmarkEnd w:id="205"/>
    <w:bookmarkEnd w:id="206"/>
    <w:bookmarkEnd w:id="207"/>
    <w:bookmarkEnd w:id="208"/>
    <w:p w14:paraId="11AEFB4A">
      <w:pPr>
        <w:pStyle w:val="68"/>
        <w:pageBreakBefore w:val="0"/>
        <w:kinsoku/>
        <w:wordWrap/>
        <w:overflowPunct/>
        <w:topLinePunct w:val="0"/>
        <w:bidi w:val="0"/>
        <w:spacing w:beforeAutospacing="0" w:line="480" w:lineRule="exact"/>
        <w:ind w:left="420" w:hanging="420"/>
        <w:textAlignment w:val="auto"/>
        <w:outlineLvl w:val="1"/>
        <w:rPr>
          <w:rFonts w:hint="eastAsia" w:ascii="仿宋" w:hAnsi="仿宋" w:eastAsia="仿宋" w:cs="仿宋"/>
          <w:b/>
          <w:bCs/>
          <w:color w:val="auto"/>
          <w:kern w:val="2"/>
          <w:sz w:val="28"/>
          <w:szCs w:val="28"/>
          <w:highlight w:val="none"/>
        </w:rPr>
      </w:pPr>
      <w:bookmarkStart w:id="210" w:name="_Toc24302"/>
      <w:bookmarkStart w:id="211" w:name="_Toc10257"/>
      <w:bookmarkStart w:id="212" w:name="_Toc520356163"/>
      <w:bookmarkStart w:id="213" w:name="_Toc317"/>
      <w:bookmarkStart w:id="214" w:name="_Toc216582809"/>
      <w:bookmarkStart w:id="215" w:name="_Toc518923082"/>
      <w:r>
        <w:rPr>
          <w:rFonts w:hint="eastAsia" w:ascii="仿宋" w:hAnsi="仿宋" w:eastAsia="仿宋" w:cs="仿宋"/>
          <w:b/>
          <w:bCs/>
          <w:color w:val="auto"/>
          <w:kern w:val="2"/>
          <w:sz w:val="28"/>
          <w:szCs w:val="28"/>
          <w:highlight w:val="none"/>
        </w:rPr>
        <w:t>15.递交的公开投标响应文件</w:t>
      </w:r>
      <w:bookmarkEnd w:id="210"/>
    </w:p>
    <w:p w14:paraId="4CA6A53E">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36"/>
          <w:szCs w:val="36"/>
          <w:highlight w:val="none"/>
        </w:rPr>
      </w:pPr>
      <w:r>
        <w:rPr>
          <w:rFonts w:hint="eastAsia" w:ascii="仿宋" w:hAnsi="仿宋" w:eastAsia="仿宋" w:cs="仿宋"/>
          <w:color w:val="auto"/>
          <w:kern w:val="2"/>
          <w:sz w:val="28"/>
          <w:szCs w:val="28"/>
          <w:highlight w:val="none"/>
        </w:rPr>
        <w:t>各供应商应在开标前应确保成为新疆政府采购网正式注册入库供应商，并完成CA数字证书申领。因未注册入库、未办理CA数字证书等原因造成无法投标或投标失败等后果由供应商自行承担。建议于公开投标响应文件递交截止时间前1个工作日完成公开投标响应文件的制作与上传。</w:t>
      </w:r>
      <w:bookmarkStart w:id="216" w:name="_Toc14771"/>
    </w:p>
    <w:p w14:paraId="445D3E08">
      <w:pPr>
        <w:pStyle w:val="3"/>
        <w:keepNext w:val="0"/>
        <w:keepLines w:val="0"/>
        <w:pageBreakBefore w:val="0"/>
        <w:widowControl w:val="0"/>
        <w:kinsoku/>
        <w:wordWrap/>
        <w:overflowPunct/>
        <w:topLinePunct w:val="0"/>
        <w:bidi w:val="0"/>
        <w:snapToGrid/>
        <w:spacing w:before="0" w:beforeAutospacing="0" w:line="480" w:lineRule="exact"/>
        <w:jc w:val="center"/>
        <w:textAlignment w:val="auto"/>
        <w:rPr>
          <w:rFonts w:hint="eastAsia" w:ascii="仿宋" w:hAnsi="仿宋" w:eastAsia="仿宋" w:cs="仿宋"/>
          <w:b/>
          <w:bCs/>
          <w:color w:val="auto"/>
          <w:sz w:val="36"/>
          <w:szCs w:val="36"/>
          <w:highlight w:val="none"/>
        </w:rPr>
      </w:pPr>
      <w:bookmarkStart w:id="217" w:name="_Toc12131"/>
      <w:bookmarkStart w:id="218" w:name="_Toc17265"/>
      <w:r>
        <w:rPr>
          <w:rFonts w:hint="eastAsia" w:ascii="仿宋" w:hAnsi="仿宋" w:eastAsia="仿宋" w:cs="仿宋"/>
          <w:b/>
          <w:bCs/>
          <w:color w:val="auto"/>
          <w:sz w:val="36"/>
          <w:szCs w:val="36"/>
          <w:highlight w:val="none"/>
        </w:rPr>
        <w:t>五</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开标及评标</w:t>
      </w:r>
      <w:bookmarkEnd w:id="211"/>
      <w:bookmarkEnd w:id="212"/>
      <w:bookmarkEnd w:id="213"/>
      <w:bookmarkEnd w:id="214"/>
      <w:bookmarkEnd w:id="215"/>
      <w:bookmarkEnd w:id="216"/>
      <w:bookmarkEnd w:id="217"/>
      <w:bookmarkEnd w:id="218"/>
    </w:p>
    <w:p w14:paraId="6C87C4F6">
      <w:pPr>
        <w:pStyle w:val="4"/>
        <w:keepNext w:val="0"/>
        <w:keepLines w:val="0"/>
        <w:pageBreakBefore w:val="0"/>
        <w:widowControl w:val="0"/>
        <w:kinsoku/>
        <w:wordWrap/>
        <w:overflowPunct/>
        <w:topLinePunct w:val="0"/>
        <w:bidi w:val="0"/>
        <w:snapToGrid/>
        <w:spacing w:beforeAutospacing="0" w:after="0" w:line="480" w:lineRule="exact"/>
        <w:textAlignment w:val="auto"/>
        <w:outlineLvl w:val="1"/>
        <w:rPr>
          <w:rFonts w:hint="eastAsia" w:ascii="仿宋" w:hAnsi="仿宋" w:eastAsia="仿宋" w:cs="仿宋"/>
          <w:color w:val="auto"/>
          <w:sz w:val="28"/>
          <w:szCs w:val="28"/>
          <w:highlight w:val="none"/>
        </w:rPr>
      </w:pPr>
      <w:bookmarkStart w:id="219" w:name="_Toc25345"/>
      <w:bookmarkStart w:id="220" w:name="_Toc17257"/>
      <w:bookmarkStart w:id="221" w:name="_Toc7186"/>
      <w:bookmarkStart w:id="222" w:name="_Toc520356164"/>
      <w:bookmarkStart w:id="223" w:name="_Toc515647779"/>
      <w:bookmarkStart w:id="224" w:name="_Toc751"/>
      <w:bookmarkStart w:id="225" w:name="_Toc2210"/>
      <w:bookmarkStart w:id="226" w:name="_Toc29802"/>
      <w:bookmarkStart w:id="227" w:name="_Toc520356165"/>
      <w:bookmarkStart w:id="228" w:name="_Toc13390"/>
      <w:bookmarkStart w:id="229" w:name="_Toc26925"/>
      <w:bookmarkStart w:id="230" w:name="_Toc518923084"/>
      <w:bookmarkStart w:id="231" w:name="_Toc34"/>
      <w:r>
        <w:rPr>
          <w:rFonts w:hint="eastAsia" w:ascii="仿宋" w:hAnsi="仿宋" w:eastAsia="仿宋" w:cs="仿宋"/>
          <w:color w:val="auto"/>
          <w:sz w:val="28"/>
          <w:szCs w:val="28"/>
          <w:highlight w:val="none"/>
          <w:u w:val="none"/>
          <w:lang w:val="en-US" w:eastAsia="zh-CN"/>
        </w:rPr>
        <w:t>16.</w:t>
      </w:r>
      <w:bookmarkEnd w:id="219"/>
      <w:bookmarkEnd w:id="220"/>
      <w:bookmarkEnd w:id="221"/>
      <w:bookmarkEnd w:id="222"/>
      <w:bookmarkEnd w:id="223"/>
      <w:bookmarkEnd w:id="224"/>
      <w:r>
        <w:rPr>
          <w:rFonts w:hint="eastAsia" w:ascii="仿宋" w:hAnsi="仿宋" w:eastAsia="仿宋" w:cs="仿宋"/>
          <w:color w:val="auto"/>
          <w:sz w:val="28"/>
          <w:szCs w:val="28"/>
          <w:highlight w:val="none"/>
          <w:u w:val="none"/>
        </w:rPr>
        <w:t>采用不见面开标方式</w:t>
      </w:r>
      <w:bookmarkEnd w:id="225"/>
      <w:bookmarkEnd w:id="226"/>
    </w:p>
    <w:p w14:paraId="6BC95385">
      <w:pPr>
        <w:pStyle w:val="4"/>
        <w:keepNext w:val="0"/>
        <w:keepLines w:val="0"/>
        <w:pageBreakBefore w:val="0"/>
        <w:widowControl w:val="0"/>
        <w:kinsoku/>
        <w:wordWrap/>
        <w:overflowPunct/>
        <w:topLinePunct w:val="0"/>
        <w:bidi w:val="0"/>
        <w:snapToGrid/>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32" w:name="_Toc3343"/>
      <w:r>
        <w:rPr>
          <w:rFonts w:hint="eastAsia" w:ascii="仿宋" w:hAnsi="仿宋" w:eastAsia="仿宋" w:cs="仿宋"/>
          <w:b w:val="0"/>
          <w:color w:val="auto"/>
          <w:kern w:val="2"/>
          <w:sz w:val="28"/>
          <w:szCs w:val="28"/>
          <w:highlight w:val="none"/>
          <w:u w:val="none"/>
          <w:lang w:val="en-US" w:eastAsia="zh-CN"/>
        </w:rPr>
        <w:t>16.1供应商在规定的投标截止时间（开标时间）和</w:t>
      </w:r>
      <w:r>
        <w:rPr>
          <w:rFonts w:hint="eastAsia" w:ascii="仿宋" w:hAnsi="仿宋" w:eastAsia="仿宋" w:cs="仿宋"/>
          <w:b w:val="0"/>
          <w:bCs/>
          <w:color w:val="auto"/>
          <w:sz w:val="28"/>
          <w:szCs w:val="28"/>
          <w:highlight w:val="none"/>
          <w:u w:val="single"/>
          <w:lang w:val="en-US" w:eastAsia="zh-CN"/>
        </w:rPr>
        <w:t>投标</w:t>
      </w:r>
      <w:r>
        <w:rPr>
          <w:rFonts w:hint="eastAsia" w:ascii="仿宋" w:hAnsi="仿宋" w:eastAsia="仿宋" w:cs="仿宋"/>
          <w:b w:val="0"/>
          <w:bCs/>
          <w:color w:val="auto"/>
          <w:sz w:val="28"/>
          <w:szCs w:val="28"/>
          <w:highlight w:val="none"/>
          <w:u w:val="single"/>
          <w:lang w:eastAsia="zh-CN"/>
        </w:rPr>
        <w:t>供应商</w:t>
      </w:r>
      <w:r>
        <w:rPr>
          <w:rFonts w:hint="eastAsia" w:ascii="仿宋" w:hAnsi="仿宋" w:eastAsia="仿宋" w:cs="仿宋"/>
          <w:b w:val="0"/>
          <w:bCs/>
          <w:color w:val="auto"/>
          <w:sz w:val="28"/>
          <w:szCs w:val="28"/>
          <w:highlight w:val="none"/>
          <w:u w:val="single"/>
        </w:rPr>
        <w:t>须知资料表</w:t>
      </w:r>
      <w:r>
        <w:rPr>
          <w:rFonts w:hint="eastAsia" w:ascii="仿宋" w:hAnsi="仿宋" w:eastAsia="仿宋" w:cs="仿宋"/>
          <w:b w:val="0"/>
          <w:color w:val="auto"/>
          <w:kern w:val="2"/>
          <w:sz w:val="28"/>
          <w:szCs w:val="28"/>
          <w:highlight w:val="none"/>
          <w:u w:val="none"/>
          <w:lang w:val="en-US" w:eastAsia="zh-CN"/>
        </w:rPr>
        <w:t>规定的地点开标。供应商的法定代表人或被授权人无需到达开标现场，仅需在任意地点通过新疆政采云开标系统，使用CA密钥完成远程解密、提疑澄清、开标唱标、结果公布等交互环节。</w:t>
      </w:r>
      <w:bookmarkEnd w:id="232"/>
    </w:p>
    <w:p w14:paraId="792F5C89">
      <w:pPr>
        <w:keepNext w:val="0"/>
        <w:keepLines w:val="0"/>
        <w:pageBreakBefore w:val="0"/>
        <w:widowControl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16.2开标前，采购代理机构将会同采购方监督人员或公证人员进行验标（检查网上招标系统正常与否，检查未加密的电子投标文件，检查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保证金交纳情况），确认无误后开标。</w:t>
      </w:r>
    </w:p>
    <w:p w14:paraId="4C3C1CE7">
      <w:pPr>
        <w:pStyle w:val="4"/>
        <w:keepNext w:val="0"/>
        <w:keepLines w:val="0"/>
        <w:pageBreakBefore w:val="0"/>
        <w:widowControl w:val="0"/>
        <w:kinsoku/>
        <w:wordWrap/>
        <w:overflowPunct/>
        <w:topLinePunct w:val="0"/>
        <w:bidi w:val="0"/>
        <w:snapToGrid/>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33" w:name="_Toc18490"/>
      <w:r>
        <w:rPr>
          <w:rFonts w:hint="eastAsia" w:ascii="仿宋" w:hAnsi="仿宋" w:eastAsia="仿宋" w:cs="仿宋"/>
          <w:b w:val="0"/>
          <w:color w:val="auto"/>
          <w:kern w:val="2"/>
          <w:sz w:val="28"/>
          <w:szCs w:val="28"/>
          <w:highlight w:val="none"/>
          <w:u w:val="none"/>
          <w:lang w:val="en-US" w:eastAsia="zh-CN"/>
        </w:rPr>
        <w:t>16.3法定代表人或被授权人参与远程交互，中途不得更换，在废标、澄清、提疑、传送文件等特殊情况下需要交互时，供应商一端参与交互的人员将均被视为是供应商的被授权人或法定代表人，供应商不得以不承认交互人员的资格或身份等为借口推脱，供应商自行承担随意更换人员所导致的一切后果。</w:t>
      </w:r>
      <w:bookmarkEnd w:id="233"/>
    </w:p>
    <w:p w14:paraId="682BC3A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16.4开标时间截止后，提交投标电子响应文件的供应商不足三家时，按照政府采购的相关法规处理。</w:t>
      </w:r>
    </w:p>
    <w:bookmarkEnd w:id="227"/>
    <w:bookmarkEnd w:id="228"/>
    <w:bookmarkEnd w:id="229"/>
    <w:bookmarkEnd w:id="230"/>
    <w:bookmarkEnd w:id="231"/>
    <w:p w14:paraId="4AC07E16">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34" w:name="_Toc4751"/>
      <w:bookmarkStart w:id="235" w:name="_Toc11943"/>
      <w:bookmarkStart w:id="236" w:name="_Toc518923085"/>
      <w:bookmarkStart w:id="237" w:name="_Toc14340"/>
      <w:bookmarkStart w:id="238" w:name="_Toc22789"/>
      <w:bookmarkStart w:id="239" w:name="_Toc6842"/>
      <w:bookmarkStart w:id="240" w:name="_Toc520356166"/>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.资格审查及组建评标委员会</w:t>
      </w:r>
      <w:bookmarkEnd w:id="234"/>
      <w:bookmarkEnd w:id="235"/>
    </w:p>
    <w:p w14:paraId="493C3083">
      <w:pPr>
        <w:pageBreakBefore w:val="0"/>
        <w:kinsoku/>
        <w:wordWrap/>
        <w:overflowPunct/>
        <w:topLinePunct w:val="0"/>
        <w:bidi w:val="0"/>
        <w:spacing w:beforeAutospacing="0" w:line="480" w:lineRule="exact"/>
        <w:ind w:firstLine="560" w:firstLineChars="200"/>
        <w:textAlignment w:val="auto"/>
        <w:outlineLvl w:val="2"/>
        <w:rPr>
          <w:rFonts w:hint="eastAsia" w:ascii="仿宋" w:hAnsi="仿宋" w:eastAsia="仿宋" w:cs="仿宋"/>
          <w:color w:val="auto"/>
          <w:sz w:val="28"/>
          <w:szCs w:val="28"/>
          <w:highlight w:val="none"/>
        </w:rPr>
      </w:pPr>
      <w:bookmarkStart w:id="241" w:name="_Toc16980"/>
      <w:bookmarkStart w:id="242" w:name="_Toc129"/>
      <w:r>
        <w:rPr>
          <w:rFonts w:hint="eastAsia" w:ascii="仿宋" w:hAnsi="仿宋" w:eastAsia="仿宋" w:cs="仿宋"/>
          <w:color w:val="auto"/>
          <w:sz w:val="28"/>
          <w:szCs w:val="28"/>
          <w:highlight w:val="none"/>
        </w:rPr>
        <w:t>17.1资质审查</w:t>
      </w:r>
      <w:bookmarkEnd w:id="241"/>
      <w:bookmarkEnd w:id="242"/>
    </w:p>
    <w:p w14:paraId="04DF4D3F">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bookmarkStart w:id="243" w:name="_Toc19151"/>
      <w:r>
        <w:rPr>
          <w:rFonts w:hint="eastAsia" w:ascii="仿宋" w:hAnsi="仿宋" w:eastAsia="仿宋" w:cs="仿宋"/>
          <w:color w:val="auto"/>
          <w:kern w:val="2"/>
          <w:sz w:val="28"/>
          <w:szCs w:val="28"/>
          <w:highlight w:val="none"/>
        </w:rPr>
        <w:t>（1）供应商在规定的时间内解密上传的公开招标响应文件。</w:t>
      </w:r>
    </w:p>
    <w:p w14:paraId="59C6E6E9">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（2）评标委员会根据评审原则及标准对投标供应商递交的公开招标响应文件进行资格和符合性审查，以确定其投标供应商是否具备参加公开招标的资格。</w:t>
      </w:r>
    </w:p>
    <w:p w14:paraId="294A31C0">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（3）公开招标响应文件凡具有下列情形之一者，均视为没有响应公开招标文件要求的无效文件：</w:t>
      </w:r>
    </w:p>
    <w:p w14:paraId="3DF4DD61">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1）未按照招标文件规定缴纳投标保证金的；</w:t>
      </w:r>
    </w:p>
    <w:p w14:paraId="4CA5A893">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2）未按照招标文件规定要求签署、盖章的；</w:t>
      </w:r>
    </w:p>
    <w:p w14:paraId="4ADBBB0D">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3）不具备招标文件中规定资格要求的；</w:t>
      </w:r>
    </w:p>
    <w:p w14:paraId="24B6F120">
      <w:pPr>
        <w:pStyle w:val="68"/>
        <w:pageBreakBefore w:val="0"/>
        <w:kinsoku/>
        <w:wordWrap/>
        <w:overflowPunct/>
        <w:topLinePunct w:val="0"/>
        <w:autoSpaceDE w:val="0"/>
        <w:autoSpaceDN w:val="0"/>
        <w:bidi w:val="0"/>
        <w:adjustRightInd w:val="0"/>
        <w:snapToGrid w:val="0"/>
        <w:spacing w:beforeAutospacing="0" w:line="480" w:lineRule="exact"/>
        <w:ind w:right="32" w:firstLine="660" w:firstLineChars="236"/>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4）不符合法律、法规和招标文件中规定的其他实质性要求的。</w:t>
      </w:r>
    </w:p>
    <w:p w14:paraId="13933EE0">
      <w:pPr>
        <w:pStyle w:val="68"/>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（4）公开招标响应文件被确认为无效文件后，该供应商即失去参加本次公开招标的资格。</w:t>
      </w:r>
    </w:p>
    <w:p w14:paraId="07F3E1DB">
      <w:pPr>
        <w:pStyle w:val="4"/>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color w:val="auto"/>
          <w:kern w:val="2"/>
          <w:sz w:val="28"/>
          <w:szCs w:val="28"/>
          <w:highlight w:val="none"/>
          <w:u w:val="none"/>
          <w:lang w:val="en-US" w:eastAsia="zh-CN"/>
        </w:rPr>
      </w:pPr>
      <w:bookmarkStart w:id="244" w:name="_Toc20108"/>
      <w:r>
        <w:rPr>
          <w:rFonts w:hint="eastAsia" w:ascii="仿宋" w:hAnsi="仿宋" w:eastAsia="仿宋" w:cs="仿宋"/>
          <w:b w:val="0"/>
          <w:color w:val="auto"/>
          <w:kern w:val="2"/>
          <w:sz w:val="28"/>
          <w:szCs w:val="28"/>
          <w:highlight w:val="none"/>
          <w:u w:val="none"/>
          <w:lang w:val="en-US" w:eastAsia="zh-CN"/>
        </w:rPr>
        <w:t>17.2 组建评标委员会</w:t>
      </w:r>
      <w:bookmarkEnd w:id="243"/>
      <w:bookmarkEnd w:id="244"/>
      <w:r>
        <w:rPr>
          <w:rFonts w:hint="eastAsia" w:ascii="仿宋" w:hAnsi="仿宋" w:eastAsia="仿宋" w:cs="仿宋"/>
          <w:b w:val="0"/>
          <w:color w:val="auto"/>
          <w:kern w:val="2"/>
          <w:sz w:val="28"/>
          <w:szCs w:val="28"/>
          <w:highlight w:val="none"/>
          <w:u w:val="none"/>
          <w:lang w:val="en-US" w:eastAsia="zh-CN"/>
        </w:rPr>
        <w:t xml:space="preserve">  </w:t>
      </w:r>
    </w:p>
    <w:p w14:paraId="08956A6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17.2.1采购代理机构将根据《政府采购法》等法律法规的规定，通过新疆政府采购网专家库抽取评审专家依法组建本次招标的评标委员会，负责本次招标的评标活动。评标委员会负责向采购人、采购代理机构推荐中标候选人。</w:t>
      </w:r>
    </w:p>
    <w:p w14:paraId="27CD4ED4">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17.2.2评标委员会人选于开标前确定，成员名单在中标结果确定前保密。</w:t>
      </w:r>
    </w:p>
    <w:p w14:paraId="5B99ABE0">
      <w:pPr>
        <w:pStyle w:val="24"/>
        <w:pageBreakBefore w:val="0"/>
        <w:widowControl/>
        <w:kinsoku/>
        <w:wordWrap/>
        <w:overflowPunct/>
        <w:topLinePunct w:val="0"/>
        <w:bidi w:val="0"/>
        <w:spacing w:before="0" w:beforeAutospacing="0" w:after="0" w:afterAutospacing="0"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17.2.3评标委员会由有关此次项目方面的专家和采购人熟悉相关业务的代表人员组成，其中项目采购人代表1人，专家4人，其中评审专家成员人数不少于成员总数的三分之二。</w:t>
      </w:r>
    </w:p>
    <w:p w14:paraId="5984C280">
      <w:pPr>
        <w:pStyle w:val="24"/>
        <w:pageBreakBefore w:val="0"/>
        <w:widowControl/>
        <w:kinsoku/>
        <w:wordWrap/>
        <w:overflowPunct/>
        <w:topLinePunct w:val="0"/>
        <w:bidi w:val="0"/>
        <w:spacing w:before="0" w:beforeAutospacing="0" w:after="0" w:afterAutospacing="0" w:line="48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17.2.4</w:t>
      </w:r>
      <w:r>
        <w:rPr>
          <w:rFonts w:hint="eastAsia" w:ascii="仿宋" w:hAnsi="仿宋" w:eastAsia="仿宋" w:cs="仿宋"/>
          <w:color w:val="auto"/>
          <w:kern w:val="2"/>
          <w:sz w:val="28"/>
          <w:szCs w:val="28"/>
          <w:highlight w:val="none"/>
        </w:rPr>
        <w:t>对技术复杂、专业性强的采购项目，通过随机方式难以确定合适评审专家的，经主管预算单位同意，采购人可以自行选定相应专业领域的评审专家。</w:t>
      </w:r>
    </w:p>
    <w:p w14:paraId="40B3433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17.2.5有下列情形之一的，不得担任评标委员会成员：</w:t>
      </w:r>
    </w:p>
    <w:p w14:paraId="11C5730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或者投标主要负责人有近亲关系的；</w:t>
      </w:r>
    </w:p>
    <w:p w14:paraId="64DE404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（2）与项目主管部门或者行政监督部门的人员有近亲关系的；</w:t>
      </w:r>
    </w:p>
    <w:p w14:paraId="7DFDAAC2">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有经济利益关系，可能影响对投标公正评审的；</w:t>
      </w:r>
    </w:p>
    <w:p w14:paraId="36B329A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（4）曾因在招标、评标以及其他与招标投标有关活动中从事违法行为而受过行政处罚或刑事处罚的。</w:t>
      </w:r>
    </w:p>
    <w:p w14:paraId="7482817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招标委员会成员有前款规定情形之一的，应当主动提出回避。</w:t>
      </w:r>
    </w:p>
    <w:p w14:paraId="4FA7F01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17.2.6评标委员会成员应当客观、公正地履行职责，遵守职业道德，并对所提出的评审意见承担个人责任。评标委员会成员不得与任何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或者与招标结果有利害关系的人员进行私下接触，不得收受</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、中介人或其他有利害关系人的财物或好处。</w:t>
      </w:r>
    </w:p>
    <w:p w14:paraId="4BD6413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17.2.7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14:paraId="7DFE538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17.2.8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bookmarkEnd w:id="236"/>
    <w:bookmarkEnd w:id="237"/>
    <w:bookmarkEnd w:id="238"/>
    <w:bookmarkEnd w:id="239"/>
    <w:bookmarkEnd w:id="240"/>
    <w:p w14:paraId="5E844C27">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b w:val="0"/>
          <w:bCs/>
          <w:color w:val="auto"/>
          <w:sz w:val="28"/>
          <w:szCs w:val="28"/>
          <w:highlight w:val="none"/>
          <w:bdr w:val="single" w:color="auto" w:sz="4" w:space="0"/>
        </w:rPr>
      </w:pPr>
      <w:bookmarkStart w:id="245" w:name="_Toc7782"/>
      <w:bookmarkStart w:id="246" w:name="_Toc24761"/>
      <w:bookmarkStart w:id="247" w:name="_Toc518923086"/>
      <w:bookmarkStart w:id="248" w:name="_Toc26741"/>
      <w:bookmarkStart w:id="249" w:name="_Toc8603"/>
      <w:bookmarkStart w:id="250" w:name="_Toc23393"/>
      <w:bookmarkStart w:id="251" w:name="_Toc520356167"/>
      <w:r>
        <w:rPr>
          <w:rFonts w:hint="eastAsia" w:ascii="仿宋" w:hAnsi="仿宋" w:eastAsia="仿宋" w:cs="仿宋"/>
          <w:color w:val="auto"/>
          <w:sz w:val="28"/>
          <w:szCs w:val="28"/>
          <w:highlight w:val="none"/>
          <w:u w:val="none"/>
        </w:rPr>
        <w:t>18.投标文件的符合性审查与澄清</w:t>
      </w:r>
      <w:bookmarkEnd w:id="245"/>
      <w:bookmarkEnd w:id="246"/>
    </w:p>
    <w:p w14:paraId="17A2D8F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18.1符合性审查是指依据招标文件的规定，从投标文件的有效性和完整性对招标文件的响应程度进行审查，以确定是否对招标文件的实质性要求做出响应。</w:t>
      </w:r>
      <w:bookmarkStart w:id="252" w:name="_Hlt522424701"/>
      <w:bookmarkEnd w:id="252"/>
    </w:p>
    <w:p w14:paraId="32DB347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18.2投标文件的澄清</w:t>
      </w:r>
    </w:p>
    <w:p w14:paraId="72EE7655">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18.2.1在评标期间，评标委员会将以</w:t>
      </w:r>
      <w:r>
        <w:rPr>
          <w:rFonts w:hint="eastAsia" w:ascii="仿宋" w:hAnsi="仿宋" w:eastAsia="仿宋" w:cs="仿宋"/>
          <w:color w:val="auto"/>
          <w:sz w:val="28"/>
          <w:szCs w:val="28"/>
          <w:highlight w:val="none"/>
          <w:lang w:val="en-US" w:eastAsia="zh-CN"/>
        </w:rPr>
        <w:t>询标函</w:t>
      </w:r>
      <w:r>
        <w:rPr>
          <w:rFonts w:hint="eastAsia" w:ascii="仿宋" w:hAnsi="仿宋" w:eastAsia="仿宋" w:cs="仿宋"/>
          <w:color w:val="auto"/>
          <w:sz w:val="28"/>
          <w:szCs w:val="28"/>
          <w:highlight w:val="none"/>
        </w:rPr>
        <w:t>方式要求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对其投标文件中含义不明确、对同类问题表述不一致或者有明显文字和计算错误的内容，以及评标委员会认为</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的报价明显低于其他通过符合性检查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有可能影响履约的情况作必要的澄清、说明或补正。采购代理机构将通知所有投标供应商,并给所有投标供应商提供较充分的修正时间。投标供应商根据要求，对原响应文件进行修正，并将修正文件通过数字证书加密并签章后，传到网站指定栏目。逾期不上传的，视同放弃投标。修正文件与响应文件同具法律效力。文件修正后，按照规定的时间继续进行招标。</w:t>
      </w:r>
    </w:p>
    <w:p w14:paraId="7859B10F">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18.2.2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的澄清、说明或补正将作为投标文件的一部分。</w:t>
      </w:r>
    </w:p>
    <w:p w14:paraId="425210D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 投标文件报价出现前后不一致的，按照下列规定修正：</w:t>
      </w:r>
    </w:p>
    <w:p w14:paraId="55AA9B6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（一）投标文件中开标一览表内容与投标文件中相应内容不一致的，以开标一览表为准；</w:t>
      </w:r>
    </w:p>
    <w:p w14:paraId="5629E67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（二）大写金额和小写金额不一致的，以大写金额为准；</w:t>
      </w:r>
    </w:p>
    <w:p w14:paraId="56CE85B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（三）单价金额小数点或者百分比有明显错位的，以开标一览表的总价为准，并修改单价；</w:t>
      </w:r>
    </w:p>
    <w:p w14:paraId="131FC11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（四）总价金额与按单价汇总金额不一致的，以单价金额计算结果为准。</w:t>
      </w:r>
    </w:p>
    <w:p w14:paraId="44AD60B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同时出现两种以上不一致的，按照前款规定的顺序修正。修正后的报价按照第18.2条的规定经</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确认后产生约束力，</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不确认的，将被认定为投标无效。</w:t>
      </w:r>
    </w:p>
    <w:p w14:paraId="2A07B0F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2334C108">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投标文件中，若某项有不合理报价（或零报价、漏报价）的，经评标委员会评审后，此项得分为零，不参与投标报价分值的计算。</w:t>
      </w:r>
    </w:p>
    <w:p w14:paraId="48E9EDE3">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评标委员会成员打分超过得分界限或未按本办法赋分时，该评标委员会成员的打分，按废票处理。</w:t>
      </w:r>
    </w:p>
    <w:p w14:paraId="3497BE06">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为提供</w:t>
      </w:r>
      <w:r>
        <w:rPr>
          <w:rFonts w:hint="eastAsia" w:ascii="仿宋" w:hAnsi="仿宋" w:eastAsia="仿宋" w:cs="仿宋"/>
          <w:color w:val="auto"/>
          <w:sz w:val="28"/>
          <w:szCs w:val="28"/>
          <w:highlight w:val="none"/>
          <w:lang w:val="en-US" w:eastAsia="zh-CN"/>
        </w:rPr>
        <w:t>货物</w:t>
      </w:r>
      <w:r>
        <w:rPr>
          <w:rFonts w:hint="eastAsia" w:ascii="仿宋" w:hAnsi="仿宋" w:eastAsia="仿宋" w:cs="仿宋"/>
          <w:color w:val="auto"/>
          <w:sz w:val="28"/>
          <w:szCs w:val="28"/>
          <w:highlight w:val="none"/>
        </w:rPr>
        <w:t>所伴随投标的产品如被列入财政部与国家主管部门颁发的节能产品目录或环境标志产品目录或无线局域网产品目录，应提供相关证明，在评标时予以优先采购。</w:t>
      </w:r>
    </w:p>
    <w:p w14:paraId="6F7B5EC5">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53" w:name="_Toc10611"/>
      <w:bookmarkStart w:id="254" w:name="_Toc8694"/>
      <w:r>
        <w:rPr>
          <w:rFonts w:hint="eastAsia" w:ascii="仿宋" w:hAnsi="仿宋" w:eastAsia="仿宋" w:cs="仿宋"/>
          <w:color w:val="auto"/>
          <w:sz w:val="28"/>
          <w:szCs w:val="28"/>
          <w:highlight w:val="none"/>
          <w:u w:val="none"/>
          <w:lang w:val="en-US" w:eastAsia="zh-CN"/>
        </w:rPr>
        <w:t>19</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投标偏离</w:t>
      </w:r>
      <w:bookmarkEnd w:id="247"/>
      <w:bookmarkEnd w:id="248"/>
      <w:bookmarkEnd w:id="249"/>
      <w:bookmarkEnd w:id="250"/>
      <w:bookmarkEnd w:id="253"/>
      <w:bookmarkEnd w:id="254"/>
    </w:p>
    <w:p w14:paraId="394E5DA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评标委员会可以接受投标文件中不构成实质性偏离的不正规或不一致。</w:t>
      </w:r>
    </w:p>
    <w:p w14:paraId="1D9284F5">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55" w:name="_Toc518923087"/>
      <w:bookmarkStart w:id="256" w:name="_Toc20906"/>
      <w:bookmarkStart w:id="257" w:name="_Toc30941"/>
      <w:bookmarkStart w:id="258" w:name="_Toc25255"/>
      <w:bookmarkStart w:id="259" w:name="_Toc13551"/>
      <w:bookmarkStart w:id="260" w:name="_Toc21580"/>
      <w:r>
        <w:rPr>
          <w:rFonts w:hint="eastAsia" w:ascii="仿宋" w:hAnsi="仿宋" w:eastAsia="仿宋" w:cs="仿宋"/>
          <w:color w:val="auto"/>
          <w:sz w:val="28"/>
          <w:szCs w:val="28"/>
          <w:highlight w:val="none"/>
          <w:u w:val="none"/>
          <w:lang w:val="en-US" w:eastAsia="zh-CN"/>
        </w:rPr>
        <w:t>20</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投标无效</w:t>
      </w:r>
      <w:bookmarkEnd w:id="255"/>
      <w:bookmarkEnd w:id="256"/>
      <w:bookmarkEnd w:id="257"/>
      <w:bookmarkEnd w:id="258"/>
      <w:bookmarkEnd w:id="259"/>
      <w:bookmarkEnd w:id="260"/>
    </w:p>
    <w:p w14:paraId="4E9F771C">
      <w:pPr>
        <w:pageBreakBefore w:val="0"/>
        <w:widowControl w:val="0"/>
        <w:kinsoku/>
        <w:wordWrap/>
        <w:overflowPunct/>
        <w:topLinePunct w:val="0"/>
        <w:bidi w:val="0"/>
        <w:snapToGrid/>
        <w:spacing w:beforeAutospacing="0" w:line="480" w:lineRule="exact"/>
        <w:ind w:leftChars="0" w:firstLine="560" w:firstLineChars="200"/>
        <w:textAlignment w:val="auto"/>
        <w:outlineLvl w:val="2"/>
        <w:rPr>
          <w:rFonts w:hint="eastAsia" w:ascii="仿宋" w:hAnsi="仿宋" w:eastAsia="仿宋" w:cs="仿宋"/>
          <w:b w:val="0"/>
          <w:bCs w:val="0"/>
          <w:color w:val="auto"/>
          <w:sz w:val="28"/>
          <w:szCs w:val="28"/>
          <w:highlight w:val="none"/>
        </w:rPr>
      </w:pPr>
      <w:bookmarkStart w:id="261" w:name="_Toc30512"/>
      <w:bookmarkStart w:id="262" w:name="_Toc17435"/>
      <w:bookmarkStart w:id="263" w:name="_Toc17585"/>
      <w:r>
        <w:rPr>
          <w:rFonts w:hint="eastAsia" w:ascii="仿宋" w:hAnsi="仿宋" w:eastAsia="仿宋" w:cs="仿宋"/>
          <w:b w:val="0"/>
          <w:bCs w:val="0"/>
          <w:color w:val="auto"/>
          <w:sz w:val="28"/>
          <w:szCs w:val="28"/>
          <w:highlight w:val="none"/>
          <w:lang w:val="en-US" w:eastAsia="zh-CN"/>
        </w:rPr>
        <w:t>20</w:t>
      </w:r>
      <w:r>
        <w:rPr>
          <w:rFonts w:hint="eastAsia" w:ascii="仿宋" w:hAnsi="仿宋" w:eastAsia="仿宋" w:cs="仿宋"/>
          <w:b w:val="0"/>
          <w:bCs w:val="0"/>
          <w:color w:val="auto"/>
          <w:sz w:val="28"/>
          <w:szCs w:val="28"/>
          <w:highlight w:val="none"/>
        </w:rPr>
        <w:t>.1无效投标的概念</w:t>
      </w:r>
      <w:bookmarkEnd w:id="261"/>
      <w:bookmarkEnd w:id="262"/>
      <w:bookmarkEnd w:id="263"/>
    </w:p>
    <w:p w14:paraId="344896F7">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无效投标一般是指由于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所递交的单个投标文件，经审查不符合招标文件资格性、符合性的要求，从而导致评标委员会拒绝接受该投标文件。无效投标对其他</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投标行为的有效性不直接产生影响，该招标项目可以继续进行。</w:t>
      </w:r>
    </w:p>
    <w:p w14:paraId="58936600">
      <w:pPr>
        <w:pageBreakBefore w:val="0"/>
        <w:widowControl w:val="0"/>
        <w:kinsoku/>
        <w:wordWrap/>
        <w:overflowPunct/>
        <w:topLinePunct w:val="0"/>
        <w:bidi w:val="0"/>
        <w:snapToGrid/>
        <w:spacing w:beforeAutospacing="0" w:line="480" w:lineRule="exact"/>
        <w:ind w:leftChars="0" w:firstLine="560" w:firstLineChars="200"/>
        <w:textAlignment w:val="auto"/>
        <w:outlineLvl w:val="2"/>
        <w:rPr>
          <w:rFonts w:hint="eastAsia" w:ascii="仿宋" w:hAnsi="仿宋" w:eastAsia="仿宋" w:cs="仿宋"/>
          <w:b w:val="0"/>
          <w:bCs/>
          <w:color w:val="auto"/>
          <w:sz w:val="28"/>
          <w:szCs w:val="28"/>
          <w:highlight w:val="none"/>
          <w:lang w:val="en-US" w:eastAsia="zh-CN"/>
        </w:rPr>
      </w:pPr>
      <w:bookmarkStart w:id="264" w:name="_Toc323"/>
      <w:r>
        <w:rPr>
          <w:rFonts w:hint="eastAsia" w:ascii="仿宋" w:hAnsi="仿宋" w:eastAsia="仿宋" w:cs="仿宋"/>
          <w:b w:val="0"/>
          <w:bCs/>
          <w:color w:val="auto"/>
          <w:sz w:val="28"/>
          <w:szCs w:val="28"/>
          <w:highlight w:val="none"/>
          <w:lang w:val="en-US" w:eastAsia="zh-CN"/>
        </w:rPr>
        <w:t>20.2有下列情形之一的，视为投标人串通投标，投标无效：</w:t>
      </w:r>
      <w:bookmarkEnd w:id="264"/>
    </w:p>
    <w:p w14:paraId="390E5537">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w:t>
      </w:r>
      <w:r>
        <w:rPr>
          <w:rFonts w:hint="eastAsia" w:ascii="仿宋" w:hAnsi="仿宋" w:eastAsia="仿宋" w:cs="仿宋"/>
          <w:color w:val="auto"/>
          <w:sz w:val="28"/>
          <w:szCs w:val="28"/>
          <w:highlight w:val="none"/>
          <w:lang w:val="en-US" w:eastAsia="zh-CN"/>
        </w:rPr>
        <w:t>（一）不同投标人的投标文件由同一单位或者个人编制；</w:t>
      </w:r>
    </w:p>
    <w:p w14:paraId="7927F071">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（二）不同投标人委托同一单位或者个人办理投标事宜；</w:t>
      </w:r>
    </w:p>
    <w:p w14:paraId="16EEE40B">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（三）不同投标人的投标文件载明的项目管理成员或者联系人员为同一人；</w:t>
      </w:r>
    </w:p>
    <w:p w14:paraId="5C238364">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（四）不同投标人的投标文件异常一致或者投标报价呈规律性差异；</w:t>
      </w:r>
    </w:p>
    <w:p w14:paraId="24EB8C72">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（五）不同投标人的投标文件相互混装；</w:t>
      </w:r>
    </w:p>
    <w:p w14:paraId="419E5C8D">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（六）不同投标人的投标保证金从同一单位或者个人的账户转出。</w:t>
      </w:r>
    </w:p>
    <w:p w14:paraId="7FC56130">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20.3有下列情形之一的，属于恶意串通，对供应商依照政府采购法第七十七条第一款的规定追究法律责任，对采购人、采购代理机构及其工作人员依照政府采购法第七十二条的规定追究法律责任：</w:t>
      </w:r>
    </w:p>
    <w:p w14:paraId="17A9A9CC">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（一）供应商直接或者间接从采购人或者采购代理机构处获得其他供应商的相关情况并修改其投标文件或者响应文件；</w:t>
      </w:r>
    </w:p>
    <w:p w14:paraId="49C95ED5">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（二）供应商按照采购人或者采购代理机构的授意撤换、修改投标文件或者响应文件；</w:t>
      </w:r>
    </w:p>
    <w:p w14:paraId="3059F7ED">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（三）供应商之间协商报价、技术方案等投标文件或者响应文件的实质性内容；</w:t>
      </w:r>
    </w:p>
    <w:p w14:paraId="4F21FEBE">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（四）属于同一集团、协会、商会等组织成员的供应商按照该组织要求协同参加政府采购活动；</w:t>
      </w:r>
    </w:p>
    <w:p w14:paraId="5C4EA9A7">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（五）供应商之间事先约定由某一特定供应商中标、成交；</w:t>
      </w:r>
    </w:p>
    <w:p w14:paraId="6A5E4BBE">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（六）供应商之间商定部分供应商放弃参加政府采购活动或者放弃中标、成交；</w:t>
      </w:r>
    </w:p>
    <w:p w14:paraId="3F2887D3">
      <w:pPr>
        <w:keepNext w:val="0"/>
        <w:keepLines w:val="0"/>
        <w:pageBreakBefore w:val="0"/>
        <w:widowControl w:val="0"/>
        <w:kinsoku/>
        <w:wordWrap/>
        <w:overflowPunct/>
        <w:topLinePunct w:val="0"/>
        <w:autoSpaceDE/>
        <w:autoSpaceDN/>
        <w:bidi w:val="0"/>
        <w:adjustRightInd/>
        <w:snapToGrid/>
        <w:spacing w:beforeAutospacing="0" w:line="480" w:lineRule="exact"/>
        <w:ind w:leftChars="0" w:firstLine="0" w:firstLineChars="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（七）供应商与采购人或者采购代理机构之间、供应商相互之间，为谋求特定供应商中标、成交或者排斥其他供应商的其他串通行为。</w:t>
      </w:r>
    </w:p>
    <w:p w14:paraId="7070A618">
      <w:pPr>
        <w:pageBreakBefore w:val="0"/>
        <w:kinsoku/>
        <w:wordWrap/>
        <w:overflowPunct/>
        <w:topLinePunct w:val="0"/>
        <w:bidi w:val="0"/>
        <w:spacing w:beforeAutospacing="0"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如发现下列情况之一的，投标被认定为投标无效：</w:t>
      </w:r>
    </w:p>
    <w:p w14:paraId="6F340662">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bookmarkStart w:id="265" w:name="_Toc24432"/>
      <w:bookmarkStart w:id="266" w:name="_Toc20835"/>
      <w:bookmarkStart w:id="267" w:name="_Toc518923088"/>
      <w:bookmarkStart w:id="268" w:name="_Toc6881"/>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截止时间过后递交的</w:t>
      </w:r>
      <w:r>
        <w:rPr>
          <w:rFonts w:hint="eastAsia" w:ascii="仿宋" w:hAnsi="仿宋" w:eastAsia="仿宋" w:cs="仿宋"/>
          <w:color w:val="auto"/>
          <w:sz w:val="28"/>
          <w:szCs w:val="28"/>
          <w:highlight w:val="none"/>
          <w:lang w:val="en-US" w:eastAsia="zh-CN"/>
        </w:rPr>
        <w:t>电子响应</w:t>
      </w:r>
      <w:r>
        <w:rPr>
          <w:rFonts w:hint="eastAsia" w:ascii="仿宋" w:hAnsi="仿宋" w:eastAsia="仿宋" w:cs="仿宋"/>
          <w:color w:val="auto"/>
          <w:sz w:val="28"/>
          <w:szCs w:val="28"/>
          <w:highlight w:val="none"/>
        </w:rPr>
        <w:t>文件；</w:t>
      </w:r>
    </w:p>
    <w:p w14:paraId="6B0EF8AE">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（2）应交未交投标保证金</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w:t>
      </w:r>
    </w:p>
    <w:p w14:paraId="7B0CFB85">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（3）不具备</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文件中规定资格要求</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资格要求</w:t>
      </w:r>
      <w:r>
        <w:rPr>
          <w:rFonts w:hint="eastAsia" w:ascii="仿宋" w:hAnsi="仿宋" w:eastAsia="仿宋" w:cs="仿宋"/>
          <w:color w:val="auto"/>
          <w:sz w:val="28"/>
          <w:szCs w:val="28"/>
          <w:highlight w:val="none"/>
          <w:lang w:val="en-US" w:eastAsia="zh-CN"/>
        </w:rPr>
        <w:t>资料提供不全</w:t>
      </w:r>
      <w:r>
        <w:rPr>
          <w:rFonts w:hint="eastAsia" w:ascii="仿宋" w:hAnsi="仿宋" w:eastAsia="仿宋" w:cs="仿宋"/>
          <w:color w:val="auto"/>
          <w:sz w:val="28"/>
          <w:szCs w:val="28"/>
          <w:highlight w:val="none"/>
        </w:rPr>
        <w:t>的；</w:t>
      </w:r>
    </w:p>
    <w:p w14:paraId="4B987760">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（4）未提供《开标一览表》的</w:t>
      </w:r>
      <w:r>
        <w:rPr>
          <w:rFonts w:hint="eastAsia" w:ascii="仿宋" w:hAnsi="仿宋" w:eastAsia="仿宋" w:cs="仿宋"/>
          <w:color w:val="auto"/>
          <w:sz w:val="28"/>
          <w:szCs w:val="28"/>
          <w:highlight w:val="none"/>
          <w:lang w:val="en-US" w:eastAsia="zh-CN"/>
        </w:rPr>
        <w:t>，投标报价不符合报价要求的</w:t>
      </w:r>
      <w:r>
        <w:rPr>
          <w:rFonts w:hint="eastAsia" w:ascii="仿宋" w:hAnsi="仿宋" w:eastAsia="仿宋" w:cs="仿宋"/>
          <w:color w:val="auto"/>
          <w:sz w:val="28"/>
          <w:szCs w:val="28"/>
          <w:highlight w:val="none"/>
        </w:rPr>
        <w:t>；</w:t>
      </w:r>
    </w:p>
    <w:p w14:paraId="0D630771">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pacing w:val="15"/>
          <w:kern w:val="0"/>
          <w:sz w:val="28"/>
          <w:szCs w:val="28"/>
          <w:highlight w:val="none"/>
          <w:lang w:val="en-US" w:eastAsia="zh-CN"/>
        </w:rPr>
        <w:t>响应</w:t>
      </w:r>
      <w:r>
        <w:rPr>
          <w:rFonts w:hint="eastAsia" w:ascii="仿宋" w:hAnsi="仿宋" w:eastAsia="仿宋" w:cs="仿宋"/>
          <w:color w:val="auto"/>
          <w:spacing w:val="15"/>
          <w:kern w:val="0"/>
          <w:sz w:val="28"/>
          <w:szCs w:val="28"/>
          <w:highlight w:val="none"/>
        </w:rPr>
        <w:t>文件未按照</w:t>
      </w:r>
      <w:r>
        <w:rPr>
          <w:rFonts w:hint="eastAsia" w:ascii="仿宋" w:hAnsi="仿宋" w:eastAsia="仿宋" w:cs="仿宋"/>
          <w:color w:val="auto"/>
          <w:spacing w:val="15"/>
          <w:kern w:val="0"/>
          <w:sz w:val="28"/>
          <w:szCs w:val="28"/>
          <w:highlight w:val="none"/>
          <w:lang w:val="en-US" w:eastAsia="zh-CN"/>
        </w:rPr>
        <w:t>招标</w:t>
      </w:r>
      <w:r>
        <w:rPr>
          <w:rFonts w:hint="eastAsia" w:ascii="仿宋" w:hAnsi="仿宋" w:eastAsia="仿宋" w:cs="仿宋"/>
          <w:color w:val="auto"/>
          <w:spacing w:val="15"/>
          <w:kern w:val="0"/>
          <w:sz w:val="28"/>
          <w:szCs w:val="28"/>
          <w:highlight w:val="none"/>
        </w:rPr>
        <w:t>文件规定要求签署、盖章的；</w:t>
      </w:r>
    </w:p>
    <w:p w14:paraId="0D93B6CB">
      <w:pPr>
        <w:pageBreakBefore w:val="0"/>
        <w:widowControl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（6）投标报价超过</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文件中规定的</w:t>
      </w:r>
      <w:r>
        <w:rPr>
          <w:rFonts w:hint="eastAsia" w:ascii="仿宋" w:hAnsi="仿宋" w:eastAsia="仿宋" w:cs="仿宋"/>
          <w:color w:val="auto"/>
          <w:sz w:val="28"/>
          <w:szCs w:val="28"/>
          <w:highlight w:val="none"/>
          <w:lang w:val="en-US" w:eastAsia="zh-CN"/>
        </w:rPr>
        <w:t>预算金额及最高限价</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w:t>
      </w:r>
    </w:p>
    <w:p w14:paraId="59FD8ECB">
      <w:pPr>
        <w:pageBreakBefore w:val="0"/>
        <w:kinsoku/>
        <w:wordWrap/>
        <w:overflowPunct/>
        <w:topLinePunct w:val="0"/>
        <w:bidi w:val="0"/>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b w:val="0"/>
          <w:bCs w:val="0"/>
          <w:color w:val="auto"/>
          <w:sz w:val="28"/>
          <w:szCs w:val="28"/>
        </w:rPr>
        <w:t>投标文件载明的采购项目</w:t>
      </w:r>
      <w:r>
        <w:rPr>
          <w:rFonts w:hint="eastAsia" w:ascii="仿宋" w:hAnsi="仿宋" w:eastAsia="仿宋" w:cs="仿宋"/>
          <w:b w:val="0"/>
          <w:bCs w:val="0"/>
          <w:color w:val="auto"/>
          <w:sz w:val="28"/>
          <w:szCs w:val="28"/>
          <w:lang w:val="en-US" w:eastAsia="zh-CN"/>
        </w:rPr>
        <w:t>交货时间</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合同履约期限、</w:t>
      </w:r>
      <w:r>
        <w:rPr>
          <w:rFonts w:hint="eastAsia" w:ascii="仿宋" w:hAnsi="仿宋" w:eastAsia="仿宋" w:cs="仿宋"/>
          <w:color w:val="auto"/>
          <w:sz w:val="28"/>
          <w:szCs w:val="28"/>
          <w:highlight w:val="none"/>
          <w:u w:val="none"/>
          <w:lang w:val="en-US" w:eastAsia="zh-CN" w:bidi="ar-SA"/>
        </w:rPr>
        <w:t>质保期限</w:t>
      </w:r>
      <w:r>
        <w:rPr>
          <w:rFonts w:hint="eastAsia" w:ascii="仿宋" w:hAnsi="仿宋" w:eastAsia="仿宋" w:cs="仿宋"/>
          <w:b w:val="0"/>
          <w:bCs w:val="0"/>
          <w:color w:val="auto"/>
          <w:sz w:val="28"/>
          <w:szCs w:val="28"/>
          <w:lang w:val="en-US" w:eastAsia="zh-CN"/>
        </w:rPr>
        <w:t>不符合采购</w:t>
      </w:r>
      <w:r>
        <w:rPr>
          <w:rFonts w:hint="eastAsia" w:ascii="仿宋" w:hAnsi="仿宋" w:eastAsia="仿宋" w:cs="仿宋"/>
          <w:b w:val="0"/>
          <w:bCs w:val="0"/>
          <w:color w:val="auto"/>
          <w:sz w:val="28"/>
          <w:szCs w:val="28"/>
        </w:rPr>
        <w:t>文件规定期限的；</w:t>
      </w:r>
    </w:p>
    <w:p w14:paraId="50EA181D">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（8）评标过程中拒绝澄清相关事宜和问题的；</w:t>
      </w:r>
    </w:p>
    <w:p w14:paraId="0BAD77E7">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文件不真实，有欺骗行为的；</w:t>
      </w:r>
    </w:p>
    <w:p w14:paraId="731CDCC5">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文件含有</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人和</w:t>
      </w:r>
      <w:r>
        <w:rPr>
          <w:rFonts w:hint="eastAsia" w:ascii="仿宋" w:hAnsi="仿宋" w:eastAsia="仿宋" w:cs="仿宋"/>
          <w:bCs/>
          <w:color w:val="auto"/>
          <w:sz w:val="28"/>
          <w:szCs w:val="28"/>
          <w:highlight w:val="none"/>
        </w:rPr>
        <w:t>采购代理机构</w:t>
      </w:r>
      <w:r>
        <w:rPr>
          <w:rFonts w:hint="eastAsia" w:ascii="仿宋" w:hAnsi="仿宋" w:eastAsia="仿宋" w:cs="仿宋"/>
          <w:color w:val="auto"/>
          <w:sz w:val="28"/>
          <w:szCs w:val="28"/>
          <w:highlight w:val="none"/>
        </w:rPr>
        <w:t>不能接受的条件的；</w:t>
      </w:r>
    </w:p>
    <w:p w14:paraId="44DC62B3">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（11）响应文件未按照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文件要求顺序编制的；</w:t>
      </w:r>
    </w:p>
    <w:p w14:paraId="584C76EB">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）不符合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文件规定的其他实质性要求的；</w:t>
      </w:r>
    </w:p>
    <w:p w14:paraId="75E056C0">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（13）响应文件未关联目录</w:t>
      </w:r>
      <w:r>
        <w:rPr>
          <w:rFonts w:hint="eastAsia" w:ascii="仿宋" w:hAnsi="仿宋" w:eastAsia="仿宋" w:cs="仿宋"/>
          <w:color w:val="auto"/>
          <w:sz w:val="28"/>
          <w:szCs w:val="28"/>
          <w:highlight w:val="none"/>
          <w:lang w:eastAsia="zh-CN"/>
        </w:rPr>
        <w:t>；</w:t>
      </w:r>
    </w:p>
    <w:p w14:paraId="58854FD4">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符合性审查未通过的；</w:t>
      </w:r>
    </w:p>
    <w:p w14:paraId="6D96A90F">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投标货物（产品）不符合强制执行的国家标准、行业标准的</w:t>
      </w:r>
      <w:r>
        <w:rPr>
          <w:rFonts w:hint="eastAsia" w:ascii="仿宋" w:hAnsi="仿宋" w:eastAsia="仿宋" w:cs="仿宋"/>
          <w:color w:val="auto"/>
          <w:sz w:val="28"/>
          <w:szCs w:val="28"/>
          <w:highlight w:val="none"/>
          <w:lang w:eastAsia="zh-CN"/>
        </w:rPr>
        <w:t>；</w:t>
      </w:r>
    </w:p>
    <w:p w14:paraId="3F22DB86">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16）投标文件的关键内容字迹模糊和无法辨认的；</w:t>
      </w:r>
    </w:p>
    <w:p w14:paraId="768F6E4F">
      <w:pPr>
        <w:pageBreakBefore w:val="0"/>
        <w:widowControl w:val="0"/>
        <w:tabs>
          <w:tab w:val="left" w:pos="1260"/>
        </w:tabs>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（17）法律法规和招标文件规定的其他情形的。</w:t>
      </w:r>
    </w:p>
    <w:p w14:paraId="36EB7653">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69" w:name="_Toc13237"/>
      <w:bookmarkStart w:id="270" w:name="_Toc9708"/>
      <w:r>
        <w:rPr>
          <w:rFonts w:hint="eastAsia" w:ascii="仿宋" w:hAnsi="仿宋" w:eastAsia="仿宋" w:cs="仿宋"/>
          <w:color w:val="auto"/>
          <w:sz w:val="28"/>
          <w:szCs w:val="28"/>
          <w:highlight w:val="none"/>
          <w:u w:val="none"/>
        </w:rPr>
        <w:t>2</w:t>
      </w:r>
      <w:bookmarkEnd w:id="251"/>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比较与评价</w:t>
      </w:r>
      <w:bookmarkEnd w:id="265"/>
      <w:bookmarkEnd w:id="266"/>
      <w:bookmarkEnd w:id="267"/>
      <w:bookmarkEnd w:id="268"/>
      <w:bookmarkEnd w:id="269"/>
      <w:bookmarkEnd w:id="270"/>
    </w:p>
    <w:p w14:paraId="518DEEE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21.1经符合性审查合格的投标文件，评标委员会将根据招标文件确定的评标方法和标准，对其技术部分和商务部分作进一步的比较和评价。</w:t>
      </w:r>
    </w:p>
    <w:p w14:paraId="52AB3B7E">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 评标严格按照招标文件的要求和条件进行。根据实际情况，在</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须知资料表中规定采用综合评分法，是指投标文件满足招标文件全部实质性要求，且按照评审因素的量化指标评审得分最高的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为中标候选人的评标方法。</w:t>
      </w:r>
    </w:p>
    <w:p w14:paraId="7A308F4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21.3</w:t>
      </w:r>
      <w:r>
        <w:rPr>
          <w:rFonts w:hint="eastAsia" w:ascii="仿宋" w:hAnsi="仿宋" w:eastAsia="仿宋" w:cs="仿宋"/>
          <w:color w:val="auto"/>
          <w:sz w:val="28"/>
          <w:szCs w:val="28"/>
          <w:highlight w:val="none"/>
        </w:rPr>
        <w:t>如果投标文件没有实质性响应招标文件的要求，评标委员会将予以拒绝。投标人不得通过修正或撤销不合要求的偏离或保留，从而使其投标成为实质性响应的投标。</w:t>
      </w:r>
      <w:bookmarkStart w:id="271" w:name="_Toc520356168"/>
      <w:bookmarkStart w:id="272" w:name="_Toc31728"/>
      <w:bookmarkStart w:id="273" w:name="_Toc8399"/>
      <w:bookmarkStart w:id="274" w:name="_Toc9378"/>
      <w:bookmarkStart w:id="275" w:name="_Toc20227"/>
      <w:bookmarkStart w:id="276" w:name="_Toc27165"/>
      <w:bookmarkStart w:id="277" w:name="_Toc515647785"/>
      <w:bookmarkStart w:id="278" w:name="_Toc20956"/>
      <w:bookmarkStart w:id="279" w:name="_Toc518923090"/>
      <w:bookmarkStart w:id="280" w:name="_Toc23660"/>
      <w:bookmarkStart w:id="281" w:name="_Toc520356169"/>
    </w:p>
    <w:p w14:paraId="3679B25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w:t>
      </w:r>
      <w:r>
        <w:rPr>
          <w:rFonts w:hint="eastAsia" w:ascii="仿宋" w:hAnsi="仿宋" w:eastAsia="仿宋" w:cs="仿宋"/>
          <w:color w:val="auto"/>
          <w:sz w:val="28"/>
          <w:szCs w:val="28"/>
          <w:highlight w:val="none"/>
        </w:rPr>
        <w:t>复核与核对评标结果</w:t>
      </w:r>
    </w:p>
    <w:p w14:paraId="1130B8B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21.4.1</w:t>
      </w:r>
      <w:r>
        <w:rPr>
          <w:rFonts w:hint="eastAsia" w:ascii="仿宋" w:hAnsi="仿宋" w:eastAsia="仿宋" w:cs="仿宋"/>
          <w:color w:val="auto"/>
          <w:sz w:val="28"/>
          <w:szCs w:val="28"/>
          <w:highlight w:val="none"/>
        </w:rPr>
        <w:t>评分汇总结束后，评标委员会应当进行复核，特别要对拟推荐中标候选人的、报价最低的、投标文件被认定无效的进行重点复核。</w:t>
      </w:r>
    </w:p>
    <w:p w14:paraId="69EA372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21.4.2</w:t>
      </w:r>
      <w:r>
        <w:rPr>
          <w:rFonts w:hint="eastAsia" w:ascii="仿宋" w:hAnsi="仿宋" w:eastAsia="仿宋" w:cs="仿宋"/>
          <w:color w:val="auto"/>
          <w:sz w:val="28"/>
          <w:szCs w:val="28"/>
          <w:highlight w:val="none"/>
        </w:rPr>
        <w:t>评标结果汇总完成后，评标报告签署前，采购代理机构应当核对评标结果，除下列情形外，任何人不得修改评标结果：</w:t>
      </w:r>
    </w:p>
    <w:p w14:paraId="40E9F95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（1）分值汇总计算错误的；</w:t>
      </w:r>
    </w:p>
    <w:p w14:paraId="716B6E8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（2）分项评分超出评分标准范围的；</w:t>
      </w:r>
    </w:p>
    <w:p w14:paraId="50BECC2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（3）评标委员会对客观评审因素评分不一致的；</w:t>
      </w:r>
    </w:p>
    <w:p w14:paraId="1F2FB6E6">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（4）经评标委员会认定评分畸高、畸低的。</w:t>
      </w:r>
    </w:p>
    <w:p w14:paraId="050D8B53">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经复核发现存在以上情形之一的，评标委员会应当当场修改评标结果，</w:t>
      </w:r>
      <w:r>
        <w:rPr>
          <w:rFonts w:hint="eastAsia" w:ascii="仿宋" w:hAnsi="仿宋" w:eastAsia="仿宋" w:cs="仿宋"/>
          <w:color w:val="auto"/>
          <w:sz w:val="28"/>
          <w:szCs w:val="28"/>
          <w:highlight w:val="none"/>
          <w:lang w:val="en-US" w:eastAsia="zh-CN"/>
        </w:rPr>
        <w:t>并在评标报告中记载。</w:t>
      </w:r>
    </w:p>
    <w:p w14:paraId="0D77D8D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21.5评标争议处理原则</w:t>
      </w:r>
    </w:p>
    <w:p w14:paraId="0DF1B237">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在评审过程中，对投标文件符合性审查、对投标人投标文件做无效投标处理及其他需要共同认定的事项存在争议的，应当以少数服从多数的原则做出结论，但不得违反法律法规和招标文件的规定。有不同意见的评标委员会成员认为认定过程和结果不符合法律法规或者招标文件规定的，应当及时向采购人书面反映，采购人收到书面反映后，应当及时向同级财政部门报告依法处理。</w:t>
      </w:r>
    </w:p>
    <w:p w14:paraId="5E3F910D">
      <w:pPr>
        <w:pageBreakBefore w:val="0"/>
        <w:kinsoku/>
        <w:wordWrap/>
        <w:overflowPunct/>
        <w:topLinePunct w:val="0"/>
        <w:bidi w:val="0"/>
        <w:spacing w:beforeAutospacing="0" w:line="480" w:lineRule="exact"/>
        <w:textAlignment w:val="auto"/>
        <w:outlineLvl w:val="1"/>
        <w:rPr>
          <w:rFonts w:hint="eastAsia" w:ascii="仿宋" w:hAnsi="仿宋" w:eastAsia="仿宋" w:cs="仿宋"/>
          <w:b/>
          <w:bCs/>
          <w:color w:val="auto"/>
          <w:sz w:val="28"/>
          <w:szCs w:val="28"/>
          <w:highlight w:val="none"/>
          <w:u w:val="none"/>
        </w:rPr>
      </w:pPr>
      <w:bookmarkStart w:id="282" w:name="_Toc22546"/>
      <w:r>
        <w:rPr>
          <w:rFonts w:hint="eastAsia" w:ascii="仿宋" w:hAnsi="仿宋" w:eastAsia="仿宋" w:cs="仿宋"/>
          <w:b/>
          <w:bCs/>
          <w:color w:val="auto"/>
          <w:sz w:val="28"/>
          <w:szCs w:val="28"/>
          <w:highlight w:val="none"/>
          <w:u w:val="none"/>
        </w:rPr>
        <w:t>2</w:t>
      </w:r>
      <w:bookmarkEnd w:id="271"/>
      <w:r>
        <w:rPr>
          <w:rFonts w:hint="eastAsia" w:ascii="仿宋" w:hAnsi="仿宋" w:eastAsia="仿宋" w:cs="仿宋"/>
          <w:b/>
          <w:bCs/>
          <w:color w:val="auto"/>
          <w:sz w:val="28"/>
          <w:szCs w:val="28"/>
          <w:highlight w:val="none"/>
          <w:u w:val="none"/>
          <w:lang w:val="en-US" w:eastAsia="zh-CN"/>
        </w:rPr>
        <w:t>2</w:t>
      </w:r>
      <w:r>
        <w:rPr>
          <w:rFonts w:hint="eastAsia" w:ascii="仿宋" w:hAnsi="仿宋" w:eastAsia="仿宋" w:cs="仿宋"/>
          <w:b/>
          <w:bCs/>
          <w:color w:val="auto"/>
          <w:sz w:val="28"/>
          <w:szCs w:val="28"/>
          <w:highlight w:val="none"/>
          <w:u w:val="none"/>
          <w:lang w:eastAsia="zh-CN"/>
        </w:rPr>
        <w:t>.</w:t>
      </w:r>
      <w:r>
        <w:rPr>
          <w:rFonts w:hint="eastAsia" w:ascii="仿宋" w:hAnsi="仿宋" w:eastAsia="仿宋" w:cs="仿宋"/>
          <w:b/>
          <w:bCs/>
          <w:color w:val="auto"/>
          <w:sz w:val="28"/>
          <w:szCs w:val="28"/>
          <w:highlight w:val="none"/>
          <w:u w:val="none"/>
        </w:rPr>
        <w:t>废标</w:t>
      </w:r>
      <w:bookmarkEnd w:id="272"/>
      <w:bookmarkEnd w:id="273"/>
      <w:bookmarkEnd w:id="274"/>
      <w:bookmarkEnd w:id="275"/>
      <w:bookmarkEnd w:id="276"/>
      <w:bookmarkEnd w:id="277"/>
      <w:bookmarkEnd w:id="278"/>
      <w:bookmarkEnd w:id="282"/>
    </w:p>
    <w:p w14:paraId="73F61703">
      <w:pPr>
        <w:pageBreakBefore w:val="0"/>
        <w:tabs>
          <w:tab w:val="left" w:pos="1260"/>
        </w:tabs>
        <w:kinsoku/>
        <w:wordWrap/>
        <w:overflowPunct/>
        <w:topLinePunct w:val="0"/>
        <w:bidi w:val="0"/>
        <w:spacing w:beforeAutospacing="0" w:line="48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22.1废标的概念</w:t>
      </w:r>
    </w:p>
    <w:p w14:paraId="4E0B6E52">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废标一般是指由于</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所递交的所有投标文件，经评标委员会审查，在合格投标文件的数量、投标报价、招标过程的公正性上不符合法律的规定，从而导致评标委员会拒绝接受所有投标文件。废标对所有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的投标行为都直接产生影响，标志着该招标项目立即终止，需要重新招标或改用其他采购方式。</w:t>
      </w:r>
    </w:p>
    <w:p w14:paraId="3CCCB5B1">
      <w:pPr>
        <w:pageBreakBefore w:val="0"/>
        <w:tabs>
          <w:tab w:val="left" w:pos="1260"/>
        </w:tabs>
        <w:kinsoku/>
        <w:wordWrap/>
        <w:overflowPunct/>
        <w:topLinePunct w:val="0"/>
        <w:bidi w:val="0"/>
        <w:spacing w:beforeAutospacing="0"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22.2有下列情形之一的予以废标</w:t>
      </w:r>
      <w:r>
        <w:rPr>
          <w:rFonts w:hint="eastAsia" w:ascii="仿宋" w:hAnsi="仿宋" w:eastAsia="仿宋" w:cs="仿宋"/>
          <w:color w:val="auto"/>
          <w:sz w:val="28"/>
          <w:szCs w:val="28"/>
          <w:highlight w:val="none"/>
        </w:rPr>
        <w:t>：</w:t>
      </w:r>
    </w:p>
    <w:p w14:paraId="5CE18A01">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(1)出现影响采购公正的违法、违规行为的；</w:t>
      </w:r>
    </w:p>
    <w:p w14:paraId="4A1AD55B">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的报价超过了</w:t>
      </w:r>
      <w:r>
        <w:rPr>
          <w:rFonts w:hint="eastAsia" w:ascii="仿宋" w:hAnsi="仿宋" w:eastAsia="仿宋" w:cs="仿宋"/>
          <w:color w:val="auto"/>
          <w:sz w:val="28"/>
          <w:szCs w:val="28"/>
          <w:highlight w:val="none"/>
          <w:lang w:val="en-US" w:eastAsia="zh-CN"/>
        </w:rPr>
        <w:t>预算金额</w:t>
      </w:r>
      <w:r>
        <w:rPr>
          <w:rFonts w:hint="eastAsia" w:ascii="仿宋" w:hAnsi="仿宋" w:eastAsia="仿宋" w:cs="仿宋"/>
          <w:color w:val="auto"/>
          <w:sz w:val="28"/>
          <w:szCs w:val="28"/>
          <w:highlight w:val="none"/>
        </w:rPr>
        <w:t>，且采购人不能支付的；</w:t>
      </w:r>
    </w:p>
    <w:p w14:paraId="1A75147F">
      <w:pPr>
        <w:pageBreakBefore w:val="0"/>
        <w:tabs>
          <w:tab w:val="left" w:pos="1260"/>
        </w:tabs>
        <w:kinsoku/>
        <w:wordWrap/>
        <w:overflowPunct/>
        <w:topLinePunct w:val="0"/>
        <w:bidi w:val="0"/>
        <w:spacing w:beforeAutospacing="0" w:line="48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(3)因重大变故，采购任务取消的。</w:t>
      </w:r>
    </w:p>
    <w:p w14:paraId="1A01EE47">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83" w:name="_Toc27073"/>
      <w:bookmarkStart w:id="284" w:name="_Toc15758"/>
      <w:bookmarkStart w:id="285" w:name="_Toc10465"/>
      <w:bookmarkStart w:id="286" w:name="_Toc28805"/>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保密原则</w:t>
      </w:r>
      <w:bookmarkEnd w:id="279"/>
      <w:bookmarkEnd w:id="280"/>
      <w:bookmarkEnd w:id="283"/>
      <w:bookmarkEnd w:id="284"/>
      <w:bookmarkEnd w:id="285"/>
      <w:bookmarkEnd w:id="286"/>
    </w:p>
    <w:p w14:paraId="533F503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23.1评标将在严格保密的情况下进行。</w:t>
      </w:r>
    </w:p>
    <w:p w14:paraId="24BC1B59">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28"/>
          <w:szCs w:val="28"/>
          <w:highlight w:val="none"/>
        </w:rPr>
        <w:t>23.2政府采购评审专家应当遵守评审工作纪律，不得泄露评审文件、评审情况和评审中获悉的商业秘密。</w:t>
      </w:r>
      <w:bookmarkStart w:id="287" w:name="_Toc11553"/>
      <w:bookmarkStart w:id="288" w:name="_Toc518923091"/>
      <w:bookmarkStart w:id="289" w:name="_Toc10964"/>
      <w:bookmarkStart w:id="290" w:name="_Toc216582810"/>
      <w:bookmarkStart w:id="291" w:name="_Toc16040"/>
    </w:p>
    <w:p w14:paraId="33740E9D">
      <w:pPr>
        <w:rPr>
          <w:rFonts w:hint="eastAsia"/>
          <w:color w:val="auto"/>
        </w:rPr>
      </w:pPr>
      <w:bookmarkStart w:id="292" w:name="_Toc19574"/>
    </w:p>
    <w:p w14:paraId="22FA6D70">
      <w:pPr>
        <w:pStyle w:val="3"/>
        <w:keepNext w:val="0"/>
        <w:keepLines w:val="0"/>
        <w:pageBreakBefore w:val="0"/>
        <w:kinsoku/>
        <w:wordWrap/>
        <w:overflowPunct/>
        <w:topLinePunct w:val="0"/>
        <w:bidi w:val="0"/>
        <w:spacing w:before="0" w:beforeAutospacing="0" w:line="480" w:lineRule="exact"/>
        <w:ind w:left="0" w:leftChars="0" w:firstLine="0" w:firstLineChars="0"/>
        <w:jc w:val="center"/>
        <w:textAlignment w:val="auto"/>
        <w:rPr>
          <w:rFonts w:hint="eastAsia" w:ascii="仿宋" w:hAnsi="仿宋" w:eastAsia="仿宋" w:cs="仿宋"/>
          <w:b/>
          <w:bCs/>
          <w:color w:val="auto"/>
          <w:sz w:val="36"/>
          <w:szCs w:val="36"/>
          <w:highlight w:val="none"/>
        </w:rPr>
      </w:pPr>
      <w:bookmarkStart w:id="293" w:name="_Toc9413"/>
      <w:r>
        <w:rPr>
          <w:rFonts w:hint="eastAsia" w:ascii="仿宋" w:hAnsi="仿宋" w:eastAsia="仿宋" w:cs="仿宋"/>
          <w:b/>
          <w:bCs/>
          <w:color w:val="auto"/>
          <w:sz w:val="36"/>
          <w:szCs w:val="36"/>
          <w:highlight w:val="none"/>
        </w:rPr>
        <w:t>六</w:t>
      </w:r>
      <w:bookmarkEnd w:id="281"/>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确定中标</w:t>
      </w:r>
      <w:bookmarkEnd w:id="287"/>
      <w:bookmarkEnd w:id="288"/>
      <w:bookmarkEnd w:id="289"/>
      <w:bookmarkEnd w:id="290"/>
      <w:bookmarkEnd w:id="291"/>
      <w:bookmarkEnd w:id="292"/>
      <w:bookmarkEnd w:id="293"/>
    </w:p>
    <w:p w14:paraId="467621BE">
      <w:pPr>
        <w:pStyle w:val="4"/>
        <w:keepNext w:val="0"/>
        <w:keepLines w:val="0"/>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294" w:name="_Toc24341"/>
      <w:bookmarkStart w:id="295" w:name="_Toc520356170"/>
      <w:bookmarkStart w:id="296" w:name="_Toc10436"/>
      <w:bookmarkStart w:id="297" w:name="_Toc518923092"/>
      <w:bookmarkStart w:id="298" w:name="_Ref467307010"/>
      <w:bookmarkStart w:id="299" w:name="_Toc32578"/>
      <w:bookmarkStart w:id="300" w:name="_Toc10802"/>
      <w:bookmarkStart w:id="301" w:name="_Toc28807"/>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中标候选人的确定原则及标准</w:t>
      </w:r>
      <w:bookmarkEnd w:id="294"/>
      <w:bookmarkEnd w:id="295"/>
      <w:bookmarkEnd w:id="296"/>
      <w:bookmarkEnd w:id="297"/>
      <w:bookmarkEnd w:id="298"/>
      <w:bookmarkEnd w:id="299"/>
      <w:bookmarkEnd w:id="300"/>
      <w:bookmarkEnd w:id="301"/>
    </w:p>
    <w:p w14:paraId="463ADF71">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bCs/>
          <w:color w:val="auto"/>
          <w:sz w:val="28"/>
          <w:szCs w:val="28"/>
          <w:highlight w:val="none"/>
        </w:rPr>
      </w:pPr>
      <w:bookmarkStart w:id="302" w:name="_Toc518923093"/>
      <w:bookmarkStart w:id="303" w:name="_Toc3537"/>
      <w:bookmarkStart w:id="304" w:name="_Toc23486"/>
      <w:bookmarkStart w:id="305" w:name="_Toc10555"/>
      <w:r>
        <w:rPr>
          <w:rFonts w:hint="eastAsia" w:ascii="仿宋" w:hAnsi="仿宋" w:eastAsia="仿宋" w:cs="仿宋"/>
          <w:bCs/>
          <w:color w:val="auto"/>
          <w:sz w:val="28"/>
          <w:szCs w:val="28"/>
          <w:highlight w:val="none"/>
        </w:rPr>
        <w:t>24.1根据投标供应商综合得分，按照从高到低的顺序，推荐中标候选人，并编写评审报告。</w:t>
      </w:r>
    </w:p>
    <w:p w14:paraId="16FE9589">
      <w:pPr>
        <w:pStyle w:val="4"/>
        <w:keepNext w:val="0"/>
        <w:keepLines w:val="0"/>
        <w:pageBreakBefore w:val="0"/>
        <w:kinsoku/>
        <w:wordWrap/>
        <w:overflowPunct/>
        <w:topLinePunct w:val="0"/>
        <w:bidi w:val="0"/>
        <w:spacing w:before="0" w:beforeAutospacing="0" w:after="0" w:line="480" w:lineRule="exact"/>
        <w:ind w:firstLine="560" w:firstLineChars="200"/>
        <w:textAlignment w:val="auto"/>
        <w:rPr>
          <w:rFonts w:hint="eastAsia" w:ascii="仿宋" w:hAnsi="仿宋" w:eastAsia="仿宋" w:cs="仿宋"/>
          <w:b w:val="0"/>
          <w:bCs/>
          <w:color w:val="auto"/>
          <w:sz w:val="28"/>
          <w:szCs w:val="28"/>
          <w:highlight w:val="none"/>
          <w:u w:val="none"/>
        </w:rPr>
      </w:pPr>
      <w:bookmarkStart w:id="306" w:name="_Toc20821"/>
      <w:r>
        <w:rPr>
          <w:rFonts w:hint="eastAsia" w:ascii="仿宋" w:hAnsi="仿宋" w:eastAsia="仿宋" w:cs="仿宋"/>
          <w:b w:val="0"/>
          <w:bCs/>
          <w:color w:val="auto"/>
          <w:sz w:val="28"/>
          <w:szCs w:val="28"/>
          <w:highlight w:val="none"/>
          <w:u w:val="none"/>
          <w:lang w:val="en-US" w:eastAsia="zh-CN"/>
        </w:rPr>
        <w:t>24.2</w:t>
      </w:r>
      <w:r>
        <w:rPr>
          <w:rFonts w:hint="eastAsia" w:ascii="仿宋" w:hAnsi="仿宋" w:eastAsia="仿宋" w:cs="仿宋"/>
          <w:b w:val="0"/>
          <w:bCs/>
          <w:color w:val="auto"/>
          <w:sz w:val="28"/>
          <w:szCs w:val="28"/>
          <w:highlight w:val="none"/>
          <w:u w:val="none"/>
          <w:lang w:eastAsia="zh-CN"/>
        </w:rPr>
        <w:t>.</w:t>
      </w:r>
      <w:r>
        <w:rPr>
          <w:rFonts w:hint="eastAsia" w:ascii="仿宋" w:hAnsi="仿宋" w:eastAsia="仿宋" w:cs="仿宋"/>
          <w:b w:val="0"/>
          <w:bCs/>
          <w:color w:val="auto"/>
          <w:sz w:val="28"/>
          <w:szCs w:val="28"/>
          <w:highlight w:val="none"/>
          <w:u w:val="none"/>
        </w:rPr>
        <w:t>确定中标候选人和中标人</w:t>
      </w:r>
      <w:bookmarkEnd w:id="302"/>
      <w:bookmarkEnd w:id="303"/>
      <w:bookmarkEnd w:id="304"/>
      <w:bookmarkEnd w:id="305"/>
      <w:bookmarkEnd w:id="306"/>
    </w:p>
    <w:p w14:paraId="09FDC822">
      <w:pPr>
        <w:pageBreakBefore w:val="0"/>
        <w:kinsoku/>
        <w:wordWrap/>
        <w:overflowPunct/>
        <w:topLinePunct w:val="0"/>
        <w:bidi w:val="0"/>
        <w:snapToGrid/>
        <w:spacing w:beforeAutospacing="0" w:line="480" w:lineRule="exact"/>
        <w:ind w:firstLine="560" w:firstLineChars="200"/>
        <w:textAlignment w:val="auto"/>
        <w:rPr>
          <w:rFonts w:hint="eastAsia" w:ascii="仿宋" w:hAnsi="仿宋" w:eastAsia="仿宋" w:cs="仿宋"/>
          <w:b w:val="0"/>
          <w:bCs/>
          <w:color w:val="auto"/>
          <w:sz w:val="28"/>
          <w:szCs w:val="28"/>
          <w:highlight w:val="none"/>
          <w:u w:val="none"/>
        </w:rPr>
      </w:pPr>
      <w:bookmarkStart w:id="307" w:name="_Toc520356173"/>
      <w:bookmarkStart w:id="308" w:name="_Ref467306874"/>
      <w:bookmarkStart w:id="309" w:name="_Toc9768"/>
      <w:bookmarkStart w:id="310" w:name="_Toc17138"/>
      <w:bookmarkStart w:id="311" w:name="_Toc518923094"/>
      <w:bookmarkStart w:id="312" w:name="_Toc23629"/>
      <w:r>
        <w:rPr>
          <w:rFonts w:hint="eastAsia" w:ascii="仿宋" w:hAnsi="仿宋" w:eastAsia="仿宋" w:cs="仿宋"/>
          <w:b w:val="0"/>
          <w:bCs/>
          <w:color w:val="auto"/>
          <w:sz w:val="28"/>
          <w:szCs w:val="28"/>
          <w:highlight w:val="none"/>
          <w:u w:val="none"/>
          <w:lang w:eastAsia="zh-CN"/>
        </w:rPr>
        <w:t>（</w:t>
      </w:r>
      <w:r>
        <w:rPr>
          <w:rFonts w:hint="eastAsia" w:ascii="仿宋" w:hAnsi="仿宋" w:eastAsia="仿宋" w:cs="仿宋"/>
          <w:b w:val="0"/>
          <w:bCs/>
          <w:color w:val="auto"/>
          <w:spacing w:val="-2"/>
          <w:sz w:val="28"/>
          <w:szCs w:val="28"/>
          <w:highlight w:val="none"/>
          <w:u w:val="none"/>
        </w:rPr>
        <w:t>1）</w:t>
      </w:r>
      <w:r>
        <w:rPr>
          <w:rFonts w:hint="eastAsia" w:ascii="仿宋" w:hAnsi="仿宋" w:eastAsia="仿宋" w:cs="仿宋"/>
          <w:bCs/>
          <w:color w:val="auto"/>
          <w:sz w:val="28"/>
          <w:szCs w:val="28"/>
          <w:highlight w:val="none"/>
          <w:lang w:eastAsia="zh-CN"/>
        </w:rPr>
        <w:t>采购人</w:t>
      </w:r>
      <w:r>
        <w:rPr>
          <w:rFonts w:hint="eastAsia" w:ascii="仿宋" w:hAnsi="仿宋" w:eastAsia="仿宋" w:cs="仿宋"/>
          <w:bCs/>
          <w:color w:val="auto"/>
          <w:sz w:val="28"/>
          <w:szCs w:val="28"/>
          <w:highlight w:val="none"/>
        </w:rPr>
        <w:t>在评标结束后</w:t>
      </w:r>
      <w:r>
        <w:rPr>
          <w:rFonts w:hint="eastAsia" w:ascii="仿宋" w:hAnsi="仿宋" w:eastAsia="仿宋" w:cs="仿宋"/>
          <w:bCs/>
          <w:color w:val="auto"/>
          <w:sz w:val="28"/>
          <w:szCs w:val="28"/>
          <w:highlight w:val="none"/>
          <w:lang w:val="en-US" w:eastAsia="zh-CN"/>
        </w:rPr>
        <w:t>2个工作日</w:t>
      </w:r>
      <w:r>
        <w:rPr>
          <w:rFonts w:hint="eastAsia" w:ascii="仿宋" w:hAnsi="仿宋" w:eastAsia="仿宋" w:cs="仿宋"/>
          <w:bCs/>
          <w:color w:val="auto"/>
          <w:sz w:val="28"/>
          <w:szCs w:val="28"/>
          <w:highlight w:val="none"/>
        </w:rPr>
        <w:t>将评标报告</w:t>
      </w:r>
      <w:r>
        <w:rPr>
          <w:rFonts w:hint="eastAsia" w:ascii="仿宋" w:hAnsi="仿宋" w:eastAsia="仿宋" w:cs="仿宋"/>
          <w:bCs/>
          <w:color w:val="auto"/>
          <w:sz w:val="28"/>
          <w:szCs w:val="28"/>
          <w:highlight w:val="none"/>
          <w:lang w:val="en-US" w:eastAsia="zh-CN"/>
        </w:rPr>
        <w:t>提交</w:t>
      </w:r>
      <w:r>
        <w:rPr>
          <w:rFonts w:hint="eastAsia" w:ascii="仿宋" w:hAnsi="仿宋" w:eastAsia="仿宋" w:cs="仿宋"/>
          <w:bCs/>
          <w:color w:val="auto"/>
          <w:sz w:val="28"/>
          <w:szCs w:val="28"/>
          <w:highlight w:val="none"/>
        </w:rPr>
        <w:t>采购人</w:t>
      </w:r>
      <w:r>
        <w:rPr>
          <w:rFonts w:hint="eastAsia" w:ascii="仿宋" w:hAnsi="仿宋" w:eastAsia="仿宋" w:cs="仿宋"/>
          <w:bCs/>
          <w:color w:val="auto"/>
          <w:sz w:val="28"/>
          <w:szCs w:val="28"/>
          <w:highlight w:val="none"/>
          <w:lang w:val="en-US" w:eastAsia="zh-CN"/>
        </w:rPr>
        <w:t>审核</w:t>
      </w:r>
      <w:r>
        <w:rPr>
          <w:rFonts w:hint="eastAsia" w:ascii="仿宋" w:hAnsi="仿宋" w:eastAsia="仿宋" w:cs="仿宋"/>
          <w:bCs/>
          <w:color w:val="auto"/>
          <w:sz w:val="28"/>
          <w:szCs w:val="28"/>
          <w:highlight w:val="none"/>
        </w:rPr>
        <w:t>，采购人根据评标报告确定的中标候选人名单，出具《</w:t>
      </w:r>
      <w:r>
        <w:rPr>
          <w:rFonts w:hint="eastAsia" w:ascii="仿宋" w:hAnsi="仿宋" w:eastAsia="仿宋" w:cs="仿宋"/>
          <w:bCs/>
          <w:color w:val="auto"/>
          <w:sz w:val="28"/>
          <w:szCs w:val="28"/>
          <w:highlight w:val="none"/>
          <w:lang w:val="en-US" w:eastAsia="zh-CN"/>
        </w:rPr>
        <w:t>采购结果</w:t>
      </w:r>
      <w:r>
        <w:rPr>
          <w:rFonts w:hint="eastAsia" w:ascii="仿宋" w:hAnsi="仿宋" w:eastAsia="仿宋" w:cs="仿宋"/>
          <w:bCs/>
          <w:color w:val="auto"/>
          <w:sz w:val="28"/>
          <w:szCs w:val="28"/>
          <w:highlight w:val="none"/>
        </w:rPr>
        <w:t>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14:paraId="22EE38E0">
      <w:pPr>
        <w:pageBreakBefore w:val="0"/>
        <w:kinsoku/>
        <w:wordWrap/>
        <w:overflowPunct/>
        <w:topLinePunct w:val="0"/>
        <w:bidi w:val="0"/>
        <w:snapToGrid/>
        <w:spacing w:beforeAutospacing="0" w:line="480" w:lineRule="exact"/>
        <w:ind w:leftChars="0"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rPr>
        <w:t>（2）采购人或者</w:t>
      </w:r>
      <w:r>
        <w:rPr>
          <w:rFonts w:hint="eastAsia" w:ascii="仿宋" w:hAnsi="仿宋" w:eastAsia="仿宋" w:cs="仿宋"/>
          <w:b w:val="0"/>
          <w:bCs/>
          <w:color w:val="auto"/>
          <w:sz w:val="28"/>
          <w:szCs w:val="28"/>
          <w:highlight w:val="none"/>
          <w:lang w:eastAsia="zh-CN"/>
        </w:rPr>
        <w:t>采购人</w:t>
      </w:r>
      <w:r>
        <w:rPr>
          <w:rFonts w:hint="eastAsia" w:ascii="仿宋" w:hAnsi="仿宋" w:eastAsia="仿宋" w:cs="仿宋"/>
          <w:b w:val="0"/>
          <w:bCs/>
          <w:color w:val="auto"/>
          <w:sz w:val="28"/>
          <w:szCs w:val="28"/>
          <w:highlight w:val="none"/>
        </w:rPr>
        <w:t>自中标人确定之日起</w:t>
      </w:r>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个工作日内，在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新疆政府采购网</w:t>
      </w:r>
      <w:r>
        <w:rPr>
          <w:rFonts w:hint="eastAsia" w:ascii="仿宋" w:hAnsi="仿宋" w:eastAsia="仿宋" w:cs="仿宋"/>
          <w:color w:val="auto"/>
          <w:sz w:val="28"/>
          <w:szCs w:val="28"/>
          <w:highlight w:val="none"/>
        </w:rPr>
        <w:t>》http://www.ccgp-xinjiang.gov.cn/</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SA"/>
        </w:rPr>
        <w:t>伊犁州公共资源交易平台http://ggzy.xjyl.gov.cn</w:t>
      </w:r>
      <w:r>
        <w:rPr>
          <w:rFonts w:hint="eastAsia" w:ascii="仿宋" w:hAnsi="仿宋" w:eastAsia="仿宋" w:cs="仿宋"/>
          <w:b w:val="0"/>
          <w:bCs/>
          <w:color w:val="auto"/>
          <w:sz w:val="28"/>
          <w:szCs w:val="28"/>
          <w:highlight w:val="none"/>
        </w:rPr>
        <w:t>上公告中标结果。</w:t>
      </w:r>
      <w:r>
        <w:rPr>
          <w:rFonts w:hint="eastAsia" w:ascii="仿宋" w:hAnsi="仿宋" w:eastAsia="仿宋" w:cs="仿宋"/>
          <w:b w:val="0"/>
          <w:bCs/>
          <w:color w:val="auto"/>
          <w:sz w:val="28"/>
          <w:szCs w:val="28"/>
          <w:highlight w:val="none"/>
          <w:lang w:val="en-US" w:eastAsia="zh-CN"/>
        </w:rPr>
        <w:t>中标公告期限为1个工作日。</w:t>
      </w:r>
    </w:p>
    <w:p w14:paraId="0B266B02">
      <w:pPr>
        <w:pStyle w:val="4"/>
        <w:pageBreakBefore w:val="0"/>
        <w:tabs>
          <w:tab w:val="left" w:pos="900"/>
        </w:tabs>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13" w:name="_Toc8813"/>
      <w:bookmarkStart w:id="314" w:name="_Toc7064"/>
      <w:r>
        <w:rPr>
          <w:rFonts w:hint="eastAsia" w:ascii="仿宋" w:hAnsi="仿宋" w:eastAsia="仿宋" w:cs="仿宋"/>
          <w:color w:val="auto"/>
          <w:sz w:val="28"/>
          <w:szCs w:val="28"/>
          <w:highlight w:val="none"/>
          <w:u w:val="none"/>
        </w:rPr>
        <w:t>2</w:t>
      </w:r>
      <w:bookmarkEnd w:id="307"/>
      <w:bookmarkEnd w:id="308"/>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采购任务取消</w:t>
      </w:r>
      <w:bookmarkEnd w:id="309"/>
      <w:bookmarkEnd w:id="310"/>
      <w:bookmarkEnd w:id="311"/>
      <w:bookmarkEnd w:id="312"/>
      <w:bookmarkEnd w:id="313"/>
      <w:bookmarkEnd w:id="314"/>
    </w:p>
    <w:p w14:paraId="59A835BB">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因重大变故采购任务取消时，采购人有权拒绝任何</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中标，且对受影响的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不承担任何责任。</w:t>
      </w:r>
      <w:bookmarkStart w:id="315" w:name="_Toc520356174"/>
    </w:p>
    <w:p w14:paraId="3FBBEB98">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16" w:name="_Toc18072"/>
      <w:bookmarkStart w:id="317" w:name="_Toc15290"/>
      <w:bookmarkStart w:id="318" w:name="_Toc518923095"/>
      <w:bookmarkStart w:id="319" w:name="_Toc14713"/>
      <w:bookmarkStart w:id="320" w:name="_Toc23656"/>
      <w:bookmarkStart w:id="321" w:name="_Toc24250"/>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中标通知书</w:t>
      </w:r>
      <w:bookmarkEnd w:id="315"/>
      <w:r>
        <w:rPr>
          <w:rFonts w:hint="eastAsia" w:ascii="仿宋" w:hAnsi="仿宋" w:eastAsia="仿宋" w:cs="仿宋"/>
          <w:color w:val="auto"/>
          <w:sz w:val="28"/>
          <w:szCs w:val="28"/>
          <w:highlight w:val="none"/>
          <w:u w:val="none"/>
        </w:rPr>
        <w:t>和招标结果通知书</w:t>
      </w:r>
      <w:bookmarkEnd w:id="316"/>
      <w:bookmarkEnd w:id="317"/>
      <w:bookmarkEnd w:id="318"/>
      <w:bookmarkEnd w:id="319"/>
      <w:bookmarkEnd w:id="320"/>
      <w:bookmarkEnd w:id="321"/>
    </w:p>
    <w:p w14:paraId="43798EBA">
      <w:pPr>
        <w:pageBreakBefore w:val="0"/>
        <w:kinsoku/>
        <w:wordWrap/>
        <w:overflowPunct/>
        <w:topLinePunct w:val="0"/>
        <w:bidi w:val="0"/>
        <w:snapToGrid/>
        <w:spacing w:beforeAutospacing="0" w:line="480" w:lineRule="exact"/>
        <w:ind w:leftChars="0" w:firstLine="552" w:firstLineChars="200"/>
        <w:textAlignment w:val="auto"/>
        <w:rPr>
          <w:rFonts w:hint="eastAsia" w:ascii="仿宋" w:hAnsi="仿宋" w:eastAsia="仿宋" w:cs="仿宋"/>
          <w:color w:val="auto"/>
          <w:spacing w:val="-2"/>
          <w:sz w:val="28"/>
          <w:szCs w:val="28"/>
          <w:highlight w:val="none"/>
        </w:rPr>
      </w:pPr>
      <w:bookmarkStart w:id="322" w:name="_Toc518923096"/>
      <w:bookmarkStart w:id="323" w:name="_Ref467306377"/>
      <w:bookmarkStart w:id="324" w:name="_Toc22453"/>
      <w:bookmarkStart w:id="325" w:name="_Ref467306978"/>
      <w:bookmarkStart w:id="326" w:name="_Toc3708"/>
      <w:bookmarkStart w:id="327" w:name="_Ref467307062"/>
      <w:bookmarkStart w:id="328" w:name="_Toc16952"/>
      <w:bookmarkStart w:id="329" w:name="_Ref467307204"/>
      <w:bookmarkStart w:id="330" w:name="_Toc520356175"/>
      <w:r>
        <w:rPr>
          <w:rFonts w:hint="eastAsia" w:ascii="仿宋" w:hAnsi="仿宋" w:eastAsia="仿宋" w:cs="仿宋"/>
          <w:color w:val="auto"/>
          <w:spacing w:val="-2"/>
          <w:sz w:val="28"/>
          <w:szCs w:val="28"/>
          <w:highlight w:val="none"/>
        </w:rPr>
        <w:t>（1）招标结束后，</w:t>
      </w:r>
      <w:r>
        <w:rPr>
          <w:rFonts w:hint="eastAsia" w:ascii="仿宋" w:hAnsi="仿宋" w:eastAsia="仿宋" w:cs="仿宋"/>
          <w:color w:val="auto"/>
          <w:spacing w:val="-2"/>
          <w:sz w:val="28"/>
          <w:szCs w:val="28"/>
          <w:highlight w:val="none"/>
          <w:lang w:eastAsia="zh-CN"/>
        </w:rPr>
        <w:t>采购人</w:t>
      </w:r>
      <w:r>
        <w:rPr>
          <w:rFonts w:hint="eastAsia" w:ascii="仿宋" w:hAnsi="仿宋" w:eastAsia="仿宋" w:cs="仿宋"/>
          <w:color w:val="auto"/>
          <w:spacing w:val="-2"/>
          <w:sz w:val="28"/>
          <w:szCs w:val="28"/>
          <w:highlight w:val="none"/>
        </w:rPr>
        <w:t>将以书面形式发出《中标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通知书》发出后因质疑或投诉引起的中标结果变更，发出的《中标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通知书》将自动作废。</w:t>
      </w:r>
    </w:p>
    <w:p w14:paraId="15729A7D">
      <w:pPr>
        <w:pageBreakBefore w:val="0"/>
        <w:kinsoku/>
        <w:wordWrap/>
        <w:overflowPunct/>
        <w:topLinePunct w:val="0"/>
        <w:bidi w:val="0"/>
        <w:snapToGrid/>
        <w:spacing w:beforeAutospacing="0" w:line="480" w:lineRule="exact"/>
        <w:ind w:leftChars="0" w:firstLine="55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pacing w:val="-2"/>
          <w:sz w:val="28"/>
          <w:szCs w:val="28"/>
          <w:highlight w:val="none"/>
        </w:rPr>
        <w:t>（2）《中标</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lang w:val="en-US" w:eastAsia="zh-CN"/>
        </w:rPr>
        <w:t>成交</w:t>
      </w:r>
      <w:r>
        <w:rPr>
          <w:rFonts w:hint="eastAsia" w:ascii="仿宋" w:hAnsi="仿宋" w:eastAsia="仿宋" w:cs="仿宋"/>
          <w:color w:val="auto"/>
          <w:spacing w:val="-2"/>
          <w:sz w:val="28"/>
          <w:szCs w:val="28"/>
          <w:highlight w:val="none"/>
          <w:lang w:eastAsia="zh-CN"/>
        </w:rPr>
        <w:t>）</w:t>
      </w:r>
      <w:r>
        <w:rPr>
          <w:rFonts w:hint="eastAsia" w:ascii="仿宋" w:hAnsi="仿宋" w:eastAsia="仿宋" w:cs="仿宋"/>
          <w:color w:val="auto"/>
          <w:spacing w:val="-2"/>
          <w:sz w:val="28"/>
          <w:szCs w:val="28"/>
          <w:highlight w:val="none"/>
        </w:rPr>
        <w:t>通知书》将作为签订合同的依据，一经发出即发生法律效力。</w:t>
      </w:r>
    </w:p>
    <w:p w14:paraId="54F14381">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31" w:name="_Toc20963"/>
      <w:bookmarkStart w:id="332" w:name="_Toc20420"/>
      <w:r>
        <w:rPr>
          <w:rFonts w:hint="eastAsia" w:ascii="仿宋" w:hAnsi="仿宋" w:eastAsia="仿宋" w:cs="仿宋"/>
          <w:color w:val="auto"/>
          <w:sz w:val="28"/>
          <w:szCs w:val="28"/>
          <w:highlight w:val="none"/>
          <w:u w:val="none"/>
          <w:lang w:val="en-US" w:eastAsia="zh-CN"/>
        </w:rPr>
        <w:t>27</w:t>
      </w:r>
      <w:r>
        <w:rPr>
          <w:rFonts w:hint="eastAsia" w:ascii="仿宋" w:hAnsi="仿宋" w:eastAsia="仿宋" w:cs="仿宋"/>
          <w:color w:val="auto"/>
          <w:sz w:val="28"/>
          <w:szCs w:val="28"/>
          <w:highlight w:val="none"/>
          <w:u w:val="none"/>
        </w:rPr>
        <w:t>.签订合同</w:t>
      </w:r>
      <w:bookmarkEnd w:id="322"/>
      <w:bookmarkEnd w:id="323"/>
      <w:bookmarkEnd w:id="324"/>
      <w:bookmarkEnd w:id="325"/>
      <w:bookmarkEnd w:id="326"/>
      <w:bookmarkEnd w:id="327"/>
      <w:bookmarkEnd w:id="328"/>
      <w:bookmarkEnd w:id="329"/>
      <w:bookmarkEnd w:id="330"/>
      <w:bookmarkEnd w:id="331"/>
      <w:bookmarkEnd w:id="332"/>
    </w:p>
    <w:p w14:paraId="7DF03BCC">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27.1中标人应当自发出中标通知书之日起30日内，与采购人签订合同。</w:t>
      </w:r>
    </w:p>
    <w:p w14:paraId="3DF8FBA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27.2</w:t>
      </w:r>
      <w:bookmarkStart w:id="333" w:name="_Ref467306425"/>
      <w:bookmarkStart w:id="334" w:name="_Toc520356176"/>
      <w:bookmarkStart w:id="335" w:name="_Ref467307090"/>
      <w:r>
        <w:rPr>
          <w:rFonts w:hint="eastAsia" w:ascii="仿宋" w:hAnsi="仿宋" w:eastAsia="仿宋" w:cs="仿宋"/>
          <w:color w:val="auto"/>
          <w:sz w:val="28"/>
          <w:szCs w:val="28"/>
          <w:highlight w:val="none"/>
        </w:rPr>
        <w:t>招标文件、中标人的投标文件及其澄清文件等，均为签订合同的依据。</w:t>
      </w:r>
    </w:p>
    <w:p w14:paraId="56B582ED">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27.3中标人拒绝与采购人签订合同的，采购人可以按照评审报告推荐的中标候选人名单排序，确定下一中标候选人为中标人，也可以重新开展政府采购活动。</w:t>
      </w:r>
    </w:p>
    <w:p w14:paraId="73F7B60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27.4当出现法规规定的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7FE57DA4">
      <w:pPr>
        <w:pStyle w:val="4"/>
        <w:pageBreakBefore w:val="0"/>
        <w:kinsoku/>
        <w:wordWrap/>
        <w:overflowPunct/>
        <w:topLinePunct w:val="0"/>
        <w:bidi w:val="0"/>
        <w:spacing w:before="0" w:beforeAutospacing="0" w:after="0" w:line="480" w:lineRule="exact"/>
        <w:textAlignment w:val="auto"/>
        <w:outlineLvl w:val="1"/>
        <w:rPr>
          <w:rFonts w:hint="eastAsia" w:ascii="仿宋" w:hAnsi="仿宋" w:eastAsia="仿宋" w:cs="仿宋"/>
          <w:color w:val="auto"/>
          <w:sz w:val="28"/>
          <w:szCs w:val="28"/>
          <w:highlight w:val="none"/>
          <w:u w:val="none"/>
        </w:rPr>
      </w:pPr>
      <w:bookmarkStart w:id="336" w:name="_Toc9437"/>
      <w:bookmarkStart w:id="337" w:name="_Toc8902"/>
      <w:bookmarkStart w:id="338" w:name="_Toc518923097"/>
      <w:bookmarkStart w:id="339" w:name="_Toc4302"/>
      <w:bookmarkStart w:id="340" w:name="_Toc10873"/>
      <w:r>
        <w:rPr>
          <w:rFonts w:hint="eastAsia" w:ascii="仿宋" w:hAnsi="仿宋" w:eastAsia="仿宋" w:cs="仿宋"/>
          <w:color w:val="auto"/>
          <w:sz w:val="28"/>
          <w:szCs w:val="28"/>
          <w:highlight w:val="none"/>
          <w:u w:val="none"/>
        </w:rPr>
        <w:t>28.履约保证金</w:t>
      </w:r>
      <w:bookmarkEnd w:id="336"/>
      <w:bookmarkEnd w:id="337"/>
    </w:p>
    <w:p w14:paraId="5272E8D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28.1中标人应按照</w:t>
      </w:r>
      <w:r>
        <w:rPr>
          <w:rFonts w:hint="eastAsia" w:ascii="仿宋" w:hAnsi="仿宋" w:eastAsia="仿宋" w:cs="仿宋"/>
          <w:color w:val="auto"/>
          <w:sz w:val="28"/>
          <w:szCs w:val="28"/>
          <w:highlight w:val="none"/>
          <w:u w:val="single"/>
          <w:lang w:val="en-US" w:eastAsia="zh-CN"/>
        </w:rPr>
        <w:t>投标</w:t>
      </w:r>
      <w:r>
        <w:rPr>
          <w:rFonts w:hint="eastAsia" w:ascii="仿宋" w:hAnsi="仿宋" w:eastAsia="仿宋" w:cs="仿宋"/>
          <w:color w:val="auto"/>
          <w:sz w:val="28"/>
          <w:szCs w:val="28"/>
          <w:highlight w:val="none"/>
          <w:u w:val="single"/>
          <w:lang w:eastAsia="zh-CN"/>
        </w:rPr>
        <w:t>供应商</w:t>
      </w:r>
      <w:r>
        <w:rPr>
          <w:rFonts w:hint="eastAsia" w:ascii="仿宋" w:hAnsi="仿宋" w:eastAsia="仿宋" w:cs="仿宋"/>
          <w:color w:val="auto"/>
          <w:sz w:val="28"/>
          <w:szCs w:val="28"/>
          <w:highlight w:val="none"/>
          <w:u w:val="single"/>
        </w:rPr>
        <w:t>须知资料表</w:t>
      </w:r>
      <w:r>
        <w:rPr>
          <w:rFonts w:hint="eastAsia" w:ascii="仿宋" w:hAnsi="仿宋" w:eastAsia="仿宋" w:cs="仿宋"/>
          <w:color w:val="auto"/>
          <w:sz w:val="28"/>
          <w:szCs w:val="28"/>
          <w:highlight w:val="none"/>
        </w:rPr>
        <w:t>规定向采购人缴纳履约保证金。</w:t>
      </w:r>
    </w:p>
    <w:p w14:paraId="7C6A87AA">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28.2 如果中标人没有按照上述履约保证金的规定执行，将视为放弃中标资格。在此情况下，采购人可确定下一候选人为中标人，也可以重新开展采购活动。</w:t>
      </w:r>
    </w:p>
    <w:p w14:paraId="217F4014">
      <w:pPr>
        <w:pageBreakBefore w:val="0"/>
        <w:kinsoku/>
        <w:wordWrap/>
        <w:overflowPunct/>
        <w:topLinePunct w:val="0"/>
        <w:bidi w:val="0"/>
        <w:spacing w:beforeAutospacing="0" w:line="480" w:lineRule="exact"/>
        <w:textAlignment w:val="auto"/>
        <w:outlineLvl w:val="1"/>
        <w:rPr>
          <w:rFonts w:hint="eastAsia" w:ascii="仿宋" w:hAnsi="仿宋" w:eastAsia="仿宋" w:cs="仿宋"/>
          <w:b/>
          <w:color w:val="auto"/>
          <w:kern w:val="0"/>
          <w:sz w:val="28"/>
          <w:szCs w:val="28"/>
          <w:highlight w:val="none"/>
        </w:rPr>
      </w:pPr>
      <w:bookmarkStart w:id="341" w:name="_Toc30872"/>
      <w:r>
        <w:rPr>
          <w:rFonts w:hint="eastAsia" w:ascii="仿宋" w:hAnsi="仿宋" w:eastAsia="仿宋" w:cs="仿宋"/>
          <w:b/>
          <w:color w:val="auto"/>
          <w:kern w:val="0"/>
          <w:sz w:val="28"/>
          <w:szCs w:val="28"/>
          <w:highlight w:val="none"/>
        </w:rPr>
        <w:t>29.</w:t>
      </w:r>
      <w:bookmarkEnd w:id="333"/>
      <w:bookmarkEnd w:id="334"/>
      <w:bookmarkEnd w:id="335"/>
      <w:bookmarkEnd w:id="338"/>
      <w:bookmarkEnd w:id="339"/>
      <w:bookmarkEnd w:id="340"/>
      <w:bookmarkStart w:id="342" w:name="_Toc25877"/>
      <w:bookmarkStart w:id="343" w:name="_Toc518923098"/>
      <w:bookmarkStart w:id="344" w:name="_Toc8476"/>
      <w:r>
        <w:rPr>
          <w:rFonts w:hint="eastAsia" w:ascii="仿宋" w:hAnsi="仿宋" w:eastAsia="仿宋" w:cs="仿宋"/>
          <w:b/>
          <w:color w:val="auto"/>
          <w:kern w:val="0"/>
          <w:sz w:val="28"/>
          <w:szCs w:val="28"/>
          <w:highlight w:val="none"/>
        </w:rPr>
        <w:t>中标服务费</w:t>
      </w:r>
      <w:bookmarkEnd w:id="341"/>
      <w:bookmarkEnd w:id="342"/>
      <w:bookmarkEnd w:id="343"/>
      <w:bookmarkEnd w:id="344"/>
    </w:p>
    <w:p w14:paraId="2F9B79E0">
      <w:pPr>
        <w:pageBreakBefore w:val="0"/>
        <w:kinsoku/>
        <w:wordWrap/>
        <w:overflowPunct/>
        <w:topLinePunct w:val="0"/>
        <w:bidi w:val="0"/>
        <w:spacing w:beforeAutospacing="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中标人领取中标通知书时须向采购代理机构支付中标服务费，按本表费率计算的收费为招标代理服务全过程的收费基准价格，招标代理服务收费按差额定率累进法计算。</w:t>
      </w:r>
    </w:p>
    <w:p w14:paraId="1DA4FF40">
      <w:pPr>
        <w:spacing w:line="240" w:lineRule="atLeast"/>
        <w:ind w:left="787" w:leftChars="200" w:hanging="367" w:hangingChars="175"/>
        <w:rPr>
          <w:rFonts w:hint="eastAsia" w:ascii="仿宋" w:hAnsi="仿宋" w:eastAsia="仿宋" w:cs="仿宋"/>
          <w:color w:val="auto"/>
          <w:sz w:val="28"/>
          <w:szCs w:val="28"/>
          <w:highlight w:val="none"/>
        </w:rPr>
      </w:pPr>
      <w:r>
        <w:drawing>
          <wp:inline distT="0" distB="0" distL="114300" distR="114300">
            <wp:extent cx="5391150" cy="42862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391150" cy="4286250"/>
                    </a:xfrm>
                    <a:prstGeom prst="rect">
                      <a:avLst/>
                    </a:prstGeom>
                    <a:noFill/>
                    <a:ln>
                      <a:noFill/>
                    </a:ln>
                  </pic:spPr>
                </pic:pic>
              </a:graphicData>
            </a:graphic>
          </wp:inline>
        </w:drawing>
      </w:r>
    </w:p>
    <w:p w14:paraId="7C55A44A">
      <w:pPr>
        <w:pStyle w:val="4"/>
        <w:pageBreakBefore w:val="0"/>
        <w:widowControl w:val="0"/>
        <w:kinsoku/>
        <w:overflowPunct/>
        <w:autoSpaceDE/>
        <w:autoSpaceDN/>
        <w:bidi w:val="0"/>
        <w:adjustRightInd/>
        <w:spacing w:before="0" w:after="0" w:line="480" w:lineRule="exact"/>
        <w:textAlignment w:val="auto"/>
        <w:outlineLvl w:val="1"/>
        <w:rPr>
          <w:rFonts w:hint="eastAsia" w:ascii="仿宋" w:hAnsi="仿宋" w:eastAsia="仿宋" w:cs="仿宋"/>
          <w:color w:val="auto"/>
          <w:sz w:val="28"/>
          <w:szCs w:val="28"/>
          <w:highlight w:val="none"/>
          <w:u w:val="none"/>
        </w:rPr>
      </w:pPr>
      <w:bookmarkStart w:id="345" w:name="_Toc14623"/>
      <w:bookmarkStart w:id="346" w:name="_Toc30482"/>
      <w:bookmarkStart w:id="347" w:name="_Toc8861"/>
      <w:bookmarkStart w:id="348" w:name="_Toc22204"/>
      <w:bookmarkStart w:id="349" w:name="_Toc518923100"/>
      <w:bookmarkStart w:id="350" w:name="_Toc4701"/>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.廉洁自律规定</w:t>
      </w:r>
      <w:bookmarkEnd w:id="345"/>
      <w:bookmarkEnd w:id="346"/>
      <w:bookmarkEnd w:id="347"/>
      <w:bookmarkEnd w:id="348"/>
      <w:bookmarkEnd w:id="349"/>
      <w:bookmarkEnd w:id="350"/>
    </w:p>
    <w:p w14:paraId="12510CBE">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30.1采购代理机构工作人员不得以不正当手段获取政府采购代理业务，不得与采购人、供应商恶意串通操纵政府采购活动。</w:t>
      </w:r>
    </w:p>
    <w:p w14:paraId="2D4DAC6F">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在本次采购活动中，采购人和采购服务代理机构保证不接受任何报价方送的礼金礼品、有价证券、购物券、回扣、佣金；不与报价方及其工作人员私下接触、参与宴请和娱乐活动；不向报价方及其工作人员索要好处费、赞助费和宣传费；不在报价方支付旅游费用、报销各种消费凭证。</w:t>
      </w:r>
    </w:p>
    <w:p w14:paraId="1AE0D38E">
      <w:pPr>
        <w:pStyle w:val="4"/>
        <w:pageBreakBefore w:val="0"/>
        <w:widowControl w:val="0"/>
        <w:kinsoku/>
        <w:overflowPunct/>
        <w:autoSpaceDE/>
        <w:autoSpaceDN/>
        <w:bidi w:val="0"/>
        <w:adjustRightInd/>
        <w:spacing w:before="0" w:after="0" w:line="480" w:lineRule="exact"/>
        <w:textAlignment w:val="auto"/>
        <w:outlineLvl w:val="1"/>
        <w:rPr>
          <w:rFonts w:hint="eastAsia" w:ascii="仿宋" w:hAnsi="仿宋" w:eastAsia="仿宋" w:cs="仿宋"/>
          <w:color w:val="auto"/>
          <w:sz w:val="28"/>
          <w:szCs w:val="28"/>
          <w:highlight w:val="none"/>
          <w:u w:val="none"/>
        </w:rPr>
      </w:pPr>
      <w:bookmarkStart w:id="351" w:name="_Toc30148"/>
      <w:bookmarkStart w:id="352" w:name="_Toc21055"/>
      <w:bookmarkStart w:id="353" w:name="_Toc21344"/>
      <w:bookmarkStart w:id="354" w:name="_Toc25124"/>
      <w:bookmarkStart w:id="355" w:name="_Toc518923101"/>
      <w:bookmarkStart w:id="356" w:name="_Toc23587"/>
      <w:r>
        <w:rPr>
          <w:rFonts w:hint="eastAsia" w:ascii="仿宋" w:hAnsi="仿宋" w:eastAsia="仿宋" w:cs="仿宋"/>
          <w:color w:val="auto"/>
          <w:sz w:val="28"/>
          <w:szCs w:val="28"/>
          <w:highlight w:val="none"/>
          <w:u w:val="none"/>
        </w:rPr>
        <w:t>3</w:t>
      </w: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rPr>
        <w:t>.人员回避</w:t>
      </w:r>
      <w:bookmarkEnd w:id="351"/>
      <w:bookmarkEnd w:id="352"/>
      <w:bookmarkEnd w:id="353"/>
      <w:bookmarkEnd w:id="354"/>
      <w:bookmarkEnd w:id="355"/>
      <w:bookmarkEnd w:id="356"/>
    </w:p>
    <w:p w14:paraId="6CA30E79">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认为采购人员及其相关人员有法律法规所列与其他供应商有利害关系的，可以向采购人或采购代理机构书面提出回避申请，并说明理由。</w:t>
      </w:r>
      <w:bookmarkStart w:id="357" w:name="_Toc24931"/>
      <w:bookmarkStart w:id="358" w:name="_Toc518923102"/>
    </w:p>
    <w:p w14:paraId="3BF7BA5A">
      <w:pPr>
        <w:pageBreakBefore w:val="0"/>
        <w:widowControl w:val="0"/>
        <w:kinsoku/>
        <w:overflowPunct/>
        <w:autoSpaceDE/>
        <w:autoSpaceDN/>
        <w:bidi w:val="0"/>
        <w:adjustRightInd/>
        <w:spacing w:line="480" w:lineRule="exact"/>
        <w:textAlignment w:val="auto"/>
        <w:outlineLvl w:val="1"/>
        <w:rPr>
          <w:rFonts w:hint="eastAsia" w:ascii="仿宋" w:hAnsi="仿宋" w:eastAsia="仿宋" w:cs="仿宋"/>
          <w:b/>
          <w:color w:val="auto"/>
          <w:kern w:val="0"/>
          <w:sz w:val="28"/>
          <w:szCs w:val="28"/>
          <w:highlight w:val="none"/>
        </w:rPr>
      </w:pPr>
      <w:bookmarkStart w:id="359" w:name="_Toc6483"/>
      <w:r>
        <w:rPr>
          <w:rFonts w:hint="eastAsia" w:ascii="仿宋" w:hAnsi="仿宋" w:eastAsia="仿宋" w:cs="仿宋"/>
          <w:b/>
          <w:color w:val="auto"/>
          <w:kern w:val="0"/>
          <w:sz w:val="28"/>
          <w:szCs w:val="28"/>
          <w:highlight w:val="none"/>
        </w:rPr>
        <w:t>32.质疑与接收</w:t>
      </w:r>
      <w:bookmarkEnd w:id="357"/>
      <w:bookmarkEnd w:id="358"/>
      <w:bookmarkEnd w:id="359"/>
    </w:p>
    <w:p w14:paraId="086AA402">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32.1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认为招标文件、招标过程和中标结果使自己的权益受到损害的，</w:t>
      </w:r>
      <w:r>
        <w:rPr>
          <w:rFonts w:hint="eastAsia" w:ascii="仿宋" w:hAnsi="仿宋" w:eastAsia="仿宋" w:cs="仿宋"/>
          <w:bCs/>
          <w:color w:val="auto"/>
          <w:sz w:val="28"/>
          <w:szCs w:val="28"/>
          <w:highlight w:val="none"/>
        </w:rPr>
        <w:t>当在知道或者应知其权益受到损害之日起七个工作日内</w:t>
      </w:r>
      <w:r>
        <w:rPr>
          <w:rFonts w:hint="eastAsia" w:ascii="仿宋" w:hAnsi="仿宋" w:eastAsia="仿宋" w:cs="仿宋"/>
          <w:color w:val="auto"/>
          <w:sz w:val="28"/>
          <w:szCs w:val="28"/>
          <w:highlight w:val="none"/>
        </w:rPr>
        <w:t>根据《中华人民共和国政府采购法》、《中华人民共和国政府采购法实施条例》和《政府采购质疑和投诉办法》的有关规定，依法向采购人或其委托的采购代理机构</w:t>
      </w:r>
      <w:r>
        <w:rPr>
          <w:rFonts w:hint="eastAsia" w:ascii="仿宋" w:hAnsi="仿宋" w:eastAsia="仿宋" w:cs="仿宋"/>
          <w:bCs/>
          <w:color w:val="auto"/>
          <w:sz w:val="28"/>
          <w:szCs w:val="28"/>
          <w:highlight w:val="none"/>
        </w:rPr>
        <w:t>一次性以书面形式提出质疑。</w:t>
      </w:r>
    </w:p>
    <w:p w14:paraId="011E8500">
      <w:pPr>
        <w:pageBreakBefore w:val="0"/>
        <w:widowControl w:val="0"/>
        <w:kinsoku/>
        <w:overflowPunct/>
        <w:autoSpaceDE/>
        <w:autoSpaceDN/>
        <w:bidi w:val="0"/>
        <w:adjustRightIn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32.2质疑供应商应按照财政部制定的《政府采购质疑函范本》格式（可从新疆政府采购网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采购人或其委托的采购代理机构将不予受理，质疑供应商将依法承担不利后果。</w:t>
      </w:r>
    </w:p>
    <w:p w14:paraId="59DDA1F6">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32.3供应商提出质疑应当提交质疑函和必要的证明材料。质疑函应当包括下列内容：</w:t>
      </w:r>
    </w:p>
    <w:p w14:paraId="3AA33B0A">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（一）供应商的姓名或者名称、地址、邮编、联系人及联系电话；</w:t>
      </w:r>
    </w:p>
    <w:p w14:paraId="79BD942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（二）质疑项目的名称、编号；</w:t>
      </w:r>
    </w:p>
    <w:p w14:paraId="2E713325">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（三）具体、明确的质疑事项和与质疑事项相关的请求；</w:t>
      </w:r>
    </w:p>
    <w:p w14:paraId="5A443CE1">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（四）事实依据；</w:t>
      </w:r>
    </w:p>
    <w:p w14:paraId="5561EB95">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（五）必要的法律依据；</w:t>
      </w:r>
    </w:p>
    <w:p w14:paraId="25AE415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（六）提出质疑的日期。</w:t>
      </w:r>
    </w:p>
    <w:p w14:paraId="6CA3F0BA">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质疑供应商为自然人的，质疑函应由本人签字或签章；质疑供应商为法人或者其他组织的，质疑函应由法定代表人、主要负责人，或者其授权代表签字或签章，并加盖公章。</w:t>
      </w:r>
    </w:p>
    <w:p w14:paraId="17C76BC8">
      <w:pPr>
        <w:pageBreakBefore w:val="0"/>
        <w:widowControl w:val="0"/>
        <w:kinsoku/>
        <w:overflowPunct/>
        <w:autoSpaceDE/>
        <w:autoSpaceDN/>
        <w:bidi w:val="0"/>
        <w:adjustRightInd/>
        <w:snapToGrid w:val="0"/>
        <w:spacing w:line="480" w:lineRule="exact"/>
        <w:textAlignment w:val="auto"/>
        <w:outlineLvl w:val="1"/>
        <w:rPr>
          <w:rFonts w:hint="eastAsia" w:ascii="仿宋" w:hAnsi="仿宋" w:eastAsia="仿宋" w:cs="仿宋"/>
          <w:b/>
          <w:color w:val="auto"/>
          <w:sz w:val="28"/>
          <w:szCs w:val="28"/>
          <w:highlight w:val="none"/>
        </w:rPr>
      </w:pPr>
      <w:bookmarkStart w:id="360" w:name="_Toc20663"/>
      <w:r>
        <w:rPr>
          <w:rFonts w:hint="eastAsia" w:ascii="仿宋" w:hAnsi="仿宋" w:eastAsia="仿宋" w:cs="仿宋"/>
          <w:b/>
          <w:color w:val="auto"/>
          <w:sz w:val="28"/>
          <w:szCs w:val="28"/>
          <w:highlight w:val="none"/>
        </w:rPr>
        <w:t>33、质疑答复</w:t>
      </w:r>
      <w:bookmarkEnd w:id="360"/>
    </w:p>
    <w:p w14:paraId="302C98E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33.1采购人或采购代理机构应当在收到质疑函后7个工作日内作出答复，并以书面形式通知质疑供应商。</w:t>
      </w:r>
    </w:p>
    <w:p w14:paraId="561AC4E9">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33.2对招标组织程序、招标过程有质疑的由采购代理机构负责答复，对采购需求、评标结果有质疑的由采购人负责答复。</w:t>
      </w:r>
    </w:p>
    <w:p w14:paraId="14A53CD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33.3 </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对采购人或</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未在规定时间内作出答复的或者对质疑答复不满意，可以在答复期满后十五个工作日内向同级采购监管部门投诉。</w:t>
      </w:r>
    </w:p>
    <w:p w14:paraId="6F79197A">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33.4质疑、投诉应当采用书面形式，质疑书、投诉书均应明确招标过程或中标结果中使自己合法权益受到损害的实质性内容，提供相关事实、依据和证据及其来源或线索，便于有关单位调查、答复和处理。</w:t>
      </w:r>
    </w:p>
    <w:p w14:paraId="1BDF86B6">
      <w:pPr>
        <w:pageBreakBefore w:val="0"/>
        <w:widowControl w:val="0"/>
        <w:kinsoku/>
        <w:overflowPunct/>
        <w:autoSpaceDE/>
        <w:autoSpaceDN/>
        <w:bidi w:val="0"/>
        <w:adjustRightInd/>
        <w:snapToGrid w:val="0"/>
        <w:spacing w:line="480" w:lineRule="exact"/>
        <w:textAlignment w:val="auto"/>
        <w:outlineLvl w:val="1"/>
        <w:rPr>
          <w:rFonts w:hint="eastAsia" w:ascii="仿宋" w:hAnsi="仿宋" w:eastAsia="仿宋" w:cs="仿宋"/>
          <w:b/>
          <w:bCs w:val="0"/>
          <w:color w:val="auto"/>
          <w:sz w:val="28"/>
          <w:szCs w:val="28"/>
          <w:highlight w:val="none"/>
        </w:rPr>
      </w:pPr>
      <w:bookmarkStart w:id="361" w:name="_Toc6403"/>
      <w:r>
        <w:rPr>
          <w:rFonts w:hint="eastAsia" w:ascii="仿宋" w:hAnsi="仿宋" w:eastAsia="仿宋" w:cs="仿宋"/>
          <w:b/>
          <w:bCs w:val="0"/>
          <w:color w:val="auto"/>
          <w:sz w:val="28"/>
          <w:szCs w:val="28"/>
          <w:highlight w:val="none"/>
        </w:rPr>
        <w:t>34.组织验收</w:t>
      </w:r>
      <w:bookmarkEnd w:id="361"/>
    </w:p>
    <w:p w14:paraId="2D9A690C">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34.1采购合同及投标承诺是采购项目验收的依据，是采购人和供应商之间的权利和义务。中标供应商、采购人应按照采购合同的约定，全面履行合同。任何一方当事人在履行合同过程中均不得擅自变更、中止或终止合同。 </w:t>
      </w:r>
    </w:p>
    <w:p w14:paraId="397F5B3D">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34.2采购人应当成立验收小组,按照采购合同的约定对供应商履约情况进行验收。验收时,应当按照采购合同的约定对每一项</w:t>
      </w:r>
      <w:r>
        <w:rPr>
          <w:rFonts w:hint="eastAsia" w:ascii="仿宋" w:hAnsi="仿宋" w:eastAsia="仿宋" w:cs="仿宋"/>
          <w:bCs/>
          <w:color w:val="auto"/>
          <w:sz w:val="28"/>
          <w:szCs w:val="28"/>
          <w:highlight w:val="none"/>
          <w:lang w:val="en-US" w:eastAsia="zh-CN"/>
        </w:rPr>
        <w:t>产品</w:t>
      </w:r>
      <w:r>
        <w:rPr>
          <w:rFonts w:hint="eastAsia" w:ascii="仿宋" w:hAnsi="仿宋" w:eastAsia="仿宋" w:cs="仿宋"/>
          <w:bCs/>
          <w:color w:val="auto"/>
          <w:sz w:val="28"/>
          <w:szCs w:val="28"/>
          <w:highlight w:val="none"/>
        </w:rPr>
        <w:t>、安全标准的履约情况进行确认。</w:t>
      </w:r>
    </w:p>
    <w:p w14:paraId="552D6541">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3DE6DBF3">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eastAsia" w:ascii="仿宋" w:hAnsi="仿宋" w:eastAsia="仿宋" w:cs="仿宋"/>
          <w:b/>
          <w:color w:val="auto"/>
          <w:kern w:val="44"/>
          <w:sz w:val="44"/>
          <w:szCs w:val="44"/>
          <w:highlight w:val="none"/>
          <w:lang w:val="en-US" w:eastAsia="zh-CN" w:bidi="ar-SA"/>
        </w:rPr>
      </w:pPr>
      <w:bookmarkStart w:id="362" w:name="_Toc217446093"/>
      <w:r>
        <w:rPr>
          <w:rFonts w:hint="eastAsia" w:ascii="仿宋" w:hAnsi="仿宋" w:eastAsia="仿宋" w:cs="仿宋"/>
          <w:b/>
          <w:color w:val="auto"/>
          <w:kern w:val="44"/>
          <w:sz w:val="44"/>
          <w:szCs w:val="44"/>
          <w:highlight w:val="none"/>
          <w:lang w:val="en-US" w:eastAsia="zh-CN" w:bidi="ar-SA"/>
        </w:rPr>
        <w:t xml:space="preserve"> </w:t>
      </w:r>
      <w:bookmarkEnd w:id="362"/>
      <w:bookmarkStart w:id="363" w:name="_Toc24805"/>
      <w:bookmarkStart w:id="364" w:name="_Toc5668"/>
      <w:r>
        <w:rPr>
          <w:rFonts w:hint="eastAsia" w:ascii="仿宋" w:hAnsi="仿宋" w:eastAsia="仿宋" w:cs="仿宋"/>
          <w:b/>
          <w:color w:val="auto"/>
          <w:kern w:val="44"/>
          <w:sz w:val="44"/>
          <w:szCs w:val="44"/>
          <w:highlight w:val="none"/>
          <w:lang w:val="en-US" w:eastAsia="zh-CN" w:bidi="ar-SA"/>
        </w:rPr>
        <w:t>第三章 评标方法和标准</w:t>
      </w:r>
      <w:bookmarkEnd w:id="363"/>
      <w:bookmarkEnd w:id="364"/>
    </w:p>
    <w:p w14:paraId="28B28689">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65" w:name="_Toc1319"/>
      <w:bookmarkStart w:id="366" w:name="_Toc12566"/>
      <w:bookmarkStart w:id="367" w:name="_Toc26751"/>
      <w:bookmarkStart w:id="368" w:name="_Toc30824"/>
      <w:r>
        <w:rPr>
          <w:rFonts w:hint="eastAsia" w:ascii="仿宋" w:hAnsi="仿宋" w:eastAsia="仿宋" w:cs="仿宋"/>
          <w:b/>
          <w:bCs w:val="0"/>
          <w:color w:val="auto"/>
          <w:sz w:val="36"/>
          <w:szCs w:val="36"/>
          <w:highlight w:val="none"/>
          <w:lang w:val="en-US" w:eastAsia="zh-CN"/>
        </w:rPr>
        <w:t xml:space="preserve">第一部分 </w:t>
      </w:r>
      <w:bookmarkEnd w:id="365"/>
      <w:bookmarkEnd w:id="366"/>
      <w:bookmarkEnd w:id="367"/>
      <w:r>
        <w:rPr>
          <w:rFonts w:hint="eastAsia" w:ascii="仿宋" w:hAnsi="仿宋" w:eastAsia="仿宋" w:cs="仿宋"/>
          <w:b/>
          <w:bCs w:val="0"/>
          <w:color w:val="auto"/>
          <w:sz w:val="36"/>
          <w:szCs w:val="36"/>
          <w:highlight w:val="none"/>
          <w:lang w:val="en-US" w:eastAsia="zh-CN"/>
        </w:rPr>
        <w:t>投标文件响应程度初步审查表</w:t>
      </w:r>
      <w:bookmarkEnd w:id="368"/>
    </w:p>
    <w:p w14:paraId="7F453640">
      <w:pPr>
        <w:keepNext w:val="0"/>
        <w:keepLines w:val="0"/>
        <w:pageBreakBefore w:val="0"/>
        <w:widowControl w:val="0"/>
        <w:kinsoku/>
        <w:wordWrap/>
        <w:overflowPunct/>
        <w:topLinePunct w:val="0"/>
        <w:autoSpaceDE/>
        <w:autoSpaceDN/>
        <w:bidi w:val="0"/>
        <w:adjustRightInd/>
        <w:snapToGrid w:val="0"/>
        <w:spacing w:line="480" w:lineRule="exact"/>
        <w:textAlignment w:val="auto"/>
        <w:outlineLvl w:val="0"/>
        <w:rPr>
          <w:rFonts w:ascii="仿宋" w:hAnsi="仿宋" w:eastAsia="仿宋" w:cs="仿宋"/>
          <w:b/>
          <w:bCs/>
          <w:color w:val="auto"/>
          <w:sz w:val="28"/>
          <w:szCs w:val="28"/>
          <w:highlight w:val="none"/>
        </w:rPr>
      </w:pPr>
      <w:bookmarkStart w:id="369" w:name="_Toc24960"/>
      <w:bookmarkStart w:id="370" w:name="_Toc1659"/>
      <w:bookmarkStart w:id="371" w:name="_Toc29081"/>
      <w:bookmarkStart w:id="372" w:name="_Toc12121"/>
      <w:bookmarkStart w:id="373" w:name="_Toc12187"/>
      <w:r>
        <w:rPr>
          <w:rFonts w:hint="eastAsia" w:ascii="仿宋" w:hAnsi="仿宋" w:eastAsia="仿宋" w:cs="仿宋"/>
          <w:b/>
          <w:bCs/>
          <w:color w:val="auto"/>
          <w:sz w:val="28"/>
          <w:szCs w:val="28"/>
          <w:highlight w:val="none"/>
        </w:rPr>
        <w:t>一、初步审查</w:t>
      </w:r>
      <w:bookmarkEnd w:id="369"/>
      <w:bookmarkEnd w:id="370"/>
      <w:bookmarkEnd w:id="371"/>
      <w:bookmarkEnd w:id="372"/>
      <w:bookmarkEnd w:id="373"/>
    </w:p>
    <w:p w14:paraId="4D5A7C8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《初步审查表-资格</w:t>
      </w:r>
      <w:r>
        <w:rPr>
          <w:rFonts w:hint="eastAsia" w:ascii="仿宋" w:hAnsi="仿宋" w:eastAsia="仿宋" w:cs="仿宋"/>
          <w:b/>
          <w:bCs/>
          <w:color w:val="auto"/>
          <w:sz w:val="28"/>
          <w:szCs w:val="28"/>
          <w:highlight w:val="none"/>
          <w:lang w:val="en-US" w:eastAsia="zh-CN"/>
        </w:rPr>
        <w:t>要求</w:t>
      </w:r>
      <w:r>
        <w:rPr>
          <w:rFonts w:hint="eastAsia" w:ascii="仿宋" w:hAnsi="仿宋" w:eastAsia="仿宋" w:cs="仿宋"/>
          <w:b/>
          <w:bCs/>
          <w:color w:val="auto"/>
          <w:sz w:val="28"/>
          <w:szCs w:val="28"/>
          <w:highlight w:val="none"/>
        </w:rPr>
        <w:t>审查》</w:t>
      </w:r>
    </w:p>
    <w:tbl>
      <w:tblPr>
        <w:tblStyle w:val="27"/>
        <w:tblW w:w="9025" w:type="dxa"/>
        <w:jc w:val="center"/>
        <w:tblLayout w:type="fixed"/>
        <w:tblCellMar>
          <w:top w:w="0" w:type="dxa"/>
          <w:left w:w="15" w:type="dxa"/>
          <w:bottom w:w="0" w:type="dxa"/>
          <w:right w:w="15" w:type="dxa"/>
        </w:tblCellMar>
      </w:tblPr>
      <w:tblGrid>
        <w:gridCol w:w="1257"/>
        <w:gridCol w:w="7768"/>
      </w:tblGrid>
      <w:tr w14:paraId="449EB873">
        <w:trPr>
          <w:trHeight w:val="1053" w:hRule="atLeast"/>
          <w:jc w:val="center"/>
        </w:trPr>
        <w:tc>
          <w:tcPr>
            <w:tcW w:w="1257" w:type="dxa"/>
            <w:tcBorders>
              <w:top w:val="single" w:color="000000" w:sz="4" w:space="0"/>
              <w:left w:val="single" w:color="000000" w:sz="4" w:space="0"/>
              <w:bottom w:val="single" w:color="000000" w:sz="4" w:space="0"/>
              <w:right w:val="single" w:color="000000" w:sz="4" w:space="0"/>
            </w:tcBorders>
            <w:noWrap/>
            <w:vAlign w:val="center"/>
          </w:tcPr>
          <w:p w14:paraId="28B7BF5C">
            <w:pPr>
              <w:autoSpaceDN w:val="0"/>
              <w:jc w:val="center"/>
              <w:textAlignment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资质审查</w:t>
            </w:r>
          </w:p>
        </w:tc>
        <w:tc>
          <w:tcPr>
            <w:tcW w:w="7768" w:type="dxa"/>
            <w:tcBorders>
              <w:top w:val="single" w:color="000000" w:sz="4" w:space="0"/>
              <w:left w:val="single" w:color="000000" w:sz="4" w:space="0"/>
              <w:bottom w:val="single" w:color="000000" w:sz="4" w:space="0"/>
              <w:right w:val="single" w:color="000000" w:sz="4" w:space="0"/>
            </w:tcBorders>
            <w:noWrap/>
            <w:vAlign w:val="center"/>
          </w:tcPr>
          <w:p w14:paraId="7A590B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仿宋"/>
                <w:color w:val="auto"/>
                <w:highlight w:val="none"/>
                <w:lang w:val="en-US" w:eastAsia="zh-CN"/>
              </w:rPr>
            </w:pPr>
            <w:r>
              <w:rPr>
                <w:rFonts w:hint="eastAsia" w:ascii="仿宋" w:hAnsi="仿宋" w:eastAsia="仿宋" w:cs="Times New Roman"/>
                <w:color w:val="auto"/>
                <w:sz w:val="28"/>
                <w:szCs w:val="28"/>
              </w:rPr>
              <w:t>详见</w:t>
            </w:r>
            <w:r>
              <w:rPr>
                <w:rFonts w:hint="eastAsia" w:ascii="仿宋" w:hAnsi="仿宋" w:eastAsia="仿宋" w:cs="Times New Roman"/>
                <w:color w:val="auto"/>
                <w:sz w:val="28"/>
                <w:szCs w:val="28"/>
                <w:lang w:val="en-US" w:eastAsia="zh-CN"/>
              </w:rPr>
              <w:t>招标</w:t>
            </w:r>
            <w:r>
              <w:rPr>
                <w:rFonts w:hint="eastAsia" w:ascii="仿宋" w:hAnsi="仿宋" w:eastAsia="仿宋" w:cs="Times New Roman"/>
                <w:color w:val="auto"/>
                <w:sz w:val="28"/>
                <w:szCs w:val="28"/>
              </w:rPr>
              <w:t>文件第</w:t>
            </w:r>
            <w:r>
              <w:rPr>
                <w:rFonts w:hint="eastAsia" w:ascii="仿宋" w:hAnsi="仿宋" w:eastAsia="仿宋" w:cs="Times New Roman"/>
                <w:color w:val="auto"/>
                <w:sz w:val="28"/>
                <w:szCs w:val="28"/>
                <w:lang w:val="en-US" w:eastAsia="zh-CN"/>
              </w:rPr>
              <w:t>二</w:t>
            </w:r>
            <w:r>
              <w:rPr>
                <w:rFonts w:hint="eastAsia" w:ascii="仿宋" w:hAnsi="仿宋" w:eastAsia="仿宋" w:cs="Times New Roman"/>
                <w:color w:val="auto"/>
                <w:sz w:val="28"/>
                <w:szCs w:val="28"/>
              </w:rPr>
              <w:t>章</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供应商须知资料表</w:t>
            </w:r>
            <w:r>
              <w:rPr>
                <w:rFonts w:hint="eastAsia" w:ascii="仿宋" w:hAnsi="仿宋" w:eastAsia="仿宋" w:cs="Times New Roman"/>
                <w:color w:val="auto"/>
                <w:sz w:val="28"/>
                <w:szCs w:val="28"/>
              </w:rPr>
              <w:t>中合格投标人的资格要求（1-</w:t>
            </w:r>
            <w:r>
              <w:rPr>
                <w:rFonts w:hint="eastAsia" w:ascii="仿宋" w:hAnsi="仿宋" w:eastAsia="仿宋" w:cs="Times New Roman"/>
                <w:color w:val="auto"/>
                <w:sz w:val="28"/>
                <w:szCs w:val="28"/>
                <w:lang w:val="en-US" w:eastAsia="zh-CN"/>
              </w:rPr>
              <w:t>7</w:t>
            </w:r>
            <w:r>
              <w:rPr>
                <w:rFonts w:hint="eastAsia" w:ascii="仿宋" w:hAnsi="仿宋" w:eastAsia="仿宋" w:cs="Times New Roman"/>
                <w:color w:val="auto"/>
                <w:sz w:val="28"/>
                <w:szCs w:val="28"/>
              </w:rPr>
              <w:t>）条资质要求。</w:t>
            </w:r>
          </w:p>
        </w:tc>
      </w:tr>
      <w:tr w14:paraId="7F215242">
        <w:tblPrEx>
          <w:tblCellMar>
            <w:top w:w="0" w:type="dxa"/>
            <w:left w:w="15" w:type="dxa"/>
            <w:bottom w:w="0" w:type="dxa"/>
            <w:right w:w="15" w:type="dxa"/>
          </w:tblCellMar>
        </w:tblPrEx>
        <w:trPr>
          <w:trHeight w:val="1053" w:hRule="atLeast"/>
          <w:jc w:val="center"/>
        </w:trPr>
        <w:tc>
          <w:tcPr>
            <w:tcW w:w="9025" w:type="dxa"/>
            <w:gridSpan w:val="2"/>
            <w:tcBorders>
              <w:top w:val="single" w:color="000000" w:sz="4" w:space="0"/>
              <w:left w:val="single" w:color="000000" w:sz="4" w:space="0"/>
              <w:bottom w:val="single" w:color="000000" w:sz="4" w:space="0"/>
              <w:right w:val="single" w:color="000000" w:sz="4" w:space="0"/>
            </w:tcBorders>
            <w:noWrap/>
            <w:vAlign w:val="center"/>
          </w:tcPr>
          <w:p w14:paraId="16BAFC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说明：资格审查小组在开标时对供应商的资质要求进行审查，投标人若有1项不合格，即判定其资格要求审查结果为不合格，将不具备投标资格，按投标无效处理。未通过资格要求审查的投标文件，不得进入后续评标环节。</w:t>
            </w:r>
          </w:p>
        </w:tc>
      </w:tr>
    </w:tbl>
    <w:p w14:paraId="3491E30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outlineLvl w:val="0"/>
        <w:rPr>
          <w:rFonts w:hint="eastAsia" w:ascii="仿宋" w:hAnsi="仿宋" w:eastAsia="仿宋" w:cs="仿宋"/>
          <w:b/>
          <w:bCs/>
          <w:color w:val="auto"/>
          <w:sz w:val="28"/>
          <w:szCs w:val="28"/>
          <w:highlight w:val="none"/>
        </w:rPr>
      </w:pPr>
      <w:bookmarkStart w:id="374" w:name="_Toc5257"/>
      <w:bookmarkStart w:id="375" w:name="_Toc24384"/>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《初步审查表-符合性审查》</w:t>
      </w:r>
      <w:bookmarkEnd w:id="374"/>
      <w:bookmarkEnd w:id="375"/>
    </w:p>
    <w:p w14:paraId="36CB8941">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color w:val="auto"/>
        </w:rPr>
      </w:pPr>
      <w:r>
        <w:rPr>
          <w:rFonts w:hint="eastAsia" w:ascii="仿宋" w:hAnsi="仿宋" w:eastAsia="仿宋" w:cs="仿宋"/>
          <w:bCs/>
          <w:color w:val="auto"/>
          <w:sz w:val="28"/>
          <w:szCs w:val="28"/>
          <w:highlight w:val="none"/>
        </w:rPr>
        <w:t>评标委员会依法对符合资格</w:t>
      </w:r>
      <w:r>
        <w:rPr>
          <w:rFonts w:hint="eastAsia" w:ascii="仿宋" w:hAnsi="仿宋" w:eastAsia="仿宋" w:cs="仿宋"/>
          <w:bCs/>
          <w:color w:val="auto"/>
          <w:sz w:val="28"/>
          <w:szCs w:val="28"/>
          <w:highlight w:val="none"/>
          <w:lang w:val="en-US" w:eastAsia="zh-CN"/>
        </w:rPr>
        <w:t>要求</w:t>
      </w:r>
      <w:r>
        <w:rPr>
          <w:rFonts w:hint="eastAsia" w:ascii="仿宋" w:hAnsi="仿宋" w:eastAsia="仿宋" w:cs="仿宋"/>
          <w:bCs/>
          <w:color w:val="auto"/>
          <w:sz w:val="28"/>
          <w:szCs w:val="28"/>
          <w:highlight w:val="none"/>
        </w:rPr>
        <w:t>的投标人的投标文件进行符合性审查。评标委员会按下列评审标准进行符合性审查：</w:t>
      </w: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8341"/>
      </w:tblGrid>
      <w:tr w14:paraId="5DA9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2" w:type="dxa"/>
            <w:noWrap w:val="0"/>
            <w:vAlign w:val="center"/>
          </w:tcPr>
          <w:p w14:paraId="4B71E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序号</w:t>
            </w:r>
          </w:p>
        </w:tc>
        <w:tc>
          <w:tcPr>
            <w:tcW w:w="8341" w:type="dxa"/>
            <w:noWrap w:val="0"/>
            <w:vAlign w:val="center"/>
          </w:tcPr>
          <w:p w14:paraId="09F5C1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auto"/>
                <w:kern w:val="2"/>
                <w:sz w:val="28"/>
                <w:szCs w:val="28"/>
                <w:lang w:val="en-US" w:eastAsia="zh-CN" w:bidi="ar-SA"/>
              </w:rPr>
            </w:pPr>
            <w:r>
              <w:rPr>
                <w:rFonts w:hint="eastAsia" w:ascii="仿宋" w:hAnsi="仿宋" w:eastAsia="仿宋" w:cs="仿宋"/>
                <w:b/>
                <w:bCs w:val="0"/>
                <w:color w:val="auto"/>
                <w:kern w:val="2"/>
                <w:sz w:val="28"/>
                <w:szCs w:val="28"/>
                <w:lang w:val="en-US" w:eastAsia="zh-CN" w:bidi="ar-SA"/>
              </w:rPr>
              <w:t>符合性审查要求</w:t>
            </w:r>
          </w:p>
        </w:tc>
      </w:tr>
      <w:tr w14:paraId="4EB6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92" w:type="dxa"/>
            <w:noWrap w:val="0"/>
            <w:vAlign w:val="center"/>
          </w:tcPr>
          <w:p w14:paraId="50479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w:t>
            </w:r>
          </w:p>
        </w:tc>
        <w:tc>
          <w:tcPr>
            <w:tcW w:w="8341" w:type="dxa"/>
            <w:noWrap w:val="0"/>
            <w:vAlign w:val="center"/>
          </w:tcPr>
          <w:p w14:paraId="36AC9A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olor w:val="auto"/>
                <w:sz w:val="28"/>
                <w:szCs w:val="28"/>
              </w:rPr>
              <w:t>是否按</w:t>
            </w:r>
            <w:r>
              <w:rPr>
                <w:rFonts w:hint="eastAsia" w:ascii="仿宋" w:hAnsi="仿宋" w:eastAsia="仿宋" w:cs="仿宋"/>
                <w:color w:val="auto"/>
                <w:sz w:val="28"/>
                <w:szCs w:val="28"/>
                <w:highlight w:val="none"/>
                <w:lang w:val="en-US" w:eastAsia="zh-CN"/>
              </w:rPr>
              <w:t>招标</w:t>
            </w:r>
            <w:r>
              <w:rPr>
                <w:rFonts w:hint="eastAsia" w:ascii="仿宋" w:hAnsi="仿宋" w:eastAsia="仿宋"/>
                <w:color w:val="auto"/>
                <w:sz w:val="28"/>
                <w:szCs w:val="28"/>
              </w:rPr>
              <w:t>文件格式要求提供单位盖章及法定代表人或</w:t>
            </w:r>
            <w:r>
              <w:rPr>
                <w:rFonts w:hint="eastAsia" w:ascii="仿宋" w:hAnsi="仿宋" w:eastAsia="仿宋"/>
                <w:color w:val="auto"/>
                <w:sz w:val="28"/>
                <w:szCs w:val="28"/>
                <w:lang w:val="en-US" w:eastAsia="zh-CN"/>
              </w:rPr>
              <w:t>被授权人</w:t>
            </w:r>
            <w:r>
              <w:rPr>
                <w:rFonts w:hint="eastAsia" w:ascii="仿宋" w:hAnsi="仿宋" w:eastAsia="仿宋"/>
                <w:color w:val="auto"/>
                <w:sz w:val="28"/>
                <w:szCs w:val="28"/>
              </w:rPr>
              <w:t>签字（或签章）。</w:t>
            </w:r>
          </w:p>
        </w:tc>
      </w:tr>
      <w:tr w14:paraId="40E5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2" w:type="dxa"/>
            <w:noWrap w:val="0"/>
            <w:vAlign w:val="center"/>
          </w:tcPr>
          <w:p w14:paraId="76A9BF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2</w:t>
            </w:r>
          </w:p>
        </w:tc>
        <w:tc>
          <w:tcPr>
            <w:tcW w:w="8341" w:type="dxa"/>
            <w:noWrap w:val="0"/>
            <w:vAlign w:val="center"/>
          </w:tcPr>
          <w:p w14:paraId="7CA9B8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color w:val="auto"/>
                <w:sz w:val="28"/>
                <w:szCs w:val="28"/>
                <w:highlight w:val="none"/>
                <w:lang w:val="en-US" w:eastAsia="zh-CN"/>
              </w:rPr>
              <w:t>投标报价不符合报价要求的</w:t>
            </w:r>
            <w:r>
              <w:rPr>
                <w:rFonts w:hint="eastAsia" w:ascii="仿宋" w:hAnsi="仿宋" w:eastAsia="仿宋" w:cs="仿宋"/>
                <w:color w:val="auto"/>
                <w:sz w:val="28"/>
                <w:szCs w:val="28"/>
                <w:highlight w:val="none"/>
              </w:rPr>
              <w:t>，投标报价是否超过预算金额</w:t>
            </w:r>
            <w:r>
              <w:rPr>
                <w:rFonts w:hint="eastAsia" w:ascii="仿宋" w:hAnsi="仿宋" w:eastAsia="仿宋" w:cs="仿宋"/>
                <w:color w:val="auto"/>
                <w:sz w:val="28"/>
                <w:szCs w:val="28"/>
                <w:highlight w:val="none"/>
                <w:lang w:val="en-US" w:eastAsia="zh-CN"/>
              </w:rPr>
              <w:t>及最高限价</w:t>
            </w:r>
            <w:r>
              <w:rPr>
                <w:rFonts w:hint="eastAsia" w:ascii="仿宋" w:hAnsi="仿宋" w:eastAsia="仿宋"/>
                <w:color w:val="auto"/>
                <w:sz w:val="28"/>
                <w:szCs w:val="28"/>
                <w:highlight w:val="none"/>
              </w:rPr>
              <w:t>。</w:t>
            </w:r>
          </w:p>
        </w:tc>
      </w:tr>
      <w:tr w14:paraId="4D7F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2" w:type="dxa"/>
            <w:noWrap w:val="0"/>
            <w:vAlign w:val="center"/>
          </w:tcPr>
          <w:p w14:paraId="04411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3</w:t>
            </w:r>
          </w:p>
        </w:tc>
        <w:tc>
          <w:tcPr>
            <w:tcW w:w="8341" w:type="dxa"/>
            <w:noWrap w:val="0"/>
            <w:vAlign w:val="center"/>
          </w:tcPr>
          <w:p w14:paraId="08A83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评审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提交相关证明材料后，评标委员会应当结合采购项目采购需求、专业实际情况与其他供应商比较情况等就供应商提交相关证明材料进行审查评价。供应商拒绝或者变相拒绝提供有效相关证明材料或者相关证明材料不能证明其报价合理性的，评标委员会将投标文件作为无效处理。</w:t>
            </w:r>
          </w:p>
        </w:tc>
      </w:tr>
      <w:tr w14:paraId="17D5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2" w:type="dxa"/>
            <w:noWrap w:val="0"/>
            <w:vAlign w:val="center"/>
          </w:tcPr>
          <w:p w14:paraId="765C13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4</w:t>
            </w:r>
          </w:p>
        </w:tc>
        <w:tc>
          <w:tcPr>
            <w:tcW w:w="8341" w:type="dxa"/>
            <w:noWrap w:val="0"/>
            <w:vAlign w:val="center"/>
          </w:tcPr>
          <w:p w14:paraId="56DC04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投标有效期（90日历日）是否满足</w:t>
            </w:r>
            <w:r>
              <w:rPr>
                <w:rFonts w:hint="eastAsia" w:ascii="仿宋" w:hAnsi="仿宋" w:eastAsia="仿宋" w:cs="仿宋"/>
                <w:color w:val="auto"/>
                <w:sz w:val="28"/>
                <w:szCs w:val="28"/>
                <w:highlight w:val="none"/>
                <w:lang w:val="en-US" w:eastAsia="zh-CN"/>
              </w:rPr>
              <w:t>招标</w:t>
            </w:r>
            <w:r>
              <w:rPr>
                <w:rFonts w:hint="eastAsia" w:ascii="仿宋" w:hAnsi="仿宋" w:eastAsia="仿宋" w:cs="仿宋"/>
                <w:b w:val="0"/>
                <w:bCs/>
                <w:color w:val="auto"/>
                <w:kern w:val="2"/>
                <w:sz w:val="28"/>
                <w:szCs w:val="28"/>
                <w:lang w:val="en-US" w:eastAsia="zh-CN" w:bidi="ar-SA"/>
              </w:rPr>
              <w:t>文件要求的。</w:t>
            </w:r>
          </w:p>
        </w:tc>
      </w:tr>
      <w:tr w14:paraId="7711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2" w:type="dxa"/>
            <w:noWrap w:val="0"/>
            <w:vAlign w:val="center"/>
          </w:tcPr>
          <w:p w14:paraId="645343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5</w:t>
            </w:r>
          </w:p>
        </w:tc>
        <w:tc>
          <w:tcPr>
            <w:tcW w:w="8341" w:type="dxa"/>
            <w:noWrap w:val="0"/>
            <w:vAlign w:val="center"/>
          </w:tcPr>
          <w:p w14:paraId="1692C0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投标人所报项目交货时间、合同履约期限、质保期限是否满足招标文件规定期限的。</w:t>
            </w:r>
          </w:p>
        </w:tc>
      </w:tr>
      <w:tr w14:paraId="4BC0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2" w:type="dxa"/>
            <w:noWrap w:val="0"/>
            <w:vAlign w:val="center"/>
          </w:tcPr>
          <w:p w14:paraId="3815BD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6</w:t>
            </w:r>
          </w:p>
        </w:tc>
        <w:tc>
          <w:tcPr>
            <w:tcW w:w="8341" w:type="dxa"/>
            <w:noWrap w:val="0"/>
            <w:vAlign w:val="center"/>
          </w:tcPr>
          <w:p w14:paraId="40EC64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Cs/>
                <w:color w:val="auto"/>
                <w:sz w:val="28"/>
                <w:szCs w:val="28"/>
                <w:highlight w:val="none"/>
                <w:lang w:val="en-US" w:eastAsia="zh-CN"/>
              </w:rPr>
              <w:t>投标人是否存在串通投标的行为。</w:t>
            </w:r>
          </w:p>
        </w:tc>
      </w:tr>
      <w:tr w14:paraId="31F4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92" w:type="dxa"/>
            <w:noWrap w:val="0"/>
            <w:vAlign w:val="center"/>
          </w:tcPr>
          <w:p w14:paraId="456F9B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7</w:t>
            </w:r>
          </w:p>
        </w:tc>
        <w:tc>
          <w:tcPr>
            <w:tcW w:w="8341" w:type="dxa"/>
            <w:noWrap w:val="0"/>
            <w:vAlign w:val="center"/>
          </w:tcPr>
          <w:p w14:paraId="6E1A8C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投标文件是否存在其它不符合法律法规或招标文件规定的其它投标无效条款。</w:t>
            </w:r>
          </w:p>
        </w:tc>
      </w:tr>
      <w:tr w14:paraId="2480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033" w:type="dxa"/>
            <w:gridSpan w:val="2"/>
            <w:noWrap w:val="0"/>
            <w:vAlign w:val="center"/>
          </w:tcPr>
          <w:p w14:paraId="57114DEE">
            <w:pPr>
              <w:spacing w:line="440" w:lineRule="exact"/>
              <w:rPr>
                <w:rFonts w:hint="eastAsia" w:ascii="仿宋" w:hAnsi="仿宋" w:eastAsia="仿宋" w:cs="仿宋"/>
                <w:b w:val="0"/>
                <w:bCs/>
                <w:color w:val="auto"/>
                <w:kern w:val="2"/>
                <w:sz w:val="28"/>
                <w:szCs w:val="28"/>
                <w:lang w:val="en-US" w:eastAsia="zh-CN" w:bidi="ar-SA"/>
              </w:rPr>
            </w:pPr>
            <w:r>
              <w:rPr>
                <w:rFonts w:hint="eastAsia" w:ascii="仿宋" w:hAnsi="仿宋" w:eastAsia="仿宋" w:cs="Times New Roman"/>
                <w:color w:val="auto"/>
                <w:sz w:val="28"/>
                <w:szCs w:val="28"/>
              </w:rPr>
              <w:t>说明：</w:t>
            </w:r>
            <w:r>
              <w:rPr>
                <w:rFonts w:hint="eastAsia" w:ascii="仿宋" w:hAnsi="仿宋" w:eastAsia="仿宋"/>
                <w:color w:val="auto"/>
                <w:sz w:val="28"/>
                <w:szCs w:val="28"/>
              </w:rPr>
              <w:t>评标</w:t>
            </w:r>
            <w:r>
              <w:rPr>
                <w:rFonts w:hint="eastAsia" w:ascii="仿宋" w:hAnsi="仿宋" w:eastAsia="仿宋"/>
                <w:color w:val="auto"/>
                <w:sz w:val="28"/>
                <w:szCs w:val="28"/>
                <w:lang w:val="en-US" w:eastAsia="zh-CN"/>
              </w:rPr>
              <w:t>委员会</w:t>
            </w:r>
            <w:r>
              <w:rPr>
                <w:rFonts w:ascii="仿宋" w:hAnsi="仿宋" w:eastAsia="仿宋"/>
                <w:color w:val="auto"/>
                <w:sz w:val="28"/>
                <w:szCs w:val="28"/>
              </w:rPr>
              <w:t>在开标时对供应商</w:t>
            </w:r>
            <w:r>
              <w:rPr>
                <w:rFonts w:hint="eastAsia" w:ascii="仿宋" w:hAnsi="仿宋" w:eastAsia="仿宋"/>
                <w:color w:val="auto"/>
                <w:sz w:val="28"/>
                <w:szCs w:val="28"/>
              </w:rPr>
              <w:t>在商务技术部分上传的投标响应文件</w:t>
            </w:r>
            <w:r>
              <w:rPr>
                <w:rFonts w:ascii="仿宋" w:hAnsi="仿宋" w:eastAsia="仿宋"/>
                <w:color w:val="auto"/>
                <w:sz w:val="28"/>
                <w:szCs w:val="28"/>
              </w:rPr>
              <w:t>进行审查，</w:t>
            </w:r>
            <w:r>
              <w:rPr>
                <w:rFonts w:hint="eastAsia" w:ascii="仿宋" w:hAnsi="仿宋" w:eastAsia="仿宋" w:cs="Times New Roman"/>
                <w:color w:val="auto"/>
                <w:sz w:val="28"/>
                <w:szCs w:val="28"/>
              </w:rPr>
              <w:t>以上各项有1项不合格，评审不予通过，作为</w:t>
            </w:r>
            <w:r>
              <w:rPr>
                <w:rFonts w:hint="eastAsia" w:ascii="仿宋" w:hAnsi="仿宋" w:eastAsia="仿宋" w:cs="仿宋"/>
                <w:b w:val="0"/>
                <w:bCs/>
                <w:color w:val="auto"/>
                <w:kern w:val="2"/>
                <w:sz w:val="28"/>
                <w:szCs w:val="28"/>
                <w:lang w:val="en-US" w:eastAsia="zh-CN" w:bidi="ar-SA"/>
              </w:rPr>
              <w:t>符合性审查</w:t>
            </w:r>
            <w:r>
              <w:rPr>
                <w:rFonts w:hint="eastAsia" w:ascii="仿宋" w:hAnsi="仿宋" w:eastAsia="仿宋" w:cs="Times New Roman"/>
                <w:color w:val="auto"/>
                <w:sz w:val="28"/>
                <w:szCs w:val="28"/>
              </w:rPr>
              <w:t>未</w:t>
            </w:r>
            <w:r>
              <w:rPr>
                <w:rFonts w:hint="eastAsia" w:ascii="仿宋" w:hAnsi="仿宋" w:eastAsia="仿宋" w:cs="Times New Roman"/>
                <w:color w:val="auto"/>
                <w:sz w:val="28"/>
                <w:szCs w:val="28"/>
                <w:lang w:val="en-US" w:eastAsia="zh-CN"/>
              </w:rPr>
              <w:t>通过</w:t>
            </w:r>
            <w:r>
              <w:rPr>
                <w:rFonts w:hint="eastAsia" w:ascii="仿宋" w:hAnsi="仿宋" w:eastAsia="仿宋" w:cs="Times New Roman"/>
                <w:color w:val="auto"/>
                <w:sz w:val="28"/>
                <w:szCs w:val="28"/>
              </w:rPr>
              <w:t>。未通过符合性检查的投标文件，不得进入后续评标环节。</w:t>
            </w:r>
          </w:p>
        </w:tc>
      </w:tr>
    </w:tbl>
    <w:p w14:paraId="43930C17">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376" w:name="_Toc7946"/>
      <w:bookmarkStart w:id="377" w:name="_Toc29159"/>
      <w:r>
        <w:rPr>
          <w:rFonts w:hint="eastAsia" w:ascii="仿宋" w:hAnsi="仿宋" w:eastAsia="仿宋" w:cs="仿宋"/>
          <w:b/>
          <w:bCs w:val="0"/>
          <w:color w:val="auto"/>
          <w:sz w:val="36"/>
          <w:szCs w:val="36"/>
          <w:highlight w:val="none"/>
          <w:lang w:val="en-US" w:eastAsia="zh-CN"/>
        </w:rPr>
        <w:t>第二部分 评标办法及评分标准</w:t>
      </w:r>
      <w:bookmarkEnd w:id="376"/>
      <w:bookmarkEnd w:id="377"/>
    </w:p>
    <w:p w14:paraId="7C79DEC2">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bookmarkStart w:id="378" w:name="_Toc10158"/>
      <w:bookmarkStart w:id="379" w:name="_Toc6814"/>
      <w:bookmarkStart w:id="380" w:name="_Toc11057"/>
      <w:bookmarkStart w:id="381" w:name="_Toc17126"/>
      <w:bookmarkStart w:id="382" w:name="_Toc15207"/>
      <w:bookmarkStart w:id="383" w:name="_Toc20129"/>
      <w:r>
        <w:rPr>
          <w:rFonts w:hint="eastAsia" w:ascii="仿宋" w:hAnsi="仿宋" w:eastAsia="仿宋" w:cs="仿宋"/>
          <w:bCs/>
          <w:color w:val="auto"/>
          <w:sz w:val="28"/>
          <w:szCs w:val="28"/>
          <w:highlight w:val="none"/>
        </w:rPr>
        <w:t>根据《中华人民共和国政府采购法》及其实施条例和《政府采购货物和服务招标投标管理办法》（财政部87号令）等法律法规规定，结合采购项目特点，制定本</w:t>
      </w:r>
      <w:r>
        <w:rPr>
          <w:rFonts w:hint="eastAsia" w:ascii="仿宋" w:hAnsi="仿宋" w:eastAsia="仿宋" w:cs="仿宋"/>
          <w:bCs/>
          <w:color w:val="auto"/>
          <w:sz w:val="28"/>
          <w:szCs w:val="28"/>
          <w:highlight w:val="none"/>
          <w:lang w:val="en-US" w:eastAsia="zh-CN"/>
        </w:rPr>
        <w:t>项目</w:t>
      </w:r>
      <w:r>
        <w:rPr>
          <w:rFonts w:hint="eastAsia" w:ascii="仿宋" w:hAnsi="仿宋" w:eastAsia="仿宋" w:cs="仿宋"/>
          <w:bCs/>
          <w:color w:val="auto"/>
          <w:sz w:val="28"/>
          <w:szCs w:val="28"/>
          <w:highlight w:val="none"/>
        </w:rPr>
        <w:t>评标办法。</w:t>
      </w:r>
    </w:p>
    <w:p w14:paraId="1098B601">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一、评审办法</w:t>
      </w:r>
      <w:bookmarkEnd w:id="378"/>
      <w:bookmarkEnd w:id="379"/>
      <w:bookmarkEnd w:id="380"/>
      <w:bookmarkEnd w:id="381"/>
      <w:bookmarkEnd w:id="382"/>
      <w:bookmarkEnd w:id="383"/>
    </w:p>
    <w:p w14:paraId="0931CC72">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本项目采用</w:t>
      </w:r>
      <w:r>
        <w:rPr>
          <w:rFonts w:hint="eastAsia" w:ascii="仿宋" w:hAnsi="仿宋" w:eastAsia="仿宋" w:cs="仿宋"/>
          <w:bCs/>
          <w:color w:val="auto"/>
          <w:sz w:val="28"/>
          <w:szCs w:val="28"/>
          <w:highlight w:val="none"/>
          <w:u w:val="single"/>
        </w:rPr>
        <w:t>综合评分法</w:t>
      </w:r>
      <w:r>
        <w:rPr>
          <w:rFonts w:hint="eastAsia" w:ascii="仿宋" w:hAnsi="仿宋" w:eastAsia="仿宋" w:cs="仿宋"/>
          <w:bCs/>
          <w:color w:val="auto"/>
          <w:sz w:val="28"/>
          <w:szCs w:val="28"/>
          <w:highlight w:val="none"/>
        </w:rPr>
        <w:t>进行评审。</w:t>
      </w:r>
    </w:p>
    <w:p w14:paraId="1A05A248">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综合评分法，</w:t>
      </w:r>
      <w:r>
        <w:rPr>
          <w:rFonts w:hint="eastAsia" w:ascii="仿宋" w:hAnsi="仿宋" w:eastAsia="仿宋" w:cs="仿宋"/>
          <w:color w:val="auto"/>
          <w:kern w:val="0"/>
          <w:sz w:val="28"/>
          <w:szCs w:val="28"/>
          <w:highlight w:val="none"/>
          <w:lang w:val="zh-CN" w:eastAsia="zh-CN" w:bidi="ar-SA"/>
        </w:rPr>
        <w:t>是指投标文件满足招标文件全部实质性要求，且按照评审因素的量化指标评审得分最高的供应商为中标候选人的评标方法。</w:t>
      </w:r>
    </w:p>
    <w:p w14:paraId="1CA31388">
      <w:pPr>
        <w:pageBreakBefore w:val="0"/>
        <w:widowControl w:val="0"/>
        <w:kinsoku/>
        <w:overflowPunct/>
        <w:autoSpaceDE/>
        <w:autoSpaceDN/>
        <w:bidi w:val="0"/>
        <w:adjustRightInd/>
        <w:snapToGrid w:val="0"/>
        <w:spacing w:line="480" w:lineRule="exact"/>
        <w:ind w:firstLine="560"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Cs/>
          <w:color w:val="auto"/>
          <w:sz w:val="28"/>
          <w:szCs w:val="28"/>
          <w:highlight w:val="none"/>
        </w:rPr>
        <w:t>根据《政府采购促进中小企业发展管理办法》（财库﹝2020﹞46 号）、《财政部 司法部关于政府采购支持监狱企业发展有关问题的通知》（财库〔2014〕68号）、《关于落实好政府采购支持中小企业发展的通知(新财购 〔2022〕22号)》和《三部门联合发布关于促进残疾人就业政府采购政策的通知》（财库〔2017〕141号）的规定，对满足价格扣除条件且在投标响应文件中提交了《供应商企业类型声明函》符合规定的小微企业或省级以上监狱管理局、戒毒管理局（含新疆生产建设兵团）出具的属于监狱企业的证明文件的供应商，其投标报价扣除</w:t>
      </w:r>
      <w:r>
        <w:rPr>
          <w:rFonts w:hint="eastAsia" w:ascii="仿宋" w:hAnsi="仿宋" w:eastAsia="仿宋" w:cs="仿宋"/>
          <w:bCs/>
          <w:color w:val="auto"/>
          <w:sz w:val="28"/>
          <w:szCs w:val="28"/>
          <w:highlight w:val="none"/>
          <w:u w:val="single"/>
        </w:rPr>
        <w:t>10%</w:t>
      </w:r>
      <w:r>
        <w:rPr>
          <w:rFonts w:hint="eastAsia" w:ascii="仿宋" w:hAnsi="仿宋" w:eastAsia="仿宋" w:cs="仿宋"/>
          <w:bCs/>
          <w:color w:val="auto"/>
          <w:sz w:val="28"/>
          <w:szCs w:val="28"/>
          <w:highlight w:val="none"/>
        </w:rPr>
        <w:t>后参与评审。对于同时属于小微企业、监狱企业或残疾人福利性单位的，不重复进行投标报价扣除。</w:t>
      </w:r>
    </w:p>
    <w:p w14:paraId="3AEE9771">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bookmarkStart w:id="384" w:name="_Toc3421"/>
      <w:bookmarkStart w:id="385" w:name="_Toc22870"/>
      <w:bookmarkStart w:id="386" w:name="_Toc22882"/>
      <w:r>
        <w:rPr>
          <w:rFonts w:hint="eastAsia" w:ascii="仿宋" w:hAnsi="仿宋" w:eastAsia="仿宋" w:cs="仿宋"/>
          <w:b/>
          <w:bCs w:val="0"/>
          <w:color w:val="auto"/>
          <w:sz w:val="28"/>
          <w:szCs w:val="28"/>
          <w:highlight w:val="none"/>
        </w:rPr>
        <w:t>二、评分因素</w:t>
      </w:r>
      <w:bookmarkEnd w:id="384"/>
      <w:bookmarkEnd w:id="385"/>
      <w:bookmarkEnd w:id="386"/>
    </w:p>
    <w:p w14:paraId="1D8C376F">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评分的主要因素分为价格因素、技术因素和商务因素。评分因素详见评分表。评标分值保留至两位小数。评标时，评标</w:t>
      </w:r>
      <w:r>
        <w:rPr>
          <w:rFonts w:hint="eastAsia" w:ascii="仿宋" w:hAnsi="仿宋" w:eastAsia="仿宋" w:cs="仿宋"/>
          <w:bCs/>
          <w:color w:val="auto"/>
          <w:sz w:val="28"/>
          <w:szCs w:val="28"/>
          <w:highlight w:val="none"/>
          <w:lang w:val="en-US" w:eastAsia="zh-CN"/>
        </w:rPr>
        <w:t>委员会</w:t>
      </w:r>
      <w:r>
        <w:rPr>
          <w:rFonts w:hint="eastAsia" w:ascii="仿宋" w:hAnsi="仿宋" w:eastAsia="仿宋" w:cs="仿宋"/>
          <w:bCs/>
          <w:color w:val="auto"/>
          <w:sz w:val="28"/>
          <w:szCs w:val="28"/>
          <w:highlight w:val="none"/>
        </w:rPr>
        <w:t>依照评分表对每个有效供应商的投标文件进行独立评审、打分。</w:t>
      </w:r>
    </w:p>
    <w:p w14:paraId="003105E0">
      <w:pPr>
        <w:pageBreakBefore w:val="0"/>
        <w:widowControl w:val="0"/>
        <w:kinsoku/>
        <w:overflowPunct/>
        <w:autoSpaceDE/>
        <w:autoSpaceDN/>
        <w:bidi w:val="0"/>
        <w:adjustRightInd/>
        <w:snapToGrid w:val="0"/>
        <w:spacing w:line="480" w:lineRule="exact"/>
        <w:ind w:firstLine="562" w:firstLineChars="200"/>
        <w:textAlignment w:val="auto"/>
        <w:rPr>
          <w:rFonts w:hint="eastAsia" w:ascii="仿宋" w:hAnsi="仿宋" w:eastAsia="仿宋" w:cs="仿宋"/>
          <w:b/>
          <w:bCs w:val="0"/>
          <w:color w:val="auto"/>
          <w:sz w:val="28"/>
          <w:szCs w:val="28"/>
          <w:highlight w:val="none"/>
        </w:rPr>
      </w:pPr>
      <w:bookmarkStart w:id="387" w:name="_Toc16406"/>
      <w:bookmarkStart w:id="388" w:name="_Toc2282"/>
      <w:bookmarkStart w:id="389" w:name="_Toc5155"/>
      <w:bookmarkStart w:id="390" w:name="_Toc20686"/>
      <w:bookmarkStart w:id="391" w:name="_Toc22"/>
      <w:bookmarkStart w:id="392" w:name="_Toc28115"/>
      <w:r>
        <w:rPr>
          <w:rFonts w:hint="eastAsia" w:ascii="仿宋" w:hAnsi="仿宋" w:eastAsia="仿宋" w:cs="仿宋"/>
          <w:b/>
          <w:bCs w:val="0"/>
          <w:color w:val="auto"/>
          <w:sz w:val="28"/>
          <w:szCs w:val="28"/>
          <w:highlight w:val="none"/>
        </w:rPr>
        <w:t>三、评分标准</w:t>
      </w:r>
      <w:bookmarkEnd w:id="387"/>
      <w:bookmarkEnd w:id="388"/>
      <w:bookmarkEnd w:id="389"/>
      <w:bookmarkEnd w:id="390"/>
      <w:bookmarkEnd w:id="391"/>
      <w:bookmarkEnd w:id="392"/>
    </w:p>
    <w:p w14:paraId="518102A7">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1.评标委员会根据招标文件，在对供应商投标文件综合评审的基础上进行评估打分。打分采取百分制，其中商务、技术部分为70分，报价分30分。</w:t>
      </w:r>
    </w:p>
    <w:p w14:paraId="2050744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2.同品牌处理办法：</w:t>
      </w:r>
    </w:p>
    <w:p w14:paraId="2C84F6DE">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用综合评标法，则：提供相同品牌产品且通过资格审查、符合性审查的不同供应商参加同一合同项下投标的，按一家供应商计算，评审后得分最高的同品牌供应商获得中标人推荐资格，评审得分相同的，按投标报价排列，报价最低的供应商获得中标人推荐资格；得分与投标报价均相同的，按技术指标优劣排列，技术得分最高的供应商获得中标人推荐资格。其他同品牌供应商不作为中标候选人。</w:t>
      </w:r>
    </w:p>
    <w:p w14:paraId="7C5A205B">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bookmarkStart w:id="393" w:name="_Toc27113"/>
      <w:bookmarkStart w:id="394" w:name="_Toc25392"/>
      <w:bookmarkStart w:id="395" w:name="_Toc18501"/>
      <w:bookmarkStart w:id="396" w:name="_Toc7938"/>
      <w:bookmarkStart w:id="397" w:name="_Toc21207"/>
      <w:r>
        <w:rPr>
          <w:rFonts w:hint="eastAsia" w:ascii="仿宋" w:hAnsi="仿宋" w:eastAsia="仿宋" w:cs="仿宋"/>
          <w:bCs/>
          <w:color w:val="auto"/>
          <w:sz w:val="28"/>
          <w:szCs w:val="28"/>
          <w:highlight w:val="none"/>
        </w:rPr>
        <w:t>3.中标候选人并列式时的处理方式：</w:t>
      </w:r>
      <w:bookmarkEnd w:id="393"/>
      <w:bookmarkEnd w:id="394"/>
      <w:bookmarkEnd w:id="395"/>
      <w:r>
        <w:rPr>
          <w:rFonts w:hint="eastAsia" w:ascii="仿宋" w:hAnsi="仿宋" w:eastAsia="仿宋" w:cs="仿宋"/>
          <w:bCs/>
          <w:color w:val="auto"/>
          <w:sz w:val="28"/>
          <w:szCs w:val="28"/>
          <w:highlight w:val="none"/>
        </w:rPr>
        <w:t xml:space="preserve">   </w:t>
      </w:r>
    </w:p>
    <w:p w14:paraId="3F66C290">
      <w:pPr>
        <w:pageBreakBefore w:val="0"/>
        <w:widowControl w:val="0"/>
        <w:kinsoku/>
        <w:overflowPunct/>
        <w:autoSpaceDE/>
        <w:autoSpaceDN/>
        <w:bidi w:val="0"/>
        <w:adjustRightInd/>
        <w:snapToGrid w:val="0"/>
        <w:spacing w:line="48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采用综合评标法，则：评审得分相同的，按投标报价排列，报价最低的供应商获得中标人推荐资格；得分与投标报价均相同的，按技术指标优劣排列，技术得分最高的供应商获得中标人推荐资格。</w:t>
      </w:r>
    </w:p>
    <w:p w14:paraId="35A3DE68">
      <w:pPr>
        <w:pageBreakBefore w:val="0"/>
        <w:widowControl w:val="0"/>
        <w:kinsoku/>
        <w:overflowPunct/>
        <w:autoSpaceDE/>
        <w:autoSpaceDN/>
        <w:bidi w:val="0"/>
        <w:adjustRightInd/>
        <w:snapToGrid w:val="0"/>
        <w:spacing w:line="480" w:lineRule="exact"/>
        <w:ind w:firstLine="562" w:firstLineChars="200"/>
        <w:jc w:val="center"/>
        <w:textAlignment w:val="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评分标准</w:t>
      </w:r>
    </w:p>
    <w:tbl>
      <w:tblPr>
        <w:tblStyle w:val="27"/>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13"/>
        <w:gridCol w:w="931"/>
        <w:gridCol w:w="6025"/>
      </w:tblGrid>
      <w:tr w14:paraId="4116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876" w:type="dxa"/>
            <w:noWrap w:val="0"/>
            <w:vAlign w:val="center"/>
          </w:tcPr>
          <w:p w14:paraId="200A58BA">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分项</w:t>
            </w:r>
          </w:p>
        </w:tc>
        <w:tc>
          <w:tcPr>
            <w:tcW w:w="1613" w:type="dxa"/>
            <w:noWrap w:val="0"/>
            <w:vAlign w:val="center"/>
          </w:tcPr>
          <w:p w14:paraId="0BAFE29F">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评分内容</w:t>
            </w:r>
          </w:p>
        </w:tc>
        <w:tc>
          <w:tcPr>
            <w:tcW w:w="931" w:type="dxa"/>
            <w:noWrap w:val="0"/>
            <w:vAlign w:val="center"/>
          </w:tcPr>
          <w:p w14:paraId="6BFEB48F">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分值</w:t>
            </w:r>
          </w:p>
        </w:tc>
        <w:tc>
          <w:tcPr>
            <w:tcW w:w="6025" w:type="dxa"/>
            <w:noWrap w:val="0"/>
            <w:vAlign w:val="center"/>
          </w:tcPr>
          <w:p w14:paraId="693A524A">
            <w:pPr>
              <w:spacing w:line="44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评分标准</w:t>
            </w:r>
          </w:p>
        </w:tc>
      </w:tr>
      <w:tr w14:paraId="497C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76" w:type="dxa"/>
            <w:noWrap w:val="0"/>
            <w:vAlign w:val="center"/>
          </w:tcPr>
          <w:p w14:paraId="2710B63B">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报价部分</w:t>
            </w:r>
          </w:p>
        </w:tc>
        <w:tc>
          <w:tcPr>
            <w:tcW w:w="1613" w:type="dxa"/>
            <w:noWrap w:val="0"/>
            <w:vAlign w:val="center"/>
          </w:tcPr>
          <w:p w14:paraId="4A716D74">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报价分</w:t>
            </w:r>
          </w:p>
        </w:tc>
        <w:tc>
          <w:tcPr>
            <w:tcW w:w="931" w:type="dxa"/>
            <w:noWrap w:val="0"/>
            <w:vAlign w:val="center"/>
          </w:tcPr>
          <w:p w14:paraId="0DE772E9">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6025" w:type="dxa"/>
            <w:noWrap w:val="0"/>
            <w:vAlign w:val="center"/>
          </w:tcPr>
          <w:p w14:paraId="1D314FF1">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有效的投标报价中的最低价为评标基准价，按照下列公式计算每个</w:t>
            </w:r>
            <w:r>
              <w:rPr>
                <w:rFonts w:hint="eastAsia" w:ascii="仿宋" w:hAnsi="仿宋" w:eastAsia="仿宋" w:cs="仿宋"/>
                <w:color w:val="auto"/>
                <w:kern w:val="0"/>
                <w:sz w:val="28"/>
                <w:szCs w:val="28"/>
                <w:highlight w:val="none"/>
                <w:lang w:val="en-US" w:eastAsia="zh-CN" w:bidi="ar"/>
              </w:rPr>
              <w:t>投标</w:t>
            </w:r>
            <w:r>
              <w:rPr>
                <w:rFonts w:hint="eastAsia" w:ascii="仿宋" w:hAnsi="仿宋" w:eastAsia="仿宋" w:cs="仿宋"/>
                <w:color w:val="auto"/>
                <w:kern w:val="0"/>
                <w:sz w:val="28"/>
                <w:szCs w:val="28"/>
                <w:highlight w:val="none"/>
                <w:lang w:bidi="ar"/>
              </w:rPr>
              <w:t>供应商的投标价格得分。投标报价得分＝（评标基准价/投标报价）×价格权重×100。</w:t>
            </w:r>
          </w:p>
        </w:tc>
      </w:tr>
      <w:tr w14:paraId="189A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76" w:type="dxa"/>
            <w:vMerge w:val="restart"/>
            <w:noWrap w:val="0"/>
            <w:vAlign w:val="center"/>
          </w:tcPr>
          <w:p w14:paraId="0ABB4DA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技术部分</w:t>
            </w:r>
          </w:p>
        </w:tc>
        <w:tc>
          <w:tcPr>
            <w:tcW w:w="1613" w:type="dxa"/>
            <w:noWrap w:val="0"/>
            <w:vAlign w:val="center"/>
          </w:tcPr>
          <w:p w14:paraId="42210DD2">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258CA3FD">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2AF7C2DB">
            <w:pPr>
              <w:keepNext w:val="0"/>
              <w:keepLines w:val="0"/>
              <w:pageBreakBefore w:val="0"/>
              <w:kinsoku/>
              <w:wordWrap/>
              <w:bidi w:val="0"/>
              <w:spacing w:line="400" w:lineRule="atLeas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配置及性能指标</w:t>
            </w:r>
          </w:p>
        </w:tc>
        <w:tc>
          <w:tcPr>
            <w:tcW w:w="931" w:type="dxa"/>
            <w:noWrap w:val="0"/>
            <w:vAlign w:val="center"/>
          </w:tcPr>
          <w:p w14:paraId="2C62889B">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3596224B">
            <w:pPr>
              <w:keepNext w:val="0"/>
              <w:keepLines w:val="0"/>
              <w:pageBreakBefore w:val="0"/>
              <w:kinsoku/>
              <w:wordWrap/>
              <w:bidi w:val="0"/>
              <w:spacing w:line="400" w:lineRule="atLeast"/>
              <w:jc w:val="center"/>
              <w:textAlignment w:val="auto"/>
              <w:rPr>
                <w:rFonts w:hint="eastAsia" w:ascii="仿宋" w:hAnsi="仿宋" w:eastAsia="仿宋" w:cs="仿宋"/>
                <w:bCs/>
                <w:color w:val="auto"/>
                <w:kern w:val="2"/>
                <w:sz w:val="28"/>
                <w:szCs w:val="28"/>
                <w:lang w:val="en-US" w:eastAsia="zh-CN" w:bidi="ar-SA"/>
              </w:rPr>
            </w:pPr>
          </w:p>
          <w:p w14:paraId="0A4FB7D0">
            <w:pPr>
              <w:keepNext w:val="0"/>
              <w:keepLines w:val="0"/>
              <w:pageBreakBefore w:val="0"/>
              <w:kinsoku/>
              <w:wordWrap/>
              <w:bidi w:val="0"/>
              <w:spacing w:line="400" w:lineRule="atLeas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kern w:val="2"/>
                <w:sz w:val="28"/>
                <w:szCs w:val="28"/>
                <w:lang w:val="en-US" w:eastAsia="zh-CN" w:bidi="ar-SA"/>
              </w:rPr>
              <w:t>25</w:t>
            </w:r>
          </w:p>
        </w:tc>
        <w:tc>
          <w:tcPr>
            <w:tcW w:w="6025" w:type="dxa"/>
            <w:noWrap w:val="0"/>
            <w:vAlign w:val="center"/>
          </w:tcPr>
          <w:p w14:paraId="40F48892">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所投产品配置及性能指标及商务要求完全满足招标文件要求且无负偏离得25分；所投产品配置及性能指标及商务要求低于招标文件要求出现负偏离的一项指标扣2.5分，扣完为止。（基准分25分，最低得0分。）</w:t>
            </w:r>
          </w:p>
          <w:p w14:paraId="5C08B407">
            <w:pPr>
              <w:spacing w:line="440" w:lineRule="exact"/>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（说明：以</w:t>
            </w:r>
            <w:r>
              <w:rPr>
                <w:rFonts w:hint="eastAsia" w:ascii="仿宋" w:hAnsi="仿宋" w:eastAsia="仿宋" w:cs="仿宋"/>
                <w:color w:val="auto"/>
                <w:sz w:val="28"/>
                <w:szCs w:val="28"/>
                <w:highlight w:val="none"/>
              </w:rPr>
              <w:t>投标供应商</w:t>
            </w:r>
            <w:r>
              <w:rPr>
                <w:rFonts w:hint="eastAsia" w:ascii="仿宋" w:hAnsi="仿宋" w:eastAsia="仿宋" w:cs="仿宋"/>
                <w:color w:val="auto"/>
                <w:sz w:val="28"/>
                <w:szCs w:val="28"/>
                <w:highlight w:val="none"/>
                <w:lang w:val="en-US" w:eastAsia="zh-CN"/>
              </w:rPr>
              <w:t>提供响应招标文件的国家法定检测机构出具的关于本次招标主要产品的检测报告中的检测结果数据及产品官方宣传彩页、产品说明书及技术参数中要求提供的相关产品体系认证等相关证明材料；根据以上提供相关证明材料为依据进行评分）</w:t>
            </w:r>
          </w:p>
        </w:tc>
      </w:tr>
      <w:tr w14:paraId="1F28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 w:type="dxa"/>
            <w:vMerge w:val="continue"/>
            <w:noWrap w:val="0"/>
            <w:vAlign w:val="center"/>
          </w:tcPr>
          <w:p w14:paraId="5B49BD6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7DBA2812">
            <w:pPr>
              <w:spacing w:line="440" w:lineRule="exact"/>
              <w:jc w:val="center"/>
              <w:rPr>
                <w:rFonts w:hint="eastAsia" w:ascii="仿宋" w:hAnsi="仿宋" w:eastAsia="仿宋" w:cs="仿宋"/>
                <w:color w:val="auto"/>
                <w:sz w:val="28"/>
                <w:szCs w:val="28"/>
                <w:highlight w:val="none"/>
                <w:lang w:val="en-US"/>
              </w:rPr>
            </w:pPr>
            <w:r>
              <w:rPr>
                <w:rFonts w:hint="eastAsia" w:ascii="仿宋" w:hAnsi="仿宋" w:eastAsia="仿宋" w:cs="仿宋"/>
                <w:bCs/>
                <w:color w:val="auto"/>
                <w:kern w:val="2"/>
                <w:sz w:val="28"/>
                <w:szCs w:val="28"/>
                <w:lang w:val="en-US" w:eastAsia="zh-CN" w:bidi="ar-SA"/>
              </w:rPr>
              <w:t>项目整体实施方案</w:t>
            </w:r>
          </w:p>
        </w:tc>
        <w:tc>
          <w:tcPr>
            <w:tcW w:w="931" w:type="dxa"/>
            <w:noWrap w:val="0"/>
            <w:vAlign w:val="center"/>
          </w:tcPr>
          <w:p w14:paraId="4914CD3C">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6025" w:type="dxa"/>
            <w:noWrap w:val="0"/>
            <w:vAlign w:val="center"/>
          </w:tcPr>
          <w:p w14:paraId="1821E91C">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评标委员会根据各投标供应商提供的</w:t>
            </w:r>
            <w:r>
              <w:rPr>
                <w:rFonts w:hint="eastAsia" w:ascii="仿宋" w:hAnsi="仿宋" w:eastAsia="仿宋" w:cs="仿宋"/>
                <w:bCs/>
                <w:color w:val="auto"/>
                <w:kern w:val="2"/>
                <w:sz w:val="28"/>
                <w:szCs w:val="28"/>
                <w:lang w:val="en-US" w:eastAsia="zh-CN" w:bidi="ar-SA"/>
              </w:rPr>
              <w:t>项目整体实施方案</w:t>
            </w:r>
            <w:r>
              <w:rPr>
                <w:rFonts w:hint="eastAsia" w:ascii="仿宋" w:hAnsi="仿宋" w:eastAsia="仿宋" w:cs="仿宋"/>
                <w:color w:val="auto"/>
                <w:sz w:val="28"/>
                <w:szCs w:val="28"/>
                <w:highlight w:val="none"/>
                <w:lang w:val="en-US" w:eastAsia="zh-CN"/>
              </w:rPr>
              <w:t>进行评审，包括但不限于以下内容：</w:t>
            </w:r>
          </w:p>
          <w:p w14:paraId="10711C9F">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①产品生产或采购方案；</w:t>
            </w:r>
          </w:p>
          <w:p w14:paraId="693DE94D">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②产品供货计划和退换货计划方案；</w:t>
            </w:r>
          </w:p>
          <w:p w14:paraId="5D256EE9">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③产品装卸、运输及安装方案；</w:t>
            </w:r>
          </w:p>
          <w:p w14:paraId="1BC64B9F">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④产品配送及人员配备方案；</w:t>
            </w:r>
          </w:p>
          <w:p w14:paraId="2C0AF1BA">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⑤产品时间保障方案；</w:t>
            </w:r>
          </w:p>
          <w:p w14:paraId="480DEF66">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产品车辆配备及有固定经营场所等方案。（提供配送车辆所有权证明或租赁期限满足项目需求的车辆租赁合同；生产或仓储面积产权证明、场所面积及生产环境，租赁场所租赁期限满足项目需求。未提供不得分。）</w:t>
            </w:r>
          </w:p>
          <w:p w14:paraId="27CFF9B9">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以上方案内容完整清晰明确、科学合理，满足项目实际需求的，每项计2分，最高得12分，不提供不得分。每有一项内容不完整或每有一处不具有针对性或逻辑性错误或不满足项目实际需求的扣0.5分，扣完为止。</w:t>
            </w:r>
          </w:p>
        </w:tc>
      </w:tr>
      <w:tr w14:paraId="6D77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continue"/>
            <w:noWrap w:val="0"/>
            <w:vAlign w:val="center"/>
          </w:tcPr>
          <w:p w14:paraId="248D3B8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72E423F5">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质量保证措施</w:t>
            </w:r>
          </w:p>
        </w:tc>
        <w:tc>
          <w:tcPr>
            <w:tcW w:w="931" w:type="dxa"/>
            <w:noWrap w:val="0"/>
            <w:vAlign w:val="center"/>
          </w:tcPr>
          <w:p w14:paraId="0AE9519A">
            <w:pPr>
              <w:spacing w:line="44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6025" w:type="dxa"/>
            <w:noWrap w:val="0"/>
            <w:vAlign w:val="center"/>
          </w:tcPr>
          <w:p w14:paraId="46614605">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评标委员会根据各投标供应商提供的产品质量保证措施方案进行评审，包括但不限于以下内容：</w:t>
            </w:r>
          </w:p>
          <w:p w14:paraId="1DC325DF">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①产品质量执行标准；</w:t>
            </w:r>
          </w:p>
          <w:p w14:paraId="0771D19B">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②产品质量保障方式；</w:t>
            </w:r>
          </w:p>
          <w:p w14:paraId="391E2E40">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③产品质量保障制度；</w:t>
            </w:r>
          </w:p>
          <w:p w14:paraId="286B7DAE">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④产品出厂检测；（提供相关证明材料）</w:t>
            </w:r>
          </w:p>
          <w:p w14:paraId="472FE539">
            <w:pPr>
              <w:spacing w:line="440" w:lineRule="exact"/>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⑤产品质量承诺书等；（格式自拟）</w:t>
            </w:r>
          </w:p>
          <w:p w14:paraId="631F7BAE">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以上方案内容完整清晰明确、科学合理，满足项目实际需求的，每项计2分，最高得10分，不提供不得分。每有一项内容不完整或每有一处不具有针对性或逻辑性错误或不满足项目实际需求的扣0.5分，扣完为止。</w:t>
            </w:r>
          </w:p>
        </w:tc>
      </w:tr>
      <w:tr w14:paraId="01D9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76" w:type="dxa"/>
            <w:vMerge w:val="continue"/>
            <w:noWrap w:val="0"/>
            <w:vAlign w:val="center"/>
          </w:tcPr>
          <w:p w14:paraId="1B382910">
            <w:pPr>
              <w:spacing w:line="440" w:lineRule="exact"/>
              <w:jc w:val="center"/>
              <w:rPr>
                <w:rFonts w:hint="eastAsia" w:ascii="仿宋" w:hAnsi="仿宋" w:eastAsia="仿宋" w:cs="仿宋"/>
                <w:color w:val="auto"/>
                <w:sz w:val="28"/>
                <w:szCs w:val="28"/>
                <w:highlight w:val="none"/>
              </w:rPr>
            </w:pPr>
          </w:p>
        </w:tc>
        <w:tc>
          <w:tcPr>
            <w:tcW w:w="1613" w:type="dxa"/>
            <w:noWrap w:val="0"/>
            <w:vAlign w:val="center"/>
          </w:tcPr>
          <w:p w14:paraId="3CD768E4">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bidi="ar-SA"/>
              </w:rPr>
              <w:t>应急处理方案</w:t>
            </w:r>
          </w:p>
        </w:tc>
        <w:tc>
          <w:tcPr>
            <w:tcW w:w="931" w:type="dxa"/>
            <w:noWrap w:val="0"/>
            <w:vAlign w:val="center"/>
          </w:tcPr>
          <w:p w14:paraId="0F3EED25">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7BE1D45C">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w:t>
            </w:r>
            <w:r>
              <w:rPr>
                <w:rFonts w:hint="eastAsia" w:ascii="仿宋" w:hAnsi="仿宋" w:eastAsia="仿宋" w:cs="仿宋"/>
                <w:color w:val="auto"/>
                <w:sz w:val="28"/>
                <w:szCs w:val="28"/>
                <w:highlight w:val="none"/>
                <w:lang w:val="en-US" w:eastAsia="zh-CN"/>
              </w:rPr>
              <w:t>各</w:t>
            </w:r>
            <w:r>
              <w:rPr>
                <w:rFonts w:hint="eastAsia" w:ascii="仿宋" w:hAnsi="仿宋" w:eastAsia="仿宋" w:cs="仿宋"/>
                <w:color w:val="auto"/>
                <w:sz w:val="28"/>
                <w:szCs w:val="28"/>
                <w:highlight w:val="none"/>
              </w:rPr>
              <w:t>投标供应商提供的</w:t>
            </w:r>
            <w:r>
              <w:rPr>
                <w:rFonts w:hint="eastAsia" w:ascii="仿宋" w:hAnsi="仿宋" w:eastAsia="仿宋" w:cs="仿宋"/>
                <w:color w:val="auto"/>
                <w:sz w:val="28"/>
                <w:szCs w:val="28"/>
                <w:highlight w:val="none"/>
                <w:lang w:val="en-US" w:eastAsia="zh-CN" w:bidi="ar-SA"/>
              </w:rPr>
              <w:t>应急处理方案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包括但不限于包括临时性配送任务、运输突发事件、恶劣天气影响等方面</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en-US" w:eastAsia="zh-CN"/>
              </w:rPr>
              <w:t>进行评审：</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w:t>
            </w:r>
            <w:bookmarkStart w:id="1013" w:name="_GoBack"/>
            <w:bookmarkEnd w:id="1013"/>
            <w:r>
              <w:rPr>
                <w:rFonts w:hint="eastAsia" w:ascii="仿宋" w:hAnsi="仿宋" w:eastAsia="仿宋" w:cs="仿宋"/>
                <w:color w:val="auto"/>
                <w:kern w:val="0"/>
                <w:sz w:val="28"/>
                <w:szCs w:val="28"/>
                <w:highlight w:val="none"/>
                <w:lang w:bidi="ar"/>
              </w:rPr>
              <w:t>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76A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Merge w:val="restart"/>
            <w:noWrap w:val="0"/>
            <w:vAlign w:val="center"/>
          </w:tcPr>
          <w:p w14:paraId="57FC7681">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商务要求</w:t>
            </w:r>
          </w:p>
        </w:tc>
        <w:tc>
          <w:tcPr>
            <w:tcW w:w="1613" w:type="dxa"/>
            <w:noWrap w:val="0"/>
            <w:vAlign w:val="center"/>
          </w:tcPr>
          <w:p w14:paraId="0647EF37">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售后服务方案</w:t>
            </w:r>
          </w:p>
        </w:tc>
        <w:tc>
          <w:tcPr>
            <w:tcW w:w="931" w:type="dxa"/>
            <w:noWrap w:val="0"/>
            <w:vAlign w:val="center"/>
          </w:tcPr>
          <w:p w14:paraId="2127F835">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6025" w:type="dxa"/>
            <w:noWrap w:val="0"/>
            <w:vAlign w:val="center"/>
          </w:tcPr>
          <w:p w14:paraId="4D94FC66">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评标委员会根据各投标供应商提供完善的售后服务方案进行综合比较打分（方案包含售前、售中和售后服务措施、响应时间、人员组织、交货验收、</w:t>
            </w:r>
            <w:r>
              <w:rPr>
                <w:rFonts w:hint="eastAsia" w:ascii="仿宋" w:hAnsi="仿宋" w:eastAsia="仿宋" w:cs="仿宋"/>
                <w:color w:val="auto"/>
                <w:sz w:val="28"/>
                <w:szCs w:val="28"/>
                <w:highlight w:val="none"/>
                <w:lang w:val="en-US" w:eastAsia="zh-CN"/>
              </w:rPr>
              <w:t>维修措施、</w:t>
            </w:r>
            <w:r>
              <w:rPr>
                <w:rFonts w:hint="eastAsia" w:ascii="仿宋" w:hAnsi="仿宋" w:eastAsia="仿宋" w:cs="仿宋"/>
                <w:color w:val="auto"/>
                <w:kern w:val="2"/>
                <w:sz w:val="28"/>
                <w:szCs w:val="28"/>
                <w:highlight w:val="none"/>
                <w:lang w:val="en-US" w:eastAsia="zh-CN" w:bidi="ar-SA"/>
              </w:rPr>
              <w:t>零配件保障、</w:t>
            </w:r>
            <w:r>
              <w:rPr>
                <w:rFonts w:hint="eastAsia" w:ascii="仿宋" w:hAnsi="仿宋" w:eastAsia="仿宋" w:cs="仿宋"/>
                <w:color w:val="auto"/>
                <w:sz w:val="28"/>
                <w:szCs w:val="28"/>
                <w:highlight w:val="none"/>
              </w:rPr>
              <w:t>售后服务点的设置等内容）：</w:t>
            </w:r>
            <w:r>
              <w:rPr>
                <w:rFonts w:hint="eastAsia" w:ascii="仿宋" w:hAnsi="仿宋" w:eastAsia="仿宋" w:cs="仿宋"/>
                <w:color w:val="auto"/>
                <w:kern w:val="0"/>
                <w:sz w:val="28"/>
                <w:szCs w:val="28"/>
                <w:highlight w:val="none"/>
                <w:lang w:bidi="ar"/>
              </w:rPr>
              <w:t>方案工作内容全面、完整并优于其他</w:t>
            </w:r>
            <w:r>
              <w:rPr>
                <w:rFonts w:hint="eastAsia" w:ascii="仿宋" w:hAnsi="仿宋" w:eastAsia="仿宋" w:cs="仿宋"/>
                <w:color w:val="auto"/>
                <w:sz w:val="28"/>
                <w:szCs w:val="28"/>
                <w:highlight w:val="none"/>
              </w:rPr>
              <w:t>投标供应商</w:t>
            </w:r>
            <w:r>
              <w:rPr>
                <w:rFonts w:hint="eastAsia" w:ascii="仿宋" w:hAnsi="仿宋" w:eastAsia="仿宋" w:cs="仿宋"/>
                <w:color w:val="auto"/>
                <w:kern w:val="0"/>
                <w:sz w:val="28"/>
                <w:szCs w:val="28"/>
                <w:highlight w:val="none"/>
                <w:lang w:bidi="ar"/>
              </w:rPr>
              <w:t>方案得</w:t>
            </w:r>
            <w:r>
              <w:rPr>
                <w:rFonts w:hint="eastAsia" w:ascii="仿宋" w:hAnsi="仿宋" w:eastAsia="仿宋" w:cs="仿宋"/>
                <w:color w:val="auto"/>
                <w:kern w:val="0"/>
                <w:sz w:val="28"/>
                <w:szCs w:val="28"/>
                <w:highlight w:val="none"/>
                <w:lang w:val="en-US" w:eastAsia="zh-CN" w:bidi="ar"/>
              </w:rPr>
              <w:t>8</w:t>
            </w:r>
            <w:r>
              <w:rPr>
                <w:rFonts w:hint="eastAsia" w:ascii="仿宋" w:hAnsi="仿宋" w:eastAsia="仿宋" w:cs="仿宋"/>
                <w:color w:val="auto"/>
                <w:kern w:val="0"/>
                <w:sz w:val="28"/>
                <w:szCs w:val="28"/>
                <w:highlight w:val="none"/>
                <w:lang w:bidi="ar"/>
              </w:rPr>
              <w:t>分；方案工作内容全面、完整的得</w:t>
            </w:r>
            <w:r>
              <w:rPr>
                <w:rFonts w:hint="eastAsia" w:ascii="仿宋" w:hAnsi="仿宋" w:eastAsia="仿宋" w:cs="仿宋"/>
                <w:color w:val="auto"/>
                <w:kern w:val="0"/>
                <w:sz w:val="28"/>
                <w:szCs w:val="28"/>
                <w:highlight w:val="none"/>
                <w:lang w:val="en-US" w:eastAsia="zh-CN" w:bidi="ar"/>
              </w:rPr>
              <w:t>6</w:t>
            </w:r>
            <w:r>
              <w:rPr>
                <w:rFonts w:hint="eastAsia" w:ascii="仿宋" w:hAnsi="仿宋" w:eastAsia="仿宋" w:cs="仿宋"/>
                <w:color w:val="auto"/>
                <w:kern w:val="0"/>
                <w:sz w:val="28"/>
                <w:szCs w:val="28"/>
                <w:highlight w:val="none"/>
                <w:lang w:bidi="ar"/>
              </w:rPr>
              <w:t>分；方案工作内容基本全面、基本完整的得</w:t>
            </w:r>
            <w:r>
              <w:rPr>
                <w:rFonts w:hint="eastAsia" w:ascii="仿宋" w:hAnsi="仿宋" w:eastAsia="仿宋" w:cs="仿宋"/>
                <w:color w:val="auto"/>
                <w:kern w:val="0"/>
                <w:sz w:val="28"/>
                <w:szCs w:val="28"/>
                <w:highlight w:val="none"/>
                <w:lang w:val="en-US" w:eastAsia="zh-CN" w:bidi="ar"/>
              </w:rPr>
              <w:t>4</w:t>
            </w:r>
            <w:r>
              <w:rPr>
                <w:rFonts w:hint="eastAsia" w:ascii="仿宋" w:hAnsi="仿宋" w:eastAsia="仿宋" w:cs="仿宋"/>
                <w:color w:val="auto"/>
                <w:kern w:val="0"/>
                <w:sz w:val="28"/>
                <w:szCs w:val="28"/>
                <w:highlight w:val="none"/>
                <w:lang w:bidi="ar"/>
              </w:rPr>
              <w:t>分；方案工作内容较全面、较完整的得</w:t>
            </w: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kern w:val="0"/>
                <w:sz w:val="28"/>
                <w:szCs w:val="28"/>
                <w:highlight w:val="none"/>
                <w:lang w:bidi="ar"/>
              </w:rPr>
              <w:t>分；不提供方案不得分。</w:t>
            </w:r>
          </w:p>
        </w:tc>
      </w:tr>
      <w:tr w14:paraId="58CF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74009D5E">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773BC379">
            <w:pPr>
              <w:pStyle w:val="8"/>
              <w:spacing w:line="240" w:lineRule="atLeast"/>
              <w:ind w:firstLine="0" w:firstLineChars="0"/>
              <w:jc w:val="center"/>
              <w:rPr>
                <w:rFonts w:hint="eastAsia" w:ascii="仿宋" w:hAnsi="仿宋" w:eastAsia="仿宋" w:cs="仿宋"/>
                <w:color w:val="auto"/>
                <w:kern w:val="2"/>
                <w:sz w:val="28"/>
                <w:szCs w:val="28"/>
                <w:highlight w:val="none"/>
                <w:lang w:val="en-US"/>
              </w:rPr>
            </w:pPr>
            <w:r>
              <w:rPr>
                <w:rFonts w:hint="eastAsia" w:ascii="仿宋" w:hAnsi="仿宋" w:eastAsia="仿宋" w:cs="仿宋"/>
                <w:color w:val="auto"/>
                <w:kern w:val="2"/>
                <w:sz w:val="28"/>
                <w:szCs w:val="28"/>
                <w:highlight w:val="none"/>
                <w:lang w:val="en-US" w:eastAsia="zh-CN" w:bidi="ar-SA"/>
              </w:rPr>
              <w:t>企业综合实力</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34931DB0">
            <w:pPr>
              <w:pStyle w:val="8"/>
              <w:spacing w:line="240" w:lineRule="atLeast"/>
              <w:ind w:firstLine="0" w:firstLineChars="0"/>
              <w:jc w:val="center"/>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rPr>
              <w:t>3</w:t>
            </w:r>
          </w:p>
        </w:tc>
        <w:tc>
          <w:tcPr>
            <w:tcW w:w="6025" w:type="dxa"/>
            <w:tcBorders>
              <w:top w:val="single" w:color="auto" w:sz="4" w:space="0"/>
              <w:left w:val="single" w:color="auto" w:sz="4" w:space="0"/>
              <w:bottom w:val="single" w:color="auto" w:sz="4" w:space="0"/>
              <w:right w:val="single" w:color="auto" w:sz="4" w:space="0"/>
            </w:tcBorders>
            <w:noWrap w:val="0"/>
            <w:vAlign w:val="top"/>
          </w:tcPr>
          <w:p w14:paraId="3B42B05A">
            <w:pPr>
              <w:spacing w:line="44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根据各投标供应商</w:t>
            </w:r>
            <w:r>
              <w:rPr>
                <w:rFonts w:hint="eastAsia" w:ascii="仿宋" w:hAnsi="仿宋" w:eastAsia="仿宋" w:cs="仿宋"/>
                <w:color w:val="auto"/>
                <w:sz w:val="28"/>
                <w:szCs w:val="28"/>
                <w:highlight w:val="none"/>
                <w:lang w:val="en-US" w:eastAsia="zh-CN"/>
              </w:rPr>
              <w:t>提供的有效期内的认证证书进行评审：具有有效的质量管理体系认证证书、环境管理体系认证证书、职业健康安全管理体系认证证书，每提供1个项证书得1分，最高得3分，未提供不得分。</w:t>
            </w:r>
          </w:p>
          <w:p w14:paraId="2CFDEEA5">
            <w:pPr>
              <w:spacing w:line="440" w:lineRule="exact"/>
              <w:jc w:val="both"/>
              <w:rPr>
                <w:rFonts w:hint="eastAsia" w:ascii="仿宋" w:hAnsi="仿宋" w:eastAsia="仿宋" w:cs="仿宋"/>
                <w:color w:val="auto"/>
                <w:kern w:val="2"/>
                <w:sz w:val="28"/>
                <w:szCs w:val="28"/>
                <w:highlight w:val="none"/>
              </w:rPr>
            </w:pPr>
            <w:r>
              <w:rPr>
                <w:rFonts w:hint="eastAsia" w:ascii="仿宋" w:hAnsi="仿宋" w:eastAsia="仿宋" w:cs="仿宋"/>
                <w:color w:val="auto"/>
                <w:sz w:val="28"/>
                <w:szCs w:val="28"/>
                <w:highlight w:val="none"/>
                <w:lang w:val="en-US" w:eastAsia="zh-CN"/>
              </w:rPr>
              <w:t>注：投标文件中需提供上述证书证明材料文件，并加盖投标供应商公章，否则不得分。</w:t>
            </w:r>
          </w:p>
        </w:tc>
      </w:tr>
      <w:tr w14:paraId="6443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76" w:type="dxa"/>
            <w:vMerge w:val="continue"/>
            <w:noWrap w:val="0"/>
            <w:vAlign w:val="center"/>
          </w:tcPr>
          <w:p w14:paraId="0F6773FD">
            <w:pPr>
              <w:spacing w:line="440" w:lineRule="exact"/>
              <w:jc w:val="center"/>
              <w:rPr>
                <w:rFonts w:hint="eastAsia" w:ascii="仿宋" w:hAnsi="仿宋" w:eastAsia="仿宋" w:cs="仿宋"/>
                <w:color w:val="auto"/>
                <w:sz w:val="28"/>
                <w:szCs w:val="28"/>
                <w:highlight w:val="none"/>
              </w:rPr>
            </w:pPr>
          </w:p>
        </w:tc>
        <w:tc>
          <w:tcPr>
            <w:tcW w:w="1613" w:type="dxa"/>
            <w:tcBorders>
              <w:top w:val="single" w:color="auto" w:sz="4" w:space="0"/>
              <w:bottom w:val="single" w:color="auto" w:sz="4" w:space="0"/>
              <w:right w:val="single" w:color="auto" w:sz="4" w:space="0"/>
            </w:tcBorders>
            <w:noWrap w:val="0"/>
            <w:vAlign w:val="center"/>
          </w:tcPr>
          <w:p w14:paraId="1247932F">
            <w:pPr>
              <w:spacing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类似业绩</w:t>
            </w:r>
          </w:p>
        </w:tc>
        <w:tc>
          <w:tcPr>
            <w:tcW w:w="931" w:type="dxa"/>
            <w:tcBorders>
              <w:top w:val="single" w:color="auto" w:sz="4" w:space="0"/>
              <w:left w:val="single" w:color="auto" w:sz="4" w:space="0"/>
              <w:bottom w:val="single" w:color="auto" w:sz="4" w:space="0"/>
              <w:right w:val="single" w:color="auto" w:sz="4" w:space="0"/>
            </w:tcBorders>
            <w:noWrap w:val="0"/>
            <w:vAlign w:val="center"/>
          </w:tcPr>
          <w:p w14:paraId="1AF8782C">
            <w:pPr>
              <w:spacing w:line="44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6025" w:type="dxa"/>
            <w:tcBorders>
              <w:top w:val="single" w:color="auto" w:sz="4" w:space="0"/>
              <w:left w:val="single" w:color="auto" w:sz="4" w:space="0"/>
              <w:bottom w:val="single" w:color="auto" w:sz="4" w:space="0"/>
              <w:right w:val="single" w:color="auto" w:sz="4" w:space="0"/>
            </w:tcBorders>
            <w:noWrap w:val="0"/>
            <w:vAlign w:val="center"/>
          </w:tcPr>
          <w:p w14:paraId="4CC46250">
            <w:pPr>
              <w:spacing w:line="44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w:t>
            </w:r>
            <w:r>
              <w:rPr>
                <w:rFonts w:hint="eastAsia" w:ascii="仿宋" w:hAnsi="仿宋" w:eastAsia="仿宋" w:cs="仿宋"/>
                <w:color w:val="auto"/>
                <w:kern w:val="0"/>
                <w:sz w:val="28"/>
                <w:szCs w:val="28"/>
                <w:lang w:val="en-US" w:eastAsia="zh-CN" w:bidi="ar"/>
              </w:rPr>
              <w:t>根据各投标供应商提供的2022年1月1日至今类似业绩进行打分，每提供1项得1分，总分不超过4分（附合同或中标（或成交）通知书复印件加盖企业公章）。</w:t>
            </w:r>
          </w:p>
        </w:tc>
      </w:tr>
      <w:bookmarkEnd w:id="396"/>
      <w:bookmarkEnd w:id="397"/>
    </w:tbl>
    <w:p w14:paraId="37CE4312">
      <w:pPr>
        <w:pageBreakBefore w:val="0"/>
        <w:widowControl w:val="0"/>
        <w:kinsoku/>
        <w:overflowPunct/>
        <w:autoSpaceDE/>
        <w:autoSpaceDN/>
        <w:bidi w:val="0"/>
        <w:adjustRightInd/>
        <w:snapToGrid w:val="0"/>
        <w:spacing w:line="48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备注：评标委员会</w:t>
      </w:r>
      <w:r>
        <w:rPr>
          <w:rFonts w:hint="eastAsia" w:ascii="仿宋" w:hAnsi="仿宋" w:eastAsia="仿宋" w:cs="仿宋"/>
          <w:bCs/>
          <w:color w:val="auto"/>
          <w:sz w:val="28"/>
          <w:szCs w:val="28"/>
          <w:highlight w:val="none"/>
        </w:rPr>
        <w:t>需要严格按照以上方法赋分，不得超过分数界限赋分</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最低报价不是中标的唯一依据。</w:t>
      </w:r>
    </w:p>
    <w:p w14:paraId="795F1301">
      <w:pPr>
        <w:pStyle w:val="8"/>
        <w:spacing w:line="440" w:lineRule="exact"/>
        <w:ind w:firstLine="2209" w:firstLineChars="500"/>
        <w:jc w:val="both"/>
        <w:rPr>
          <w:rFonts w:hint="eastAsia" w:ascii="仿宋_GB2312" w:eastAsia="仿宋_GB2312"/>
          <w:b/>
          <w:bCs/>
          <w:color w:val="auto"/>
          <w:sz w:val="44"/>
          <w:szCs w:val="44"/>
        </w:rPr>
      </w:pPr>
    </w:p>
    <w:p w14:paraId="59C5085E">
      <w:pPr>
        <w:keepNext w:val="0"/>
        <w:keepLines w:val="0"/>
        <w:pageBreakBefore w:val="0"/>
        <w:widowControl w:val="0"/>
        <w:numPr>
          <w:ilvl w:val="0"/>
          <w:numId w:val="0"/>
        </w:numPr>
        <w:kinsoku/>
        <w:wordWrap/>
        <w:overflowPunct/>
        <w:topLinePunct w:val="0"/>
        <w:autoSpaceDE/>
        <w:autoSpaceDN/>
        <w:bidi w:val="0"/>
        <w:adjustRightInd/>
        <w:snapToGrid/>
        <w:spacing w:after="50" w:line="480" w:lineRule="exact"/>
        <w:jc w:val="center"/>
        <w:textAlignment w:val="auto"/>
        <w:outlineLvl w:val="0"/>
        <w:rPr>
          <w:rFonts w:hint="default" w:ascii="仿宋" w:hAnsi="仿宋" w:eastAsia="仿宋" w:cs="仿宋"/>
          <w:b/>
          <w:color w:val="auto"/>
          <w:kern w:val="44"/>
          <w:sz w:val="44"/>
          <w:szCs w:val="44"/>
          <w:highlight w:val="none"/>
          <w:lang w:val="en-US" w:eastAsia="zh-CN" w:bidi="ar-SA"/>
        </w:rPr>
      </w:pPr>
      <w:bookmarkStart w:id="398" w:name="_Toc12287"/>
      <w:bookmarkStart w:id="399" w:name="_Toc18456"/>
      <w:bookmarkStart w:id="400" w:name="_Toc217446094"/>
      <w:r>
        <w:rPr>
          <w:rFonts w:hint="eastAsia" w:ascii="仿宋" w:hAnsi="仿宋" w:eastAsia="仿宋" w:cs="仿宋"/>
          <w:b/>
          <w:color w:val="auto"/>
          <w:kern w:val="44"/>
          <w:sz w:val="44"/>
          <w:szCs w:val="44"/>
          <w:highlight w:val="none"/>
          <w:lang w:val="en-US" w:eastAsia="zh-CN" w:bidi="ar-SA"/>
        </w:rPr>
        <w:t>第四章 采购需求及商务要求</w:t>
      </w:r>
      <w:bookmarkEnd w:id="398"/>
      <w:bookmarkEnd w:id="399"/>
    </w:p>
    <w:bookmarkEnd w:id="400"/>
    <w:p w14:paraId="1FECA576">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bookmarkStart w:id="401" w:name="_Toc19351"/>
      <w:r>
        <w:rPr>
          <w:rFonts w:hint="eastAsia" w:ascii="仿宋" w:hAnsi="仿宋" w:eastAsia="仿宋" w:cs="仿宋"/>
          <w:b/>
          <w:bCs w:val="0"/>
          <w:color w:val="auto"/>
          <w:sz w:val="36"/>
          <w:szCs w:val="36"/>
          <w:highlight w:val="none"/>
          <w:lang w:val="en-US" w:eastAsia="zh-CN"/>
        </w:rPr>
        <w:t>第一部分 采购需求</w:t>
      </w:r>
      <w:bookmarkEnd w:id="401"/>
    </w:p>
    <w:p w14:paraId="67991874">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pacing w:val="-7"/>
          <w:sz w:val="30"/>
          <w:szCs w:val="30"/>
          <w:highlight w:val="none"/>
          <w:lang w:val="en-US" w:eastAsia="zh-CN"/>
        </w:rPr>
      </w:pPr>
      <w:r>
        <w:rPr>
          <w:rFonts w:hint="eastAsia" w:ascii="仿宋" w:hAnsi="仿宋" w:eastAsia="仿宋" w:cs="仿宋"/>
          <w:b/>
          <w:bCs/>
          <w:color w:val="auto"/>
          <w:spacing w:val="-7"/>
          <w:sz w:val="30"/>
          <w:szCs w:val="30"/>
          <w:highlight w:val="none"/>
          <w:lang w:val="en-US" w:eastAsia="zh-CN"/>
        </w:rPr>
        <w:t>一、采购需求具体内容如下</w:t>
      </w:r>
    </w:p>
    <w:p w14:paraId="204BFDE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1.五金杂货采购清单（此表仅供参考，包括但不仅限于以下产品，可根据实际需求增减产品，并非固定类目，以实际发生为准。）</w:t>
      </w:r>
    </w:p>
    <w:tbl>
      <w:tblPr>
        <w:tblStyle w:val="27"/>
        <w:tblW w:w="5000" w:type="pct"/>
        <w:tblInd w:w="0" w:type="dxa"/>
        <w:tblLayout w:type="autofit"/>
        <w:tblCellMar>
          <w:top w:w="0" w:type="dxa"/>
          <w:left w:w="0" w:type="dxa"/>
          <w:bottom w:w="0" w:type="dxa"/>
          <w:right w:w="0" w:type="dxa"/>
        </w:tblCellMar>
      </w:tblPr>
      <w:tblGrid>
        <w:gridCol w:w="1085"/>
        <w:gridCol w:w="1597"/>
        <w:gridCol w:w="6174"/>
        <w:gridCol w:w="1090"/>
      </w:tblGrid>
      <w:tr w14:paraId="1A3481BB">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35FB83C">
            <w:pPr>
              <w:jc w:val="center"/>
              <w:rPr>
                <w:b/>
              </w:rPr>
            </w:pPr>
            <w:r>
              <w:rPr>
                <w:b/>
              </w:rPr>
              <w:t>类目</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155DC70">
            <w:pPr>
              <w:jc w:val="center"/>
              <w:rPr>
                <w:b/>
              </w:rPr>
            </w:pPr>
            <w:r>
              <w:rPr>
                <w:b/>
              </w:rPr>
              <w:t>产品名称</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3C1ECB9">
            <w:pPr>
              <w:jc w:val="center"/>
              <w:rPr>
                <w:b/>
              </w:rPr>
            </w:pPr>
            <w:r>
              <w:rPr>
                <w:b/>
              </w:rPr>
              <w:t>产品参数</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0A8A57F">
            <w:pPr>
              <w:jc w:val="center"/>
              <w:rPr>
                <w:b/>
              </w:rPr>
            </w:pPr>
            <w:r>
              <w:rPr>
                <w:b/>
              </w:rPr>
              <w:t>计量单位</w:t>
            </w:r>
          </w:p>
        </w:tc>
      </w:tr>
      <w:tr w14:paraId="12E37726">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B1FEA0A">
            <w:pPr>
              <w:jc w:val="left"/>
            </w:pPr>
            <w:r>
              <w:t>手动工具</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FCFBEC3">
            <w:pPr>
              <w:jc w:val="left"/>
            </w:pPr>
            <w:r>
              <w:t>螺丝刀</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C8B59C9">
            <w:pPr>
              <w:jc w:val="left"/>
            </w:pPr>
            <w:r>
              <w:t>一字/十字头，规格有 6mm、8mm、10mm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C46C12">
            <w:pPr>
              <w:jc w:val="left"/>
            </w:pPr>
            <w:r>
              <w:t>件</w:t>
            </w:r>
          </w:p>
        </w:tc>
      </w:tr>
      <w:tr w14:paraId="2F270B5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F273D8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BDDC874">
            <w:pPr>
              <w:jc w:val="left"/>
            </w:pPr>
            <w:r>
              <w:t>钳子</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6506590">
            <w:pPr>
              <w:jc w:val="left"/>
            </w:pPr>
            <w:r>
              <w:t>尖嘴/斜口/管子钳，长度有 10 寸、12 寸、14 寸等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FEB105">
            <w:pPr>
              <w:jc w:val="left"/>
            </w:pPr>
            <w:r>
              <w:t>件</w:t>
            </w:r>
          </w:p>
        </w:tc>
      </w:tr>
      <w:tr w14:paraId="1A644776">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E06762A">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F294B7B">
            <w:pPr>
              <w:jc w:val="left"/>
            </w:pPr>
            <w:r>
              <w:t>锤子</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DD9540B">
            <w:pPr>
              <w:jc w:val="left"/>
            </w:pPr>
            <w:r>
              <w:t>木柄/橡胶柄，重量有 0.5 磅、1 磅、1.5 磅等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C72864D">
            <w:pPr>
              <w:jc w:val="left"/>
            </w:pPr>
            <w:r>
              <w:t>件</w:t>
            </w:r>
          </w:p>
        </w:tc>
      </w:tr>
      <w:tr w14:paraId="3027ABDC">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78F755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BD2AE5A">
            <w:pPr>
              <w:jc w:val="left"/>
            </w:pPr>
            <w:r>
              <w:t>扳手</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57BF03F">
            <w:pPr>
              <w:jc w:val="left"/>
            </w:pPr>
            <w:r>
              <w:t>活动扳手、梅花扳手、开口扳手，尺寸有 8mm - 32mm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9F5540">
            <w:pPr>
              <w:jc w:val="left"/>
            </w:pPr>
            <w:r>
              <w:t>件</w:t>
            </w:r>
          </w:p>
        </w:tc>
      </w:tr>
      <w:tr w14:paraId="3181C89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593E454">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6CD76B1">
            <w:pPr>
              <w:jc w:val="left"/>
            </w:pPr>
            <w:r>
              <w:t>锯子</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D56E4FF">
            <w:pPr>
              <w:jc w:val="left"/>
            </w:pPr>
            <w:r>
              <w:t>手锯、钢锯，长度有 200mm、250mm、300mm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241D296">
            <w:pPr>
              <w:jc w:val="left"/>
            </w:pPr>
            <w:r>
              <w:t>件</w:t>
            </w:r>
          </w:p>
        </w:tc>
      </w:tr>
      <w:tr w14:paraId="27C1E9C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1B8420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65D1526">
            <w:pPr>
              <w:jc w:val="left"/>
            </w:pPr>
            <w:r>
              <w:t>锉刀</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F3D2030">
            <w:pPr>
              <w:jc w:val="left"/>
            </w:pPr>
            <w:r>
              <w:t>平锉、圆锉、三角锉，长度有 100mm、150mm、200mm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EC563BA">
            <w:pPr>
              <w:jc w:val="left"/>
            </w:pPr>
            <w:r>
              <w:t>件</w:t>
            </w:r>
          </w:p>
        </w:tc>
      </w:tr>
      <w:tr w14:paraId="4BAD6F7C">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D9A644C">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2E8C50C">
            <w:pPr>
              <w:jc w:val="left"/>
              <w:rPr>
                <w:rFonts w:hint="eastAsia" w:eastAsiaTheme="minorEastAsia"/>
                <w:lang w:val="en-US" w:eastAsia="zh-CN"/>
              </w:rPr>
            </w:pPr>
            <w:r>
              <w:rPr>
                <w:rFonts w:hint="eastAsia"/>
                <w:lang w:val="en-US" w:eastAsia="zh-CN"/>
              </w:rPr>
              <w:t>剪刀</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A156A62">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B411B48">
            <w:pPr>
              <w:jc w:val="left"/>
              <w:rPr>
                <w:rFonts w:hint="eastAsia" w:eastAsiaTheme="minorEastAsia"/>
                <w:lang w:val="en-US" w:eastAsia="zh-CN"/>
              </w:rPr>
            </w:pPr>
            <w:r>
              <w:rPr>
                <w:rFonts w:hint="eastAsia"/>
                <w:lang w:val="en-US" w:eastAsia="zh-CN"/>
              </w:rPr>
              <w:t>把</w:t>
            </w:r>
          </w:p>
        </w:tc>
      </w:tr>
      <w:tr w14:paraId="2AA2492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FA0CF2B">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8AC4AA7">
            <w:pPr>
              <w:jc w:val="left"/>
              <w:rPr>
                <w:rFonts w:hint="default"/>
                <w:lang w:val="en-US" w:eastAsia="zh-CN"/>
              </w:rPr>
            </w:pPr>
            <w:r>
              <w:rPr>
                <w:rFonts w:hint="eastAsia"/>
                <w:lang w:val="en-US" w:eastAsia="zh-CN"/>
              </w:rPr>
              <w:t>毛刷</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3663B1D">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4599521">
            <w:pPr>
              <w:jc w:val="left"/>
              <w:rPr>
                <w:rFonts w:hint="eastAsia" w:eastAsiaTheme="minorEastAsia"/>
                <w:lang w:val="en-US" w:eastAsia="zh-CN"/>
              </w:rPr>
            </w:pPr>
            <w:r>
              <w:rPr>
                <w:rFonts w:hint="eastAsia"/>
                <w:lang w:val="en-US" w:eastAsia="zh-CN"/>
              </w:rPr>
              <w:t>把</w:t>
            </w:r>
          </w:p>
        </w:tc>
      </w:tr>
      <w:tr w14:paraId="74C416F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3AEF8BE">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7D81F3B">
            <w:pPr>
              <w:jc w:val="left"/>
              <w:rPr>
                <w:rFonts w:hint="default"/>
                <w:lang w:val="en-US" w:eastAsia="zh-CN"/>
              </w:rPr>
            </w:pPr>
            <w:r>
              <w:rPr>
                <w:rFonts w:hint="eastAsia"/>
                <w:lang w:val="en-US" w:eastAsia="zh-CN"/>
              </w:rPr>
              <w:t>涂料滚筒</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5C4D2EE">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BACE682">
            <w:pPr>
              <w:jc w:val="left"/>
              <w:rPr>
                <w:rFonts w:hint="eastAsia" w:eastAsiaTheme="minorEastAsia"/>
                <w:lang w:val="en-US" w:eastAsia="zh-CN"/>
              </w:rPr>
            </w:pPr>
            <w:r>
              <w:rPr>
                <w:rFonts w:hint="eastAsia"/>
                <w:lang w:val="en-US" w:eastAsia="zh-CN"/>
              </w:rPr>
              <w:t>个</w:t>
            </w:r>
          </w:p>
        </w:tc>
      </w:tr>
      <w:tr w14:paraId="5F39A1C3">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42B6C9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D2A5624">
            <w:pPr>
              <w:jc w:val="left"/>
              <w:rPr>
                <w:rFonts w:hint="default"/>
                <w:lang w:val="en-US" w:eastAsia="zh-CN"/>
              </w:rPr>
            </w:pPr>
            <w:r>
              <w:rPr>
                <w:rFonts w:hint="eastAsia"/>
                <w:lang w:val="en-US" w:eastAsia="zh-CN"/>
              </w:rPr>
              <w:t>铲刀</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CB5D8BB">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6FA96A">
            <w:pPr>
              <w:jc w:val="left"/>
              <w:rPr>
                <w:rFonts w:hint="eastAsia" w:eastAsiaTheme="minorEastAsia"/>
                <w:lang w:val="en-US" w:eastAsia="zh-CN"/>
              </w:rPr>
            </w:pPr>
            <w:r>
              <w:rPr>
                <w:rFonts w:hint="eastAsia"/>
                <w:lang w:val="en-US" w:eastAsia="zh-CN"/>
              </w:rPr>
              <w:t>个</w:t>
            </w:r>
          </w:p>
        </w:tc>
      </w:tr>
      <w:tr w14:paraId="512ED75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01663A7">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1E66B5F">
            <w:pPr>
              <w:jc w:val="left"/>
              <w:rPr>
                <w:rFonts w:hint="default"/>
                <w:lang w:val="en-US" w:eastAsia="zh-CN"/>
              </w:rPr>
            </w:pPr>
            <w:r>
              <w:rPr>
                <w:rFonts w:hint="eastAsia"/>
                <w:lang w:val="en-US" w:eastAsia="zh-CN"/>
              </w:rPr>
              <w:t>刮刀</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9A8F45">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BBD11F5">
            <w:pPr>
              <w:jc w:val="left"/>
              <w:rPr>
                <w:rFonts w:hint="eastAsia" w:eastAsiaTheme="minorEastAsia"/>
                <w:lang w:val="en-US" w:eastAsia="zh-CN"/>
              </w:rPr>
            </w:pPr>
            <w:r>
              <w:rPr>
                <w:rFonts w:hint="eastAsia"/>
                <w:lang w:val="en-US" w:eastAsia="zh-CN"/>
              </w:rPr>
              <w:t>个</w:t>
            </w:r>
          </w:p>
        </w:tc>
      </w:tr>
      <w:tr w14:paraId="38A892B6">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E23722E">
            <w:pPr>
              <w:jc w:val="left"/>
              <w:rPr>
                <w:rFonts w:hint="eastAsia" w:eastAsiaTheme="minorEastAsia"/>
                <w:lang w:val="en-US" w:eastAsia="zh-CN"/>
              </w:rPr>
            </w:pPr>
            <w:r>
              <w:rPr>
                <w:rFonts w:hint="eastAsia"/>
                <w:lang w:val="en-US" w:eastAsia="zh-CN"/>
              </w:rPr>
              <w:t>抹子</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4A88F4C">
            <w:pPr>
              <w:jc w:val="left"/>
              <w:rPr>
                <w:rFonts w:hint="default"/>
                <w:lang w:val="en-US" w:eastAsia="zh-CN"/>
              </w:rPr>
            </w:pPr>
            <w:r>
              <w:rPr>
                <w:rFonts w:hint="eastAsia"/>
                <w:lang w:val="en-US" w:eastAsia="zh-CN"/>
              </w:rPr>
              <w:t>抹刀</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87271A4">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B7A4F3D">
            <w:pPr>
              <w:jc w:val="left"/>
              <w:rPr>
                <w:rFonts w:hint="eastAsia" w:eastAsiaTheme="minorEastAsia"/>
                <w:lang w:val="en-US" w:eastAsia="zh-CN"/>
              </w:rPr>
            </w:pPr>
            <w:r>
              <w:rPr>
                <w:rFonts w:hint="eastAsia"/>
                <w:lang w:val="en-US" w:eastAsia="zh-CN"/>
              </w:rPr>
              <w:t>个</w:t>
            </w:r>
          </w:p>
        </w:tc>
      </w:tr>
      <w:tr w14:paraId="327A1683">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472F0C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27A1CB">
            <w:pPr>
              <w:jc w:val="left"/>
            </w:pPr>
            <w:r>
              <w:t>卷尺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2A91472">
            <w:pPr>
              <w:jc w:val="left"/>
            </w:pPr>
            <w:r>
              <w:t>长度有 3 米、5 米、7.5 米等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9E752AE">
            <w:pPr>
              <w:jc w:val="left"/>
            </w:pPr>
            <w:r>
              <w:t>个</w:t>
            </w:r>
          </w:p>
        </w:tc>
      </w:tr>
      <w:tr w14:paraId="7D007579">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D618C64">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F320B01">
            <w:pPr>
              <w:jc w:val="left"/>
            </w:pPr>
            <w:r>
              <w:t>游标卡尺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08D6865">
            <w:pPr>
              <w:jc w:val="left"/>
            </w:pPr>
            <w:r>
              <w:t>量程有 0 - 150mm、0 - 200mm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6EC3EDE">
            <w:pPr>
              <w:jc w:val="left"/>
            </w:pPr>
            <w:r>
              <w:t>把</w:t>
            </w:r>
          </w:p>
        </w:tc>
      </w:tr>
      <w:tr w14:paraId="000FCA01">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552EF99">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CCF5682">
            <w:pPr>
              <w:jc w:val="left"/>
            </w:pPr>
            <w:r>
              <w:t>钢直尺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8BBF2FF">
            <w:pPr>
              <w:jc w:val="left"/>
            </w:pPr>
            <w:r>
              <w:t>长度有 150mm、300mm、500mm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FD57319">
            <w:pPr>
              <w:jc w:val="left"/>
            </w:pPr>
            <w:r>
              <w:t>把</w:t>
            </w:r>
          </w:p>
        </w:tc>
      </w:tr>
      <w:tr w14:paraId="525DCD75">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019D288">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AEDD6F">
            <w:pPr>
              <w:jc w:val="left"/>
            </w:pPr>
            <w:r>
              <w:t>手钳</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9F1E964">
            <w:pPr>
              <w:jc w:val="left"/>
            </w:pPr>
            <w:r>
              <w:t>钢丝钳、水泵钳等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95F6D21">
            <w:pPr>
              <w:jc w:val="left"/>
            </w:pPr>
            <w:r>
              <w:t>件</w:t>
            </w:r>
          </w:p>
        </w:tc>
      </w:tr>
      <w:tr w14:paraId="5DCA96C9">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869AB6">
            <w:pPr>
              <w:jc w:val="left"/>
            </w:pPr>
            <w:r>
              <w:t>电动工具</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A932A7B">
            <w:pPr>
              <w:jc w:val="left"/>
            </w:pPr>
            <w:r>
              <w:t>电钻</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D60494C">
            <w:pPr>
              <w:jc w:val="left"/>
            </w:pPr>
            <w:r>
              <w:t>无刷电机/可充电，功率有 500W、700W、1000W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12216E4">
            <w:pPr>
              <w:jc w:val="left"/>
            </w:pPr>
            <w:r>
              <w:t>件</w:t>
            </w:r>
          </w:p>
        </w:tc>
      </w:tr>
      <w:tr w14:paraId="1A615261">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4C1D662">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B38EA6A">
            <w:pPr>
              <w:jc w:val="left"/>
            </w:pPr>
            <w:r>
              <w:t>角磨机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81B0626">
            <w:pPr>
              <w:jc w:val="left"/>
            </w:pPr>
            <w:r>
              <w:t>100mm/125mm/150mm，功率有 600W、750W、900W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1EE3166">
            <w:pPr>
              <w:jc w:val="left"/>
            </w:pPr>
            <w:r>
              <w:t>件</w:t>
            </w:r>
          </w:p>
        </w:tc>
      </w:tr>
      <w:tr w14:paraId="0BE8E8A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DBEBEB0">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F26BAFE">
            <w:pPr>
              <w:jc w:val="left"/>
            </w:pPr>
            <w:r>
              <w:t>冲击钻</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E3FDB90">
            <w:pPr>
              <w:jc w:val="left"/>
            </w:pPr>
            <w:r>
              <w:t>多功能/可调节，功率有 650W、800W、950W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444877">
            <w:pPr>
              <w:jc w:val="left"/>
            </w:pPr>
            <w:r>
              <w:t>件</w:t>
            </w:r>
          </w:p>
        </w:tc>
      </w:tr>
      <w:tr w14:paraId="3FC075B7">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28AEABE">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A9247F1">
            <w:pPr>
              <w:jc w:val="left"/>
              <w:rPr>
                <w:rFonts w:hint="default" w:eastAsiaTheme="minorEastAsia"/>
                <w:lang w:val="en-US" w:eastAsia="zh-CN"/>
              </w:rPr>
            </w:pPr>
            <w:r>
              <w:rPr>
                <w:rFonts w:hint="eastAsia"/>
                <w:lang w:val="en-US" w:eastAsia="zh-CN"/>
              </w:rPr>
              <w:t>电焊机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62517EE">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A2D9DE6">
            <w:pPr>
              <w:jc w:val="left"/>
              <w:rPr>
                <w:rFonts w:hint="eastAsia" w:eastAsiaTheme="minorEastAsia"/>
                <w:lang w:val="en-US" w:eastAsia="zh-CN"/>
              </w:rPr>
            </w:pPr>
            <w:r>
              <w:rPr>
                <w:rFonts w:hint="eastAsia"/>
                <w:lang w:val="en-US" w:eastAsia="zh-CN"/>
              </w:rPr>
              <w:t>套</w:t>
            </w:r>
          </w:p>
        </w:tc>
      </w:tr>
      <w:tr w14:paraId="755FCDC5">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FDAD2AA">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6EDDA2F">
            <w:pPr>
              <w:jc w:val="left"/>
              <w:rPr>
                <w:rFonts w:hint="default"/>
                <w:lang w:val="en-US" w:eastAsia="zh-CN"/>
              </w:rPr>
            </w:pPr>
            <w:r>
              <w:rPr>
                <w:rFonts w:hint="eastAsia"/>
                <w:lang w:val="en-US" w:eastAsia="zh-CN"/>
              </w:rPr>
              <w:t>PVC管热熔器</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F58A68A">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0370A8D">
            <w:pPr>
              <w:jc w:val="left"/>
              <w:rPr>
                <w:rFonts w:hint="eastAsia" w:eastAsiaTheme="minorEastAsia"/>
                <w:lang w:val="en-US" w:eastAsia="zh-CN"/>
              </w:rPr>
            </w:pPr>
            <w:r>
              <w:rPr>
                <w:rFonts w:hint="eastAsia"/>
                <w:lang w:val="en-US" w:eastAsia="zh-CN"/>
              </w:rPr>
              <w:t>套</w:t>
            </w:r>
          </w:p>
        </w:tc>
      </w:tr>
      <w:tr w14:paraId="1DBA2C9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7ABE9A2">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E7A24DD">
            <w:pPr>
              <w:jc w:val="left"/>
            </w:pPr>
            <w:r>
              <w:t>电锤</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3C12DA">
            <w:pPr>
              <w:jc w:val="left"/>
            </w:pPr>
            <w:r>
              <w:t>功率有 800W、1000W、1200W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A4A0D73">
            <w:pPr>
              <w:jc w:val="left"/>
            </w:pPr>
            <w:r>
              <w:t>件</w:t>
            </w:r>
          </w:p>
        </w:tc>
      </w:tr>
      <w:tr w14:paraId="2A33FBF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F5BA2D9">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0D91D0">
            <w:pPr>
              <w:jc w:val="left"/>
              <w:rPr>
                <w:rFonts w:hint="default" w:eastAsiaTheme="minorEastAsia"/>
                <w:lang w:val="en-US" w:eastAsia="zh-CN"/>
              </w:rPr>
            </w:pPr>
            <w:r>
              <w:rPr>
                <w:rFonts w:hint="eastAsia"/>
                <w:lang w:val="en-US" w:eastAsia="zh-CN"/>
              </w:rPr>
              <w:t>切割机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6CB04A3">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422A122">
            <w:pPr>
              <w:jc w:val="left"/>
              <w:rPr>
                <w:rFonts w:hint="eastAsia" w:eastAsiaTheme="minorEastAsia"/>
                <w:lang w:val="en-US" w:eastAsia="zh-CN"/>
              </w:rPr>
            </w:pPr>
            <w:r>
              <w:rPr>
                <w:rFonts w:hint="eastAsia"/>
                <w:lang w:val="en-US" w:eastAsia="zh-CN"/>
              </w:rPr>
              <w:t>套</w:t>
            </w:r>
          </w:p>
        </w:tc>
      </w:tr>
      <w:tr w14:paraId="1DC602F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76E15C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FD12D9E">
            <w:pPr>
              <w:jc w:val="left"/>
            </w:pPr>
            <w:r>
              <w:t>砂光机</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6FD46B2">
            <w:pPr>
              <w:jc w:val="left"/>
            </w:pPr>
            <w:r>
              <w:t>平板砂光机、圆盘砂光机等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689E285">
            <w:pPr>
              <w:jc w:val="left"/>
            </w:pPr>
            <w:r>
              <w:t>件</w:t>
            </w:r>
          </w:p>
        </w:tc>
      </w:tr>
      <w:tr w14:paraId="45860D5A">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ACFED70">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0C70391">
            <w:pPr>
              <w:jc w:val="left"/>
            </w:pPr>
            <w:r>
              <w:t>电刨</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E4AAADE">
            <w:pPr>
              <w:jc w:val="left"/>
            </w:pPr>
            <w:r>
              <w:t>功率有 500W、600W、700W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B8B38B9">
            <w:pPr>
              <w:jc w:val="left"/>
            </w:pPr>
            <w:r>
              <w:t>件</w:t>
            </w:r>
          </w:p>
        </w:tc>
      </w:tr>
      <w:tr w14:paraId="5AA54016">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00B2AB">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A866719">
            <w:pPr>
              <w:jc w:val="left"/>
            </w:pPr>
            <w:r>
              <w:t>曲线锯</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0341F4">
            <w:pPr>
              <w:jc w:val="left"/>
            </w:pPr>
            <w:r>
              <w:t>功率有 400W、500W、600W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6A3FD0F">
            <w:pPr>
              <w:jc w:val="left"/>
            </w:pPr>
            <w:r>
              <w:t>件</w:t>
            </w:r>
          </w:p>
        </w:tc>
      </w:tr>
      <w:tr w14:paraId="56EDFBB8">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6E5F037">
            <w:pPr>
              <w:jc w:val="left"/>
            </w:pPr>
            <w:r>
              <w:t>紧固件</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4083C9D">
            <w:pPr>
              <w:jc w:val="left"/>
            </w:pPr>
            <w:r>
              <w:t>螺丝</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B400828">
            <w:pPr>
              <w:jc w:val="left"/>
            </w:pPr>
            <w:r>
              <w:t>M3 - M12，长度有 10mm - 100mm 等，材质有碳钢、不锈钢等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8552C1A">
            <w:pPr>
              <w:jc w:val="left"/>
            </w:pPr>
            <w:r>
              <w:t>盒</w:t>
            </w:r>
          </w:p>
        </w:tc>
      </w:tr>
      <w:tr w14:paraId="312C1407">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4E9F894">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38B113B">
            <w:pPr>
              <w:jc w:val="left"/>
            </w:pPr>
            <w:r>
              <w:t>螺母</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CF0D2F5">
            <w:pPr>
              <w:jc w:val="left"/>
            </w:pPr>
            <w:r>
              <w:t>全牙/半牙，规格与螺丝匹配，材质有碳钢、不锈钢等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6398729">
            <w:pPr>
              <w:jc w:val="left"/>
            </w:pPr>
            <w:r>
              <w:t>盒</w:t>
            </w:r>
          </w:p>
        </w:tc>
      </w:tr>
      <w:tr w14:paraId="5F7F786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A889F9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3117844">
            <w:pPr>
              <w:jc w:val="left"/>
            </w:pPr>
            <w:r>
              <w:t>垫圈</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F1040BA">
            <w:pPr>
              <w:jc w:val="left"/>
            </w:pPr>
            <w:r>
              <w:t>平垫/弹簧垫，尺寸与螺丝匹配，材质有碳钢、不锈钢等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AA3B056">
            <w:pPr>
              <w:jc w:val="left"/>
            </w:pPr>
            <w:r>
              <w:t>盒</w:t>
            </w:r>
          </w:p>
        </w:tc>
      </w:tr>
      <w:tr w14:paraId="4CA5626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5EA6D5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490DC8B">
            <w:pPr>
              <w:jc w:val="left"/>
            </w:pPr>
            <w:r>
              <w:t>自攻螺丝</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5AD042C">
            <w:pPr>
              <w:jc w:val="left"/>
            </w:pPr>
            <w:r>
              <w:t>不同头部形状和尺寸</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7B3FA33">
            <w:pPr>
              <w:jc w:val="left"/>
            </w:pPr>
            <w:r>
              <w:t>盒</w:t>
            </w:r>
          </w:p>
        </w:tc>
      </w:tr>
      <w:tr w14:paraId="1293C732">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E2CC335">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0B0883F">
            <w:pPr>
              <w:jc w:val="left"/>
            </w:pPr>
            <w:r>
              <w:t>膨胀螺丝</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9643A6B">
            <w:pPr>
              <w:jc w:val="left"/>
            </w:pPr>
            <w:r>
              <w:t>不同规格适应不同墙体和承载需求</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986DC4E">
            <w:pPr>
              <w:jc w:val="left"/>
            </w:pPr>
            <w:r>
              <w:t>盒</w:t>
            </w:r>
          </w:p>
        </w:tc>
      </w:tr>
      <w:tr w14:paraId="365F377E">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C5C9E4A">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DD61C67">
            <w:pPr>
              <w:jc w:val="left"/>
            </w:pPr>
            <w:r>
              <w:t>铆钉</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D1D9605">
            <w:pPr>
              <w:jc w:val="left"/>
            </w:pPr>
            <w:r>
              <w:t>实心铆钉、空心铆钉等，不同直径和长度</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D13B1ED">
            <w:pPr>
              <w:jc w:val="left"/>
            </w:pPr>
            <w:r>
              <w:t>盒</w:t>
            </w:r>
          </w:p>
        </w:tc>
      </w:tr>
      <w:tr w14:paraId="26CB568C">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E9D1AF0">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2357FA">
            <w:pPr>
              <w:jc w:val="left"/>
            </w:pPr>
            <w:r>
              <w:t>销子</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924E614">
            <w:pPr>
              <w:jc w:val="left"/>
            </w:pPr>
            <w:r>
              <w:t>圆柱销、圆锥销等，不同尺寸</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EF64752">
            <w:pPr>
              <w:jc w:val="left"/>
            </w:pPr>
            <w:r>
              <w:t>盒</w:t>
            </w:r>
          </w:p>
        </w:tc>
      </w:tr>
      <w:tr w14:paraId="4605DFAF">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541DBCD">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01E2FE60">
            <w:pPr>
              <w:jc w:val="left"/>
              <w:rPr>
                <w:rFonts w:asciiTheme="minorHAnsi" w:hAnsiTheme="minorHAnsi" w:eastAsiaTheme="minorEastAsia" w:cstheme="minorBidi"/>
                <w:kern w:val="2"/>
                <w:sz w:val="21"/>
                <w:szCs w:val="24"/>
                <w:lang w:val="en-US" w:eastAsia="zh-CN" w:bidi="ar-SA"/>
              </w:rPr>
            </w:pPr>
            <w:r>
              <w:t>螺栓</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2C1C3A60">
            <w:pPr>
              <w:jc w:val="left"/>
              <w:rPr>
                <w:rFonts w:asciiTheme="minorHAnsi" w:hAnsiTheme="minorHAnsi" w:eastAsiaTheme="minorEastAsia" w:cstheme="minorBidi"/>
                <w:kern w:val="2"/>
                <w:sz w:val="21"/>
                <w:szCs w:val="24"/>
                <w:lang w:val="en-US" w:eastAsia="zh-CN" w:bidi="ar-SA"/>
              </w:rPr>
            </w:pPr>
            <w:r>
              <w:t>六角螺栓、方头螺栓等，不同规格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0627BF9D">
            <w:pPr>
              <w:jc w:val="left"/>
              <w:rPr>
                <w:rFonts w:asciiTheme="minorHAnsi" w:hAnsiTheme="minorHAnsi" w:eastAsiaTheme="minorEastAsia" w:cstheme="minorBidi"/>
                <w:kern w:val="2"/>
                <w:sz w:val="21"/>
                <w:szCs w:val="24"/>
                <w:lang w:val="en-US" w:eastAsia="zh-CN" w:bidi="ar-SA"/>
              </w:rPr>
            </w:pPr>
            <w:r>
              <w:t>盒</w:t>
            </w:r>
          </w:p>
        </w:tc>
      </w:tr>
      <w:tr w14:paraId="35F0E2A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1732918">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1EDBFB8">
            <w:pPr>
              <w:jc w:val="left"/>
              <w:rPr>
                <w:rFonts w:hint="default" w:eastAsiaTheme="minorEastAsia"/>
                <w:lang w:val="en-US" w:eastAsia="zh-CN"/>
              </w:rPr>
            </w:pPr>
            <w:r>
              <w:rPr>
                <w:rFonts w:hint="eastAsia"/>
                <w:lang w:val="en-US" w:eastAsia="zh-CN"/>
              </w:rPr>
              <w:t>扎带</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6D49558">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C26D9AA">
            <w:pPr>
              <w:jc w:val="left"/>
              <w:rPr>
                <w:rFonts w:hint="eastAsia" w:eastAsiaTheme="minorEastAsia"/>
                <w:lang w:val="en-US" w:eastAsia="zh-CN"/>
              </w:rPr>
            </w:pPr>
            <w:r>
              <w:rPr>
                <w:rFonts w:hint="eastAsia"/>
                <w:lang w:val="en-US" w:eastAsia="zh-CN"/>
              </w:rPr>
              <w:t>袋</w:t>
            </w:r>
          </w:p>
        </w:tc>
      </w:tr>
      <w:tr w14:paraId="37BBF170">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50D245B">
            <w:pPr>
              <w:jc w:val="left"/>
            </w:pPr>
            <w:r>
              <w:t>管材管件</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D0DB972">
            <w:pPr>
              <w:jc w:val="left"/>
              <w:rPr>
                <w:rFonts w:hint="default" w:eastAsiaTheme="minorEastAsia"/>
                <w:lang w:val="en-US" w:eastAsia="zh-CN"/>
              </w:rPr>
            </w:pPr>
            <w:r>
              <w:rPr>
                <w:rFonts w:hint="eastAsia"/>
                <w:lang w:val="en-US" w:eastAsia="zh-CN"/>
              </w:rPr>
              <w:t>水龙头</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A594708">
            <w:pPr>
              <w:jc w:val="left"/>
              <w:rPr>
                <w:rFonts w:hint="default" w:eastAsiaTheme="minorEastAsia"/>
                <w:lang w:val="en-US" w:eastAsia="zh-CN"/>
              </w:rPr>
            </w:pPr>
            <w:r>
              <w:rPr>
                <w:rFonts w:hint="eastAsia"/>
                <w:lang w:val="en-US" w:eastAsia="zh-CN"/>
              </w:rPr>
              <w:t>16#、20#</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05CC26B">
            <w:pPr>
              <w:jc w:val="left"/>
              <w:rPr>
                <w:rFonts w:hint="eastAsia" w:eastAsiaTheme="minorEastAsia"/>
                <w:lang w:val="en-US" w:eastAsia="zh-CN"/>
              </w:rPr>
            </w:pPr>
            <w:r>
              <w:rPr>
                <w:rFonts w:hint="eastAsia"/>
                <w:lang w:val="en-US" w:eastAsia="zh-CN"/>
              </w:rPr>
              <w:t>个</w:t>
            </w:r>
          </w:p>
        </w:tc>
      </w:tr>
      <w:tr w14:paraId="3AB2D4E1">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2DC808E2">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8210377">
            <w:pPr>
              <w:jc w:val="left"/>
              <w:rPr>
                <w:rFonts w:hint="default"/>
                <w:lang w:val="en-US" w:eastAsia="zh-CN"/>
              </w:rPr>
            </w:pPr>
            <w:r>
              <w:rPr>
                <w:rFonts w:hint="eastAsia"/>
                <w:lang w:val="en-US" w:eastAsia="zh-CN"/>
              </w:rPr>
              <w:t>生胶带</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077B096">
            <w:pPr>
              <w:jc w:val="left"/>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3C2D5EA">
            <w:pPr>
              <w:jc w:val="left"/>
              <w:rPr>
                <w:rFonts w:hint="default"/>
                <w:lang w:val="en-US" w:eastAsia="zh-CN"/>
              </w:rPr>
            </w:pPr>
            <w:r>
              <w:rPr>
                <w:rFonts w:hint="eastAsia"/>
                <w:lang w:val="en-US" w:eastAsia="zh-CN"/>
              </w:rPr>
              <w:t>个</w:t>
            </w:r>
          </w:p>
        </w:tc>
      </w:tr>
      <w:tr w14:paraId="78F3AA39">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1BCB599E">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212F085">
            <w:pPr>
              <w:jc w:val="left"/>
              <w:rPr>
                <w:rFonts w:hint="default"/>
                <w:lang w:val="en-US" w:eastAsia="zh-CN"/>
              </w:rPr>
            </w:pPr>
            <w:r>
              <w:rPr>
                <w:rFonts w:hint="eastAsia"/>
                <w:lang w:val="en-US" w:eastAsia="zh-CN"/>
              </w:rPr>
              <w:t>PVC粘接胶</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E982965">
            <w:pPr>
              <w:jc w:val="left"/>
              <w:rPr>
                <w:rFonts w:hint="eastAsia"/>
                <w:lang w:val="en-US" w:eastAsia="zh-CN"/>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46284E1">
            <w:pPr>
              <w:jc w:val="left"/>
              <w:rPr>
                <w:rFonts w:hint="default"/>
                <w:lang w:val="en-US" w:eastAsia="zh-CN"/>
              </w:rPr>
            </w:pPr>
            <w:r>
              <w:rPr>
                <w:rFonts w:hint="eastAsia"/>
                <w:lang w:val="en-US" w:eastAsia="zh-CN"/>
              </w:rPr>
              <w:t>桶</w:t>
            </w:r>
          </w:p>
        </w:tc>
      </w:tr>
      <w:tr w14:paraId="1CB9C137">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75DBCEF2">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BB5F8A">
            <w:pPr>
              <w:jc w:val="left"/>
              <w:rPr>
                <w:rFonts w:hint="default" w:eastAsiaTheme="minorEastAsia"/>
                <w:lang w:val="en-US" w:eastAsia="zh-CN"/>
              </w:rPr>
            </w:pPr>
            <w:r>
              <w:rPr>
                <w:rFonts w:hint="eastAsia"/>
                <w:lang w:val="en-US" w:eastAsia="zh-CN"/>
              </w:rPr>
              <w:t>冷热水龙头</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DF265FB">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5B8D0AE">
            <w:pPr>
              <w:jc w:val="left"/>
              <w:rPr>
                <w:rFonts w:hint="eastAsia" w:eastAsiaTheme="minorEastAsia"/>
                <w:lang w:val="en-US" w:eastAsia="zh-CN"/>
              </w:rPr>
            </w:pPr>
            <w:r>
              <w:rPr>
                <w:rFonts w:hint="eastAsia"/>
                <w:lang w:val="en-US" w:eastAsia="zh-CN"/>
              </w:rPr>
              <w:t>套</w:t>
            </w:r>
          </w:p>
        </w:tc>
      </w:tr>
      <w:tr w14:paraId="608A145B">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1CFBA6E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6518C1E">
            <w:pPr>
              <w:jc w:val="left"/>
              <w:rPr>
                <w:rFonts w:hint="default"/>
                <w:lang w:val="en-US" w:eastAsia="zh-CN"/>
              </w:rPr>
            </w:pPr>
            <w:r>
              <w:rPr>
                <w:rFonts w:hint="eastAsia"/>
                <w:lang w:val="en-US" w:eastAsia="zh-CN"/>
              </w:rPr>
              <w:t>花洒</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9341EA8">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31A377E">
            <w:pPr>
              <w:jc w:val="left"/>
              <w:rPr>
                <w:rFonts w:hint="eastAsia" w:eastAsiaTheme="minorEastAsia"/>
                <w:lang w:val="en-US" w:eastAsia="zh-CN"/>
              </w:rPr>
            </w:pPr>
            <w:r>
              <w:rPr>
                <w:rFonts w:hint="eastAsia"/>
                <w:lang w:val="en-US" w:eastAsia="zh-CN"/>
              </w:rPr>
              <w:t>套</w:t>
            </w:r>
          </w:p>
        </w:tc>
      </w:tr>
      <w:tr w14:paraId="48D667E9">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32BE6B01">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7D0E4C49">
            <w:pPr>
              <w:jc w:val="left"/>
              <w:rPr>
                <w:rFonts w:asciiTheme="minorHAnsi" w:hAnsiTheme="minorHAnsi" w:eastAsiaTheme="minorEastAsia" w:cstheme="minorBidi"/>
                <w:kern w:val="2"/>
                <w:sz w:val="21"/>
                <w:szCs w:val="24"/>
                <w:lang w:val="en-US" w:eastAsia="zh-CN" w:bidi="ar-SA"/>
              </w:rPr>
            </w:pPr>
            <w:r>
              <w:t>水管</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54039E34">
            <w:pPr>
              <w:jc w:val="left"/>
              <w:rPr>
                <w:rFonts w:asciiTheme="minorHAnsi" w:hAnsiTheme="minorHAnsi" w:eastAsiaTheme="minorEastAsia" w:cstheme="minorBidi"/>
                <w:kern w:val="2"/>
                <w:sz w:val="21"/>
                <w:szCs w:val="24"/>
                <w:lang w:val="en-US" w:eastAsia="zh-CN" w:bidi="ar-SA"/>
              </w:rPr>
            </w:pPr>
            <w:r>
              <w:t xml:space="preserve">PPR/PVC/PE，管径有 </w:t>
            </w:r>
            <w:r>
              <w:rPr>
                <w:rFonts w:hint="eastAsia"/>
                <w:lang w:val="en-US" w:eastAsia="zh-CN"/>
              </w:rPr>
              <w:t>16mm、</w:t>
            </w:r>
            <w:r>
              <w:t>20mm、25mm、32mm 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5063CC1A">
            <w:pPr>
              <w:jc w:val="left"/>
              <w:rPr>
                <w:rFonts w:asciiTheme="minorHAnsi" w:hAnsiTheme="minorHAnsi" w:eastAsiaTheme="minorEastAsia" w:cstheme="minorBidi"/>
                <w:kern w:val="2"/>
                <w:sz w:val="21"/>
                <w:szCs w:val="24"/>
                <w:lang w:val="en-US" w:eastAsia="zh-CN" w:bidi="ar-SA"/>
              </w:rPr>
            </w:pPr>
            <w:r>
              <w:t>米</w:t>
            </w:r>
          </w:p>
        </w:tc>
      </w:tr>
      <w:tr w14:paraId="7A4B2383">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39377DF2">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23038BE6">
            <w:pPr>
              <w:jc w:val="left"/>
              <w:rPr>
                <w:rFonts w:hint="eastAsia" w:eastAsiaTheme="minorEastAsia"/>
                <w:lang w:val="en-US" w:eastAsia="zh-CN"/>
              </w:rPr>
            </w:pPr>
            <w:r>
              <w:rPr>
                <w:rFonts w:hint="eastAsia"/>
                <w:lang w:val="en-US" w:eastAsia="zh-CN"/>
              </w:rPr>
              <w:t>方管</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6E7FD467">
            <w:pPr>
              <w:jc w:val="left"/>
              <w:rPr>
                <w:rFonts w:hint="default" w:eastAsiaTheme="minorEastAsia"/>
                <w:lang w:val="en-US" w:eastAsia="zh-CN"/>
              </w:rPr>
            </w:pPr>
            <w:r>
              <w:rPr>
                <w:rFonts w:hint="eastAsia"/>
                <w:lang w:val="en-US" w:eastAsia="zh-CN"/>
              </w:rPr>
              <w:t>20*20mm、40*40mm等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79F27F81">
            <w:pPr>
              <w:jc w:val="left"/>
              <w:rPr>
                <w:rFonts w:hint="eastAsia" w:eastAsiaTheme="minorEastAsia"/>
                <w:lang w:val="en-US" w:eastAsia="zh-CN"/>
              </w:rPr>
            </w:pPr>
            <w:r>
              <w:rPr>
                <w:rFonts w:hint="eastAsia"/>
                <w:lang w:val="en-US" w:eastAsia="zh-CN"/>
              </w:rPr>
              <w:t>根</w:t>
            </w:r>
          </w:p>
        </w:tc>
      </w:tr>
      <w:tr w14:paraId="45F1D75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113FD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7DC9833">
            <w:pPr>
              <w:jc w:val="left"/>
            </w:pPr>
            <w:r>
              <w:t>接头</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5E657FB">
            <w:pPr>
              <w:jc w:val="left"/>
            </w:pPr>
            <w:r>
              <w:t>内丝/外丝，管径与水管匹配</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D3BC6F8">
            <w:pPr>
              <w:jc w:val="left"/>
            </w:pPr>
            <w:r>
              <w:t>件</w:t>
            </w:r>
          </w:p>
        </w:tc>
      </w:tr>
      <w:tr w14:paraId="392A2F2D">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E6BBE6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DBE369F">
            <w:pPr>
              <w:jc w:val="left"/>
              <w:rPr>
                <w:rFonts w:hint="default" w:eastAsiaTheme="minorEastAsia"/>
                <w:lang w:val="en-US" w:eastAsia="zh-CN"/>
              </w:rPr>
            </w:pPr>
            <w:r>
              <w:rPr>
                <w:rFonts w:hint="eastAsia"/>
                <w:lang w:val="en-US" w:eastAsia="zh-CN"/>
              </w:rPr>
              <w:t>角铁</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66D821B">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CE33409">
            <w:pPr>
              <w:jc w:val="left"/>
              <w:rPr>
                <w:rFonts w:hint="default" w:eastAsiaTheme="minorEastAsia"/>
                <w:lang w:val="en-US" w:eastAsia="zh-CN"/>
              </w:rPr>
            </w:pPr>
            <w:r>
              <w:rPr>
                <w:rFonts w:hint="eastAsia"/>
                <w:lang w:val="en-US" w:eastAsia="zh-CN"/>
              </w:rPr>
              <w:t>根</w:t>
            </w:r>
          </w:p>
        </w:tc>
      </w:tr>
      <w:tr w14:paraId="7B04CA5F">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76C9FA0">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62F00DC">
            <w:pPr>
              <w:jc w:val="left"/>
            </w:pPr>
            <w:r>
              <w:t>弯头</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77C1FFE">
            <w:pPr>
              <w:jc w:val="left"/>
            </w:pPr>
            <w:r>
              <w:t>90 度/45 度，管径与水管匹配</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34BD495">
            <w:pPr>
              <w:jc w:val="left"/>
            </w:pPr>
            <w:r>
              <w:t>件</w:t>
            </w:r>
          </w:p>
        </w:tc>
      </w:tr>
      <w:tr w14:paraId="0F334E5D">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3102D7E">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C010BB0">
            <w:pPr>
              <w:jc w:val="left"/>
              <w:rPr>
                <w:rFonts w:hint="default" w:eastAsiaTheme="minorEastAsia"/>
                <w:lang w:val="en-US" w:eastAsia="zh-CN"/>
              </w:rPr>
            </w:pPr>
            <w:r>
              <w:rPr>
                <w:rFonts w:hint="eastAsia"/>
                <w:lang w:val="en-US" w:eastAsia="zh-CN"/>
              </w:rPr>
              <w:t>扎丝</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1F663B1">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8B056DA">
            <w:pPr>
              <w:jc w:val="left"/>
              <w:rPr>
                <w:rFonts w:hint="eastAsia" w:eastAsiaTheme="minorEastAsia"/>
                <w:lang w:val="en-US" w:eastAsia="zh-CN"/>
              </w:rPr>
            </w:pPr>
            <w:r>
              <w:rPr>
                <w:rFonts w:hint="eastAsia"/>
                <w:lang w:val="en-US" w:eastAsia="zh-CN"/>
              </w:rPr>
              <w:t>捆</w:t>
            </w:r>
          </w:p>
        </w:tc>
      </w:tr>
      <w:tr w14:paraId="501B5281">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23824A5">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54AFF70">
            <w:pPr>
              <w:jc w:val="left"/>
            </w:pPr>
            <w:r>
              <w:t>三通</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767A8DD">
            <w:pPr>
              <w:jc w:val="left"/>
            </w:pPr>
            <w:r>
              <w:t>等径三通、异径三通，管径与水管匹配</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D2DCC04">
            <w:pPr>
              <w:jc w:val="left"/>
            </w:pPr>
            <w:r>
              <w:t>件</w:t>
            </w:r>
          </w:p>
        </w:tc>
      </w:tr>
      <w:tr w14:paraId="42BBC80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197780C">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6AB7BA7">
            <w:pPr>
              <w:jc w:val="left"/>
            </w:pPr>
            <w:r>
              <w:t>直接头</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4FE3E06">
            <w:pPr>
              <w:jc w:val="left"/>
            </w:pPr>
            <w:r>
              <w:t>管径与水管匹配</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379A238">
            <w:pPr>
              <w:jc w:val="left"/>
            </w:pPr>
            <w:r>
              <w:t>件</w:t>
            </w:r>
          </w:p>
        </w:tc>
      </w:tr>
      <w:tr w14:paraId="275D0D8C">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C05FC5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0594E6">
            <w:pPr>
              <w:jc w:val="left"/>
            </w:pPr>
            <w:r>
              <w:t>堵头</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E67202E">
            <w:pPr>
              <w:jc w:val="left"/>
            </w:pPr>
            <w:r>
              <w:t>管径与水管匹配</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D9AB4AA">
            <w:pPr>
              <w:jc w:val="left"/>
            </w:pPr>
            <w:r>
              <w:t>件</w:t>
            </w:r>
          </w:p>
        </w:tc>
      </w:tr>
      <w:tr w14:paraId="1A75B933">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A8914C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16594D2">
            <w:pPr>
              <w:jc w:val="left"/>
            </w:pPr>
            <w:r>
              <w:t>阀门</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7C5C60D">
            <w:pPr>
              <w:jc w:val="left"/>
            </w:pPr>
            <w:r>
              <w:t>球阀、闸阀、截止阀等，不同管径</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27ECD2">
            <w:pPr>
              <w:jc w:val="left"/>
            </w:pPr>
            <w:r>
              <w:t>个</w:t>
            </w:r>
          </w:p>
        </w:tc>
      </w:tr>
      <w:tr w14:paraId="7E55C8F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3EC9B24">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1B0280E">
            <w:pPr>
              <w:jc w:val="left"/>
            </w:pPr>
            <w:r>
              <w:t>地漏</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7CBAE09">
            <w:pPr>
              <w:jc w:val="left"/>
            </w:pPr>
            <w:r>
              <w:t>不同尺寸和材质</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D5D6F81">
            <w:pPr>
              <w:jc w:val="left"/>
            </w:pPr>
            <w:r>
              <w:t>个</w:t>
            </w:r>
          </w:p>
        </w:tc>
      </w:tr>
      <w:tr w14:paraId="001E9137">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D4555F">
            <w:pPr>
              <w:jc w:val="left"/>
            </w:pPr>
            <w:r>
              <w:t>电工材料</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2888302">
            <w:pPr>
              <w:jc w:val="left"/>
            </w:pPr>
            <w:r>
              <w:t>电线</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B361789">
            <w:pPr>
              <w:jc w:val="left"/>
            </w:pPr>
            <w:r>
              <w:t>铜芯/铝芯，截面积有 1.5mm²、2.5mm²、4mm² 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EC74995">
            <w:pPr>
              <w:jc w:val="left"/>
            </w:pPr>
            <w:r>
              <w:t>卷</w:t>
            </w:r>
          </w:p>
        </w:tc>
      </w:tr>
      <w:tr w14:paraId="75573A8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797518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F778FA3">
            <w:pPr>
              <w:jc w:val="left"/>
            </w:pPr>
            <w:r>
              <w:t>电缆</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14B4E4F">
            <w:pPr>
              <w:jc w:val="left"/>
            </w:pPr>
            <w:r>
              <w:t>不同芯数和截面积</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D35D65C">
            <w:pPr>
              <w:jc w:val="left"/>
            </w:pPr>
            <w:r>
              <w:t>米</w:t>
            </w:r>
          </w:p>
        </w:tc>
      </w:tr>
      <w:tr w14:paraId="77AEAECE">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25AFA7B">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9E1A7A2">
            <w:pPr>
              <w:jc w:val="left"/>
            </w:pPr>
            <w:r>
              <w:t>开关</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9208877">
            <w:pPr>
              <w:jc w:val="left"/>
            </w:pPr>
            <w:r>
              <w:t>单极</w:t>
            </w:r>
            <w:r>
              <w:rPr>
                <w:rFonts w:hint="eastAsia"/>
                <w:lang w:eastAsia="zh-CN"/>
              </w:rPr>
              <w:t>、</w:t>
            </w:r>
            <w:r>
              <w:t>双极</w:t>
            </w:r>
            <w:r>
              <w:rPr>
                <w:rFonts w:hint="eastAsia"/>
                <w:lang w:eastAsia="zh-CN"/>
              </w:rPr>
              <w:t>、</w:t>
            </w:r>
            <w:r>
              <w:t>三极，</w:t>
            </w:r>
            <w:r>
              <w:rPr>
                <w:rFonts w:hint="eastAsia"/>
                <w:lang w:val="en-US" w:eastAsia="zh-CN"/>
              </w:rPr>
              <w:t>空气开关、漏电保护开关，</w:t>
            </w:r>
            <w:r>
              <w:t>不同品牌和质量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1B3615B">
            <w:pPr>
              <w:jc w:val="left"/>
            </w:pPr>
            <w:r>
              <w:t>个</w:t>
            </w:r>
          </w:p>
        </w:tc>
      </w:tr>
      <w:tr w14:paraId="4111D6BC">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820FE09">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D7ECB87">
            <w:pPr>
              <w:jc w:val="left"/>
              <w:rPr>
                <w:rFonts w:hint="default" w:eastAsiaTheme="minorEastAsia"/>
                <w:lang w:val="en-US" w:eastAsia="zh-CN"/>
              </w:rPr>
            </w:pPr>
            <w:r>
              <w:rPr>
                <w:rFonts w:hint="eastAsia"/>
                <w:lang w:val="en-US" w:eastAsia="zh-CN"/>
              </w:rPr>
              <w:t>电工胶带</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F1557CE">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EC2D016">
            <w:pPr>
              <w:jc w:val="left"/>
              <w:rPr>
                <w:rFonts w:hint="eastAsia" w:eastAsiaTheme="minorEastAsia"/>
                <w:lang w:val="en-US" w:eastAsia="zh-CN"/>
              </w:rPr>
            </w:pPr>
            <w:r>
              <w:rPr>
                <w:rFonts w:hint="eastAsia"/>
                <w:lang w:val="en-US" w:eastAsia="zh-CN"/>
              </w:rPr>
              <w:t>个</w:t>
            </w:r>
          </w:p>
        </w:tc>
      </w:tr>
      <w:tr w14:paraId="24F4051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F23D46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1AA214">
            <w:pPr>
              <w:jc w:val="left"/>
              <w:rPr>
                <w:rFonts w:hint="default"/>
                <w:lang w:val="en-US" w:eastAsia="zh-CN"/>
              </w:rPr>
            </w:pPr>
            <w:r>
              <w:rPr>
                <w:rFonts w:hint="eastAsia"/>
                <w:lang w:val="en-US" w:eastAsia="zh-CN"/>
              </w:rPr>
              <w:t>高压防水胶带</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F8718AB">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3EFD430">
            <w:pPr>
              <w:jc w:val="left"/>
              <w:rPr>
                <w:rFonts w:hint="eastAsia" w:eastAsiaTheme="minorEastAsia"/>
                <w:lang w:val="en-US" w:eastAsia="zh-CN"/>
              </w:rPr>
            </w:pPr>
            <w:r>
              <w:rPr>
                <w:rFonts w:hint="eastAsia"/>
                <w:lang w:val="en-US" w:eastAsia="zh-CN"/>
              </w:rPr>
              <w:t>个</w:t>
            </w:r>
          </w:p>
        </w:tc>
      </w:tr>
      <w:tr w14:paraId="1695584F">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7C062E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E552166">
            <w:pPr>
              <w:jc w:val="left"/>
              <w:rPr>
                <w:rFonts w:hint="eastAsia" w:eastAsiaTheme="minorEastAsia"/>
                <w:lang w:eastAsia="zh-CN"/>
              </w:rPr>
            </w:pPr>
            <w:r>
              <w:t>插座</w:t>
            </w:r>
            <w:r>
              <w:rPr>
                <w:rFonts w:hint="eastAsia"/>
                <w:lang w:eastAsia="zh-CN"/>
              </w:rPr>
              <w:t>（</w:t>
            </w:r>
            <w:r>
              <w:rPr>
                <w:rFonts w:hint="eastAsia"/>
                <w:lang w:val="en-US" w:eastAsia="zh-CN"/>
              </w:rPr>
              <w:t>明/暗</w:t>
            </w:r>
            <w:r>
              <w:rPr>
                <w:rFonts w:hint="eastAsia"/>
                <w:lang w:eastAsia="zh-CN"/>
              </w:rPr>
              <w:t>）</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4082FFD">
            <w:pPr>
              <w:jc w:val="left"/>
            </w:pPr>
            <w:r>
              <w:t>五孔/三孔/多功能插座，不同品牌和质量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D6A8AAD">
            <w:pPr>
              <w:jc w:val="left"/>
            </w:pPr>
            <w:r>
              <w:t>个</w:t>
            </w:r>
          </w:p>
        </w:tc>
      </w:tr>
      <w:tr w14:paraId="4B05FCA4">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3390C7">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EB5E45F">
            <w:pPr>
              <w:jc w:val="left"/>
              <w:rPr>
                <w:rFonts w:hint="default" w:eastAsiaTheme="minorEastAsia"/>
                <w:lang w:val="en-US" w:eastAsia="zh-CN"/>
              </w:rPr>
            </w:pPr>
            <w:r>
              <w:rPr>
                <w:rFonts w:hint="eastAsia"/>
                <w:lang w:val="en-US" w:eastAsia="zh-CN"/>
              </w:rPr>
              <w:t>插线板</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B6E5F42">
            <w:pPr>
              <w:jc w:val="left"/>
              <w:rPr>
                <w:rFonts w:hint="default" w:eastAsiaTheme="minorEastAsia"/>
                <w:lang w:val="en-US" w:eastAsia="zh-CN"/>
              </w:rPr>
            </w:pPr>
            <w:r>
              <w:rPr>
                <w:rFonts w:hint="eastAsia"/>
                <w:lang w:val="en-US" w:eastAsia="zh-CN"/>
              </w:rPr>
              <w:t>五孔、八孔等，线长种类</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DA7AC6">
            <w:pPr>
              <w:jc w:val="left"/>
              <w:rPr>
                <w:rFonts w:hint="eastAsia" w:eastAsiaTheme="minorEastAsia"/>
                <w:lang w:val="en-US" w:eastAsia="zh-CN"/>
              </w:rPr>
            </w:pPr>
            <w:r>
              <w:rPr>
                <w:rFonts w:hint="eastAsia"/>
                <w:lang w:val="en-US" w:eastAsia="zh-CN"/>
              </w:rPr>
              <w:t>套</w:t>
            </w:r>
          </w:p>
        </w:tc>
      </w:tr>
      <w:tr w14:paraId="2C6142D3">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848037">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78F2D68">
            <w:pPr>
              <w:jc w:val="left"/>
            </w:pPr>
            <w:r>
              <w:t>配电箱</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080384B">
            <w:pPr>
              <w:jc w:val="left"/>
            </w:pPr>
            <w:r>
              <w:t>不同尺寸和回路数</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D8336F9">
            <w:pPr>
              <w:jc w:val="left"/>
            </w:pPr>
            <w:r>
              <w:t>个</w:t>
            </w:r>
          </w:p>
        </w:tc>
      </w:tr>
      <w:tr w14:paraId="32EEA964">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01C653C">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DA9AC94">
            <w:pPr>
              <w:jc w:val="left"/>
            </w:pPr>
            <w:r>
              <w:t>电线管</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02B5351">
            <w:pPr>
              <w:jc w:val="left"/>
            </w:pPr>
            <w:r>
              <w:t>PVC 管、金属管等，不同管径</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8C584CD">
            <w:pPr>
              <w:jc w:val="left"/>
            </w:pPr>
            <w:r>
              <w:t>米</w:t>
            </w:r>
          </w:p>
        </w:tc>
      </w:tr>
      <w:tr w14:paraId="026AD72E">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FA1C48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890CA02">
            <w:pPr>
              <w:jc w:val="left"/>
            </w:pPr>
            <w:r>
              <w:t>接线盒</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D117464">
            <w:pPr>
              <w:jc w:val="left"/>
            </w:pPr>
            <w:r>
              <w:t>不同尺寸和材质</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0BFABBB">
            <w:pPr>
              <w:jc w:val="left"/>
            </w:pPr>
            <w:r>
              <w:t>个</w:t>
            </w:r>
          </w:p>
        </w:tc>
      </w:tr>
      <w:tr w14:paraId="19F1D255">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3CD371B">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37370E1">
            <w:pPr>
              <w:jc w:val="left"/>
              <w:rPr>
                <w:rFonts w:hint="default" w:eastAsiaTheme="minorEastAsia"/>
                <w:lang w:val="en-US" w:eastAsia="zh-CN"/>
              </w:rPr>
            </w:pPr>
            <w:r>
              <w:rPr>
                <w:rFonts w:hint="eastAsia"/>
                <w:lang w:val="en-US" w:eastAsia="zh-CN"/>
              </w:rPr>
              <w:t>灯管</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748FE74">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85543DF">
            <w:pPr>
              <w:jc w:val="left"/>
              <w:rPr>
                <w:rFonts w:hint="eastAsia" w:eastAsiaTheme="minorEastAsia"/>
                <w:lang w:val="en-US" w:eastAsia="zh-CN"/>
              </w:rPr>
            </w:pPr>
            <w:r>
              <w:rPr>
                <w:rFonts w:hint="eastAsia"/>
                <w:lang w:val="en-US" w:eastAsia="zh-CN"/>
              </w:rPr>
              <w:t>个</w:t>
            </w:r>
          </w:p>
        </w:tc>
      </w:tr>
      <w:tr w14:paraId="120C4B42">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A78F53C">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CC48EF1">
            <w:pPr>
              <w:jc w:val="left"/>
              <w:rPr>
                <w:rFonts w:hint="default"/>
                <w:lang w:val="en-US" w:eastAsia="zh-CN"/>
              </w:rPr>
            </w:pPr>
            <w:r>
              <w:rPr>
                <w:rFonts w:hint="eastAsia"/>
                <w:lang w:val="en-US" w:eastAsia="zh-CN"/>
              </w:rPr>
              <w:t>吸顶灯</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84E56C0">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352328D">
            <w:pPr>
              <w:jc w:val="left"/>
              <w:rPr>
                <w:rFonts w:hint="default" w:eastAsiaTheme="minorEastAsia"/>
                <w:lang w:val="en-US" w:eastAsia="zh-CN"/>
              </w:rPr>
            </w:pPr>
            <w:r>
              <w:rPr>
                <w:rFonts w:hint="eastAsia"/>
                <w:lang w:val="en-US" w:eastAsia="zh-CN"/>
              </w:rPr>
              <w:t>套</w:t>
            </w:r>
          </w:p>
        </w:tc>
      </w:tr>
      <w:tr w14:paraId="6FCDE4FD">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4170D9B">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60C66BC">
            <w:pPr>
              <w:jc w:val="left"/>
              <w:rPr>
                <w:rFonts w:hint="default"/>
                <w:lang w:val="en-US" w:eastAsia="zh-CN"/>
              </w:rPr>
            </w:pPr>
            <w:r>
              <w:rPr>
                <w:rFonts w:hint="eastAsia"/>
                <w:lang w:val="en-US" w:eastAsia="zh-CN"/>
              </w:rPr>
              <w:t>节能灯</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F708BE5">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10F87CF">
            <w:pPr>
              <w:jc w:val="left"/>
              <w:rPr>
                <w:rFonts w:hint="eastAsia" w:eastAsiaTheme="minorEastAsia"/>
                <w:lang w:val="en-US" w:eastAsia="zh-CN"/>
              </w:rPr>
            </w:pPr>
            <w:r>
              <w:rPr>
                <w:rFonts w:hint="eastAsia"/>
                <w:lang w:val="en-US" w:eastAsia="zh-CN"/>
              </w:rPr>
              <w:t>个</w:t>
            </w:r>
          </w:p>
        </w:tc>
      </w:tr>
      <w:tr w14:paraId="10908D66">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B7AC40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B0BDB6D">
            <w:pPr>
              <w:jc w:val="left"/>
              <w:rPr>
                <w:rFonts w:hint="default"/>
                <w:lang w:val="en-US" w:eastAsia="zh-CN"/>
              </w:rPr>
            </w:pPr>
            <w:r>
              <w:rPr>
                <w:rFonts w:hint="eastAsia"/>
                <w:lang w:val="en-US" w:eastAsia="zh-CN"/>
              </w:rPr>
              <w:t>平板灯</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932BE94">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C89B92">
            <w:pPr>
              <w:jc w:val="left"/>
              <w:rPr>
                <w:rFonts w:hint="eastAsia" w:eastAsiaTheme="minorEastAsia"/>
                <w:lang w:val="en-US" w:eastAsia="zh-CN"/>
              </w:rPr>
            </w:pPr>
            <w:r>
              <w:rPr>
                <w:rFonts w:hint="eastAsia"/>
                <w:lang w:val="en-US" w:eastAsia="zh-CN"/>
              </w:rPr>
              <w:t>个</w:t>
            </w:r>
          </w:p>
        </w:tc>
      </w:tr>
      <w:tr w14:paraId="7E6490EF">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8B548E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66B3B98">
            <w:pPr>
              <w:jc w:val="left"/>
              <w:rPr>
                <w:rFonts w:hint="default"/>
                <w:lang w:val="en-US" w:eastAsia="zh-CN"/>
              </w:rPr>
            </w:pPr>
            <w:r>
              <w:rPr>
                <w:rFonts w:hint="eastAsia"/>
                <w:lang w:val="en-US" w:eastAsia="zh-CN"/>
              </w:rPr>
              <w:t>射灯</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5F33350">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823CB80">
            <w:pPr>
              <w:jc w:val="left"/>
              <w:rPr>
                <w:rFonts w:hint="eastAsia" w:eastAsiaTheme="minorEastAsia"/>
                <w:lang w:val="en-US" w:eastAsia="zh-CN"/>
              </w:rPr>
            </w:pPr>
            <w:r>
              <w:rPr>
                <w:rFonts w:hint="eastAsia"/>
                <w:lang w:val="en-US" w:eastAsia="zh-CN"/>
              </w:rPr>
              <w:t>个</w:t>
            </w:r>
          </w:p>
        </w:tc>
      </w:tr>
      <w:tr w14:paraId="2D796EA3">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8B6FDE3">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7958243">
            <w:pPr>
              <w:jc w:val="left"/>
              <w:rPr>
                <w:rFonts w:hint="default"/>
                <w:lang w:val="en-US" w:eastAsia="zh-CN"/>
              </w:rPr>
            </w:pPr>
            <w:r>
              <w:rPr>
                <w:rFonts w:hint="eastAsia"/>
                <w:lang w:val="en-US" w:eastAsia="zh-CN"/>
              </w:rPr>
              <w:t>牛眼灯</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C50DB88">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675F121">
            <w:pPr>
              <w:jc w:val="left"/>
              <w:rPr>
                <w:rFonts w:hint="eastAsia" w:eastAsiaTheme="minorEastAsia"/>
                <w:lang w:val="en-US" w:eastAsia="zh-CN"/>
              </w:rPr>
            </w:pPr>
            <w:r>
              <w:rPr>
                <w:rFonts w:hint="eastAsia"/>
                <w:lang w:val="en-US" w:eastAsia="zh-CN"/>
              </w:rPr>
              <w:t>个</w:t>
            </w:r>
          </w:p>
        </w:tc>
      </w:tr>
      <w:tr w14:paraId="73A7C942">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A95F7B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B6BA6F9">
            <w:pPr>
              <w:jc w:val="left"/>
            </w:pPr>
            <w:r>
              <w:t>灯座</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37C6489">
            <w:pPr>
              <w:jc w:val="left"/>
            </w:pPr>
            <w:r>
              <w:t>螺口灯座、卡口灯座等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1B40577">
            <w:pPr>
              <w:jc w:val="left"/>
            </w:pPr>
            <w:r>
              <w:t>个</w:t>
            </w:r>
          </w:p>
        </w:tc>
      </w:tr>
      <w:tr w14:paraId="7498D7A0">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7D459E0">
            <w:pPr>
              <w:jc w:val="left"/>
            </w:pPr>
            <w:r>
              <w:t>油漆涂料</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F647D24">
            <w:pPr>
              <w:jc w:val="left"/>
            </w:pPr>
            <w:r>
              <w:t>油漆</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395DB37">
            <w:pPr>
              <w:jc w:val="left"/>
            </w:pPr>
            <w:r>
              <w:t>水性/油性，颜色多样，不同容量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2BCFB31">
            <w:pPr>
              <w:jc w:val="left"/>
            </w:pPr>
            <w:r>
              <w:t>桶</w:t>
            </w:r>
          </w:p>
        </w:tc>
      </w:tr>
      <w:tr w14:paraId="526E85D6">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B959818">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849A464">
            <w:pPr>
              <w:jc w:val="left"/>
            </w:pPr>
            <w:r>
              <w:t>涂料</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ACB7CA0">
            <w:pPr>
              <w:jc w:val="left"/>
            </w:pPr>
            <w:r>
              <w:t>内墙/外墙，不同功能和容量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7A832C1">
            <w:pPr>
              <w:jc w:val="left"/>
            </w:pPr>
            <w:r>
              <w:t>桶</w:t>
            </w:r>
          </w:p>
        </w:tc>
      </w:tr>
      <w:tr w14:paraId="7422E60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A04EDC5">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533B97">
            <w:pPr>
              <w:jc w:val="left"/>
            </w:pPr>
            <w:r>
              <w:t>清漆</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780EBD7">
            <w:pPr>
              <w:jc w:val="left"/>
            </w:pPr>
            <w:r>
              <w:t>亮光/哑光，不同容量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2AB03CD">
            <w:pPr>
              <w:jc w:val="left"/>
            </w:pPr>
            <w:r>
              <w:t>桶</w:t>
            </w:r>
          </w:p>
        </w:tc>
      </w:tr>
      <w:tr w14:paraId="06F3E6EF">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1CB031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6C0A5ED">
            <w:pPr>
              <w:jc w:val="left"/>
            </w:pPr>
            <w:r>
              <w:t>防锈漆</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00479B7">
            <w:pPr>
              <w:jc w:val="left"/>
            </w:pPr>
            <w:r>
              <w:t>不同配方和容量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389117B">
            <w:pPr>
              <w:jc w:val="left"/>
            </w:pPr>
            <w:r>
              <w:t>桶</w:t>
            </w:r>
          </w:p>
        </w:tc>
      </w:tr>
      <w:tr w14:paraId="6E0FD68F">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9D712C6">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CF5543B">
            <w:pPr>
              <w:jc w:val="left"/>
            </w:pPr>
            <w:r>
              <w:t>底漆</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55FBD2A">
            <w:pPr>
              <w:jc w:val="left"/>
            </w:pPr>
            <w:r>
              <w:t>不同类型和容量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346FA36">
            <w:pPr>
              <w:jc w:val="left"/>
            </w:pPr>
            <w:r>
              <w:t>桶</w:t>
            </w:r>
          </w:p>
        </w:tc>
      </w:tr>
      <w:tr w14:paraId="060853B0">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E5E84D7">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617EF7B2">
            <w:pPr>
              <w:jc w:val="left"/>
              <w:rPr>
                <w:rFonts w:asciiTheme="minorHAnsi" w:hAnsiTheme="minorHAnsi" w:eastAsiaTheme="minorEastAsia" w:cstheme="minorBidi"/>
                <w:kern w:val="2"/>
                <w:sz w:val="21"/>
                <w:szCs w:val="24"/>
                <w:lang w:val="en-US" w:eastAsia="zh-CN" w:bidi="ar-SA"/>
              </w:rPr>
            </w:pPr>
            <w:r>
              <w:t>防水涂料</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2C6A6605">
            <w:pPr>
              <w:jc w:val="left"/>
              <w:rPr>
                <w:rFonts w:asciiTheme="minorHAnsi" w:hAnsiTheme="minorHAnsi" w:eastAsiaTheme="minorEastAsia" w:cstheme="minorBidi"/>
                <w:kern w:val="2"/>
                <w:sz w:val="21"/>
                <w:szCs w:val="24"/>
                <w:lang w:val="en-US" w:eastAsia="zh-CN" w:bidi="ar-SA"/>
              </w:rPr>
            </w:pPr>
            <w:r>
              <w:t>不同性能和容量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7B8FF489">
            <w:pPr>
              <w:jc w:val="left"/>
              <w:rPr>
                <w:rFonts w:asciiTheme="minorHAnsi" w:hAnsiTheme="minorHAnsi" w:eastAsiaTheme="minorEastAsia" w:cstheme="minorBidi"/>
                <w:kern w:val="2"/>
                <w:sz w:val="21"/>
                <w:szCs w:val="24"/>
                <w:lang w:val="en-US" w:eastAsia="zh-CN" w:bidi="ar-SA"/>
              </w:rPr>
            </w:pPr>
            <w:r>
              <w:t>桶</w:t>
            </w:r>
          </w:p>
        </w:tc>
      </w:tr>
      <w:tr w14:paraId="2A289437">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6BA6AB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BFF6FE2">
            <w:pPr>
              <w:jc w:val="left"/>
              <w:rPr>
                <w:rFonts w:hint="eastAsia" w:eastAsiaTheme="minorEastAsia"/>
                <w:lang w:val="en-US" w:eastAsia="zh-CN"/>
              </w:rPr>
            </w:pPr>
            <w:r>
              <w:rPr>
                <w:rFonts w:hint="eastAsia"/>
                <w:lang w:val="en-US" w:eastAsia="zh-CN"/>
              </w:rPr>
              <w:t>稀料</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6AB9D50">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C65CF75">
            <w:pPr>
              <w:jc w:val="left"/>
              <w:rPr>
                <w:rFonts w:hint="eastAsia" w:eastAsiaTheme="minorEastAsia"/>
                <w:lang w:val="en-US" w:eastAsia="zh-CN"/>
              </w:rPr>
            </w:pPr>
            <w:r>
              <w:rPr>
                <w:rFonts w:hint="eastAsia"/>
                <w:lang w:val="en-US" w:eastAsia="zh-CN"/>
              </w:rPr>
              <w:t>桶</w:t>
            </w:r>
          </w:p>
        </w:tc>
      </w:tr>
      <w:tr w14:paraId="66620DD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4D60F54">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E95620C">
            <w:pPr>
              <w:jc w:val="left"/>
              <w:rPr>
                <w:rFonts w:hint="default"/>
                <w:lang w:val="en-US" w:eastAsia="zh-CN"/>
              </w:rPr>
            </w:pPr>
            <w:r>
              <w:rPr>
                <w:rFonts w:hint="eastAsia"/>
                <w:lang w:val="en-US" w:eastAsia="zh-CN"/>
              </w:rPr>
              <w:t>腻子粉</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F39D20A">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BC495D5">
            <w:pPr>
              <w:jc w:val="left"/>
              <w:rPr>
                <w:rFonts w:hint="eastAsia" w:eastAsiaTheme="minorEastAsia"/>
                <w:lang w:val="en-US" w:eastAsia="zh-CN"/>
              </w:rPr>
            </w:pPr>
            <w:r>
              <w:rPr>
                <w:rFonts w:hint="eastAsia"/>
                <w:lang w:val="en-US" w:eastAsia="zh-CN"/>
              </w:rPr>
              <w:t>袋</w:t>
            </w:r>
          </w:p>
        </w:tc>
      </w:tr>
      <w:tr w14:paraId="69F593CE">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17E5D85">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23FAAC7">
            <w:pPr>
              <w:jc w:val="left"/>
              <w:rPr>
                <w:rFonts w:hint="default"/>
                <w:lang w:val="en-US" w:eastAsia="zh-CN"/>
              </w:rPr>
            </w:pPr>
            <w:r>
              <w:rPr>
                <w:rFonts w:hint="eastAsia"/>
                <w:lang w:val="en-US" w:eastAsia="zh-CN"/>
              </w:rPr>
              <w:t>108胶</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8D8079D">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1670715">
            <w:pPr>
              <w:jc w:val="left"/>
              <w:rPr>
                <w:rFonts w:hint="eastAsia" w:eastAsiaTheme="minorEastAsia"/>
                <w:lang w:val="en-US" w:eastAsia="zh-CN"/>
              </w:rPr>
            </w:pPr>
            <w:r>
              <w:rPr>
                <w:rFonts w:hint="eastAsia"/>
                <w:lang w:val="en-US" w:eastAsia="zh-CN"/>
              </w:rPr>
              <w:t>袋</w:t>
            </w:r>
          </w:p>
        </w:tc>
      </w:tr>
      <w:tr w14:paraId="26F3FB1A">
        <w:tblPrEx>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9B6A254">
            <w:pPr>
              <w:jc w:val="left"/>
            </w:pPr>
            <w:r>
              <w:t>安全防护</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E5C1BE7">
            <w:pPr>
              <w:jc w:val="left"/>
            </w:pPr>
            <w:r>
              <w:t>安全帽</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7428428">
            <w:pPr>
              <w:jc w:val="left"/>
            </w:pPr>
            <w:r>
              <w:t>ABS 材质，不同颜色和尺寸</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0C972FB">
            <w:pPr>
              <w:jc w:val="left"/>
            </w:pPr>
            <w:r>
              <w:t>顶</w:t>
            </w:r>
          </w:p>
        </w:tc>
      </w:tr>
      <w:tr w14:paraId="5E1140F9">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C34B14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50ACFF8">
            <w:pPr>
              <w:jc w:val="left"/>
            </w:pPr>
            <w:r>
              <w:t>防护手套</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71CAB1E">
            <w:pPr>
              <w:jc w:val="left"/>
            </w:pPr>
            <w:r>
              <w:t>防切割/绝缘/耐酸碱等，不同材质和尺码</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F96188D">
            <w:pPr>
              <w:jc w:val="left"/>
            </w:pPr>
            <w:r>
              <w:t>副</w:t>
            </w:r>
          </w:p>
        </w:tc>
      </w:tr>
      <w:tr w14:paraId="4DE0D79D">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417ACF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D093561">
            <w:pPr>
              <w:jc w:val="left"/>
            </w:pPr>
            <w:r>
              <w:t>安全带</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ECDCB0A">
            <w:pPr>
              <w:jc w:val="left"/>
            </w:pPr>
            <w:r>
              <w:t>可调节，不同承载能力</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7C9C630">
            <w:pPr>
              <w:jc w:val="left"/>
            </w:pPr>
            <w:r>
              <w:t>条</w:t>
            </w:r>
          </w:p>
        </w:tc>
      </w:tr>
      <w:tr w14:paraId="046482FB">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4D54CB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59E8E54">
            <w:pPr>
              <w:jc w:val="left"/>
            </w:pPr>
            <w:r>
              <w:t>护目镜</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8F807BA">
            <w:pPr>
              <w:jc w:val="left"/>
            </w:pPr>
            <w:r>
              <w:t>防冲击</w:t>
            </w:r>
            <w:r>
              <w:rPr>
                <w:rFonts w:hint="eastAsia"/>
                <w:lang w:eastAsia="zh-CN"/>
              </w:rPr>
              <w:t>、</w:t>
            </w:r>
            <w:r>
              <w:t>防紫外线等，不同款式</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3CD5E7B">
            <w:pPr>
              <w:jc w:val="left"/>
            </w:pPr>
            <w:r>
              <w:t>副</w:t>
            </w:r>
          </w:p>
        </w:tc>
      </w:tr>
      <w:tr w14:paraId="06E419E3">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7514168">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4044BD8">
            <w:pPr>
              <w:jc w:val="left"/>
            </w:pPr>
            <w:r>
              <w:t>防护耳塞</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93815E5">
            <w:pPr>
              <w:jc w:val="left"/>
            </w:pPr>
            <w:r>
              <w:t>不同材质和降噪等级</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44D9347">
            <w:pPr>
              <w:jc w:val="left"/>
            </w:pPr>
            <w:r>
              <w:t>副</w:t>
            </w:r>
          </w:p>
        </w:tc>
      </w:tr>
      <w:tr w14:paraId="56DEFE08">
        <w:tblPrEx>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6860E87">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9842406">
            <w:pPr>
              <w:jc w:val="left"/>
            </w:pPr>
            <w:r>
              <w:t>防护口罩</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E3A6687">
            <w:pPr>
              <w:jc w:val="left"/>
            </w:pPr>
            <w:r>
              <w:t>防尘/防毒等，不同类型</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79F279B">
            <w:pPr>
              <w:jc w:val="left"/>
            </w:pPr>
            <w:r>
              <w:t>个</w:t>
            </w:r>
          </w:p>
        </w:tc>
      </w:tr>
      <w:tr w14:paraId="79D4C2CD">
        <w:tblPrEx>
          <w:tblCellMar>
            <w:top w:w="0" w:type="dxa"/>
            <w:left w:w="0" w:type="dxa"/>
            <w:bottom w:w="0" w:type="dxa"/>
            <w:right w:w="0" w:type="dxa"/>
          </w:tblCellMar>
        </w:tblPrEx>
        <w:tc>
          <w:tcPr>
            <w:tcW w:w="0" w:type="auto"/>
            <w:vMerge w:val="restart"/>
            <w:tcBorders>
              <w:top w:val="single" w:color="000000" w:sz="4" w:space="0"/>
              <w:left w:val="single" w:color="000000" w:sz="4" w:space="0"/>
              <w:right w:val="single" w:color="000000" w:sz="4" w:space="0"/>
            </w:tcBorders>
            <w:tcMar>
              <w:top w:w="100" w:type="dxa"/>
              <w:left w:w="100" w:type="dxa"/>
              <w:bottom w:w="100" w:type="dxa"/>
              <w:right w:w="100" w:type="dxa"/>
            </w:tcMar>
            <w:vAlign w:val="center"/>
          </w:tcPr>
          <w:p w14:paraId="310C1B9C">
            <w:pPr>
              <w:jc w:val="left"/>
              <w:rPr>
                <w:rFonts w:hint="default" w:eastAsiaTheme="minorEastAsia"/>
                <w:lang w:val="en-US" w:eastAsia="zh-CN"/>
              </w:rPr>
            </w:pPr>
            <w:r>
              <w:rPr>
                <w:rFonts w:hint="eastAsia"/>
                <w:lang w:val="en-US" w:eastAsia="zh-CN"/>
              </w:rPr>
              <w:t>清洁工具</w:t>
            </w: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41BE9C2">
            <w:pPr>
              <w:jc w:val="left"/>
              <w:rPr>
                <w:rFonts w:hint="default" w:eastAsiaTheme="minorEastAsia"/>
                <w:lang w:val="en-US" w:eastAsia="zh-CN"/>
              </w:rPr>
            </w:pPr>
            <w:r>
              <w:rPr>
                <w:rFonts w:hint="eastAsia"/>
                <w:lang w:val="en-US" w:eastAsia="zh-CN"/>
              </w:rPr>
              <w:t>小扫把</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41DA019">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5769914">
            <w:pPr>
              <w:jc w:val="left"/>
              <w:rPr>
                <w:rFonts w:hint="eastAsia" w:eastAsiaTheme="minorEastAsia"/>
                <w:lang w:val="en-US" w:eastAsia="zh-CN"/>
              </w:rPr>
            </w:pPr>
            <w:r>
              <w:rPr>
                <w:rFonts w:hint="eastAsia"/>
                <w:lang w:val="en-US" w:eastAsia="zh-CN"/>
              </w:rPr>
              <w:t>把</w:t>
            </w:r>
          </w:p>
        </w:tc>
      </w:tr>
      <w:tr w14:paraId="505BCA07">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407EBDB1">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E5A37FF">
            <w:pPr>
              <w:jc w:val="left"/>
              <w:rPr>
                <w:rFonts w:hint="default" w:eastAsiaTheme="minorEastAsia"/>
                <w:lang w:val="en-US" w:eastAsia="zh-CN"/>
              </w:rPr>
            </w:pPr>
            <w:r>
              <w:rPr>
                <w:rFonts w:hint="eastAsia"/>
                <w:lang w:val="en-US" w:eastAsia="zh-CN"/>
              </w:rPr>
              <w:t>大扫把</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32D3A31">
            <w:pPr>
              <w:jc w:val="left"/>
              <w:rPr>
                <w:rFonts w:hint="default" w:eastAsiaTheme="minorEastAsia"/>
                <w:lang w:val="en-US" w:eastAsia="zh-CN"/>
              </w:rPr>
            </w:pPr>
            <w:r>
              <w:rPr>
                <w:rFonts w:hint="eastAsia"/>
                <w:lang w:val="en-US" w:eastAsia="zh-CN"/>
              </w:rPr>
              <w:t>竹扫把、芨芨草扫把</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8597D18">
            <w:pPr>
              <w:jc w:val="left"/>
              <w:rPr>
                <w:rFonts w:hint="eastAsia" w:eastAsiaTheme="minorEastAsia"/>
                <w:lang w:val="en-US" w:eastAsia="zh-CN"/>
              </w:rPr>
            </w:pPr>
            <w:r>
              <w:rPr>
                <w:rFonts w:hint="eastAsia"/>
                <w:lang w:val="en-US" w:eastAsia="zh-CN"/>
              </w:rPr>
              <w:t>把</w:t>
            </w:r>
          </w:p>
        </w:tc>
      </w:tr>
      <w:tr w14:paraId="3AA61889">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39BF78D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C73CBC6">
            <w:pPr>
              <w:jc w:val="left"/>
              <w:rPr>
                <w:rFonts w:hint="eastAsia"/>
                <w:lang w:val="en-US" w:eastAsia="zh-CN"/>
              </w:rPr>
            </w:pPr>
            <w:r>
              <w:rPr>
                <w:rFonts w:hint="eastAsia"/>
                <w:lang w:val="en-US" w:eastAsia="zh-CN"/>
              </w:rPr>
              <w:t>簸箕</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594B5E9">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127DEC5">
            <w:pPr>
              <w:jc w:val="left"/>
              <w:rPr>
                <w:rFonts w:hint="default" w:eastAsiaTheme="minorEastAsia"/>
                <w:lang w:val="en-US" w:eastAsia="zh-CN"/>
              </w:rPr>
            </w:pPr>
            <w:r>
              <w:rPr>
                <w:rFonts w:hint="eastAsia"/>
                <w:lang w:val="en-US" w:eastAsia="zh-CN"/>
              </w:rPr>
              <w:t>个</w:t>
            </w:r>
          </w:p>
        </w:tc>
      </w:tr>
      <w:tr w14:paraId="31257213">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317D0A4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2EA7438">
            <w:pPr>
              <w:jc w:val="left"/>
              <w:rPr>
                <w:rFonts w:hint="default"/>
                <w:lang w:val="en-US" w:eastAsia="zh-CN"/>
              </w:rPr>
            </w:pPr>
            <w:r>
              <w:rPr>
                <w:rFonts w:hint="eastAsia"/>
                <w:lang w:val="en-US" w:eastAsia="zh-CN"/>
              </w:rPr>
              <w:t>拖把</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6C276E5">
            <w:pPr>
              <w:jc w:val="left"/>
              <w:rPr>
                <w:rFonts w:hint="default" w:eastAsiaTheme="minorEastAsia"/>
                <w:lang w:val="en-US" w:eastAsia="zh-CN"/>
              </w:rPr>
            </w:pPr>
            <w:r>
              <w:rPr>
                <w:rFonts w:hint="eastAsia"/>
                <w:lang w:val="en-US" w:eastAsia="zh-CN"/>
              </w:rPr>
              <w:t>线拖把、布拖把、平板拖把、洗车拖把等</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8A3C8E4">
            <w:pPr>
              <w:jc w:val="left"/>
              <w:rPr>
                <w:rFonts w:hint="eastAsia" w:eastAsiaTheme="minorEastAsia"/>
                <w:lang w:val="en-US" w:eastAsia="zh-CN"/>
              </w:rPr>
            </w:pPr>
            <w:r>
              <w:rPr>
                <w:rFonts w:hint="eastAsia"/>
                <w:lang w:val="en-US" w:eastAsia="zh-CN"/>
              </w:rPr>
              <w:t>把</w:t>
            </w:r>
          </w:p>
        </w:tc>
      </w:tr>
      <w:tr w14:paraId="5DDED7CF">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0F8217E0">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70668EFB">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拉圾桶</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505462E9">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大小各异</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7CF7B6D6">
            <w:pPr>
              <w:jc w:val="left"/>
              <w:rPr>
                <w:rFonts w:hint="eastAsia" w:eastAsiaTheme="minorEastAsia"/>
                <w:lang w:val="en-US" w:eastAsia="zh-CN"/>
              </w:rPr>
            </w:pPr>
            <w:r>
              <w:rPr>
                <w:rFonts w:hint="eastAsia"/>
                <w:lang w:val="en-US" w:eastAsia="zh-CN"/>
              </w:rPr>
              <w:t>个</w:t>
            </w:r>
          </w:p>
        </w:tc>
      </w:tr>
      <w:tr w14:paraId="52510524">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33F2DE8B">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6D66D132">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镰刀</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6DA122D2">
            <w:pPr>
              <w:jc w:val="left"/>
              <w:rPr>
                <w:rFonts w:hint="eastAsia" w:asciiTheme="minorHAnsi" w:hAnsiTheme="minorHAnsi" w:eastAsiaTheme="minorEastAsia" w:cstheme="minorBidi"/>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C70B3A9">
            <w:pPr>
              <w:jc w:val="left"/>
              <w:rPr>
                <w:rFonts w:hint="eastAsia" w:eastAsiaTheme="minorEastAsia"/>
                <w:lang w:val="en-US" w:eastAsia="zh-CN"/>
              </w:rPr>
            </w:pPr>
            <w:r>
              <w:rPr>
                <w:rFonts w:hint="eastAsia"/>
                <w:lang w:val="en-US" w:eastAsia="zh-CN"/>
              </w:rPr>
              <w:t>把</w:t>
            </w:r>
          </w:p>
        </w:tc>
      </w:tr>
      <w:tr w14:paraId="0B91D6E4">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602A22C0">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3E35CD51">
            <w:pPr>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锄头</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4E215825">
            <w:pPr>
              <w:jc w:val="left"/>
              <w:rPr>
                <w:rFonts w:asciiTheme="minorHAnsi" w:hAnsiTheme="minorHAnsi" w:eastAsiaTheme="minorEastAsia" w:cstheme="minorBidi"/>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F641AE3">
            <w:pPr>
              <w:jc w:val="left"/>
              <w:rPr>
                <w:rFonts w:hint="eastAsia" w:eastAsiaTheme="minorEastAsia"/>
                <w:lang w:val="en-US" w:eastAsia="zh-CN"/>
              </w:rPr>
            </w:pPr>
            <w:r>
              <w:rPr>
                <w:rFonts w:hint="eastAsia"/>
                <w:lang w:val="en-US" w:eastAsia="zh-CN"/>
              </w:rPr>
              <w:t>把</w:t>
            </w:r>
          </w:p>
        </w:tc>
      </w:tr>
      <w:tr w14:paraId="453E7D1D">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5A1690D2">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1DB1590D">
            <w:pPr>
              <w:jc w:val="left"/>
              <w:rPr>
                <w:rFonts w:hint="default"/>
                <w:lang w:val="en-US" w:eastAsia="zh-CN"/>
              </w:rPr>
            </w:pPr>
            <w:r>
              <w:rPr>
                <w:rFonts w:hint="eastAsia"/>
                <w:lang w:val="en-US" w:eastAsia="zh-CN"/>
              </w:rPr>
              <w:t>耙子</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739EDFA6">
            <w:pPr>
              <w:jc w:val="left"/>
              <w:rPr>
                <w:rFonts w:asciiTheme="minorHAnsi" w:hAnsiTheme="minorHAnsi" w:eastAsiaTheme="minorEastAsia" w:cstheme="minorBidi"/>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4AEC4D2">
            <w:pPr>
              <w:jc w:val="left"/>
              <w:rPr>
                <w:rFonts w:hint="default"/>
                <w:lang w:val="en-US" w:eastAsia="zh-CN"/>
              </w:rPr>
            </w:pPr>
            <w:r>
              <w:rPr>
                <w:rFonts w:hint="eastAsia"/>
                <w:lang w:val="en-US" w:eastAsia="zh-CN"/>
              </w:rPr>
              <w:t>把</w:t>
            </w:r>
          </w:p>
        </w:tc>
      </w:tr>
      <w:tr w14:paraId="5AB9E305">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1520DE7C">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043316BB">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铁锹</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5234E8F5">
            <w:pPr>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圆锹、方锹</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0673EBB">
            <w:pPr>
              <w:jc w:val="left"/>
              <w:rPr>
                <w:rFonts w:hint="eastAsia" w:eastAsiaTheme="minorEastAsia"/>
                <w:lang w:val="en-US" w:eastAsia="zh-CN"/>
              </w:rPr>
            </w:pPr>
            <w:r>
              <w:rPr>
                <w:rFonts w:hint="eastAsia"/>
                <w:lang w:val="en-US" w:eastAsia="zh-CN"/>
              </w:rPr>
              <w:t>把</w:t>
            </w:r>
          </w:p>
        </w:tc>
      </w:tr>
      <w:tr w14:paraId="3F63CB72">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4E220F6F">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536E724A">
            <w:pPr>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割草机</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36D27C4E">
            <w:pPr>
              <w:jc w:val="left"/>
              <w:rPr>
                <w:rFonts w:hint="default" w:asciiTheme="minorHAnsi" w:hAnsiTheme="minorHAnsi" w:eastAsiaTheme="minorEastAsia" w:cstheme="minorBidi"/>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0285FF72">
            <w:pPr>
              <w:jc w:val="left"/>
              <w:rPr>
                <w:rFonts w:hint="eastAsia" w:eastAsiaTheme="minorEastAsia"/>
                <w:lang w:val="en-US" w:eastAsia="zh-CN"/>
              </w:rPr>
            </w:pPr>
            <w:r>
              <w:rPr>
                <w:rFonts w:hint="eastAsia"/>
                <w:lang w:val="en-US" w:eastAsia="zh-CN"/>
              </w:rPr>
              <w:t>套</w:t>
            </w:r>
          </w:p>
        </w:tc>
      </w:tr>
      <w:tr w14:paraId="327F2DD1">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1446081C">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636ECE7A">
            <w:pPr>
              <w:jc w:val="left"/>
              <w:rPr>
                <w:rFonts w:hint="default" w:cstheme="minorBidi"/>
                <w:kern w:val="2"/>
                <w:sz w:val="21"/>
                <w:szCs w:val="24"/>
                <w:lang w:val="en-US" w:eastAsia="zh-CN" w:bidi="ar-SA"/>
              </w:rPr>
            </w:pPr>
            <w:r>
              <w:rPr>
                <w:rFonts w:hint="eastAsia" w:cstheme="minorBidi"/>
                <w:kern w:val="2"/>
                <w:sz w:val="21"/>
                <w:szCs w:val="24"/>
                <w:lang w:val="en-US" w:eastAsia="zh-CN" w:bidi="ar-SA"/>
              </w:rPr>
              <w:t>推雪板</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26C4B46A">
            <w:pPr>
              <w:jc w:val="left"/>
              <w:rPr>
                <w:rFonts w:hint="default" w:asciiTheme="minorHAnsi" w:hAnsiTheme="minorHAnsi" w:eastAsiaTheme="minorEastAsia" w:cstheme="minorBidi"/>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9A931ED">
            <w:pPr>
              <w:jc w:val="left"/>
              <w:rPr>
                <w:rFonts w:hint="eastAsia" w:eastAsiaTheme="minorEastAsia"/>
                <w:lang w:val="en-US" w:eastAsia="zh-CN"/>
              </w:rPr>
            </w:pPr>
            <w:r>
              <w:rPr>
                <w:rFonts w:hint="eastAsia"/>
                <w:lang w:val="en-US" w:eastAsia="zh-CN"/>
              </w:rPr>
              <w:t>把</w:t>
            </w:r>
          </w:p>
        </w:tc>
      </w:tr>
      <w:tr w14:paraId="5C0777BB">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0E7CEB69">
            <w:pPr>
              <w:jc w:val="left"/>
            </w:pPr>
          </w:p>
        </w:tc>
        <w:tc>
          <w:tcPr>
            <w:tcW w:w="803"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1494E47A">
            <w:pPr>
              <w:jc w:val="left"/>
              <w:rPr>
                <w:rFonts w:hint="default" w:cstheme="minorBidi"/>
                <w:kern w:val="2"/>
                <w:sz w:val="21"/>
                <w:szCs w:val="24"/>
                <w:lang w:val="en-US" w:eastAsia="zh-CN" w:bidi="ar-SA"/>
              </w:rPr>
            </w:pPr>
            <w:r>
              <w:rPr>
                <w:rFonts w:hint="eastAsia" w:cstheme="minorBidi"/>
                <w:kern w:val="2"/>
                <w:sz w:val="21"/>
                <w:szCs w:val="24"/>
                <w:lang w:val="en-US" w:eastAsia="zh-CN" w:bidi="ar-SA"/>
              </w:rPr>
              <w:t>冰铲</w:t>
            </w:r>
          </w:p>
        </w:tc>
        <w:tc>
          <w:tcPr>
            <w:tcW w:w="3104" w:type="pct"/>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vAlign w:val="center"/>
          </w:tcPr>
          <w:p w14:paraId="708F54CF">
            <w:pPr>
              <w:jc w:val="left"/>
              <w:rPr>
                <w:rFonts w:hint="default" w:asciiTheme="minorHAnsi" w:hAnsiTheme="minorHAnsi" w:eastAsiaTheme="minorEastAsia" w:cstheme="minorBidi"/>
                <w:kern w:val="2"/>
                <w:sz w:val="21"/>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243593E">
            <w:pPr>
              <w:jc w:val="left"/>
              <w:rPr>
                <w:rFonts w:hint="eastAsia" w:eastAsiaTheme="minorEastAsia"/>
                <w:lang w:val="en-US" w:eastAsia="zh-CN"/>
              </w:rPr>
            </w:pPr>
            <w:r>
              <w:rPr>
                <w:rFonts w:hint="eastAsia"/>
                <w:lang w:val="en-US" w:eastAsia="zh-CN"/>
              </w:rPr>
              <w:t>把</w:t>
            </w:r>
          </w:p>
        </w:tc>
      </w:tr>
      <w:tr w14:paraId="31F2CB3B">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6E301146">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D2B16FB">
            <w:pPr>
              <w:jc w:val="left"/>
              <w:rPr>
                <w:rFonts w:hint="default"/>
                <w:lang w:val="en-US" w:eastAsia="zh-CN"/>
              </w:rPr>
            </w:pPr>
            <w:r>
              <w:rPr>
                <w:rFonts w:hint="eastAsia"/>
                <w:lang w:val="en-US" w:eastAsia="zh-CN"/>
              </w:rPr>
              <w:t>洁厕灵</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791C9D2">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19D5979">
            <w:pPr>
              <w:jc w:val="left"/>
              <w:rPr>
                <w:rFonts w:hint="default" w:eastAsiaTheme="minorEastAsia"/>
                <w:lang w:val="en-US" w:eastAsia="zh-CN"/>
              </w:rPr>
            </w:pPr>
            <w:r>
              <w:rPr>
                <w:rFonts w:hint="eastAsia"/>
                <w:lang w:val="en-US" w:eastAsia="zh-CN"/>
              </w:rPr>
              <w:t>瓶</w:t>
            </w:r>
          </w:p>
        </w:tc>
      </w:tr>
      <w:tr w14:paraId="0D2BFE48">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0AC9CCEF">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FBA2801">
            <w:pPr>
              <w:jc w:val="left"/>
              <w:rPr>
                <w:rFonts w:hint="default"/>
                <w:lang w:val="en-US" w:eastAsia="zh-CN"/>
              </w:rPr>
            </w:pPr>
            <w:r>
              <w:rPr>
                <w:rFonts w:hint="eastAsia"/>
                <w:lang w:val="en-US" w:eastAsia="zh-CN"/>
              </w:rPr>
              <w:t>清洁球</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1DEF1A1">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64815A6A">
            <w:pPr>
              <w:jc w:val="left"/>
              <w:rPr>
                <w:rFonts w:hint="eastAsia" w:eastAsiaTheme="minorEastAsia"/>
                <w:lang w:val="en-US" w:eastAsia="zh-CN"/>
              </w:rPr>
            </w:pPr>
            <w:r>
              <w:rPr>
                <w:rFonts w:hint="eastAsia"/>
                <w:lang w:val="en-US" w:eastAsia="zh-CN"/>
              </w:rPr>
              <w:t>个</w:t>
            </w:r>
          </w:p>
        </w:tc>
      </w:tr>
      <w:tr w14:paraId="4026AC38">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6E1F0F7A">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F84108B">
            <w:pPr>
              <w:jc w:val="left"/>
              <w:rPr>
                <w:rFonts w:hint="default"/>
                <w:lang w:val="en-US" w:eastAsia="zh-CN"/>
              </w:rPr>
            </w:pPr>
            <w:r>
              <w:rPr>
                <w:rFonts w:hint="eastAsia"/>
                <w:lang w:val="en-US" w:eastAsia="zh-CN"/>
              </w:rPr>
              <w:t>马桶刷</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40E7BEB">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BD07D4B">
            <w:pPr>
              <w:jc w:val="left"/>
              <w:rPr>
                <w:rFonts w:hint="eastAsia" w:eastAsiaTheme="minorEastAsia"/>
                <w:lang w:val="en-US" w:eastAsia="zh-CN"/>
              </w:rPr>
            </w:pPr>
            <w:r>
              <w:rPr>
                <w:rFonts w:hint="eastAsia"/>
                <w:lang w:val="en-US" w:eastAsia="zh-CN"/>
              </w:rPr>
              <w:t>把</w:t>
            </w:r>
          </w:p>
        </w:tc>
      </w:tr>
      <w:tr w14:paraId="7BDE3A43">
        <w:tblPrEx>
          <w:tblCellMar>
            <w:top w:w="0" w:type="dxa"/>
            <w:left w:w="0" w:type="dxa"/>
            <w:bottom w:w="0" w:type="dxa"/>
            <w:right w:w="0" w:type="dxa"/>
          </w:tblCellMar>
        </w:tblPrEx>
        <w:tc>
          <w:tcPr>
            <w:tcW w:w="0" w:type="auto"/>
            <w:vMerge w:val="continue"/>
            <w:tcBorders>
              <w:left w:val="single" w:color="000000" w:sz="4" w:space="0"/>
              <w:right w:val="single" w:color="000000" w:sz="4" w:space="0"/>
            </w:tcBorders>
            <w:tcMar>
              <w:top w:w="100" w:type="dxa"/>
              <w:left w:w="100" w:type="dxa"/>
              <w:bottom w:w="100" w:type="dxa"/>
              <w:right w:w="100" w:type="dxa"/>
            </w:tcMar>
            <w:vAlign w:val="center"/>
          </w:tcPr>
          <w:p w14:paraId="4DE2197D">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0602E7E">
            <w:pPr>
              <w:jc w:val="left"/>
              <w:rPr>
                <w:rFonts w:hint="default"/>
                <w:lang w:val="en-US" w:eastAsia="zh-CN"/>
              </w:rPr>
            </w:pPr>
            <w:r>
              <w:rPr>
                <w:rFonts w:hint="eastAsia"/>
                <w:lang w:val="en-US" w:eastAsia="zh-CN"/>
              </w:rPr>
              <w:t>抹布</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1468BFA4">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41D2A3B2">
            <w:pPr>
              <w:jc w:val="left"/>
              <w:rPr>
                <w:rFonts w:hint="eastAsia" w:eastAsiaTheme="minorEastAsia"/>
                <w:lang w:val="en-US" w:eastAsia="zh-CN"/>
              </w:rPr>
            </w:pPr>
            <w:r>
              <w:rPr>
                <w:rFonts w:hint="eastAsia"/>
                <w:lang w:val="en-US" w:eastAsia="zh-CN"/>
              </w:rPr>
              <w:t>张</w:t>
            </w:r>
          </w:p>
        </w:tc>
      </w:tr>
      <w:tr w14:paraId="59C7A1B4">
        <w:tblPrEx>
          <w:tblCellMar>
            <w:top w:w="0" w:type="dxa"/>
            <w:left w:w="0" w:type="dxa"/>
            <w:bottom w:w="0" w:type="dxa"/>
            <w:right w:w="0" w:type="dxa"/>
          </w:tblCellMar>
        </w:tblPrEx>
        <w:tc>
          <w:tcPr>
            <w:tcW w:w="0" w:type="auto"/>
            <w:vMerge w:val="continue"/>
            <w:tcBorders>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28E1AF17">
            <w:pPr>
              <w:jc w:val="left"/>
            </w:pPr>
          </w:p>
        </w:tc>
        <w:tc>
          <w:tcPr>
            <w:tcW w:w="803"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F992BAB">
            <w:pPr>
              <w:jc w:val="left"/>
              <w:rPr>
                <w:rFonts w:hint="default" w:eastAsiaTheme="minorEastAsia"/>
                <w:lang w:val="en-US" w:eastAsia="zh-CN"/>
              </w:rPr>
            </w:pPr>
            <w:r>
              <w:rPr>
                <w:rFonts w:hint="eastAsia"/>
                <w:lang w:val="en-US" w:eastAsia="zh-CN"/>
              </w:rPr>
              <w:t>空气清新剂</w:t>
            </w:r>
          </w:p>
        </w:tc>
        <w:tc>
          <w:tcPr>
            <w:tcW w:w="3104" w:type="pct"/>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5D54BD8E">
            <w:pPr>
              <w:jc w:val="left"/>
            </w:pP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vAlign w:val="center"/>
          </w:tcPr>
          <w:p w14:paraId="38210B86">
            <w:pPr>
              <w:jc w:val="left"/>
              <w:rPr>
                <w:rFonts w:hint="eastAsia" w:eastAsiaTheme="minorEastAsia"/>
                <w:lang w:val="en-US" w:eastAsia="zh-CN"/>
              </w:rPr>
            </w:pPr>
            <w:r>
              <w:rPr>
                <w:rFonts w:hint="eastAsia"/>
                <w:lang w:val="en-US" w:eastAsia="zh-CN"/>
              </w:rPr>
              <w:t>瓶</w:t>
            </w:r>
          </w:p>
        </w:tc>
      </w:tr>
    </w:tbl>
    <w:p w14:paraId="1D81A6F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jc w:val="both"/>
        <w:textAlignment w:val="auto"/>
        <w:rPr>
          <w:rFonts w:hint="eastAsia" w:ascii="仿宋" w:hAnsi="仿宋" w:eastAsia="仿宋" w:cs="仿宋"/>
          <w:b/>
          <w:bCs/>
          <w:color w:val="auto"/>
          <w:sz w:val="28"/>
          <w:szCs w:val="28"/>
          <w:highlight w:val="none"/>
          <w:lang w:val="en-US" w:eastAsia="zh-CN"/>
        </w:rPr>
      </w:pPr>
    </w:p>
    <w:p w14:paraId="7CBEB2F9">
      <w:pPr>
        <w:rPr>
          <w:color w:val="auto"/>
        </w:rPr>
      </w:pPr>
      <w:bookmarkStart w:id="402" w:name="_Toc21532"/>
      <w:bookmarkStart w:id="403" w:name="_Toc22263"/>
      <w:bookmarkStart w:id="404" w:name="_Toc14205"/>
    </w:p>
    <w:tbl>
      <w:tblPr>
        <w:tblStyle w:val="27"/>
        <w:tblW w:w="99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5"/>
        <w:gridCol w:w="1603"/>
        <w:gridCol w:w="6132"/>
        <w:gridCol w:w="1106"/>
      </w:tblGrid>
      <w:tr w14:paraId="5FF8E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1115" w:type="dxa"/>
            <w:tcBorders>
              <w:top w:val="single" w:color="auto" w:sz="4" w:space="0"/>
              <w:left w:val="single" w:color="000000" w:sz="8" w:space="0"/>
              <w:bottom w:val="single" w:color="auto" w:sz="4" w:space="0"/>
              <w:right w:val="single" w:color="000000" w:sz="8" w:space="0"/>
            </w:tcBorders>
            <w:shd w:val="clear" w:color="auto" w:fill="auto"/>
            <w:vAlign w:val="center"/>
          </w:tcPr>
          <w:p w14:paraId="794D1CE5">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类目</w:t>
            </w:r>
          </w:p>
        </w:tc>
        <w:tc>
          <w:tcPr>
            <w:tcW w:w="1603" w:type="dxa"/>
            <w:tcBorders>
              <w:top w:val="single" w:color="auto" w:sz="4" w:space="0"/>
              <w:left w:val="single" w:color="000000" w:sz="8" w:space="0"/>
              <w:bottom w:val="single" w:color="auto" w:sz="4" w:space="0"/>
              <w:right w:val="single" w:color="000000" w:sz="8" w:space="0"/>
            </w:tcBorders>
            <w:shd w:val="clear" w:color="auto" w:fill="auto"/>
            <w:vAlign w:val="center"/>
          </w:tcPr>
          <w:p w14:paraId="3E9259E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产品名称</w:t>
            </w:r>
          </w:p>
        </w:tc>
        <w:tc>
          <w:tcPr>
            <w:tcW w:w="6132" w:type="dxa"/>
            <w:tcBorders>
              <w:top w:val="single" w:color="auto" w:sz="4" w:space="0"/>
              <w:left w:val="single" w:color="000000" w:sz="8" w:space="0"/>
              <w:bottom w:val="single" w:color="auto" w:sz="4" w:space="0"/>
              <w:right w:val="single" w:color="000000" w:sz="8" w:space="0"/>
            </w:tcBorders>
            <w:shd w:val="clear" w:color="auto" w:fill="auto"/>
            <w:vAlign w:val="center"/>
          </w:tcPr>
          <w:p w14:paraId="1C8873F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配置参数</w:t>
            </w:r>
          </w:p>
        </w:tc>
        <w:tc>
          <w:tcPr>
            <w:tcW w:w="1106" w:type="dxa"/>
            <w:tcBorders>
              <w:top w:val="single" w:color="auto" w:sz="4" w:space="0"/>
              <w:left w:val="single" w:color="000000" w:sz="8" w:space="0"/>
              <w:bottom w:val="single" w:color="auto" w:sz="4" w:space="0"/>
              <w:right w:val="single" w:color="000000" w:sz="8" w:space="0"/>
            </w:tcBorders>
            <w:shd w:val="clear" w:color="auto" w:fill="auto"/>
            <w:vAlign w:val="center"/>
          </w:tcPr>
          <w:p w14:paraId="58D1DE1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r>
      <w:tr w14:paraId="68DE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115" w:type="dxa"/>
            <w:vMerge w:val="restart"/>
            <w:tcBorders>
              <w:top w:val="single" w:color="auto" w:sz="4" w:space="0"/>
              <w:left w:val="single" w:color="000000" w:sz="8" w:space="0"/>
              <w:right w:val="single" w:color="000000" w:sz="8" w:space="0"/>
            </w:tcBorders>
            <w:shd w:val="clear" w:color="auto" w:fill="auto"/>
            <w:vAlign w:val="center"/>
          </w:tcPr>
          <w:p w14:paraId="7AC7F0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其他补充类</w:t>
            </w: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35FC73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插线板</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7A72DA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粗铜芯线，5插位，线长2.8米</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63570D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C0A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3CE618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C3439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哈夫节</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CE46F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0E448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BFC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4EB6A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D548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哈夫节</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7B03A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80mm加长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0457A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9D2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6DB31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DE84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哈夫节</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48C6C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1595C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3BB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EC0E8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7960E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哈夫节</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50391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100mm加长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B6973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291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F5445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73DA3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五孔墙体插板</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D5810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5孔10A 暗装</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2E546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F5D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731C48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1ED74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一开</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E6BC8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暗装86</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14A9F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B23A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5A57F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310C6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两开</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4A7A0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暗装86</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0DB6E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430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537E41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ECCFC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三开</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E1D5B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暗装86</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1D143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B42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6916F3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FD14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四开</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25EA0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暗装86</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A8EAE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831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55C5D0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AE4B1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开关</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3FB8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明装盒</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1552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1F57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15" w:type="dxa"/>
            <w:vMerge w:val="continue"/>
            <w:tcBorders>
              <w:left w:val="single" w:color="000000" w:sz="8" w:space="0"/>
              <w:right w:val="single" w:color="000000" w:sz="8" w:space="0"/>
            </w:tcBorders>
            <w:shd w:val="clear" w:color="auto" w:fill="auto"/>
            <w:vAlign w:val="center"/>
          </w:tcPr>
          <w:p w14:paraId="44867F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12175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开关</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5619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1P16A</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24435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126B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3FA86D7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F1C2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开关</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B018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1P32A</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9F045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E4C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15" w:type="dxa"/>
            <w:vMerge w:val="continue"/>
            <w:tcBorders>
              <w:left w:val="single" w:color="000000" w:sz="8" w:space="0"/>
              <w:right w:val="single" w:color="000000" w:sz="8" w:space="0"/>
            </w:tcBorders>
            <w:shd w:val="clear" w:color="auto" w:fill="auto"/>
            <w:vAlign w:val="center"/>
          </w:tcPr>
          <w:p w14:paraId="4023C5B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4A7382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微电时控开关</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0DE26A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10A</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6458E7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103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1115" w:type="dxa"/>
            <w:vMerge w:val="continue"/>
            <w:tcBorders>
              <w:left w:val="single" w:color="000000" w:sz="8" w:space="0"/>
              <w:right w:val="single" w:color="000000" w:sz="8" w:space="0"/>
            </w:tcBorders>
            <w:shd w:val="clear" w:color="auto" w:fill="auto"/>
            <w:vAlign w:val="center"/>
          </w:tcPr>
          <w:p w14:paraId="33F700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BA9E5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漏电保护器（空气开关）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0397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2P32A</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5CB83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ADC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1115" w:type="dxa"/>
            <w:vMerge w:val="continue"/>
            <w:tcBorders>
              <w:left w:val="single" w:color="000000" w:sz="8" w:space="0"/>
              <w:right w:val="single" w:color="000000" w:sz="8" w:space="0"/>
            </w:tcBorders>
            <w:shd w:val="clear" w:color="auto" w:fill="auto"/>
            <w:vAlign w:val="center"/>
          </w:tcPr>
          <w:p w14:paraId="6DD092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0EA0E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漏电保护器（空气开关）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50E5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2P63A</w:t>
            </w:r>
          </w:p>
        </w:tc>
        <w:tc>
          <w:tcPr>
            <w:tcW w:w="1106" w:type="dxa"/>
            <w:tcBorders>
              <w:top w:val="single" w:color="auto" w:sz="4" w:space="0"/>
              <w:left w:val="single" w:color="auto" w:sz="4" w:space="0"/>
              <w:right w:val="single" w:color="auto" w:sz="4" w:space="0"/>
            </w:tcBorders>
            <w:shd w:val="clear" w:color="auto" w:fill="auto"/>
            <w:vAlign w:val="center"/>
          </w:tcPr>
          <w:p w14:paraId="1FAFBC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5DA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115" w:type="dxa"/>
            <w:vMerge w:val="continue"/>
            <w:tcBorders>
              <w:left w:val="single" w:color="000000" w:sz="8" w:space="0"/>
              <w:right w:val="single" w:color="000000" w:sz="8" w:space="0"/>
            </w:tcBorders>
            <w:shd w:val="clear" w:color="auto" w:fill="auto"/>
            <w:vAlign w:val="center"/>
          </w:tcPr>
          <w:p w14:paraId="41F378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3724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漏电保护器（空气开关）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761DD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2P125A</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ED81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D6C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115" w:type="dxa"/>
            <w:vMerge w:val="continue"/>
            <w:tcBorders>
              <w:left w:val="single" w:color="000000" w:sz="8" w:space="0"/>
              <w:right w:val="single" w:color="000000" w:sz="8" w:space="0"/>
            </w:tcBorders>
            <w:shd w:val="clear" w:color="auto" w:fill="auto"/>
            <w:vAlign w:val="center"/>
          </w:tcPr>
          <w:p w14:paraId="46AB4C7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auto" w:sz="4" w:space="0"/>
            </w:tcBorders>
            <w:shd w:val="clear" w:color="auto" w:fill="auto"/>
            <w:vAlign w:val="center"/>
          </w:tcPr>
          <w:p w14:paraId="1C19F5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漏电保护器（空气开关）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14326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3P32</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1D91E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C66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115" w:type="dxa"/>
            <w:vMerge w:val="continue"/>
            <w:tcBorders>
              <w:left w:val="single" w:color="000000" w:sz="8" w:space="0"/>
              <w:right w:val="single" w:color="000000" w:sz="8" w:space="0"/>
            </w:tcBorders>
            <w:shd w:val="clear" w:color="auto" w:fill="auto"/>
            <w:vAlign w:val="center"/>
          </w:tcPr>
          <w:p w14:paraId="6C106F4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auto" w:sz="4" w:space="0"/>
            </w:tcBorders>
            <w:shd w:val="clear" w:color="auto" w:fill="auto"/>
            <w:vAlign w:val="center"/>
          </w:tcPr>
          <w:p w14:paraId="0F2D6B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漏电保护器（空气开关）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B083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3P63A</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988DE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0A7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115" w:type="dxa"/>
            <w:vMerge w:val="continue"/>
            <w:tcBorders>
              <w:left w:val="single" w:color="000000" w:sz="8" w:space="0"/>
              <w:right w:val="single" w:color="000000" w:sz="8" w:space="0"/>
            </w:tcBorders>
            <w:shd w:val="clear" w:color="auto" w:fill="auto"/>
            <w:vAlign w:val="center"/>
          </w:tcPr>
          <w:p w14:paraId="236799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auto" w:sz="4" w:space="0"/>
            </w:tcBorders>
            <w:shd w:val="clear" w:color="auto" w:fill="auto"/>
            <w:vAlign w:val="center"/>
          </w:tcPr>
          <w:p w14:paraId="3664DA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漏电保护器（空气开关）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49189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3P125A</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BB537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4A5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1115" w:type="dxa"/>
            <w:vMerge w:val="continue"/>
            <w:tcBorders>
              <w:left w:val="single" w:color="000000" w:sz="8" w:space="0"/>
              <w:right w:val="single" w:color="000000" w:sz="8" w:space="0"/>
            </w:tcBorders>
            <w:shd w:val="clear" w:color="auto" w:fill="auto"/>
            <w:vAlign w:val="center"/>
          </w:tcPr>
          <w:p w14:paraId="2D216AB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42DFC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玻璃刀</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068AB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金刚玻璃刀，塑料手柄，长度 18mm,刀柄直径15mm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8AC6B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3A5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4F1878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4CCEEF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玻璃胶</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58DB89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120ml</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56E1BE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r>
      <w:tr w14:paraId="05B3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1115" w:type="dxa"/>
            <w:vMerge w:val="continue"/>
            <w:tcBorders>
              <w:left w:val="single" w:color="000000" w:sz="8" w:space="0"/>
              <w:right w:val="single" w:color="000000" w:sz="8" w:space="0"/>
            </w:tcBorders>
            <w:shd w:val="clear" w:color="auto" w:fill="auto"/>
            <w:vAlign w:val="center"/>
          </w:tcPr>
          <w:p w14:paraId="3B63C6C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E608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玻璃胶枪</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E43FA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6300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55C81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21B184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8F2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热熔胶棒（棒棒胶）</w:t>
            </w:r>
          </w:p>
        </w:tc>
        <w:tc>
          <w:tcPr>
            <w:tcW w:w="6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4A5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w:t>
            </w:r>
          </w:p>
        </w:tc>
        <w:tc>
          <w:tcPr>
            <w:tcW w:w="11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49C9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00BA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244F836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51A1F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热熔枪（棒棒胶枪）</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3CF8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插电式热熔胶枪大号</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D1A7F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314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4819BD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2738E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小推车轮子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6745A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四寸（每组4个）万向轮</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F63A2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r>
      <w:tr w14:paraId="6A22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55C0F5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BEC0C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DA2CC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7CC94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216B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50D164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1B40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AE4AC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D0831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2A05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1F4924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6052D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41DF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D7103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3622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14E404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7391F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3BDCA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1A9BE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6E83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15942E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661FC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52DB4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15F45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415F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9576C3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A8E35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982A3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A52D1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7C1D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6D2D79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0B352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27589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8F76E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r>
      <w:tr w14:paraId="6120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445746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F03DF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锤子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EBCE5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木质把手</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BEE67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5FB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4B7D0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718E2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管子钳</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FB159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中号45cm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F686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F2D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36809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5105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沉头螺丝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B042C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7厘米一盒</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D379C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7F92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C31585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5AFBD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大扁头钻尾螺丝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1525B8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3厘米一盒</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0F5AC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56A7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67E82E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2616C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大扁头钻尾螺丝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0F00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5厘米一盒</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C3D3C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6E59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7B6959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CDE17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膨胀螺丝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FAF85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螺杆直径4mm,6mm,8mm,10mm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87159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55DA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ED9CC1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C541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普通螺丝钉</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D799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2.5公分，黑色</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7560D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44C2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A062F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B09CD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膨胀螺丝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00E30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6厘米</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803D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3D58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4DCC6C1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1C06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膨胀螺丝</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AF04D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8厘米</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4F3B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66835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5EADD8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00BD8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膨胀螺丝</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2D8113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10厘米</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0E8151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050F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BFE6D4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3B245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AF4D1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LED9W</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FACB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678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3DE671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7A213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56CD1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LED15W</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62484C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103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98062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BB53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50B25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LED20W</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39BB0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FA15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2E928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8011D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8C514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LED25W</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4199B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8D8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698EFD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5C1DE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B92B7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LED35W</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2230D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983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A74636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309959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手电钻</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6A31BE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充电款</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075222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3C47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1C3DD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815B8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手电钻</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B6F7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电线款 220V</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481D5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760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C8EE0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69A235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焊条</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5E365C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1包</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01D0C5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r>
      <w:tr w14:paraId="0C55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CBF9B1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27363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切割机片</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9F3EA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直径400MM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2A25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r>
      <w:tr w14:paraId="48A3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8740D0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F6B3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E7FB2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20MM*4M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6BBF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2BD9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506024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717F6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C3F9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25MM*4M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90114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4D4E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1F9FE3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7884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4C36A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32MM*4M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50FA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2FAE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605FFDF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48734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B6DDA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40MM*4M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9470D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7B51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1EC92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A6A5E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PPR管子直接</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0A2C7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A935E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2E5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42F91B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30233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PPR管子直接</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114BED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72D2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5EA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722362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0754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PPR管子直接</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F1B6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93508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D8E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A2BF7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7313C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PPR管子直接</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FCE4C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40MM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DEE2C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F70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B4A747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173EA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自来水阀门</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F2D9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75带螺丝</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01E7B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677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27A9ED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8876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自来水阀门</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FB780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63带螺丝</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7E0BDB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E04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68169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FFAC7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自来水阀门</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0A7BF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50带螺丝</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9F527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3AB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7567C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D4382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绿化带水管子阀门</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C0806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1A1E2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1C72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3F64A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D32BE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绿化带水管子阀门</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D163A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DA80F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40C6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F043D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2FDE3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弯头</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E103C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1C38D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C270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8BCA98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20B9C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弯头</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0BD68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B6F06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144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8EF51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4055C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弯头</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C4CC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ppr25号</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16274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83F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EBC0B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92288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弯头</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DD8B2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ppr20号</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AAC48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E73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5D7F6B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59917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暖气管烫板</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6E3077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1DE3A8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6AA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2FA7A0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3824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吸顶灯头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1677D1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5A020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69A4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68B08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19343A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日光灯灯管</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5A4E56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20WLED</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62AC8E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19582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243D16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79DAF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螺口声控灯</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F7734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LED9W</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25D23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6DA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1115" w:type="dxa"/>
            <w:vMerge w:val="continue"/>
            <w:tcBorders>
              <w:left w:val="single" w:color="000000" w:sz="8" w:space="0"/>
              <w:right w:val="single" w:color="000000" w:sz="8" w:space="0"/>
            </w:tcBorders>
            <w:shd w:val="clear" w:color="auto" w:fill="auto"/>
            <w:vAlign w:val="center"/>
          </w:tcPr>
          <w:p w14:paraId="47986B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E6C0E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下水道井盖</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A78C9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通用球墨铸铁，700*800，可承受120吨重</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04689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F3F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4B7FA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37BFC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修枝剪</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FE978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短把修枝专用</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5A02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037D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AC7F80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C8BFF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园艺大剪刀</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03832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长度60CM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FB4B2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4AC5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0C597C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98C19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伸缩高技锯</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767BC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2BF09D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0888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2FB5BF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043D3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手锯</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694662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5C71B7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3541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21F20A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326FD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坎土曼</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E52CE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通用（带木棍）</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D7A27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6AA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872D01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6A960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铁锨</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3B1F5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通用（带木棍）</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27FCA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EF4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224C26A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3A5EB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耙子（清理杂草用）</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3DC30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90（带木棍）</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211AB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7BC1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A49C20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417B9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坎土曼把子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4D0A6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1.2米长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170EB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1384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6F8EB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24165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铁锨把子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1FA63B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1.2米长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0947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64AC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B14987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192C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伸缩梯</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B3D35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 米缩6米</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930F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0F5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CF2DE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D884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人字梯</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1E9C1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3米，不锈钢</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93FFB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EC5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15" w:type="dxa"/>
            <w:vMerge w:val="continue"/>
            <w:tcBorders>
              <w:left w:val="single" w:color="000000" w:sz="8" w:space="0"/>
              <w:right w:val="single" w:color="000000" w:sz="8" w:space="0"/>
            </w:tcBorders>
            <w:shd w:val="clear" w:color="auto" w:fill="auto"/>
            <w:vAlign w:val="center"/>
          </w:tcPr>
          <w:p w14:paraId="2A4D5FD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FAF4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w:t>
            </w:r>
          </w:p>
        </w:tc>
        <w:tc>
          <w:tcPr>
            <w:tcW w:w="613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AFB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4B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065B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5" w:type="dxa"/>
            <w:vMerge w:val="continue"/>
            <w:tcBorders>
              <w:left w:val="single" w:color="000000" w:sz="8" w:space="0"/>
              <w:right w:val="single" w:color="000000" w:sz="8" w:space="0"/>
            </w:tcBorders>
            <w:shd w:val="clear" w:color="auto" w:fill="auto"/>
            <w:vAlign w:val="center"/>
          </w:tcPr>
          <w:p w14:paraId="2E6725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50D7F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砂纸架子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B5948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E4102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F5D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15" w:type="dxa"/>
            <w:vMerge w:val="continue"/>
            <w:tcBorders>
              <w:left w:val="single" w:color="000000" w:sz="8" w:space="0"/>
              <w:right w:val="single" w:color="000000" w:sz="8" w:space="0"/>
            </w:tcBorders>
            <w:shd w:val="clear" w:color="auto" w:fill="auto"/>
            <w:vAlign w:val="center"/>
          </w:tcPr>
          <w:p w14:paraId="0542F1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07AB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电线走线盒</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13C8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2.8米/根，PVC，3公分宽</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AED4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1C1D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115" w:type="dxa"/>
            <w:vMerge w:val="continue"/>
            <w:tcBorders>
              <w:left w:val="single" w:color="000000" w:sz="8" w:space="0"/>
              <w:right w:val="single" w:color="000000" w:sz="8" w:space="0"/>
            </w:tcBorders>
            <w:shd w:val="clear" w:color="auto" w:fill="auto"/>
            <w:vAlign w:val="center"/>
          </w:tcPr>
          <w:p w14:paraId="1BAC37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B3308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粘穿线槽的胶</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E2562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褐色、可以粘穿线槽</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A9737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03A5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1115" w:type="dxa"/>
            <w:vMerge w:val="continue"/>
            <w:tcBorders>
              <w:left w:val="single" w:color="000000" w:sz="8" w:space="0"/>
              <w:right w:val="single" w:color="000000" w:sz="8" w:space="0"/>
            </w:tcBorders>
            <w:shd w:val="clear" w:color="auto" w:fill="auto"/>
            <w:vAlign w:val="center"/>
          </w:tcPr>
          <w:p w14:paraId="6D6A40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B2FAC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2.5平方电线</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66C1C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100米/卷； 单股线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472D3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6A03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115" w:type="dxa"/>
            <w:vMerge w:val="continue"/>
            <w:tcBorders>
              <w:left w:val="single" w:color="000000" w:sz="8" w:space="0"/>
              <w:right w:val="single" w:color="000000" w:sz="8" w:space="0"/>
            </w:tcBorders>
            <w:shd w:val="clear" w:color="auto" w:fill="auto"/>
            <w:vAlign w:val="center"/>
          </w:tcPr>
          <w:p w14:paraId="3806068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02B68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2.5平方电线</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E305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100米/卷；平行线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7DFF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25AE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115" w:type="dxa"/>
            <w:vMerge w:val="continue"/>
            <w:tcBorders>
              <w:left w:val="single" w:color="000000" w:sz="8" w:space="0"/>
              <w:right w:val="single" w:color="000000" w:sz="8" w:space="0"/>
            </w:tcBorders>
            <w:shd w:val="clear" w:color="auto" w:fill="auto"/>
            <w:vAlign w:val="center"/>
          </w:tcPr>
          <w:p w14:paraId="009FE4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2A3D5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4平方电线</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EBDF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100米/卷； 单股线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B4A90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2C6F0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1115" w:type="dxa"/>
            <w:vMerge w:val="continue"/>
            <w:tcBorders>
              <w:left w:val="single" w:color="000000" w:sz="8" w:space="0"/>
              <w:right w:val="single" w:color="000000" w:sz="8" w:space="0"/>
            </w:tcBorders>
            <w:shd w:val="clear" w:color="auto" w:fill="auto"/>
            <w:vAlign w:val="center"/>
          </w:tcPr>
          <w:p w14:paraId="4BD9EC9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028B8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4平方电线</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555FFE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100米/卷；平行线</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42A27E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3A31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0AD5B2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F1409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防盗门门把手</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B644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不锈钢实心把手</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F38A3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BED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115" w:type="dxa"/>
            <w:vMerge w:val="continue"/>
            <w:tcBorders>
              <w:left w:val="single" w:color="000000" w:sz="8" w:space="0"/>
              <w:right w:val="single" w:color="000000" w:sz="8" w:space="0"/>
            </w:tcBorders>
            <w:shd w:val="clear" w:color="auto" w:fill="auto"/>
            <w:vAlign w:val="center"/>
          </w:tcPr>
          <w:p w14:paraId="25F7CC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34F55C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防盗门锁芯</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58F9C5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通用型带钥匙（全铜）</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580148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1E36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1115" w:type="dxa"/>
            <w:vMerge w:val="continue"/>
            <w:tcBorders>
              <w:left w:val="single" w:color="000000" w:sz="8" w:space="0"/>
              <w:right w:val="single" w:color="000000" w:sz="8" w:space="0"/>
            </w:tcBorders>
            <w:shd w:val="clear" w:color="auto" w:fill="auto"/>
            <w:vAlign w:val="center"/>
          </w:tcPr>
          <w:p w14:paraId="3D7DEB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4D0F1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6F34A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14-17开口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158D6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5C5F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86F06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89F4E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B7059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17-19开口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9A92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927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51FCA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372784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F0F0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19-22开口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A67C0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486D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EE338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A1AEE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39ECF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22-24开口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095EF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0DAF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BBAD46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5C2871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1C936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24-27开口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DF653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644C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A4E48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A55B3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2BF37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27-30开口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BB720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C81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FC745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1D3A2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C4007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30-32开口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98A9A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4E18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7028D7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A5512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F0946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32-34开口</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1CB7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5C94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DCDD7E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DB88D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159A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14-17梅花</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A6BCB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7AD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01935C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68982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3239FD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17-19梅花</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64F92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EE7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C8BCD6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EF4C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7E445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19-22梅花</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C6914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09F2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0FF66A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000000" w:sz="8" w:space="0"/>
              <w:bottom w:val="single" w:color="000000" w:sz="8" w:space="0"/>
              <w:right w:val="single" w:color="000000" w:sz="8" w:space="0"/>
            </w:tcBorders>
            <w:shd w:val="clear" w:color="auto" w:fill="auto"/>
            <w:vAlign w:val="center"/>
          </w:tcPr>
          <w:p w14:paraId="2E8447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single" w:color="auto" w:sz="4" w:space="0"/>
              <w:left w:val="single" w:color="000000" w:sz="8" w:space="0"/>
              <w:bottom w:val="single" w:color="000000" w:sz="8" w:space="0"/>
              <w:right w:val="single" w:color="000000" w:sz="8" w:space="0"/>
            </w:tcBorders>
            <w:shd w:val="clear" w:color="auto" w:fill="auto"/>
            <w:vAlign w:val="center"/>
          </w:tcPr>
          <w:p w14:paraId="2D55E6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22-24梅花</w:t>
            </w:r>
          </w:p>
        </w:tc>
        <w:tc>
          <w:tcPr>
            <w:tcW w:w="1106" w:type="dxa"/>
            <w:tcBorders>
              <w:top w:val="single" w:color="auto" w:sz="4" w:space="0"/>
              <w:left w:val="single" w:color="000000" w:sz="8" w:space="0"/>
              <w:bottom w:val="single" w:color="000000" w:sz="8" w:space="0"/>
              <w:right w:val="single" w:color="000000" w:sz="8" w:space="0"/>
            </w:tcBorders>
            <w:shd w:val="clear" w:color="auto" w:fill="auto"/>
            <w:vAlign w:val="center"/>
          </w:tcPr>
          <w:p w14:paraId="4C39A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CAFA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892916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F26D0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1137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24-27梅花</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C3F4D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3CF2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241D0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05E0BB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F37D1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27-30梅花</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25BC4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2CBF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B069A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720D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0A168B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30-32梅花</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F0552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7E9C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0013C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4828B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1E763A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32-34梅花</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ED7C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2607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3D87771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85A8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活动扳手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1994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24寸</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369199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3A2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3CBA05A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7FF09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活动扳手</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611EF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8寸</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F6EAC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3A2D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679880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4942C5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钳子（尖口）</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EDEA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8寸</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4C3F23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25A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D4CE9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1947C6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网线钳子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2C421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可以接网线</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030C37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C2D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15" w:type="dxa"/>
            <w:vMerge w:val="continue"/>
            <w:tcBorders>
              <w:left w:val="single" w:color="000000" w:sz="8" w:space="0"/>
              <w:right w:val="single" w:color="000000" w:sz="8" w:space="0"/>
            </w:tcBorders>
            <w:shd w:val="clear" w:color="auto" w:fill="auto"/>
            <w:vAlign w:val="center"/>
          </w:tcPr>
          <w:p w14:paraId="5EFF07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8EA71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多功能钳子</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5E5281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 寸（可拧螺丝、剪电线、压线、剥线等）</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7660F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62B4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C61224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247D89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窗帘挂钩</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4F0956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62F313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80B7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81B09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87B16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窗帘轨道滑轮</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3D9A6C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5EF642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15A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15D49BF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000000" w:sz="8" w:space="0"/>
              <w:right w:val="single" w:color="000000" w:sz="8" w:space="0"/>
            </w:tcBorders>
            <w:shd w:val="clear" w:color="auto" w:fill="auto"/>
            <w:vAlign w:val="center"/>
          </w:tcPr>
          <w:p w14:paraId="61AE88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罗马杆</w:t>
            </w:r>
          </w:p>
        </w:tc>
        <w:tc>
          <w:tcPr>
            <w:tcW w:w="6132" w:type="dxa"/>
            <w:tcBorders>
              <w:top w:val="nil"/>
              <w:left w:val="single" w:color="000000" w:sz="8" w:space="0"/>
              <w:bottom w:val="single" w:color="000000" w:sz="8" w:space="0"/>
              <w:right w:val="single" w:color="000000" w:sz="8" w:space="0"/>
            </w:tcBorders>
            <w:shd w:val="clear" w:color="auto" w:fill="auto"/>
            <w:vAlign w:val="center"/>
          </w:tcPr>
          <w:p w14:paraId="73A660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000000" w:sz="8" w:space="0"/>
              <w:right w:val="single" w:color="000000" w:sz="8" w:space="0"/>
            </w:tcBorders>
            <w:shd w:val="clear" w:color="auto" w:fill="auto"/>
            <w:vAlign w:val="center"/>
          </w:tcPr>
          <w:p w14:paraId="1BBFD9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2243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921C40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nil"/>
              <w:left w:val="single" w:color="000000" w:sz="8" w:space="0"/>
              <w:bottom w:val="single" w:color="auto" w:sz="4" w:space="0"/>
              <w:right w:val="single" w:color="000000" w:sz="8" w:space="0"/>
            </w:tcBorders>
            <w:shd w:val="clear" w:color="auto" w:fill="auto"/>
            <w:vAlign w:val="center"/>
          </w:tcPr>
          <w:p w14:paraId="455570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窗帘轨道</w:t>
            </w:r>
          </w:p>
        </w:tc>
        <w:tc>
          <w:tcPr>
            <w:tcW w:w="6132" w:type="dxa"/>
            <w:tcBorders>
              <w:top w:val="nil"/>
              <w:left w:val="single" w:color="000000" w:sz="8" w:space="0"/>
              <w:bottom w:val="single" w:color="auto" w:sz="4" w:space="0"/>
              <w:right w:val="single" w:color="000000" w:sz="8" w:space="0"/>
            </w:tcBorders>
            <w:shd w:val="clear" w:color="auto" w:fill="auto"/>
            <w:vAlign w:val="center"/>
          </w:tcPr>
          <w:p w14:paraId="5B18DE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nil"/>
              <w:left w:val="single" w:color="000000" w:sz="8" w:space="0"/>
              <w:bottom w:val="single" w:color="auto" w:sz="4" w:space="0"/>
              <w:right w:val="single" w:color="000000" w:sz="8" w:space="0"/>
            </w:tcBorders>
            <w:shd w:val="clear" w:color="auto" w:fill="auto"/>
            <w:vAlign w:val="center"/>
          </w:tcPr>
          <w:p w14:paraId="0A25F3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568F2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CB269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6BD62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塑钢窗户合页</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98B7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786F5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付</w:t>
            </w:r>
          </w:p>
        </w:tc>
      </w:tr>
      <w:tr w14:paraId="6C62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49EED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8FE2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塑钢窗户把手</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CDDA1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04361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16F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DF403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8A41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紫铜开口鼻</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555A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20A，50只装/包</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CF834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r>
      <w:tr w14:paraId="1FB59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56FA66E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402BF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水龙头进水软管</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1A260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1.2米，4公分接口内径20MM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6D17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r>
      <w:tr w14:paraId="0F42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067A1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20824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洗手台下水软管</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110AE1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25MM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B14B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2BE3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A84CE9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93CC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硅胶地漏防臭芯</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580251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塑料直径5.5</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0CB6E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6E2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67927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D42D9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塑料水龙头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515477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DAC46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E3DB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0787A5B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DA0BA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老式铁质水龙头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5EA9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4分、6分铸铁</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AD100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418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BC041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B2523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保温桶水龙头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44AF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7F832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61A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318A39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E078E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不锈钢水龙头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9A8F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中长款、洗菜池专用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FEA3D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3BB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BC1FFE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3C7E1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不锈钢水龙头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591BD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U型款</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B7A18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FF22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4390FE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FD3BE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门环</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99669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528E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r>
      <w:tr w14:paraId="6015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7E7929E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1D09E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89BA8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打铁，8mm、6mm、10mm可选</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B0DA9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8F7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115" w:type="dxa"/>
            <w:vMerge w:val="continue"/>
            <w:tcBorders>
              <w:left w:val="single" w:color="000000" w:sz="8" w:space="0"/>
              <w:right w:val="single" w:color="000000" w:sz="8" w:space="0"/>
            </w:tcBorders>
            <w:shd w:val="clear" w:color="auto" w:fill="auto"/>
            <w:vAlign w:val="center"/>
          </w:tcPr>
          <w:p w14:paraId="6464181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77FC9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E2D00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打水泥，8mm、6mm、10mm可选</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922F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EDB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4D90BF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1C431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金属编制进水软管</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60126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通用/80CM、150CM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4C003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r>
      <w:tr w14:paraId="58D9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245425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D7D4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锄草专用小锄头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321C1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刀刃约 215mm,加厚，铁质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08058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9F0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64619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4F80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锄草专用小铲子</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1F6442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大号野菜铲，铁质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4857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64F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03B75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21719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下水道疏通机</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6C4AB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81BE6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6876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1288F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9C97F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割草机</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81010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充电型 220V</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E276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76FE1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1F3495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6E98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割草机</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63DE7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汽油型</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B25F7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1D22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45539B3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E3B06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割草机刀片</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5E1D1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圆形，金属材料</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2BF7A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r>
      <w:tr w14:paraId="51B9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34E5C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1A08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割草机机油</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A6FAD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汽油机使用600Ml</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DEAC0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r>
      <w:tr w14:paraId="4B4D6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439ACD0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20218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割草机打草绳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9582C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一卷2.4/2.6/3.0mm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211C0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2C9B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7BB630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3FC75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便携式电动高压水枪</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47391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高压清洗</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13AED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r>
      <w:tr w14:paraId="4E90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2627DA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0688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国旗杆摇把</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F348F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24509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4A2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3873AA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A9A17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国旗杆钢丝绳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7566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FAF77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7137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93DDF4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B799C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独轮车</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C7C0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04826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辆</w:t>
            </w:r>
          </w:p>
        </w:tc>
      </w:tr>
      <w:tr w14:paraId="0157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B09B7C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0D9F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独轮车轮子</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F0C40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轮子 350MM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D9080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840D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60A160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797D1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隔热断桥门把手</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A671B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9119E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026B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0BB08D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3A053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暖气片放气阀</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CDC80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2A2E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88D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15" w:type="dxa"/>
            <w:vMerge w:val="continue"/>
            <w:tcBorders>
              <w:left w:val="single" w:color="000000" w:sz="8" w:space="0"/>
              <w:right w:val="single" w:color="000000" w:sz="8" w:space="0"/>
            </w:tcBorders>
            <w:shd w:val="clear" w:color="auto" w:fill="auto"/>
            <w:vAlign w:val="center"/>
          </w:tcPr>
          <w:p w14:paraId="4B6430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407F2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暖气片接头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79BCB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24B77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8BD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2D524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B1D29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电工工具包</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311CE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牛布津</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F353A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671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115" w:type="dxa"/>
            <w:vMerge w:val="continue"/>
            <w:tcBorders>
              <w:left w:val="single" w:color="000000" w:sz="8" w:space="0"/>
              <w:right w:val="single" w:color="000000" w:sz="8" w:space="0"/>
            </w:tcBorders>
            <w:shd w:val="clear" w:color="auto" w:fill="auto"/>
            <w:vAlign w:val="center"/>
          </w:tcPr>
          <w:p w14:paraId="22E431B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9E868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白色水管软管</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C6C59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PVC；内径 25mm；防爆防冻；加厚耐磨；抗氧化</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B86B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73FC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115" w:type="dxa"/>
            <w:vMerge w:val="continue"/>
            <w:tcBorders>
              <w:left w:val="single" w:color="000000" w:sz="8" w:space="0"/>
              <w:right w:val="single" w:color="000000" w:sz="8" w:space="0"/>
            </w:tcBorders>
            <w:shd w:val="clear" w:color="auto" w:fill="auto"/>
            <w:vAlign w:val="center"/>
          </w:tcPr>
          <w:p w14:paraId="3DF15A5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9A119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白色水管软管</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7B32F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PVC；内径 20mm；防爆防冻；加厚耐磨；抗氧化</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F937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r>
      <w:tr w14:paraId="6D11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494B24A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7EC10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钢卷尺</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5A7C4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米</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EEF33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2E08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0E531B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9B31F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切割机刀片</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D5D41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直径10厘米</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978B9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r>
      <w:tr w14:paraId="592C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7B97514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3B989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油漆刷子</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AE2FA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5厘米</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F6C9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1A20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5EAB93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1298F7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油漆刷子</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A7F23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8厘米</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B4201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5822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49EF845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92817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油漆刷子</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6C0BD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10厘米</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B554D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r>
      <w:tr w14:paraId="5BB0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1F3AE7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BB0A6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螺口节能灯</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63151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80瓦</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B2E9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15EF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15" w:type="dxa"/>
            <w:vMerge w:val="continue"/>
            <w:tcBorders>
              <w:left w:val="single" w:color="000000" w:sz="8" w:space="0"/>
              <w:right w:val="single" w:color="000000" w:sz="8" w:space="0"/>
            </w:tcBorders>
            <w:shd w:val="clear" w:color="auto" w:fill="auto"/>
            <w:vAlign w:val="center"/>
          </w:tcPr>
          <w:p w14:paraId="09C0725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BA8B1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螺口灯泡</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EE8E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LED，40W</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28D2E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C60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B1D4F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216EF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4P空气开关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DE998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250A</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EEB7B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F06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39CF3E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3A0987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4P空气开关</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3A28B2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200A</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1BA70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782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328F9D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CBE1C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食堂下水道盖饭</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D7AA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铁质200CM*30CM</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D8C1B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AD64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115" w:type="dxa"/>
            <w:vMerge w:val="continue"/>
            <w:tcBorders>
              <w:left w:val="single" w:color="000000" w:sz="8" w:space="0"/>
              <w:right w:val="single" w:color="000000" w:sz="8" w:space="0"/>
            </w:tcBorders>
            <w:shd w:val="clear" w:color="auto" w:fill="auto"/>
            <w:vAlign w:val="center"/>
          </w:tcPr>
          <w:p w14:paraId="044FCE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44DD9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飞机合页</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083879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304不锈钢合页，静音大弯液压缓冲</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17AF0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3D87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5C82E27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6943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窗户传动器</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EBDD0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内开0.8米，两点锁</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7EFA80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r>
      <w:tr w14:paraId="7C56C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263852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2513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LED高亮防爆灯</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580484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400W压铸飞碟，LED一体光源</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75FC1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69AAF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1115" w:type="dxa"/>
            <w:vMerge w:val="continue"/>
            <w:tcBorders>
              <w:left w:val="single" w:color="000000" w:sz="8" w:space="0"/>
              <w:right w:val="single" w:color="000000" w:sz="8" w:space="0"/>
            </w:tcBorders>
            <w:shd w:val="clear" w:color="auto" w:fill="auto"/>
            <w:vAlign w:val="center"/>
          </w:tcPr>
          <w:p w14:paraId="07DA875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20FD5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花洒套装</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04329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冷热水阀门、不锈钢软管花洒头、喷头塑料， 塑料固定架</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48BFCB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75B3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6F7DC0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13C6D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五孔墙体插板</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402CC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孔10A明装</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54A994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2956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7D9FD1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4951EC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自来水阀门</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7210B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20带螺丝</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DB77D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5C61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2CD2B2E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66BD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6平方电线</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286998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100米/卷；平行线</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2F1CEA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605F2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15" w:type="dxa"/>
            <w:vMerge w:val="continue"/>
            <w:tcBorders>
              <w:left w:val="single" w:color="000000" w:sz="8" w:space="0"/>
              <w:right w:val="single" w:color="000000" w:sz="8" w:space="0"/>
            </w:tcBorders>
            <w:shd w:val="clear" w:color="auto" w:fill="auto"/>
            <w:vAlign w:val="center"/>
          </w:tcPr>
          <w:p w14:paraId="50DC79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7F092D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门锁扣</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72BDAB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大号</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2027C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r>
      <w:tr w14:paraId="5B3F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115" w:type="dxa"/>
            <w:vMerge w:val="continue"/>
            <w:tcBorders>
              <w:left w:val="single" w:color="000000" w:sz="8" w:space="0"/>
              <w:right w:val="single" w:color="000000" w:sz="8" w:space="0"/>
            </w:tcBorders>
            <w:shd w:val="clear" w:color="auto" w:fill="auto"/>
            <w:vAlign w:val="center"/>
          </w:tcPr>
          <w:p w14:paraId="1E2AA9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26DA40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旋转喷灌喷头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4EAB2A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可调园艺旋转型喷头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3779B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4856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2011D07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032995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固定喷头</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6A6B2E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园艺固定型喷头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65233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14:paraId="7747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right w:val="single" w:color="000000" w:sz="8" w:space="0"/>
            </w:tcBorders>
            <w:shd w:val="clear" w:color="auto" w:fill="auto"/>
            <w:vAlign w:val="center"/>
          </w:tcPr>
          <w:p w14:paraId="58A3DB2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64091C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PE 水管子</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54315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25D，100米/卷</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0A8F2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r>
      <w:tr w14:paraId="1D0C3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115" w:type="dxa"/>
            <w:vMerge w:val="continue"/>
            <w:tcBorders>
              <w:left w:val="single" w:color="000000" w:sz="8" w:space="0"/>
              <w:bottom w:val="single" w:color="auto" w:sz="4" w:space="0"/>
              <w:right w:val="single" w:color="000000" w:sz="8" w:space="0"/>
            </w:tcBorders>
            <w:shd w:val="clear" w:color="auto" w:fill="auto"/>
            <w:vAlign w:val="center"/>
          </w:tcPr>
          <w:p w14:paraId="514F206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03" w:type="dxa"/>
            <w:tcBorders>
              <w:top w:val="single" w:color="auto" w:sz="4" w:space="0"/>
              <w:left w:val="single" w:color="auto" w:sz="4" w:space="0"/>
              <w:bottom w:val="single" w:color="auto" w:sz="4" w:space="0"/>
              <w:right w:val="single" w:color="auto" w:sz="4" w:space="0"/>
            </w:tcBorders>
            <w:shd w:val="clear" w:color="auto" w:fill="auto"/>
            <w:vAlign w:val="center"/>
          </w:tcPr>
          <w:p w14:paraId="50786C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电胶带</w:t>
            </w:r>
          </w:p>
        </w:tc>
        <w:tc>
          <w:tcPr>
            <w:tcW w:w="6132" w:type="dxa"/>
            <w:tcBorders>
              <w:top w:val="single" w:color="auto" w:sz="4" w:space="0"/>
              <w:left w:val="single" w:color="auto" w:sz="4" w:space="0"/>
              <w:bottom w:val="single" w:color="auto" w:sz="4" w:space="0"/>
              <w:right w:val="single" w:color="auto" w:sz="4" w:space="0"/>
            </w:tcBorders>
            <w:shd w:val="clear" w:color="auto" w:fill="auto"/>
            <w:vAlign w:val="center"/>
          </w:tcPr>
          <w:p w14:paraId="111776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14:paraId="65D9BB8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卷</w:t>
            </w:r>
          </w:p>
        </w:tc>
      </w:tr>
      <w:tr w14:paraId="0764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99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6DEA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备注：（1）以上供货产品及供货数量均以采购人实际需求为准，如以上产品采购人签订中标合同后后期不需要采购及产品数量有增减，中标单位不得强制性采购人采购（需提供承诺函，格式自拟，未提供则视为不符合招标文件规定的其他实质性要求的，按投标无效处理）；（2）本项目技术参数均为公共参数，无指向性，技术参数中若指向知名品牌均为参考指标。满足技术性能指标的供应商可根据相应货物选择品牌型号。</w:t>
            </w:r>
          </w:p>
        </w:tc>
      </w:tr>
    </w:tbl>
    <w:p w14:paraId="56D3EE2F">
      <w:pPr>
        <w:pStyle w:val="8"/>
        <w:sectPr>
          <w:headerReference r:id="rId9" w:type="default"/>
          <w:footerReference r:id="rId10" w:type="default"/>
          <w:pgSz w:w="11906" w:h="16838"/>
          <w:pgMar w:top="1440" w:right="1080" w:bottom="1440" w:left="1080" w:header="850" w:footer="847" w:gutter="0"/>
          <w:pgBorders>
            <w:top w:val="none" w:sz="0" w:space="0"/>
            <w:left w:val="none" w:sz="0" w:space="0"/>
            <w:bottom w:val="none" w:sz="0" w:space="0"/>
            <w:right w:val="none" w:sz="0" w:space="0"/>
          </w:pgBorders>
          <w:cols w:space="720" w:num="1"/>
        </w:sectPr>
      </w:pPr>
    </w:p>
    <w:p w14:paraId="5CABF797">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outlineLvl w:val="1"/>
        <w:rPr>
          <w:rFonts w:hint="eastAsia" w:ascii="仿宋" w:hAnsi="仿宋" w:eastAsia="仿宋" w:cs="仿宋"/>
          <w:b/>
          <w:bCs w:val="0"/>
          <w:color w:val="auto"/>
          <w:sz w:val="36"/>
          <w:szCs w:val="36"/>
          <w:highlight w:val="none"/>
          <w:lang w:val="en-US" w:eastAsia="zh-CN"/>
        </w:rPr>
      </w:pPr>
      <w:r>
        <w:rPr>
          <w:rFonts w:hint="eastAsia" w:ascii="仿宋" w:hAnsi="仿宋" w:eastAsia="仿宋" w:cs="仿宋"/>
          <w:b/>
          <w:bCs w:val="0"/>
          <w:color w:val="auto"/>
          <w:sz w:val="36"/>
          <w:szCs w:val="36"/>
          <w:highlight w:val="none"/>
          <w:lang w:val="en-US" w:eastAsia="zh-CN"/>
        </w:rPr>
        <w:t>第二部分 商务要求</w:t>
      </w:r>
      <w:bookmarkEnd w:id="402"/>
      <w:bookmarkEnd w:id="403"/>
      <w:bookmarkEnd w:id="404"/>
    </w:p>
    <w:p w14:paraId="7A16F49E">
      <w:pPr>
        <w:keepNext w:val="0"/>
        <w:keepLines w:val="0"/>
        <w:pageBreakBefore w:val="0"/>
        <w:kinsoku/>
        <w:wordWrap/>
        <w:overflowPunct/>
        <w:topLinePunct w:val="0"/>
        <w:autoSpaceDE w:val="0"/>
        <w:autoSpaceDN w:val="0"/>
        <w:bidi w:val="0"/>
        <w:adjustRightInd w:val="0"/>
        <w:spacing w:after="0" w:line="480" w:lineRule="exact"/>
        <w:textAlignment w:val="auto"/>
        <w:rPr>
          <w:rFonts w:hint="eastAsia" w:ascii="仿宋" w:hAnsi="仿宋" w:eastAsia="仿宋" w:cs="仿宋"/>
          <w:b/>
          <w:bCs/>
          <w:color w:val="auto"/>
          <w:sz w:val="28"/>
          <w:szCs w:val="28"/>
          <w:highlight w:val="none"/>
        </w:rPr>
      </w:pPr>
      <w:bookmarkStart w:id="405" w:name="_Toc27556"/>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rPr>
        <w:t>报价要求</w:t>
      </w:r>
    </w:p>
    <w:p w14:paraId="766783FA">
      <w:pPr>
        <w:keepNext w:val="0"/>
        <w:keepLines w:val="0"/>
        <w:pageBreakBefore w:val="0"/>
        <w:kinsoku/>
        <w:wordWrap/>
        <w:overflowPunct/>
        <w:topLinePunct w:val="0"/>
        <w:autoSpaceDE w:val="0"/>
        <w:autoSpaceDN w:val="0"/>
        <w:bidi w:val="0"/>
        <w:adjustRightInd w:val="0"/>
        <w:spacing w:after="0" w:line="48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lang w:val="en-US" w:eastAsia="zh-CN"/>
        </w:rPr>
        <w:t>本项目投标报价采用统一折扣率</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lang w:val="en-US" w:eastAsia="zh-CN"/>
        </w:rPr>
        <w:t>%的方式报价</w:t>
      </w:r>
      <w:r>
        <w:rPr>
          <w:rFonts w:hint="eastAsia" w:ascii="仿宋" w:hAnsi="仿宋" w:eastAsia="仿宋" w:cs="仿宋"/>
          <w:color w:val="auto"/>
          <w:sz w:val="28"/>
          <w:szCs w:val="28"/>
          <w:highlight w:val="none"/>
          <w:lang w:val="en-US" w:eastAsia="zh-CN"/>
        </w:rPr>
        <w:t>（备注：①采购人不接受供应商报折扣率＞100%。②其中本招标文件中所有折扣率报价均为统一报价，投标供应商所提交投标文件中所有折扣率必须有且只有一个折扣率报价，不得出现两个报价。）</w:t>
      </w:r>
    </w:p>
    <w:p w14:paraId="252CBB8E">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投标供应商报价应为报价单位完税价格，且包括但不限于所有货物（含相关配件、附件、安装、材料）价款、专用工具购置费、商检费、包装运输费、装卸费、清洁费、保险费、安装调试费、售后服务费、人力成本费、质保期内维护费、技术支持费、利润、税费、货物运抵采购人指定地点所产生的其它费用等。投标人漏报或不报，采购人将视为该漏报或不报部分的费用已包括在已报的分项报价中而不予支付。中标人投标报价为签订合同价，在合同有效期内，合同价不受市场价格变化的影响。</w:t>
      </w:r>
    </w:p>
    <w:p w14:paraId="51AB2B5A">
      <w:pPr>
        <w:keepNext w:val="0"/>
        <w:keepLines w:val="0"/>
        <w:pageBreakBefore w:val="0"/>
        <w:kinsoku/>
        <w:wordWrap/>
        <w:overflowPunct/>
        <w:topLinePunct w:val="0"/>
        <w:autoSpaceDE w:val="0"/>
        <w:autoSpaceDN w:val="0"/>
        <w:bidi w:val="0"/>
        <w:adjustRightInd w:val="0"/>
        <w:spacing w:after="0"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投标供应商在中标后，将根据采购人提供的材料清单进行询比价，询比价不少于3家供应商，以三家询比价的平均值作为参考价：如参考单价为100元，报价统一折扣率为90%，则成交价为90元。清单以外的材料按京东商城（同品牌、同型号、且销售量前三名）的报价*报价折扣率（简称京东价）提供报价，即：京东价*报价统一折扣率，双方根据实际价格协商确定；在京东商城上也查不到的材料，按采购人和中标人双方市场调研协议价（同品牌、同型号、不得少于三家）的报价*报价统一折扣率（简称市场价）提供报价（即：市场价*报价统一折扣率）</w:t>
      </w:r>
    </w:p>
    <w:p w14:paraId="4ED94109">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left"/>
        <w:textAlignment w:val="baseline"/>
        <w:outlineLvl w:val="2"/>
        <w:rPr>
          <w:rStyle w:val="62"/>
          <w:rFonts w:hint="default" w:ascii="仿宋" w:hAnsi="仿宋" w:eastAsia="仿宋" w:cs="仿宋"/>
          <w:b/>
          <w:bCs w:val="0"/>
          <w:i w:val="0"/>
          <w:caps w:val="0"/>
          <w:color w:val="auto"/>
          <w:spacing w:val="0"/>
          <w:w w:val="100"/>
          <w:kern w:val="2"/>
          <w:sz w:val="28"/>
          <w:szCs w:val="28"/>
          <w:highlight w:val="none"/>
          <w:lang w:val="en-US" w:eastAsia="zh-CN" w:bidi="ar-SA"/>
        </w:rPr>
      </w:pPr>
      <w:bookmarkStart w:id="406" w:name="_Toc20444"/>
      <w:r>
        <w:rPr>
          <w:rStyle w:val="62"/>
          <w:rFonts w:hint="eastAsia" w:ascii="仿宋" w:hAnsi="仿宋" w:eastAsia="仿宋" w:cs="仿宋"/>
          <w:b/>
          <w:bCs w:val="0"/>
          <w:i w:val="0"/>
          <w:caps w:val="0"/>
          <w:color w:val="auto"/>
          <w:spacing w:val="0"/>
          <w:w w:val="100"/>
          <w:kern w:val="2"/>
          <w:sz w:val="28"/>
          <w:szCs w:val="28"/>
          <w:highlight w:val="none"/>
          <w:lang w:val="en-US" w:eastAsia="zh-CN" w:bidi="ar-SA"/>
        </w:rPr>
        <w:t>2.售后服务要求：</w:t>
      </w:r>
    </w:p>
    <w:p w14:paraId="4B2A1160">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2" w:firstLineChars="200"/>
        <w:jc w:val="left"/>
        <w:textAlignment w:val="baseline"/>
        <w:outlineLvl w:val="2"/>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2.</w:t>
      </w:r>
      <w:bookmarkEnd w:id="406"/>
      <w:r>
        <w:rPr>
          <w:rStyle w:val="62"/>
          <w:rFonts w:hint="eastAsia" w:ascii="仿宋" w:hAnsi="仿宋" w:eastAsia="仿宋" w:cs="仿宋"/>
          <w:b/>
          <w:bCs w:val="0"/>
          <w:i w:val="0"/>
          <w:caps w:val="0"/>
          <w:color w:val="auto"/>
          <w:spacing w:val="0"/>
          <w:w w:val="100"/>
          <w:kern w:val="2"/>
          <w:sz w:val="28"/>
          <w:szCs w:val="28"/>
          <w:highlight w:val="none"/>
          <w:lang w:val="en-US" w:eastAsia="zh-CN" w:bidi="ar-SA"/>
        </w:rPr>
        <w:t>1质保期限</w:t>
      </w:r>
    </w:p>
    <w:p w14:paraId="38FE24F9">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货物质保期为1年，自交货使用之日起计算。质保期内，一切维修换件保养费用和备品备件均由中标人提供（不可抗力（如火灾、雷击等）造成的故障除外）；在正常使用条件下由于材料或制造上的缺陷而造成损坏的零件，中标人应提供保修。质保期外出现的货物质量问题，由中标人负责解决的，采购人支付相应的费用；在任何时候，中标人均不能免除因货物本身的缺陷所应付的责任。质保期内，如货物或零部件因质量原因出现故障而造成短期停用时，则质保期相应顺延，如停用时间累计超过60天则质保期重新计算。</w:t>
      </w:r>
      <w:r>
        <w:rPr>
          <w:rFonts w:hint="eastAsia" w:ascii="仿宋" w:hAnsi="仿宋" w:eastAsia="仿宋" w:cs="仿宋"/>
          <w:color w:val="auto"/>
          <w:kern w:val="2"/>
          <w:sz w:val="28"/>
          <w:szCs w:val="28"/>
          <w:highlight w:val="none"/>
          <w:lang w:val="en-US" w:eastAsia="zh-CN" w:bidi="ar-SA"/>
        </w:rPr>
        <w:t xml:space="preserve">  </w:t>
      </w:r>
    </w:p>
    <w:p w14:paraId="6BAD367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2" w:firstLineChars="200"/>
        <w:jc w:val="both"/>
        <w:textAlignment w:val="baseline"/>
        <w:outlineLvl w:val="2"/>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2.2配送要求</w:t>
      </w:r>
    </w:p>
    <w:bookmarkEnd w:id="405"/>
    <w:p w14:paraId="1BDCDC3D">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（1）中标人按照采购人要求供货至采购人指定地点，货物未能送到指定地点的，采购人有权拒绝收货，采购人不负责保管责任。 </w:t>
      </w:r>
    </w:p>
    <w:p w14:paraId="3C6000E1">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交货时间：自合同签订生效之日起1年内，采购人根据需求不定期向中标人发出日常配送需求通知，自接到采购人配送通知后，需在2小时内按本次供货需求送货上门。货物在交付采购人相关部门验收合格前，在包装、保管、装卸、运输等过程中如造成货物的损坏、灭失，责任由中标人承担，并在4小时内完成补货。</w:t>
      </w:r>
    </w:p>
    <w:p w14:paraId="20B20DE9">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（3）交货延期要求：若出现需要采购的产品数量不充足等情形，中标人须在收到采购人的供货通知后1小时内与采购人进行沟通；经采购人同意后，可延长交货时间。</w:t>
      </w:r>
    </w:p>
    <w:p w14:paraId="394361A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（4）退货处理：对于货不对版或达不到采购人订单注明质量要求的品种，采购人要求退货或换货的，中标人需给予无条件退货或更换。 </w:t>
      </w:r>
    </w:p>
    <w:p w14:paraId="3F6D50B7">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（5）中标人应保证货物数量的准确性，以采购人的验收数量为准，中标人每次随货携带送货清单，经双方验收后签字确认签收；以签收后的清单作为货款结算的凭证。 </w:t>
      </w:r>
    </w:p>
    <w:p w14:paraId="1B4098BE">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（6）采购的产品属于强制性产品认证（CCC）目录范围内的，中标人在交货时须提供该产品的CCC中国强制认证证书。</w:t>
      </w:r>
    </w:p>
    <w:p w14:paraId="58CACAD2">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（7）中标人应严格按采购人提供的配送清单向采购人供应货物，不 </w:t>
      </w:r>
    </w:p>
    <w:p w14:paraId="634C3780">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Fonts w:hint="eastAsia"/>
          <w:color w:val="auto"/>
          <w:lang w:val="en-US" w:eastAsia="zh-CN"/>
        </w:rPr>
      </w:pPr>
      <w:r>
        <w:rPr>
          <w:rFonts w:hint="eastAsia" w:ascii="仿宋" w:hAnsi="仿宋" w:eastAsia="仿宋" w:cs="仿宋"/>
          <w:color w:val="auto"/>
          <w:sz w:val="28"/>
          <w:szCs w:val="28"/>
          <w:highlight w:val="none"/>
          <w:lang w:val="en-US" w:eastAsia="zh-CN"/>
        </w:rPr>
        <w:t>得擅自供应清单以外的产品，否则采购人有权拒收。</w:t>
      </w:r>
    </w:p>
    <w:p w14:paraId="1C2D694E">
      <w:pPr>
        <w:keepNext w:val="0"/>
        <w:keepLines w:val="0"/>
        <w:widowControl/>
        <w:suppressLineNumbers w:val="0"/>
        <w:ind w:firstLine="562" w:firstLineChars="200"/>
        <w:jc w:val="left"/>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2.3供货、运输、 质量要求</w:t>
      </w:r>
    </w:p>
    <w:p w14:paraId="06AFB930">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中标人按采购人提供的材料清单进行供货，货物的规格、质量须等完全满足招标文件采购需求及投标文件承诺，不符合的采购人拒绝接受，若发现全新的货物出现货不对板的质量问题，或货物使用一个月内出现质量问题，中标人须无条件更换并承担由此造成的一切损失和责任。 </w:t>
      </w:r>
    </w:p>
    <w:p w14:paraId="5A3C9759">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货物为原制造商制造的全新产品，具有出厂合格证，序列号、包装箱号与出场批号一致，并可追索查阅。所有随设备的附件须齐全，整体无污染，无侵权行为、表面无划损、无任何缺陷隐患，无碰撞，各项技术指标完全符合国家监测标准及产品出厂标准，在中国境内可依常规安全合法使用。 </w:t>
      </w:r>
    </w:p>
    <w:p w14:paraId="42C41A9C">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（3）货物的包装必须是制造商原厂包装，其包装均应有良好的防湿、防锈、防潮、防雨、防腐及防碰撞的措施。凡由于包装不良造成的损失和由此产生的费用均由中标人承担。 </w:t>
      </w:r>
    </w:p>
    <w:p w14:paraId="097BB115">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（4）中标人负责将货物送到现场过程中的全部运输，包括装卸车、货物现场的搬运，费用由中标人负责。</w:t>
      </w:r>
    </w:p>
    <w:p w14:paraId="63098CFE">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（5）中标人应将关键设备的用户手册、保修手册、有关单证资料及配备件、随机工具等交付给采购人，使用操作及安全须知等重要资料应附有中文说明。 </w:t>
      </w:r>
    </w:p>
    <w:p w14:paraId="07901927">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如因质量发生争议，由各方共同委托察布查尔县市场监督部门进行质量鉴定；如该部门因受专业或技术等原因所限而不能办理的，则共同委托其他专门机构进行质量鉴定。其鉴定结论对各方均具有法律约束力。货物符合质量标准的，鉴定费由采购人承担；不符合质量标准的，鉴定费由中标人承担。 </w:t>
      </w:r>
    </w:p>
    <w:p w14:paraId="31D583D2">
      <w:pPr>
        <w:pageBreakBefore w:val="0"/>
        <w:kinsoku/>
        <w:wordWrap/>
        <w:overflowPunct/>
        <w:topLinePunct w:val="0"/>
        <w:bidi w:val="0"/>
        <w:spacing w:beforeAutospacing="0" w:afterAutospacing="0" w:line="480" w:lineRule="exact"/>
        <w:ind w:right="0" w:rightChars="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验收</w:t>
      </w:r>
      <w:r>
        <w:rPr>
          <w:rFonts w:hint="eastAsia" w:ascii="仿宋" w:hAnsi="仿宋" w:eastAsia="仿宋" w:cs="仿宋"/>
          <w:b/>
          <w:bCs/>
          <w:color w:val="auto"/>
          <w:sz w:val="28"/>
          <w:szCs w:val="28"/>
          <w:highlight w:val="none"/>
          <w:lang w:val="en-US" w:eastAsia="zh-CN"/>
        </w:rPr>
        <w:t>要求</w:t>
      </w:r>
    </w:p>
    <w:p w14:paraId="4EA58E0D">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3.1验收方式：由采购人组织的项目验收小组进行验收。 </w:t>
      </w:r>
    </w:p>
    <w:p w14:paraId="6BDA472F">
      <w:pPr>
        <w:keepNext w:val="0"/>
        <w:keepLines w:val="0"/>
        <w:pageBreakBefore w:val="0"/>
        <w:kinsoku/>
        <w:wordWrap/>
        <w:overflowPunct/>
        <w:topLinePunct w:val="0"/>
        <w:autoSpaceDE/>
        <w:autoSpaceDN/>
        <w:bidi w:val="0"/>
        <w:adjustRightInd/>
        <w:snapToGrid w:val="0"/>
        <w:spacing w:before="0" w:beforeAutospacing="0" w:after="0" w:afterAutospacing="0" w:line="480" w:lineRule="exact"/>
        <w:ind w:firstLine="560" w:firstLineChars="200"/>
        <w:jc w:val="both"/>
        <w:textAlignment w:val="baseline"/>
        <w:outlineLvl w:val="2"/>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验收标准：符合国家现行质量验收标准，招标文件要求、投标文件承诺、合同。供应商必须严格按照招标文件、投标文件的要求进行供货，规格、质量、性能指标必须达到或优于投标时的技术参数，若出现货不对板的质量问题，供应商必须在验收当天无条件更换并承担由此造成的一切损失和责任。</w:t>
      </w:r>
    </w:p>
    <w:p w14:paraId="2494EBE1">
      <w:pPr>
        <w:keepNext w:val="0"/>
        <w:keepLines w:val="0"/>
        <w:pageBreakBefore w:val="0"/>
        <w:kinsoku/>
        <w:wordWrap/>
        <w:overflowPunct/>
        <w:topLinePunct w:val="0"/>
        <w:autoSpaceDE/>
        <w:autoSpaceDN/>
        <w:bidi w:val="0"/>
        <w:adjustRightInd/>
        <w:snapToGrid w:val="0"/>
        <w:spacing w:before="0" w:beforeAutospacing="0" w:after="0" w:afterAutospacing="0" w:line="480" w:lineRule="exact"/>
        <w:jc w:val="both"/>
        <w:textAlignment w:val="baseline"/>
        <w:outlineLvl w:val="2"/>
        <w:rPr>
          <w:rStyle w:val="62"/>
          <w:rFonts w:hint="eastAsia" w:ascii="仿宋" w:hAnsi="仿宋" w:eastAsia="仿宋" w:cs="仿宋"/>
          <w:b/>
          <w:bCs w:val="0"/>
          <w:i w:val="0"/>
          <w:caps w:val="0"/>
          <w:color w:val="auto"/>
          <w:spacing w:val="0"/>
          <w:w w:val="100"/>
          <w:kern w:val="2"/>
          <w:sz w:val="28"/>
          <w:szCs w:val="28"/>
          <w:highlight w:val="none"/>
          <w:lang w:val="en-US" w:eastAsia="zh-CN" w:bidi="ar-SA"/>
        </w:rPr>
      </w:pPr>
      <w:r>
        <w:rPr>
          <w:rStyle w:val="62"/>
          <w:rFonts w:hint="eastAsia" w:ascii="仿宋" w:hAnsi="仿宋" w:eastAsia="仿宋" w:cs="仿宋"/>
          <w:b/>
          <w:bCs w:val="0"/>
          <w:i w:val="0"/>
          <w:caps w:val="0"/>
          <w:color w:val="auto"/>
          <w:spacing w:val="0"/>
          <w:w w:val="100"/>
          <w:kern w:val="2"/>
          <w:sz w:val="28"/>
          <w:szCs w:val="28"/>
          <w:highlight w:val="none"/>
          <w:lang w:val="en-US" w:eastAsia="zh-CN" w:bidi="ar-SA"/>
        </w:rPr>
        <w:t>4.其他要求：</w:t>
      </w:r>
    </w:p>
    <w:p w14:paraId="1F55C383">
      <w:pPr>
        <w:pStyle w:val="23"/>
        <w:pageBreakBefore w:val="0"/>
        <w:widowControl w:val="0"/>
        <w:numPr>
          <w:ilvl w:val="0"/>
          <w:numId w:val="0"/>
        </w:numPr>
        <w:kinsoku/>
        <w:wordWrap/>
        <w:overflowPunct/>
        <w:topLinePunct w:val="0"/>
        <w:bidi w:val="0"/>
        <w:snapToGrid/>
        <w:spacing w:line="440" w:lineRule="exact"/>
        <w:ind w:firstLine="562"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bCs/>
          <w:color w:val="auto"/>
          <w:kern w:val="2"/>
          <w:sz w:val="28"/>
          <w:szCs w:val="28"/>
          <w:lang w:val="en-US" w:eastAsia="zh-CN" w:bidi="ar-SA"/>
        </w:rPr>
        <w:t>4.1中标人在合同履约期限内有下列情形之一的，将被取消供货资格：</w:t>
      </w:r>
    </w:p>
    <w:p w14:paraId="59CD83FB">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（1）除不可抗力因素外，无故不给采购方供货的一次以上（含一次）；</w:t>
      </w:r>
    </w:p>
    <w:p w14:paraId="06D384DB">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（2）将项目转包其他单位的；</w:t>
      </w:r>
    </w:p>
    <w:p w14:paraId="52CDE3FC">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（3）在供货期产品质量出现严重问题不能满足采购人要求的；</w:t>
      </w:r>
    </w:p>
    <w:p w14:paraId="1BEF2C8B">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（4）在相关合作过程中存在履行合同、相互协调方面的严重问题及其他严重问题；</w:t>
      </w:r>
    </w:p>
    <w:p w14:paraId="7A601394">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（5）其他未尽事宜由供需双方在采购合同中详细约定。</w:t>
      </w:r>
    </w:p>
    <w:p w14:paraId="2ABC3D24">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 xml:space="preserve">4.2中标人应指派专人负责与采购人联系售后服务事宜。 </w:t>
      </w:r>
    </w:p>
    <w:p w14:paraId="3FDCAF4C">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4.3售后服务、保修服务齐全，且均按有关国家标准规定执行。</w:t>
      </w:r>
    </w:p>
    <w:p w14:paraId="50071B52">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4.4无论在保修期内或保修期外，中标人需免费提供上门服务。</w:t>
      </w:r>
    </w:p>
    <w:p w14:paraId="4F4E3924">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4.5本项目实际配送产品的种类和数量由采购人根据实际需要制定，采购人无法预计也无法保证向中标人采购的数量及产品，对此中标人不得向采购人追讨任何费用。</w:t>
      </w:r>
    </w:p>
    <w:p w14:paraId="02D8822C">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 xml:space="preserve">4.6配送材料清单中不限品牌的各项产品，中标人须提供优质产品， </w:t>
      </w:r>
    </w:p>
    <w:p w14:paraId="5CD997A7">
      <w:pPr>
        <w:pStyle w:val="23"/>
        <w:pageBreakBefore w:val="0"/>
        <w:widowControl w:val="0"/>
        <w:numPr>
          <w:ilvl w:val="0"/>
          <w:numId w:val="0"/>
        </w:numPr>
        <w:kinsoku/>
        <w:wordWrap/>
        <w:overflowPunct/>
        <w:topLinePunct w:val="0"/>
        <w:bidi w:val="0"/>
        <w:snapToGrid/>
        <w:spacing w:line="440" w:lineRule="exact"/>
        <w:textAlignment w:val="auto"/>
        <w:rPr>
          <w:rFonts w:hint="eastAsia" w:ascii="仿宋" w:hAnsi="仿宋" w:eastAsia="仿宋" w:cs="Times New Roman"/>
          <w:b w:val="0"/>
          <w:color w:val="auto"/>
          <w:kern w:val="2"/>
          <w:sz w:val="28"/>
          <w:szCs w:val="28"/>
          <w:lang w:val="en-US" w:eastAsia="zh-CN" w:bidi="ar-SA"/>
        </w:rPr>
      </w:pPr>
      <w:r>
        <w:rPr>
          <w:rFonts w:hint="eastAsia" w:ascii="仿宋" w:hAnsi="仿宋" w:eastAsia="仿宋" w:cs="Times New Roman"/>
          <w:b w:val="0"/>
          <w:color w:val="auto"/>
          <w:kern w:val="2"/>
          <w:sz w:val="28"/>
          <w:szCs w:val="28"/>
          <w:lang w:val="en-US" w:eastAsia="zh-CN" w:bidi="ar-SA"/>
        </w:rPr>
        <w:t>经采购人同意后方可进行供应，否则采购人有权拒收。</w:t>
      </w:r>
    </w:p>
    <w:p w14:paraId="12842A91">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4.7以上采购货物种类并非固定类目，以实际发生为准。</w:t>
      </w:r>
    </w:p>
    <w:p w14:paraId="65D1E410">
      <w:pPr>
        <w:keepNext w:val="0"/>
        <w:keepLines w:val="0"/>
        <w:pageBreakBefore w:val="0"/>
        <w:widowControl/>
        <w:kinsoku/>
        <w:wordWrap/>
        <w:overflowPunct/>
        <w:topLinePunct w:val="0"/>
        <w:autoSpaceDE/>
        <w:autoSpaceDN w:val="0"/>
        <w:bidi w:val="0"/>
        <w:adjustRightInd w:val="0"/>
        <w:snapToGrid w:val="0"/>
        <w:spacing w:after="0" w:line="480" w:lineRule="exact"/>
        <w:ind w:firstLine="560" w:firstLineChars="200"/>
        <w:jc w:val="left"/>
        <w:textAlignment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4.8</w:t>
      </w:r>
      <w:r>
        <w:rPr>
          <w:rFonts w:hint="eastAsia" w:ascii="仿宋" w:hAnsi="仿宋" w:eastAsia="仿宋" w:cs="仿宋"/>
          <w:b/>
          <w:bCs/>
          <w:color w:val="auto"/>
          <w:sz w:val="28"/>
          <w:szCs w:val="28"/>
          <w:highlight w:val="none"/>
          <w:lang w:val="en-US" w:eastAsia="zh-CN"/>
        </w:rPr>
        <w:t>如采购人因外力或其它不可抗力因素导致下年招标延误，由原中标单位继续配送至下一年招标事宜结束。</w:t>
      </w:r>
    </w:p>
    <w:p w14:paraId="5136B9A3">
      <w:pPr>
        <w:pStyle w:val="23"/>
        <w:pageBreakBefore w:val="0"/>
        <w:widowControl w:val="0"/>
        <w:numPr>
          <w:ilvl w:val="0"/>
          <w:numId w:val="0"/>
        </w:numPr>
        <w:kinsoku/>
        <w:wordWrap/>
        <w:overflowPunct/>
        <w:topLinePunct w:val="0"/>
        <w:bidi w:val="0"/>
        <w:snapToGrid/>
        <w:spacing w:line="440" w:lineRule="exact"/>
        <w:ind w:firstLine="560" w:firstLineChars="200"/>
        <w:textAlignment w:val="auto"/>
        <w:rPr>
          <w:rFonts w:hint="default" w:ascii="仿宋" w:hAnsi="仿宋" w:eastAsia="仿宋" w:cs="Times New Roman"/>
          <w:b w:val="0"/>
          <w:color w:val="auto"/>
          <w:kern w:val="2"/>
          <w:sz w:val="28"/>
          <w:szCs w:val="28"/>
          <w:lang w:val="en-US" w:eastAsia="zh-CN" w:bidi="ar-SA"/>
        </w:rPr>
      </w:pPr>
    </w:p>
    <w:p w14:paraId="6CED3546">
      <w:pPr>
        <w:pStyle w:val="33"/>
        <w:rPr>
          <w:rFonts w:hint="default"/>
          <w:color w:val="auto"/>
          <w:lang w:val="en-US" w:eastAsia="zh-CN"/>
        </w:rPr>
      </w:pPr>
    </w:p>
    <w:p w14:paraId="1EE18F3E">
      <w:pPr>
        <w:pStyle w:val="70"/>
        <w:pageBreakBefore w:val="0"/>
        <w:numPr>
          <w:ilvl w:val="0"/>
          <w:numId w:val="0"/>
        </w:numPr>
        <w:kinsoku/>
        <w:wordWrap/>
        <w:overflowPunct/>
        <w:topLinePunct w:val="0"/>
        <w:bidi w:val="0"/>
        <w:spacing w:line="480" w:lineRule="exact"/>
        <w:rPr>
          <w:rFonts w:hint="eastAsia"/>
          <w:color w:val="auto"/>
          <w:lang w:val="en-US" w:eastAsia="zh-CN"/>
        </w:rPr>
      </w:pPr>
    </w:p>
    <w:p w14:paraId="345D672E">
      <w:pPr>
        <w:pStyle w:val="2"/>
        <w:keepNext w:val="0"/>
        <w:keepLines w:val="0"/>
        <w:pageBreakBefore w:val="0"/>
        <w:widowControl w:val="0"/>
        <w:kinsoku/>
        <w:wordWrap/>
        <w:overflowPunct/>
        <w:topLinePunct w:val="0"/>
        <w:bidi w:val="0"/>
        <w:spacing w:line="480" w:lineRule="exact"/>
        <w:textAlignment w:val="auto"/>
        <w:outlineLvl w:val="9"/>
        <w:rPr>
          <w:rFonts w:hint="eastAsia" w:ascii="仿宋" w:hAnsi="仿宋" w:eastAsia="仿宋" w:cs="仿宋"/>
          <w:color w:val="auto"/>
          <w:sz w:val="44"/>
          <w:szCs w:val="44"/>
          <w:lang w:val="en-US" w:eastAsia="zh-CN"/>
        </w:rPr>
      </w:pPr>
    </w:p>
    <w:p w14:paraId="34B85158">
      <w:pPr>
        <w:rPr>
          <w:rFonts w:hint="eastAsia" w:ascii="仿宋" w:hAnsi="仿宋" w:eastAsia="仿宋" w:cs="仿宋"/>
          <w:color w:val="auto"/>
          <w:sz w:val="44"/>
          <w:szCs w:val="44"/>
          <w:lang w:val="en-US" w:eastAsia="zh-CN"/>
        </w:rPr>
      </w:pPr>
    </w:p>
    <w:p w14:paraId="68FCC07E">
      <w:pPr>
        <w:pStyle w:val="3"/>
        <w:outlineLvl w:val="9"/>
        <w:rPr>
          <w:rFonts w:hint="eastAsia" w:ascii="仿宋" w:hAnsi="仿宋" w:eastAsia="仿宋" w:cs="仿宋"/>
          <w:color w:val="auto"/>
          <w:sz w:val="44"/>
          <w:szCs w:val="44"/>
          <w:lang w:val="en-US" w:eastAsia="zh-CN"/>
        </w:rPr>
      </w:pPr>
    </w:p>
    <w:p w14:paraId="17433FD9">
      <w:pPr>
        <w:rPr>
          <w:rFonts w:hint="eastAsia" w:ascii="仿宋" w:hAnsi="仿宋" w:eastAsia="仿宋" w:cs="仿宋"/>
          <w:color w:val="auto"/>
          <w:sz w:val="44"/>
          <w:szCs w:val="44"/>
          <w:lang w:val="en-US" w:eastAsia="zh-CN"/>
        </w:rPr>
      </w:pPr>
    </w:p>
    <w:p w14:paraId="5272F7FB">
      <w:pPr>
        <w:pStyle w:val="3"/>
        <w:outlineLvl w:val="9"/>
        <w:rPr>
          <w:rFonts w:hint="eastAsia"/>
          <w:color w:val="auto"/>
          <w:lang w:val="en-US" w:eastAsia="zh-CN"/>
        </w:rPr>
      </w:pPr>
    </w:p>
    <w:p w14:paraId="00245DE4">
      <w:pPr>
        <w:rPr>
          <w:rFonts w:hint="eastAsia"/>
          <w:color w:val="auto"/>
          <w:lang w:val="en-US" w:eastAsia="zh-CN"/>
        </w:rPr>
      </w:pPr>
    </w:p>
    <w:p w14:paraId="23269BA1">
      <w:pPr>
        <w:pStyle w:val="13"/>
        <w:rPr>
          <w:rFonts w:hint="eastAsia"/>
          <w:color w:val="auto"/>
          <w:lang w:val="en-US" w:eastAsia="zh-CN"/>
        </w:rPr>
      </w:pPr>
    </w:p>
    <w:p w14:paraId="31ED99A5">
      <w:pPr>
        <w:rPr>
          <w:rFonts w:hint="eastAsia"/>
          <w:color w:val="auto"/>
          <w:lang w:val="en-US" w:eastAsia="zh-CN"/>
        </w:rPr>
      </w:pPr>
    </w:p>
    <w:p w14:paraId="383932E3">
      <w:pPr>
        <w:pStyle w:val="13"/>
        <w:rPr>
          <w:rFonts w:hint="eastAsia"/>
          <w:color w:val="auto"/>
          <w:lang w:val="en-US" w:eastAsia="zh-CN"/>
        </w:rPr>
      </w:pPr>
    </w:p>
    <w:p w14:paraId="1C842E13">
      <w:pPr>
        <w:pStyle w:val="8"/>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kern w:val="44"/>
          <w:sz w:val="44"/>
          <w:szCs w:val="44"/>
          <w:highlight w:val="none"/>
        </w:rPr>
      </w:pPr>
      <w:bookmarkStart w:id="407" w:name="_Toc30823"/>
      <w:bookmarkStart w:id="408" w:name="_Toc18480"/>
      <w:r>
        <w:rPr>
          <w:rFonts w:hint="eastAsia" w:ascii="仿宋" w:hAnsi="仿宋" w:eastAsia="仿宋" w:cs="仿宋"/>
          <w:b/>
          <w:color w:val="auto"/>
          <w:kern w:val="44"/>
          <w:sz w:val="44"/>
          <w:szCs w:val="44"/>
          <w:highlight w:val="none"/>
          <w:lang w:val="en-US" w:eastAsia="zh-CN"/>
        </w:rPr>
        <w:t>第五章 投标文件格式</w:t>
      </w:r>
      <w:bookmarkEnd w:id="76"/>
      <w:bookmarkEnd w:id="407"/>
      <w:bookmarkEnd w:id="408"/>
    </w:p>
    <w:p w14:paraId="7B9AAADD">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b/>
          <w:bCs w:val="0"/>
          <w:color w:val="auto"/>
          <w:sz w:val="36"/>
          <w:szCs w:val="36"/>
          <w:highlight w:val="none"/>
          <w:lang w:val="en-US" w:eastAsia="zh-CN"/>
        </w:rPr>
      </w:pPr>
      <w:bookmarkStart w:id="409" w:name="_Toc1601"/>
      <w:bookmarkStart w:id="410" w:name="_Toc18026"/>
      <w:r>
        <w:rPr>
          <w:rFonts w:hint="eastAsia" w:ascii="仿宋" w:hAnsi="仿宋" w:eastAsia="仿宋" w:cs="仿宋"/>
          <w:b/>
          <w:bCs w:val="0"/>
          <w:color w:val="auto"/>
          <w:sz w:val="36"/>
          <w:szCs w:val="36"/>
          <w:highlight w:val="none"/>
          <w:lang w:val="en-US" w:eastAsia="zh-CN"/>
        </w:rPr>
        <w:t xml:space="preserve">第一部分 </w:t>
      </w:r>
      <w:bookmarkStart w:id="411" w:name="_Toc28876"/>
      <w:r>
        <w:rPr>
          <w:rFonts w:hint="eastAsia" w:ascii="仿宋" w:hAnsi="仿宋" w:eastAsia="仿宋" w:cs="仿宋"/>
          <w:b/>
          <w:bCs w:val="0"/>
          <w:color w:val="auto"/>
          <w:sz w:val="36"/>
          <w:szCs w:val="36"/>
          <w:highlight w:val="none"/>
          <w:lang w:val="en-US" w:eastAsia="zh-CN"/>
        </w:rPr>
        <w:t>投标响应文件的上传</w:t>
      </w:r>
      <w:bookmarkEnd w:id="409"/>
      <w:bookmarkEnd w:id="410"/>
      <w:bookmarkEnd w:id="411"/>
    </w:p>
    <w:p w14:paraId="25C87A35">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一、资质审查</w:t>
      </w:r>
    </w:p>
    <w:p w14:paraId="2FE1C347">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资质审查部分按照第</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章</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供应商须知资料表中合格供应商的资格要求（1-</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）进行上传并加盖电子签章。</w:t>
      </w:r>
    </w:p>
    <w:p w14:paraId="0196F983">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二、报价响应</w:t>
      </w:r>
    </w:p>
    <w:p w14:paraId="479DB578">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报价需上传开标一览表并加盖电子签章。</w:t>
      </w:r>
    </w:p>
    <w:p w14:paraId="1D325889">
      <w:pPr>
        <w:pageBreakBefore w:val="0"/>
        <w:widowControl w:val="0"/>
        <w:kinsoku/>
        <w:wordWrap/>
        <w:overflowPunct/>
        <w:topLinePunct w:val="0"/>
        <w:bidi w:val="0"/>
        <w:snapToGrid/>
        <w:spacing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三、商务技术响应</w:t>
      </w:r>
    </w:p>
    <w:p w14:paraId="192155B6">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需上传整个投标响应文件并按照第二部分投标响应文件的组成和编制顺序上传，否则投标无效。</w:t>
      </w:r>
    </w:p>
    <w:p w14:paraId="2DA53645">
      <w:pPr>
        <w:pStyle w:val="8"/>
        <w:pageBreakBefore w:val="0"/>
        <w:widowControl w:val="0"/>
        <w:kinsoku/>
        <w:wordWrap/>
        <w:overflowPunct/>
        <w:topLinePunct w:val="0"/>
        <w:bidi w:val="0"/>
        <w:snapToGrid/>
        <w:spacing w:line="480" w:lineRule="exact"/>
        <w:jc w:val="both"/>
        <w:textAlignment w:val="auto"/>
        <w:rPr>
          <w:rFonts w:hint="eastAsia" w:ascii="仿宋" w:hAnsi="仿宋" w:eastAsia="仿宋" w:cs="仿宋"/>
          <w:b/>
          <w:bCs/>
          <w:color w:val="auto"/>
          <w:kern w:val="2"/>
          <w:sz w:val="28"/>
          <w:szCs w:val="28"/>
        </w:rPr>
      </w:pPr>
      <w:r>
        <w:rPr>
          <w:rFonts w:hint="eastAsia" w:ascii="仿宋" w:hAnsi="仿宋" w:eastAsia="仿宋" w:cs="仿宋"/>
          <w:b/>
          <w:bCs/>
          <w:color w:val="auto"/>
          <w:kern w:val="2"/>
          <w:sz w:val="28"/>
          <w:szCs w:val="28"/>
        </w:rPr>
        <w:t>注明：政采云系统上投标响应文件需与目录关联，若未关联或关联不完整，造成</w:t>
      </w:r>
      <w:r>
        <w:rPr>
          <w:rFonts w:hint="eastAsia" w:ascii="仿宋" w:hAnsi="仿宋" w:eastAsia="仿宋" w:cs="仿宋"/>
          <w:b/>
          <w:bCs/>
          <w:color w:val="auto"/>
          <w:kern w:val="2"/>
          <w:sz w:val="28"/>
          <w:szCs w:val="28"/>
          <w:lang w:val="en-US" w:eastAsia="zh-CN"/>
        </w:rPr>
        <w:t>评标委员会</w:t>
      </w:r>
      <w:r>
        <w:rPr>
          <w:rFonts w:hint="eastAsia" w:ascii="仿宋" w:hAnsi="仿宋" w:eastAsia="仿宋" w:cs="仿宋"/>
          <w:b/>
          <w:bCs/>
          <w:color w:val="auto"/>
          <w:kern w:val="2"/>
          <w:sz w:val="28"/>
          <w:szCs w:val="28"/>
        </w:rPr>
        <w:t>无法按照目录准确查阅相关内容，由此造成的相关不利后果由供应商自行承担。</w:t>
      </w:r>
    </w:p>
    <w:p w14:paraId="48CA2D7E">
      <w:pPr>
        <w:spacing w:line="440" w:lineRule="exact"/>
        <w:rPr>
          <w:rFonts w:hint="eastAsia" w:ascii="仿宋" w:hAnsi="仿宋" w:eastAsia="仿宋" w:cs="仿宋"/>
          <w:b/>
          <w:bCs/>
          <w:color w:val="auto"/>
          <w:sz w:val="28"/>
          <w:szCs w:val="28"/>
        </w:rPr>
      </w:pPr>
    </w:p>
    <w:p w14:paraId="09978420">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4920962C">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6B59B5C8">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0AD89118">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7C32BD80">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01B9ABC7">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43684B03">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429C4751">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6C3A83BF">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0B6804E0">
      <w:pPr>
        <w:pStyle w:val="3"/>
        <w:keepNext w:val="0"/>
        <w:keepLines w:val="0"/>
        <w:spacing w:before="0" w:line="440" w:lineRule="exact"/>
        <w:ind w:left="540" w:leftChars="257"/>
        <w:outlineLvl w:val="9"/>
        <w:rPr>
          <w:rFonts w:hint="eastAsia" w:ascii="仿宋" w:hAnsi="仿宋" w:eastAsia="仿宋" w:cs="仿宋"/>
          <w:bCs/>
          <w:color w:val="auto"/>
          <w:kern w:val="2"/>
          <w:sz w:val="36"/>
          <w:szCs w:val="36"/>
        </w:rPr>
      </w:pPr>
    </w:p>
    <w:p w14:paraId="2433F2B3">
      <w:pPr>
        <w:pStyle w:val="2"/>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480" w:lineRule="exact"/>
        <w:ind w:leftChars="0"/>
        <w:jc w:val="center"/>
        <w:textAlignment w:val="auto"/>
        <w:rPr>
          <w:rFonts w:hint="eastAsia" w:ascii="仿宋" w:hAnsi="仿宋" w:eastAsia="仿宋" w:cs="仿宋"/>
          <w:b/>
          <w:bCs w:val="0"/>
          <w:color w:val="auto"/>
          <w:sz w:val="36"/>
          <w:szCs w:val="36"/>
          <w:highlight w:val="none"/>
          <w:lang w:val="en-US" w:eastAsia="zh-CN"/>
        </w:rPr>
      </w:pPr>
      <w:bookmarkStart w:id="412" w:name="_Toc25468"/>
      <w:bookmarkStart w:id="413" w:name="_Toc16224"/>
      <w:r>
        <w:rPr>
          <w:rFonts w:hint="eastAsia" w:ascii="仿宋" w:hAnsi="仿宋" w:eastAsia="仿宋" w:cs="仿宋"/>
          <w:b/>
          <w:bCs w:val="0"/>
          <w:color w:val="auto"/>
          <w:sz w:val="36"/>
          <w:szCs w:val="36"/>
          <w:highlight w:val="none"/>
          <w:lang w:val="en-US" w:eastAsia="zh-CN"/>
        </w:rPr>
        <w:t xml:space="preserve">第二部分 </w:t>
      </w:r>
      <w:bookmarkStart w:id="414" w:name="_Toc26675"/>
      <w:r>
        <w:rPr>
          <w:rFonts w:hint="eastAsia" w:ascii="仿宋" w:hAnsi="仿宋" w:eastAsia="仿宋" w:cs="仿宋"/>
          <w:b/>
          <w:bCs w:val="0"/>
          <w:color w:val="auto"/>
          <w:sz w:val="36"/>
          <w:szCs w:val="36"/>
          <w:highlight w:val="none"/>
          <w:lang w:val="en-US" w:eastAsia="zh-CN"/>
        </w:rPr>
        <w:t>投标响应文件的编写</w:t>
      </w:r>
      <w:bookmarkEnd w:id="412"/>
      <w:bookmarkEnd w:id="413"/>
      <w:bookmarkEnd w:id="414"/>
      <w:r>
        <w:rPr>
          <w:rFonts w:hint="eastAsia" w:ascii="仿宋" w:hAnsi="仿宋" w:eastAsia="仿宋" w:cs="仿宋"/>
          <w:b/>
          <w:bCs w:val="0"/>
          <w:color w:val="auto"/>
          <w:sz w:val="36"/>
          <w:szCs w:val="36"/>
          <w:highlight w:val="none"/>
          <w:lang w:val="en-US" w:eastAsia="zh-CN"/>
        </w:rPr>
        <w:t xml:space="preserve"> </w:t>
      </w:r>
    </w:p>
    <w:p w14:paraId="5590F87A">
      <w:pPr>
        <w:pageBreakBefore w:val="0"/>
        <w:widowControl w:val="0"/>
        <w:kinsoku/>
        <w:wordWrap/>
        <w:overflowPunct/>
        <w:topLinePunct w:val="0"/>
        <w:bidi w:val="0"/>
        <w:snapToGrid/>
        <w:spacing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投标文件的组成和编制顺序：</w:t>
      </w:r>
    </w:p>
    <w:p w14:paraId="03CB7717">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请各供应商严格按照以下顺序编制投标文件，如未按要求编制投标文件的，投标无效。</w:t>
      </w:r>
    </w:p>
    <w:p w14:paraId="4E1DE41A">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1.投标函；【见投标文件格式】</w:t>
      </w:r>
    </w:p>
    <w:p w14:paraId="11631895">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2.投标声明函；【见投标文件格式】</w:t>
      </w:r>
    </w:p>
    <w:p w14:paraId="147283C7">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授权委托书（法定代表人参加提供法定代表人身份证明书）；【见投标文件格式】</w:t>
      </w:r>
    </w:p>
    <w:p w14:paraId="5A00B302">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4.开标一览表；【见投标文件格式】</w:t>
      </w:r>
    </w:p>
    <w:p w14:paraId="4B76ACC2">
      <w:pPr>
        <w:pageBreakBefore w:val="0"/>
        <w:widowControl w:val="0"/>
        <w:kinsoku/>
        <w:wordWrap/>
        <w:overflowPunct/>
        <w:topLinePunct w:val="0"/>
        <w:bidi w:val="0"/>
        <w:snapToGrid/>
        <w:spacing w:line="480" w:lineRule="exact"/>
        <w:ind w:firstLine="560" w:firstLineChars="200"/>
        <w:textAlignment w:val="auto"/>
        <w:rPr>
          <w:rFonts w:hint="eastAsia"/>
          <w:color w:val="auto"/>
          <w:sz w:val="28"/>
          <w:szCs w:val="28"/>
        </w:rPr>
      </w:pPr>
      <w:r>
        <w:rPr>
          <w:rFonts w:hint="eastAsia" w:ascii="仿宋" w:hAnsi="仿宋" w:eastAsia="仿宋" w:cs="仿宋"/>
          <w:color w:val="auto"/>
          <w:sz w:val="28"/>
          <w:szCs w:val="28"/>
        </w:rPr>
        <w:t>5.报价明细表；【见投标文件格式】</w:t>
      </w:r>
    </w:p>
    <w:p w14:paraId="50D13C50">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.技术参数偏离表；【见投标文件格式】</w:t>
      </w:r>
    </w:p>
    <w:p w14:paraId="302C768B">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.商务要求偏离表；【见投标文件格式】</w:t>
      </w:r>
    </w:p>
    <w:p w14:paraId="4D235796">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.项目负责人简历表及拟投入本项目主要成员表；【见投标文件格式】</w:t>
      </w:r>
    </w:p>
    <w:p w14:paraId="4C5CFCCD">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.根据本项目评分标准顺序编写；（自拟）</w:t>
      </w:r>
    </w:p>
    <w:p w14:paraId="1FD8D33A">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.类似业绩（</w:t>
      </w:r>
      <w:r>
        <w:rPr>
          <w:rFonts w:hint="eastAsia" w:ascii="仿宋" w:hAnsi="仿宋" w:eastAsia="仿宋" w:cs="仿宋"/>
          <w:color w:val="auto"/>
          <w:sz w:val="28"/>
          <w:szCs w:val="28"/>
          <w:lang w:val="en-US" w:eastAsia="zh-CN"/>
        </w:rPr>
        <w:t>附合同或中标（或成交）通知书复印件加盖企业公章</w:t>
      </w:r>
      <w:r>
        <w:rPr>
          <w:rFonts w:hint="eastAsia" w:ascii="仿宋" w:hAnsi="仿宋" w:eastAsia="仿宋" w:cs="仿宋"/>
          <w:color w:val="auto"/>
          <w:sz w:val="28"/>
          <w:szCs w:val="28"/>
        </w:rPr>
        <w:t>）；【见投标文件格式】</w:t>
      </w:r>
    </w:p>
    <w:p w14:paraId="12AEB3B7">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415" w:name="_Toc20165"/>
      <w:bookmarkStart w:id="416" w:name="_Toc9111"/>
      <w:r>
        <w:rPr>
          <w:rFonts w:hint="eastAsia" w:ascii="仿宋" w:hAnsi="仿宋" w:eastAsia="仿宋" w:cs="仿宋"/>
          <w:color w:val="auto"/>
          <w:sz w:val="28"/>
          <w:szCs w:val="28"/>
          <w:lang w:val="en-US" w:eastAsia="zh-CN"/>
        </w:rPr>
        <w:t>11.无串通投标行为的承诺书；</w:t>
      </w:r>
      <w:r>
        <w:rPr>
          <w:rFonts w:hint="eastAsia" w:ascii="仿宋" w:hAnsi="仿宋" w:eastAsia="仿宋" w:cs="仿宋"/>
          <w:color w:val="auto"/>
          <w:sz w:val="28"/>
          <w:szCs w:val="28"/>
        </w:rPr>
        <w:t>【见投标文件格式】</w:t>
      </w:r>
    </w:p>
    <w:p w14:paraId="5DBECCBD">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中小企业声明函（若有请如实填写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如不是无需附此函</w:t>
      </w:r>
      <w:r>
        <w:rPr>
          <w:rFonts w:hint="eastAsia" w:ascii="仿宋" w:hAnsi="仿宋" w:eastAsia="仿宋" w:cs="仿宋"/>
          <w:color w:val="auto"/>
          <w:sz w:val="28"/>
          <w:szCs w:val="28"/>
        </w:rPr>
        <w:t>）；【见投标文件格式】</w:t>
      </w:r>
    </w:p>
    <w:p w14:paraId="179A4D85">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.残疾人福利性单位声明函（若有如实填写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如不是无需附此函</w:t>
      </w:r>
      <w:r>
        <w:rPr>
          <w:rFonts w:hint="eastAsia" w:ascii="仿宋" w:hAnsi="仿宋" w:eastAsia="仿宋" w:cs="仿宋"/>
          <w:color w:val="auto"/>
          <w:sz w:val="28"/>
          <w:szCs w:val="28"/>
        </w:rPr>
        <w:t>）；【见投标文件格式】</w:t>
      </w:r>
    </w:p>
    <w:p w14:paraId="0AE707EC">
      <w:pPr>
        <w:pageBreakBefore w:val="0"/>
        <w:widowControl w:val="0"/>
        <w:kinsoku/>
        <w:wordWrap/>
        <w:overflowPunct/>
        <w:topLinePunct w:val="0"/>
        <w:bidi w:val="0"/>
        <w:snapToGrid/>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14.监狱企业证明</w:t>
      </w:r>
      <w:r>
        <w:rPr>
          <w:rFonts w:hint="eastAsia" w:ascii="仿宋" w:hAnsi="仿宋" w:eastAsia="仿宋" w:cs="仿宋"/>
          <w:color w:val="auto"/>
          <w:sz w:val="28"/>
          <w:szCs w:val="28"/>
        </w:rPr>
        <w:t>（若有如实填写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如不是无需附此证明</w:t>
      </w:r>
      <w:r>
        <w:rPr>
          <w:rFonts w:hint="eastAsia" w:ascii="仿宋" w:hAnsi="仿宋" w:eastAsia="仿宋" w:cs="仿宋"/>
          <w:color w:val="auto"/>
          <w:sz w:val="28"/>
          <w:szCs w:val="28"/>
        </w:rPr>
        <w:t>）；【见投标文件格式】</w:t>
      </w:r>
    </w:p>
    <w:p w14:paraId="42A3D0A5">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15.招标文件要求投标供应商提交的其它投标资料或者投标供应商认为有必要提供的资料；</w:t>
      </w:r>
    </w:p>
    <w:p w14:paraId="5F987318">
      <w:pPr>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417" w:name="_Toc3314"/>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.投标资质(2)-(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)项资料复印件加盖公章。</w:t>
      </w:r>
    </w:p>
    <w:bookmarkEnd w:id="415"/>
    <w:bookmarkEnd w:id="417"/>
    <w:p w14:paraId="78E3F49E">
      <w:pPr>
        <w:keepNext/>
        <w:keepLines/>
        <w:spacing w:line="380" w:lineRule="exact"/>
        <w:jc w:val="center"/>
        <w:rPr>
          <w:rFonts w:hint="eastAsia" w:ascii="仿宋" w:hAnsi="仿宋" w:eastAsia="仿宋" w:cs="仿宋"/>
          <w:b/>
          <w:bCs/>
          <w:color w:val="auto"/>
          <w:sz w:val="28"/>
          <w:szCs w:val="28"/>
        </w:rPr>
      </w:pPr>
      <w:bookmarkStart w:id="418" w:name="_Toc28441"/>
    </w:p>
    <w:p w14:paraId="31A88D6F">
      <w:pPr>
        <w:keepNext/>
        <w:keepLines/>
        <w:spacing w:line="380" w:lineRule="exact"/>
        <w:jc w:val="center"/>
        <w:rPr>
          <w:rFonts w:hint="eastAsia" w:ascii="仿宋" w:hAnsi="仿宋" w:eastAsia="仿宋" w:cs="仿宋"/>
          <w:b/>
          <w:bCs/>
          <w:color w:val="auto"/>
          <w:sz w:val="28"/>
          <w:szCs w:val="28"/>
        </w:rPr>
      </w:pPr>
    </w:p>
    <w:p w14:paraId="07E0761E">
      <w:pPr>
        <w:rPr>
          <w:rFonts w:hint="eastAsia"/>
          <w:color w:val="auto"/>
          <w:sz w:val="28"/>
          <w:szCs w:val="28"/>
        </w:rPr>
      </w:pPr>
    </w:p>
    <w:p w14:paraId="44BF10FB">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1.投 标 函</w:t>
      </w:r>
      <w:bookmarkEnd w:id="416"/>
      <w:bookmarkEnd w:id="418"/>
    </w:p>
    <w:p w14:paraId="0247F13B">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kern w:val="2"/>
          <w:sz w:val="28"/>
          <w:szCs w:val="28"/>
          <w:u w:val="single"/>
        </w:rPr>
        <w:t>:</w:t>
      </w:r>
    </w:p>
    <w:p w14:paraId="4081828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根据贵方组织招标的</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项目招标文号</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项目编号</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经正式授权并代表供应商（</w:t>
      </w:r>
      <w:r>
        <w:rPr>
          <w:rFonts w:hint="eastAsia" w:ascii="仿宋" w:hAnsi="仿宋" w:eastAsia="仿宋" w:cs="仿宋"/>
          <w:color w:val="auto"/>
          <w:sz w:val="28"/>
          <w:szCs w:val="28"/>
          <w:u w:val="single"/>
        </w:rPr>
        <w:t>供应商名称、地址</w:t>
      </w:r>
      <w:r>
        <w:rPr>
          <w:rFonts w:hint="eastAsia" w:ascii="仿宋" w:hAnsi="仿宋" w:eastAsia="仿宋" w:cs="仿宋"/>
          <w:color w:val="auto"/>
          <w:sz w:val="28"/>
          <w:szCs w:val="28"/>
        </w:rPr>
        <w:t>）处理本项目投标相关事宜</w:t>
      </w:r>
      <w:r>
        <w:rPr>
          <w:rFonts w:hint="eastAsia" w:ascii="仿宋" w:hAnsi="仿宋" w:eastAsia="仿宋" w:cs="仿宋"/>
          <w:b/>
          <w:bCs/>
          <w:color w:val="auto"/>
          <w:sz w:val="28"/>
          <w:szCs w:val="28"/>
        </w:rPr>
        <w:t>。</w:t>
      </w:r>
    </w:p>
    <w:p w14:paraId="085B1ED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1、投标声明函 </w:t>
      </w:r>
    </w:p>
    <w:p w14:paraId="15BABDE3">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color w:val="auto"/>
          <w:sz w:val="28"/>
          <w:szCs w:val="28"/>
        </w:rPr>
      </w:pPr>
      <w:r>
        <w:rPr>
          <w:rFonts w:hint="eastAsia" w:ascii="仿宋" w:hAnsi="仿宋" w:eastAsia="仿宋" w:cs="仿宋"/>
          <w:color w:val="auto"/>
          <w:sz w:val="28"/>
          <w:szCs w:val="28"/>
        </w:rPr>
        <w:t>2、法定代表人授权委托书/法定代表人身份证明书</w:t>
      </w:r>
    </w:p>
    <w:p w14:paraId="0BD0F5F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3、开标一览表</w:t>
      </w:r>
    </w:p>
    <w:p w14:paraId="190427F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4、按招标文件供应商须知、技术规格要求及其他要求提供有关文件</w:t>
      </w:r>
    </w:p>
    <w:p w14:paraId="3110FF6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5、资格证明文件</w:t>
      </w:r>
    </w:p>
    <w:p w14:paraId="6CC7994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6、投标保证金，形式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，金额为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4F460BD4">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据此函，我方宣布并同意如下：</w:t>
      </w:r>
    </w:p>
    <w:p w14:paraId="3BD342F7">
      <w:pPr>
        <w:pStyle w:val="16"/>
        <w:numPr>
          <w:ilvl w:val="0"/>
          <w:numId w:val="0"/>
        </w:numPr>
        <w:tabs>
          <w:tab w:val="left" w:pos="720"/>
          <w:tab w:val="left" w:pos="900"/>
        </w:tabs>
        <w:spacing w:line="440" w:lineRule="exact"/>
        <w:ind w:leftChars="257"/>
        <w:rPr>
          <w:rFonts w:hint="default" w:ascii="仿宋" w:hAnsi="仿宋" w:eastAsia="仿宋" w:cs="仿宋"/>
          <w:color w:val="auto"/>
          <w:sz w:val="28"/>
          <w:szCs w:val="28"/>
          <w:highlight w:val="none"/>
          <w:u w:val="single"/>
          <w:lang w:val="en-US"/>
        </w:rPr>
      </w:pPr>
      <w:r>
        <w:rPr>
          <w:rFonts w:hint="eastAsia" w:ascii="仿宋" w:hAnsi="仿宋" w:eastAsia="仿宋" w:cs="仿宋"/>
          <w:color w:val="auto"/>
          <w:sz w:val="28"/>
          <w:szCs w:val="28"/>
        </w:rPr>
        <w:t>1、所</w:t>
      </w:r>
      <w:r>
        <w:rPr>
          <w:rFonts w:hint="eastAsia" w:ascii="仿宋" w:hAnsi="仿宋" w:eastAsia="仿宋" w:cs="仿宋"/>
          <w:color w:val="auto"/>
          <w:sz w:val="28"/>
          <w:szCs w:val="28"/>
          <w:highlight w:val="none"/>
        </w:rPr>
        <w:t>附投标价格表中规定的应提供货物的投标</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总</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val="en-US" w:eastAsia="zh-CN"/>
        </w:rPr>
        <w:t>开标</w:t>
      </w:r>
    </w:p>
    <w:p w14:paraId="793884C7">
      <w:pPr>
        <w:pStyle w:val="16"/>
        <w:numPr>
          <w:ilvl w:val="0"/>
          <w:numId w:val="0"/>
        </w:numPr>
        <w:tabs>
          <w:tab w:val="left" w:pos="720"/>
          <w:tab w:val="left" w:pos="900"/>
        </w:tabs>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highlight w:val="none"/>
        </w:rPr>
        <w:t>一览表。</w:t>
      </w:r>
    </w:p>
    <w:p w14:paraId="2DB83B0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2、供应商将按招标文件的规定履行合同责任和义务</w:t>
      </w:r>
      <w:r>
        <w:rPr>
          <w:rFonts w:hint="eastAsia" w:ascii="仿宋" w:hAnsi="仿宋" w:eastAsia="仿宋" w:cs="仿宋"/>
          <w:color w:val="auto"/>
          <w:sz w:val="28"/>
          <w:szCs w:val="28"/>
          <w:lang w:eastAsia="zh-CN"/>
        </w:rPr>
        <w:t>。</w:t>
      </w:r>
    </w:p>
    <w:p w14:paraId="629EFE61">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3、供应商已详细阅读并理解了招标文件的全部，包括修改文件（如有的话）。我们完全理解并同意放弃对这方面有不明及误解的权利。</w:t>
      </w:r>
    </w:p>
    <w:p w14:paraId="4BB3271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4、本投标有效期自开标之日起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个日历日。</w:t>
      </w:r>
    </w:p>
    <w:p w14:paraId="08D01729">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5、在规定的开标时间后，如果在投标有效期内撤回投标，同意按相关法律法规处理。</w:t>
      </w:r>
    </w:p>
    <w:p w14:paraId="70A4399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6、供应商同意提供按照贵方可能要求的与其投标有关的一切数据或资料，完全理解贵方不一定接受最低价的投标或收到的任何投标的约定。</w:t>
      </w:r>
    </w:p>
    <w:p w14:paraId="163E9DBD">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7、与本投标有关的一切正式往来信函请寄：</w:t>
      </w:r>
    </w:p>
    <w:p w14:paraId="7B1E43B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　　　　　 址：　　　　　　　　    　　邮编：</w:t>
      </w:r>
    </w:p>
    <w:p w14:paraId="7CB03D3A">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　　　　　 话：　　　　　　　　　　    传真：</w:t>
      </w:r>
    </w:p>
    <w:p w14:paraId="10844CF8">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供应商代表签字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　　　　　　　　　　　　　</w:t>
      </w:r>
    </w:p>
    <w:p w14:paraId="5C078EA6">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投 标 人 名 称：　      　　　　　　　　　</w:t>
      </w:r>
    </w:p>
    <w:p w14:paraId="54A706C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          章：　　　　　　　　　20 　年　   月   　日</w:t>
      </w:r>
    </w:p>
    <w:p w14:paraId="0FCB39CA">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b/>
          <w:color w:val="auto"/>
          <w:sz w:val="28"/>
          <w:szCs w:val="28"/>
        </w:rPr>
      </w:pPr>
    </w:p>
    <w:p w14:paraId="7255C3BF">
      <w:pPr>
        <w:keepNext w:val="0"/>
        <w:keepLines w:val="0"/>
        <w:pageBreakBefore w:val="0"/>
        <w:kinsoku/>
        <w:wordWrap/>
        <w:overflowPunct/>
        <w:topLinePunct w:val="0"/>
        <w:autoSpaceDE/>
        <w:autoSpaceDN/>
        <w:bidi w:val="0"/>
        <w:adjustRightInd/>
        <w:snapToGrid/>
        <w:spacing w:line="480" w:lineRule="exact"/>
        <w:ind w:firstLine="3654" w:firstLineChars="1300"/>
        <w:textAlignment w:val="auto"/>
        <w:rPr>
          <w:rFonts w:hint="eastAsia" w:ascii="仿宋" w:hAnsi="仿宋" w:eastAsia="仿宋"/>
          <w:b/>
          <w:color w:val="auto"/>
          <w:sz w:val="28"/>
          <w:szCs w:val="28"/>
        </w:rPr>
      </w:pPr>
      <w:r>
        <w:rPr>
          <w:rFonts w:hint="eastAsia" w:ascii="仿宋" w:hAnsi="仿宋" w:eastAsia="仿宋"/>
          <w:b/>
          <w:color w:val="auto"/>
          <w:sz w:val="28"/>
          <w:szCs w:val="28"/>
        </w:rPr>
        <w:t>2.投标声明函</w:t>
      </w:r>
    </w:p>
    <w:p w14:paraId="6D8A4D34">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kern w:val="2"/>
          <w:sz w:val="28"/>
          <w:szCs w:val="28"/>
          <w:u w:val="single"/>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kern w:val="2"/>
          <w:sz w:val="28"/>
          <w:szCs w:val="28"/>
          <w:u w:val="single"/>
        </w:rPr>
        <w:t>:</w:t>
      </w:r>
    </w:p>
    <w:p w14:paraId="55AFCD3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关于贵方20</w:t>
      </w:r>
      <w:r>
        <w:rPr>
          <w:rFonts w:hint="eastAsia" w:ascii="仿宋" w:hAnsi="仿宋" w:eastAsia="仿宋"/>
          <w:color w:val="auto"/>
          <w:sz w:val="28"/>
          <w:szCs w:val="28"/>
          <w:u w:val="single"/>
        </w:rPr>
        <w:t>　　</w:t>
      </w:r>
      <w:r>
        <w:rPr>
          <w:rFonts w:hint="eastAsia" w:ascii="仿宋" w:hAnsi="仿宋" w:eastAsia="仿宋"/>
          <w:color w:val="auto"/>
          <w:sz w:val="28"/>
          <w:szCs w:val="28"/>
        </w:rPr>
        <w:t>年</w:t>
      </w:r>
      <w:r>
        <w:rPr>
          <w:rFonts w:hint="eastAsia" w:ascii="仿宋" w:hAnsi="仿宋" w:eastAsia="仿宋"/>
          <w:color w:val="auto"/>
          <w:sz w:val="28"/>
          <w:szCs w:val="28"/>
          <w:u w:val="single"/>
        </w:rPr>
        <w:t>　　</w:t>
      </w:r>
      <w:r>
        <w:rPr>
          <w:rFonts w:hint="eastAsia" w:ascii="仿宋" w:hAnsi="仿宋" w:eastAsia="仿宋"/>
          <w:color w:val="auto"/>
          <w:sz w:val="28"/>
          <w:szCs w:val="28"/>
        </w:rPr>
        <w:t>月</w:t>
      </w:r>
      <w:r>
        <w:rPr>
          <w:rFonts w:hint="eastAsia" w:ascii="仿宋" w:hAnsi="仿宋" w:eastAsia="仿宋"/>
          <w:color w:val="auto"/>
          <w:sz w:val="28"/>
          <w:szCs w:val="28"/>
          <w:u w:val="single"/>
        </w:rPr>
        <w:t>　　</w:t>
      </w:r>
      <w:r>
        <w:rPr>
          <w:rFonts w:hint="eastAsia" w:ascii="仿宋" w:hAnsi="仿宋" w:eastAsia="仿宋"/>
          <w:color w:val="auto"/>
          <w:sz w:val="28"/>
          <w:szCs w:val="28"/>
        </w:rPr>
        <w:t>日第</w:t>
      </w:r>
      <w:r>
        <w:rPr>
          <w:rFonts w:hint="eastAsia" w:ascii="仿宋" w:hAnsi="仿宋" w:eastAsia="仿宋"/>
          <w:color w:val="auto"/>
          <w:sz w:val="28"/>
          <w:szCs w:val="28"/>
          <w:u w:val="single"/>
        </w:rPr>
        <w:t>（项目编号）</w:t>
      </w:r>
      <w:r>
        <w:rPr>
          <w:rFonts w:hint="eastAsia" w:ascii="仿宋" w:hAnsi="仿宋" w:eastAsia="仿宋"/>
          <w:color w:val="auto"/>
          <w:sz w:val="28"/>
          <w:szCs w:val="28"/>
        </w:rPr>
        <w:t>关于</w:t>
      </w:r>
      <w:r>
        <w:rPr>
          <w:rFonts w:hint="eastAsia" w:ascii="仿宋" w:hAnsi="仿宋" w:eastAsia="仿宋"/>
          <w:color w:val="auto"/>
          <w:sz w:val="28"/>
          <w:szCs w:val="28"/>
          <w:u w:val="single"/>
        </w:rPr>
        <w:t>“　　　　　　　　”</w:t>
      </w:r>
      <w:r>
        <w:rPr>
          <w:rFonts w:hint="eastAsia" w:ascii="仿宋" w:hAnsi="仿宋" w:eastAsia="仿宋"/>
          <w:color w:val="auto"/>
          <w:sz w:val="28"/>
          <w:szCs w:val="28"/>
        </w:rPr>
        <w:t>的招标项目，我方愿意参加投标，并有能力提供</w:t>
      </w:r>
      <w:r>
        <w:rPr>
          <w:rFonts w:hint="eastAsia" w:ascii="仿宋" w:hAnsi="仿宋" w:eastAsia="仿宋"/>
          <w:color w:val="auto"/>
          <w:sz w:val="28"/>
          <w:szCs w:val="28"/>
          <w:u w:val="single"/>
        </w:rPr>
        <w:t xml:space="preserve">  （项目名称） </w:t>
      </w:r>
      <w:r>
        <w:rPr>
          <w:rFonts w:hint="eastAsia" w:ascii="仿宋" w:hAnsi="仿宋" w:eastAsia="仿宋"/>
          <w:color w:val="auto"/>
          <w:sz w:val="28"/>
          <w:szCs w:val="28"/>
        </w:rPr>
        <w:t>项目中的供货和售后服务，并保证所提交的所有文件和说明是真实和准确的。</w:t>
      </w:r>
    </w:p>
    <w:p w14:paraId="5DB6DE8D">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u w:val="single"/>
        </w:rPr>
      </w:pPr>
      <w:r>
        <w:rPr>
          <w:rFonts w:hint="eastAsia" w:ascii="仿宋" w:hAnsi="仿宋" w:eastAsia="仿宋"/>
          <w:color w:val="auto"/>
          <w:sz w:val="28"/>
          <w:szCs w:val="28"/>
        </w:rPr>
        <w:t>供应商：</w:t>
      </w:r>
      <w:r>
        <w:rPr>
          <w:rFonts w:hint="eastAsia" w:ascii="仿宋" w:hAnsi="仿宋" w:eastAsia="仿宋"/>
          <w:color w:val="auto"/>
          <w:sz w:val="28"/>
          <w:szCs w:val="28"/>
          <w:u w:val="single"/>
        </w:rPr>
        <w:t>　供应商名称　</w:t>
      </w:r>
      <w:r>
        <w:rPr>
          <w:rFonts w:hint="eastAsia" w:ascii="仿宋" w:hAnsi="仿宋" w:eastAsia="仿宋"/>
          <w:color w:val="auto"/>
          <w:sz w:val="28"/>
          <w:szCs w:val="28"/>
        </w:rPr>
        <w:t>　　　　　　签字人职务：</w:t>
      </w:r>
    </w:p>
    <w:p w14:paraId="3E924935">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rPr>
      </w:pPr>
      <w:r>
        <w:rPr>
          <w:rFonts w:hint="eastAsia" w:ascii="仿宋" w:hAnsi="仿宋" w:eastAsia="仿宋"/>
          <w:color w:val="auto"/>
          <w:sz w:val="28"/>
          <w:szCs w:val="28"/>
        </w:rPr>
        <w:t>地址：　　　　　　　　　　　　 　 授权签署本资格文件人：</w:t>
      </w:r>
      <w:r>
        <w:rPr>
          <w:rFonts w:hint="eastAsia" w:ascii="仿宋" w:hAnsi="仿宋" w:eastAsia="仿宋"/>
          <w:color w:val="auto"/>
          <w:sz w:val="28"/>
          <w:szCs w:val="28"/>
          <w:u w:val="single"/>
        </w:rPr>
        <w:t>授权人姓名</w:t>
      </w:r>
    </w:p>
    <w:p w14:paraId="599719BF">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ascii="仿宋" w:hAnsi="仿宋" w:eastAsia="仿宋"/>
          <w:color w:val="auto"/>
          <w:sz w:val="28"/>
          <w:szCs w:val="28"/>
        </w:rPr>
      </w:pPr>
      <w:r>
        <w:rPr>
          <w:rFonts w:hint="eastAsia" w:ascii="仿宋" w:hAnsi="仿宋" w:eastAsia="仿宋"/>
          <w:color w:val="auto"/>
          <w:sz w:val="28"/>
          <w:szCs w:val="28"/>
        </w:rPr>
        <w:t xml:space="preserve">传真：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邮编：　　　　　　　　　　　　</w:t>
      </w:r>
    </w:p>
    <w:p w14:paraId="235B1EDC">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r>
        <w:rPr>
          <w:rFonts w:hint="eastAsia" w:ascii="仿宋" w:hAnsi="仿宋" w:eastAsia="仿宋"/>
          <w:color w:val="auto"/>
          <w:sz w:val="28"/>
          <w:szCs w:val="28"/>
        </w:rPr>
        <w:t xml:space="preserve">盖章：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电话：　　　　　　　　</w:t>
      </w:r>
    </w:p>
    <w:p w14:paraId="652A3A9E">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p>
    <w:p w14:paraId="5C2B3F1F">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p>
    <w:p w14:paraId="1AA70E32">
      <w:pPr>
        <w:keepNext w:val="0"/>
        <w:keepLines w:val="0"/>
        <w:pageBreakBefore w:val="0"/>
        <w:kinsoku/>
        <w:wordWrap/>
        <w:overflowPunct/>
        <w:topLinePunct w:val="0"/>
        <w:autoSpaceDE/>
        <w:autoSpaceDN/>
        <w:bidi w:val="0"/>
        <w:adjustRightInd/>
        <w:snapToGrid/>
        <w:spacing w:line="480" w:lineRule="exact"/>
        <w:ind w:left="420" w:leftChars="200"/>
        <w:textAlignment w:val="auto"/>
        <w:rPr>
          <w:rFonts w:hint="eastAsia" w:ascii="仿宋" w:hAnsi="仿宋" w:eastAsia="仿宋"/>
          <w:color w:val="auto"/>
          <w:sz w:val="28"/>
          <w:szCs w:val="28"/>
        </w:rPr>
      </w:pPr>
    </w:p>
    <w:p w14:paraId="7F8B376B">
      <w:pPr>
        <w:keepNext w:val="0"/>
        <w:keepLines w:val="0"/>
        <w:pageBreakBefore w:val="0"/>
        <w:kinsoku/>
        <w:wordWrap/>
        <w:overflowPunct/>
        <w:topLinePunct w:val="0"/>
        <w:autoSpaceDE/>
        <w:autoSpaceDN/>
        <w:bidi w:val="0"/>
        <w:adjustRightInd/>
        <w:snapToGrid/>
        <w:spacing w:line="480" w:lineRule="exact"/>
        <w:ind w:left="420" w:leftChars="200" w:firstLine="5880" w:firstLineChars="2100"/>
        <w:textAlignment w:val="auto"/>
        <w:rPr>
          <w:rFonts w:hint="eastAsia" w:ascii="仿宋" w:hAnsi="仿宋" w:eastAsia="仿宋"/>
          <w:bCs/>
          <w:color w:val="auto"/>
          <w:sz w:val="28"/>
          <w:szCs w:val="28"/>
        </w:rPr>
      </w:pPr>
      <w:r>
        <w:rPr>
          <w:rFonts w:hint="eastAsia" w:ascii="仿宋" w:hAnsi="仿宋" w:eastAsia="仿宋"/>
          <w:bCs/>
          <w:color w:val="auto"/>
          <w:sz w:val="28"/>
          <w:szCs w:val="28"/>
        </w:rPr>
        <w:t>20</w:t>
      </w:r>
      <w:r>
        <w:rPr>
          <w:rFonts w:hint="eastAsia" w:ascii="仿宋" w:hAnsi="仿宋" w:eastAsia="仿宋"/>
          <w:bCs/>
          <w:color w:val="auto"/>
          <w:sz w:val="28"/>
          <w:szCs w:val="28"/>
          <w:u w:val="single"/>
        </w:rPr>
        <w:t>　</w:t>
      </w:r>
      <w:r>
        <w:rPr>
          <w:rFonts w:hint="eastAsia" w:ascii="仿宋" w:hAnsi="仿宋" w:eastAsia="仿宋"/>
          <w:bCs/>
          <w:color w:val="auto"/>
          <w:sz w:val="28"/>
          <w:szCs w:val="28"/>
        </w:rPr>
        <w:t>年</w:t>
      </w:r>
      <w:r>
        <w:rPr>
          <w:rFonts w:hint="eastAsia" w:ascii="仿宋" w:hAnsi="仿宋" w:eastAsia="仿宋"/>
          <w:bCs/>
          <w:color w:val="auto"/>
          <w:sz w:val="28"/>
          <w:szCs w:val="28"/>
          <w:u w:val="single"/>
        </w:rPr>
        <w:t>　</w:t>
      </w:r>
      <w:r>
        <w:rPr>
          <w:rFonts w:hint="eastAsia" w:ascii="仿宋" w:hAnsi="仿宋" w:eastAsia="仿宋"/>
          <w:bCs/>
          <w:color w:val="auto"/>
          <w:sz w:val="28"/>
          <w:szCs w:val="28"/>
        </w:rPr>
        <w:t>月</w:t>
      </w:r>
      <w:r>
        <w:rPr>
          <w:rFonts w:hint="eastAsia" w:ascii="仿宋" w:hAnsi="仿宋" w:eastAsia="仿宋"/>
          <w:bCs/>
          <w:color w:val="auto"/>
          <w:sz w:val="28"/>
          <w:szCs w:val="28"/>
          <w:u w:val="single"/>
        </w:rPr>
        <w:t>　</w:t>
      </w:r>
      <w:r>
        <w:rPr>
          <w:rFonts w:hint="eastAsia" w:ascii="仿宋" w:hAnsi="仿宋" w:eastAsia="仿宋"/>
          <w:bCs/>
          <w:color w:val="auto"/>
          <w:sz w:val="28"/>
          <w:szCs w:val="28"/>
        </w:rPr>
        <w:t>日</w:t>
      </w:r>
      <w:bookmarkStart w:id="419" w:name="_Toc28992"/>
      <w:bookmarkStart w:id="420" w:name="_Toc8441"/>
      <w:bookmarkStart w:id="421" w:name="_Toc17429"/>
      <w:bookmarkStart w:id="422" w:name="_Toc6509"/>
      <w:bookmarkStart w:id="423" w:name="_Toc17568"/>
      <w:bookmarkStart w:id="424" w:name="_Toc22678_WPSOffice_Level2"/>
      <w:bookmarkStart w:id="425" w:name="_Toc10673"/>
      <w:bookmarkStart w:id="426" w:name="_Toc16155"/>
      <w:bookmarkStart w:id="427" w:name="_Toc10792"/>
      <w:bookmarkStart w:id="428" w:name="_Toc3640"/>
      <w:bookmarkStart w:id="429" w:name="_Toc913"/>
      <w:bookmarkStart w:id="430" w:name="_Toc28959"/>
      <w:bookmarkStart w:id="431" w:name="_Toc13542"/>
      <w:bookmarkStart w:id="432" w:name="_Toc1255"/>
      <w:bookmarkStart w:id="433" w:name="_Toc10815"/>
    </w:p>
    <w:p w14:paraId="578AF81F">
      <w:pPr>
        <w:pStyle w:val="33"/>
        <w:spacing w:line="440" w:lineRule="exact"/>
        <w:ind w:left="7108" w:firstLine="0" w:firstLineChars="0"/>
        <w:rPr>
          <w:rFonts w:hint="eastAsia"/>
          <w:color w:val="auto"/>
          <w:sz w:val="28"/>
          <w:szCs w:val="28"/>
        </w:rPr>
      </w:pPr>
    </w:p>
    <w:p w14:paraId="62B4C621">
      <w:pPr>
        <w:pStyle w:val="3"/>
        <w:spacing w:before="0" w:line="360" w:lineRule="auto"/>
        <w:outlineLvl w:val="9"/>
        <w:rPr>
          <w:rFonts w:hint="eastAsia" w:ascii="仿宋" w:hAnsi="仿宋" w:eastAsia="仿宋" w:cs="仿宋"/>
          <w:bCs/>
          <w:color w:val="auto"/>
          <w:sz w:val="32"/>
          <w:szCs w:val="32"/>
        </w:rPr>
      </w:pPr>
    </w:p>
    <w:p w14:paraId="19D2514E">
      <w:pPr>
        <w:pStyle w:val="3"/>
        <w:spacing w:before="0" w:line="360" w:lineRule="auto"/>
        <w:outlineLvl w:val="9"/>
        <w:rPr>
          <w:rFonts w:hint="eastAsia" w:ascii="仿宋" w:hAnsi="仿宋" w:eastAsia="仿宋" w:cs="仿宋"/>
          <w:bCs/>
          <w:color w:val="auto"/>
          <w:sz w:val="32"/>
          <w:szCs w:val="32"/>
        </w:rPr>
      </w:pPr>
    </w:p>
    <w:p w14:paraId="732211AD">
      <w:pPr>
        <w:pStyle w:val="3"/>
        <w:spacing w:before="0" w:line="360" w:lineRule="auto"/>
        <w:jc w:val="both"/>
        <w:outlineLvl w:val="9"/>
        <w:rPr>
          <w:rFonts w:hint="eastAsia" w:ascii="仿宋" w:hAnsi="仿宋" w:eastAsia="仿宋" w:cs="仿宋"/>
          <w:bCs/>
          <w:color w:val="auto"/>
          <w:sz w:val="32"/>
          <w:szCs w:val="32"/>
        </w:rPr>
      </w:pPr>
      <w:bookmarkStart w:id="434" w:name="_Toc28642"/>
      <w:bookmarkStart w:id="435" w:name="_Toc20777"/>
      <w:bookmarkStart w:id="436" w:name="_Toc16547"/>
    </w:p>
    <w:p w14:paraId="1E165B6D">
      <w:pPr>
        <w:rPr>
          <w:rFonts w:hint="eastAsia" w:ascii="仿宋" w:hAnsi="仿宋" w:eastAsia="仿宋" w:cs="仿宋"/>
          <w:b/>
          <w:bCs/>
          <w:color w:val="auto"/>
          <w:sz w:val="32"/>
          <w:szCs w:val="32"/>
        </w:rPr>
      </w:pPr>
    </w:p>
    <w:p w14:paraId="51A0A696">
      <w:pPr>
        <w:pStyle w:val="25"/>
        <w:ind w:firstLine="321"/>
        <w:rPr>
          <w:rFonts w:hint="eastAsia" w:ascii="仿宋" w:hAnsi="仿宋" w:eastAsia="仿宋" w:cs="仿宋"/>
          <w:b/>
          <w:bCs/>
          <w:color w:val="auto"/>
          <w:sz w:val="32"/>
          <w:szCs w:val="32"/>
        </w:rPr>
      </w:pPr>
    </w:p>
    <w:p w14:paraId="75381C51">
      <w:pPr>
        <w:rPr>
          <w:rFonts w:hint="eastAsia" w:ascii="仿宋" w:hAnsi="仿宋" w:eastAsia="仿宋" w:cs="仿宋"/>
          <w:b/>
          <w:bCs/>
          <w:color w:val="auto"/>
          <w:sz w:val="32"/>
          <w:szCs w:val="32"/>
        </w:rPr>
      </w:pPr>
    </w:p>
    <w:p w14:paraId="7B90DDD5">
      <w:pPr>
        <w:pStyle w:val="25"/>
        <w:ind w:firstLine="321"/>
        <w:rPr>
          <w:rFonts w:hint="eastAsia" w:ascii="仿宋" w:hAnsi="仿宋" w:eastAsia="仿宋" w:cs="仿宋"/>
          <w:b/>
          <w:bCs/>
          <w:color w:val="auto"/>
          <w:sz w:val="32"/>
          <w:szCs w:val="32"/>
        </w:rPr>
      </w:pPr>
    </w:p>
    <w:p w14:paraId="1894987E">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Times New Roman"/>
          <w:b/>
          <w:color w:val="auto"/>
          <w:sz w:val="28"/>
          <w:szCs w:val="28"/>
        </w:rPr>
      </w:pPr>
      <w:bookmarkStart w:id="437" w:name="_Toc25538"/>
      <w:bookmarkStart w:id="438" w:name="_Toc2920"/>
      <w:bookmarkStart w:id="439" w:name="_Toc11726"/>
      <w:r>
        <w:rPr>
          <w:rFonts w:hint="eastAsia" w:ascii="仿宋" w:hAnsi="仿宋" w:eastAsia="仿宋" w:cs="Times New Roman"/>
          <w:b/>
          <w:color w:val="auto"/>
          <w:sz w:val="28"/>
          <w:szCs w:val="28"/>
        </w:rPr>
        <w:t>3.1法定代表人身份证明书</w:t>
      </w:r>
      <w:bookmarkEnd w:id="434"/>
      <w:bookmarkEnd w:id="435"/>
      <w:bookmarkEnd w:id="436"/>
      <w:bookmarkEnd w:id="437"/>
      <w:bookmarkEnd w:id="438"/>
      <w:bookmarkEnd w:id="439"/>
    </w:p>
    <w:p w14:paraId="2BA454BC">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sz w:val="28"/>
          <w:szCs w:val="28"/>
        </w:rPr>
        <w:t>：</w:t>
      </w:r>
    </w:p>
    <w:p w14:paraId="52343749">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（姓名、性别、年龄、身份证号码）在我</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"https://baike.baidu.com/item/%E5%8D%95%E4%BD%8D/32292" \t "_blank"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单位</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（董事长、总经理等）职务，是我单位的法定代表人。</w:t>
      </w:r>
    </w:p>
    <w:p w14:paraId="549794F0">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p>
    <w:p w14:paraId="6F83F955">
      <w:pPr>
        <w:keepNext w:val="0"/>
        <w:keepLines w:val="0"/>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14:paraId="659A8D45">
      <w:pPr>
        <w:keepNext w:val="0"/>
        <w:keepLines w:val="0"/>
        <w:pageBreakBefore w:val="0"/>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color w:val="auto"/>
          <w:sz w:val="28"/>
          <w:szCs w:val="28"/>
        </w:rPr>
      </w:pPr>
      <w:bookmarkStart w:id="440" w:name="_Toc29380"/>
      <w:bookmarkStart w:id="441" w:name="_Toc18532"/>
      <w:bookmarkStart w:id="442" w:name="_Toc20528"/>
      <w:bookmarkStart w:id="443" w:name="_Toc9273"/>
      <w:bookmarkStart w:id="444" w:name="_Toc23729"/>
      <w:bookmarkStart w:id="445" w:name="_Toc20545"/>
      <w:bookmarkStart w:id="446" w:name="_Toc32683"/>
      <w:bookmarkStart w:id="447" w:name="_Toc27443"/>
      <w:r>
        <w:rPr>
          <w:rFonts w:hint="eastAsia" w:ascii="仿宋" w:hAnsi="仿宋" w:eastAsia="仿宋" w:cs="仿宋"/>
          <w:b/>
          <w:bCs/>
          <w:color w:val="auto"/>
          <w:sz w:val="28"/>
          <w:szCs w:val="28"/>
        </w:rPr>
        <w:t>法定代表人身份证复印件</w:t>
      </w:r>
      <w:bookmarkEnd w:id="440"/>
      <w:bookmarkEnd w:id="441"/>
      <w:bookmarkEnd w:id="442"/>
      <w:bookmarkEnd w:id="443"/>
      <w:bookmarkEnd w:id="444"/>
      <w:bookmarkEnd w:id="445"/>
      <w:bookmarkEnd w:id="446"/>
      <w:bookmarkEnd w:id="447"/>
    </w:p>
    <w:tbl>
      <w:tblPr>
        <w:tblStyle w:val="27"/>
        <w:tblpPr w:leftFromText="180" w:rightFromText="180" w:vertAnchor="text" w:horzAnchor="page" w:tblpX="2191" w:tblpY="5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2"/>
        <w:gridCol w:w="3949"/>
      </w:tblGrid>
      <w:tr w14:paraId="7BD8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4382" w:type="dxa"/>
            <w:noWrap w:val="0"/>
            <w:vAlign w:val="center"/>
          </w:tcPr>
          <w:p w14:paraId="17B71D4A">
            <w:pPr>
              <w:spacing w:line="440" w:lineRule="exact"/>
              <w:jc w:val="center"/>
              <w:outlineLvl w:val="0"/>
              <w:rPr>
                <w:rFonts w:hint="eastAsia" w:ascii="仿宋" w:hAnsi="仿宋" w:eastAsia="仿宋" w:cs="仿宋"/>
                <w:b/>
                <w:bCs/>
                <w:color w:val="auto"/>
                <w:sz w:val="28"/>
                <w:szCs w:val="28"/>
              </w:rPr>
            </w:pPr>
            <w:bookmarkStart w:id="448" w:name="_Toc5265"/>
            <w:bookmarkStart w:id="449" w:name="_Toc31911"/>
            <w:bookmarkStart w:id="450" w:name="_Toc12023"/>
            <w:bookmarkStart w:id="451" w:name="_Toc30919"/>
            <w:bookmarkStart w:id="452" w:name="_Toc32303"/>
            <w:bookmarkStart w:id="453" w:name="_Toc28489"/>
            <w:bookmarkStart w:id="454" w:name="_Toc23942"/>
            <w:bookmarkStart w:id="455" w:name="_Toc8067"/>
            <w:r>
              <w:rPr>
                <w:rFonts w:hint="eastAsia" w:ascii="仿宋" w:hAnsi="仿宋" w:eastAsia="仿宋" w:cs="仿宋"/>
                <w:b/>
                <w:bCs/>
                <w:color w:val="auto"/>
                <w:sz w:val="28"/>
                <w:szCs w:val="28"/>
              </w:rPr>
              <w:t>正面</w:t>
            </w:r>
            <w:bookmarkEnd w:id="448"/>
            <w:bookmarkEnd w:id="449"/>
            <w:bookmarkEnd w:id="450"/>
            <w:bookmarkEnd w:id="451"/>
            <w:bookmarkEnd w:id="452"/>
            <w:bookmarkEnd w:id="453"/>
            <w:bookmarkEnd w:id="454"/>
            <w:bookmarkEnd w:id="455"/>
            <w:r>
              <w:rPr>
                <w:rFonts w:hint="eastAsia" w:ascii="仿宋" w:hAnsi="仿宋" w:eastAsia="仿宋" w:cs="仿宋"/>
                <w:b/>
                <w:bCs/>
                <w:color w:val="auto"/>
                <w:sz w:val="28"/>
                <w:szCs w:val="28"/>
              </w:rPr>
              <w:t xml:space="preserve"> </w:t>
            </w:r>
          </w:p>
        </w:tc>
        <w:tc>
          <w:tcPr>
            <w:tcW w:w="3949" w:type="dxa"/>
            <w:noWrap w:val="0"/>
            <w:vAlign w:val="center"/>
          </w:tcPr>
          <w:p w14:paraId="41C756A4">
            <w:pPr>
              <w:spacing w:line="440" w:lineRule="exact"/>
              <w:jc w:val="center"/>
              <w:outlineLvl w:val="0"/>
              <w:rPr>
                <w:rFonts w:hint="eastAsia" w:ascii="仿宋" w:hAnsi="仿宋" w:eastAsia="仿宋" w:cs="仿宋"/>
                <w:b/>
                <w:bCs/>
                <w:color w:val="auto"/>
                <w:sz w:val="28"/>
                <w:szCs w:val="28"/>
              </w:rPr>
            </w:pPr>
            <w:bookmarkStart w:id="456" w:name="_Toc5780"/>
            <w:bookmarkStart w:id="457" w:name="_Toc22439"/>
            <w:bookmarkStart w:id="458" w:name="_Toc6570"/>
            <w:bookmarkStart w:id="459" w:name="_Toc24639"/>
            <w:bookmarkStart w:id="460" w:name="_Toc18256"/>
            <w:bookmarkStart w:id="461" w:name="_Toc16716"/>
            <w:bookmarkStart w:id="462" w:name="_Toc25241"/>
            <w:bookmarkStart w:id="463" w:name="_Toc1102"/>
            <w:r>
              <w:rPr>
                <w:rFonts w:hint="eastAsia" w:ascii="仿宋" w:hAnsi="仿宋" w:eastAsia="仿宋" w:cs="仿宋"/>
                <w:b/>
                <w:bCs/>
                <w:color w:val="auto"/>
                <w:sz w:val="28"/>
                <w:szCs w:val="28"/>
              </w:rPr>
              <w:t>背面</w:t>
            </w:r>
            <w:bookmarkEnd w:id="456"/>
            <w:bookmarkEnd w:id="457"/>
            <w:bookmarkEnd w:id="458"/>
            <w:bookmarkEnd w:id="459"/>
            <w:bookmarkEnd w:id="460"/>
            <w:bookmarkEnd w:id="461"/>
            <w:bookmarkEnd w:id="462"/>
            <w:bookmarkEnd w:id="463"/>
            <w:r>
              <w:rPr>
                <w:rFonts w:hint="eastAsia" w:ascii="仿宋" w:hAnsi="仿宋" w:eastAsia="仿宋" w:cs="仿宋"/>
                <w:b/>
                <w:bCs/>
                <w:color w:val="auto"/>
                <w:sz w:val="28"/>
                <w:szCs w:val="28"/>
              </w:rPr>
              <w:t xml:space="preserve"> </w:t>
            </w:r>
          </w:p>
        </w:tc>
      </w:tr>
    </w:tbl>
    <w:p w14:paraId="1E59FC1B">
      <w:pPr>
        <w:pStyle w:val="16"/>
        <w:tabs>
          <w:tab w:val="left" w:pos="5580"/>
        </w:tabs>
        <w:spacing w:line="440" w:lineRule="exact"/>
        <w:rPr>
          <w:rFonts w:hint="eastAsia" w:ascii="仿宋" w:hAnsi="仿宋" w:eastAsia="仿宋" w:cs="仿宋"/>
          <w:color w:val="auto"/>
          <w:sz w:val="28"/>
          <w:szCs w:val="28"/>
        </w:rPr>
      </w:pPr>
    </w:p>
    <w:p w14:paraId="67804775">
      <w:pPr>
        <w:spacing w:line="440" w:lineRule="exact"/>
        <w:rPr>
          <w:rFonts w:hint="eastAsia" w:ascii="仿宋" w:hAnsi="仿宋" w:eastAsia="仿宋" w:cs="仿宋"/>
          <w:color w:val="auto"/>
          <w:sz w:val="28"/>
          <w:szCs w:val="28"/>
        </w:rPr>
      </w:pPr>
    </w:p>
    <w:p w14:paraId="2B1221FA">
      <w:pPr>
        <w:spacing w:line="440" w:lineRule="exact"/>
        <w:rPr>
          <w:rFonts w:hint="eastAsia" w:ascii="仿宋" w:hAnsi="仿宋" w:eastAsia="仿宋" w:cs="仿宋"/>
          <w:color w:val="auto"/>
          <w:sz w:val="28"/>
          <w:szCs w:val="28"/>
        </w:rPr>
      </w:pPr>
    </w:p>
    <w:p w14:paraId="27B4BDDA">
      <w:pPr>
        <w:spacing w:line="440" w:lineRule="exact"/>
        <w:rPr>
          <w:rFonts w:hint="eastAsia" w:ascii="仿宋" w:hAnsi="仿宋" w:eastAsia="仿宋" w:cs="仿宋"/>
          <w:color w:val="auto"/>
          <w:sz w:val="28"/>
          <w:szCs w:val="28"/>
        </w:rPr>
      </w:pPr>
    </w:p>
    <w:p w14:paraId="3182EF3F">
      <w:pPr>
        <w:spacing w:line="440" w:lineRule="exact"/>
        <w:rPr>
          <w:rFonts w:hint="eastAsia" w:ascii="仿宋" w:hAnsi="仿宋" w:eastAsia="仿宋" w:cs="仿宋"/>
          <w:color w:val="auto"/>
          <w:sz w:val="28"/>
          <w:szCs w:val="28"/>
        </w:rPr>
      </w:pPr>
    </w:p>
    <w:p w14:paraId="1D3E5481">
      <w:pPr>
        <w:spacing w:line="440" w:lineRule="exact"/>
        <w:ind w:firstLine="1400" w:firstLineChars="500"/>
        <w:rPr>
          <w:rFonts w:hint="eastAsia" w:ascii="仿宋" w:hAnsi="仿宋" w:eastAsia="仿宋" w:cs="仿宋"/>
          <w:color w:val="auto"/>
          <w:sz w:val="28"/>
          <w:szCs w:val="28"/>
        </w:rPr>
      </w:pPr>
    </w:p>
    <w:p w14:paraId="1C57FC16">
      <w:pPr>
        <w:spacing w:line="440" w:lineRule="exact"/>
        <w:ind w:firstLine="1400" w:firstLineChars="500"/>
        <w:rPr>
          <w:rFonts w:hint="eastAsia" w:ascii="仿宋" w:hAnsi="仿宋" w:eastAsia="仿宋" w:cs="仿宋"/>
          <w:color w:val="auto"/>
          <w:sz w:val="28"/>
          <w:szCs w:val="28"/>
        </w:rPr>
      </w:pPr>
    </w:p>
    <w:p w14:paraId="748E6FD9">
      <w:pPr>
        <w:spacing w:line="440" w:lineRule="exact"/>
        <w:rPr>
          <w:rFonts w:hint="eastAsia" w:ascii="仿宋" w:hAnsi="仿宋" w:eastAsia="仿宋" w:cs="仿宋"/>
          <w:color w:val="auto"/>
          <w:sz w:val="28"/>
          <w:szCs w:val="28"/>
        </w:rPr>
      </w:pPr>
    </w:p>
    <w:p w14:paraId="255476BE">
      <w:pPr>
        <w:keepNext w:val="0"/>
        <w:keepLines w:val="0"/>
        <w:pageBreakBefore w:val="0"/>
        <w:kinsoku/>
        <w:wordWrap/>
        <w:overflowPunct/>
        <w:topLinePunct w:val="0"/>
        <w:bidi w:val="0"/>
        <w:adjustRightInd/>
        <w:snapToGrid/>
        <w:spacing w:line="480" w:lineRule="exact"/>
        <w:ind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08E4F72B">
      <w:pPr>
        <w:pStyle w:val="33"/>
        <w:keepNext w:val="0"/>
        <w:keepLines w:val="0"/>
        <w:pageBreakBefore w:val="0"/>
        <w:kinsoku/>
        <w:wordWrap/>
        <w:overflowPunct/>
        <w:topLinePunct w:val="0"/>
        <w:bidi w:val="0"/>
        <w:adjustRightInd/>
        <w:snapToGrid/>
        <w:spacing w:line="480" w:lineRule="exact"/>
        <w:ind w:firstLine="560"/>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rPr>
        <w:t xml:space="preserve">公   章： </w:t>
      </w:r>
      <w:r>
        <w:rPr>
          <w:rFonts w:hint="eastAsia" w:ascii="仿宋" w:hAnsi="仿宋" w:eastAsia="仿宋" w:cs="仿宋"/>
          <w:color w:val="auto"/>
          <w:kern w:val="2"/>
          <w:sz w:val="28"/>
          <w:szCs w:val="28"/>
          <w:u w:val="single"/>
        </w:rPr>
        <w:t xml:space="preserve">                  </w:t>
      </w:r>
      <w:r>
        <w:rPr>
          <w:rFonts w:hint="eastAsia" w:ascii="仿宋" w:hAnsi="仿宋" w:eastAsia="仿宋" w:cs="仿宋"/>
          <w:color w:val="auto"/>
          <w:kern w:val="2"/>
          <w:sz w:val="28"/>
          <w:szCs w:val="28"/>
        </w:rPr>
        <w:t xml:space="preserve"> </w:t>
      </w:r>
    </w:p>
    <w:p w14:paraId="65658DF3">
      <w:pPr>
        <w:keepNext w:val="0"/>
        <w:keepLines w:val="0"/>
        <w:pageBreakBefore w:val="0"/>
        <w:kinsoku/>
        <w:wordWrap/>
        <w:overflowPunct/>
        <w:topLinePunct w:val="0"/>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   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14:paraId="73FA59C9">
      <w:pPr>
        <w:pStyle w:val="33"/>
        <w:keepNext w:val="0"/>
        <w:keepLines w:val="0"/>
        <w:pageBreakBefore w:val="0"/>
        <w:kinsoku/>
        <w:wordWrap/>
        <w:overflowPunct/>
        <w:topLinePunct w:val="0"/>
        <w:bidi w:val="0"/>
        <w:adjustRightInd/>
        <w:snapToGrid/>
        <w:spacing w:line="480" w:lineRule="exact"/>
        <w:ind w:firstLine="562"/>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注：被授权人参加采购活动的，可不提供此项证明文件。</w:t>
      </w:r>
    </w:p>
    <w:p w14:paraId="493E2279">
      <w:pPr>
        <w:keepNext/>
        <w:keepLines/>
        <w:spacing w:before="260" w:after="260" w:line="440" w:lineRule="exact"/>
        <w:jc w:val="center"/>
        <w:rPr>
          <w:rFonts w:hint="eastAsia" w:ascii="仿宋" w:hAnsi="仿宋" w:eastAsia="仿宋" w:cs="仿宋"/>
          <w:b/>
          <w:bCs/>
          <w:color w:val="auto"/>
          <w:sz w:val="28"/>
          <w:szCs w:val="28"/>
        </w:rPr>
      </w:pPr>
    </w:p>
    <w:p w14:paraId="484B742E">
      <w:pPr>
        <w:pStyle w:val="25"/>
        <w:ind w:firstLine="321"/>
        <w:rPr>
          <w:rFonts w:hint="eastAsia" w:ascii="仿宋" w:hAnsi="仿宋" w:eastAsia="仿宋" w:cs="仿宋"/>
          <w:b/>
          <w:bCs/>
          <w:color w:val="auto"/>
          <w:sz w:val="32"/>
          <w:szCs w:val="32"/>
        </w:rPr>
      </w:pPr>
    </w:p>
    <w:p w14:paraId="184314CD">
      <w:pPr>
        <w:rPr>
          <w:rFonts w:hint="eastAsia" w:ascii="仿宋" w:hAnsi="仿宋" w:eastAsia="仿宋" w:cs="仿宋"/>
          <w:b/>
          <w:bCs/>
          <w:color w:val="auto"/>
          <w:sz w:val="32"/>
          <w:szCs w:val="32"/>
        </w:rPr>
      </w:pPr>
    </w:p>
    <w:p w14:paraId="0944413B">
      <w:pPr>
        <w:pStyle w:val="25"/>
        <w:ind w:firstLine="321"/>
        <w:rPr>
          <w:rFonts w:hint="eastAsia" w:ascii="仿宋" w:hAnsi="仿宋" w:eastAsia="仿宋" w:cs="仿宋"/>
          <w:b/>
          <w:bCs/>
          <w:color w:val="auto"/>
          <w:sz w:val="32"/>
          <w:szCs w:val="32"/>
        </w:rPr>
      </w:pPr>
    </w:p>
    <w:p w14:paraId="281D2AE8">
      <w:pPr>
        <w:rPr>
          <w:rFonts w:hint="eastAsia" w:ascii="仿宋" w:hAnsi="仿宋" w:eastAsia="仿宋" w:cs="仿宋"/>
          <w:b/>
          <w:bCs/>
          <w:color w:val="auto"/>
          <w:sz w:val="32"/>
          <w:szCs w:val="32"/>
        </w:rPr>
      </w:pPr>
    </w:p>
    <w:p w14:paraId="4F01F956">
      <w:pPr>
        <w:keepNext/>
        <w:keepLines/>
        <w:pageBreakBefore w:val="0"/>
        <w:kinsoku/>
        <w:wordWrap/>
        <w:overflowPunct/>
        <w:topLinePunct w:val="0"/>
        <w:autoSpaceDE/>
        <w:autoSpaceDN/>
        <w:bidi w:val="0"/>
        <w:adjustRightInd/>
        <w:snapToGrid/>
        <w:spacing w:before="260" w:after="260" w:line="480" w:lineRule="exact"/>
        <w:jc w:val="center"/>
        <w:textAlignment w:val="auto"/>
        <w:outlineLvl w:val="1"/>
        <w:rPr>
          <w:rFonts w:hint="eastAsia" w:ascii="仿宋" w:hAnsi="仿宋" w:eastAsia="仿宋" w:cs="仿宋"/>
          <w:b/>
          <w:color w:val="auto"/>
          <w:sz w:val="28"/>
          <w:szCs w:val="28"/>
        </w:rPr>
      </w:pPr>
      <w:bookmarkStart w:id="464" w:name="_Toc30116"/>
      <w:bookmarkStart w:id="465" w:name="_Toc29771"/>
      <w:bookmarkStart w:id="466" w:name="_Toc11259"/>
      <w:bookmarkStart w:id="467" w:name="_Toc29463"/>
      <w:bookmarkStart w:id="468" w:name="_Toc11342"/>
      <w:bookmarkStart w:id="469" w:name="_Toc5281"/>
      <w:bookmarkStart w:id="470" w:name="_Toc11091"/>
      <w:r>
        <w:rPr>
          <w:rFonts w:hint="eastAsia" w:ascii="仿宋" w:hAnsi="仿宋" w:eastAsia="仿宋" w:cs="仿宋"/>
          <w:b/>
          <w:bCs/>
          <w:color w:val="auto"/>
          <w:sz w:val="28"/>
          <w:szCs w:val="28"/>
        </w:rPr>
        <w:t>3.2</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64"/>
      <w:bookmarkEnd w:id="465"/>
      <w:bookmarkEnd w:id="466"/>
      <w:bookmarkEnd w:id="467"/>
      <w:bookmarkEnd w:id="468"/>
      <w:bookmarkEnd w:id="469"/>
      <w:r>
        <w:rPr>
          <w:rFonts w:hint="eastAsia" w:ascii="仿宋" w:hAnsi="仿宋" w:eastAsia="仿宋" w:cs="仿宋"/>
          <w:b/>
          <w:bCs/>
          <w:color w:val="auto"/>
          <w:sz w:val="28"/>
          <w:szCs w:val="28"/>
        </w:rPr>
        <w:t>法</w:t>
      </w:r>
      <w:r>
        <w:rPr>
          <w:rFonts w:hint="eastAsia" w:ascii="仿宋" w:hAnsi="仿宋" w:eastAsia="仿宋" w:cs="仿宋"/>
          <w:b/>
          <w:bCs/>
          <w:color w:val="auto"/>
          <w:sz w:val="28"/>
          <w:szCs w:val="28"/>
          <w:lang w:val="en-US" w:eastAsia="zh-CN"/>
        </w:rPr>
        <w:t>定</w:t>
      </w:r>
      <w:r>
        <w:rPr>
          <w:rFonts w:hint="eastAsia" w:ascii="仿宋" w:hAnsi="仿宋" w:eastAsia="仿宋" w:cs="仿宋"/>
          <w:b/>
          <w:bCs/>
          <w:color w:val="auto"/>
          <w:sz w:val="28"/>
          <w:szCs w:val="28"/>
        </w:rPr>
        <w:t>代表</w:t>
      </w:r>
      <w:r>
        <w:rPr>
          <w:rFonts w:hint="eastAsia" w:ascii="仿宋" w:hAnsi="仿宋" w:eastAsia="仿宋" w:cs="仿宋"/>
          <w:b/>
          <w:bCs/>
          <w:color w:val="auto"/>
          <w:sz w:val="28"/>
          <w:szCs w:val="28"/>
          <w:lang w:val="en-US" w:eastAsia="zh-CN"/>
        </w:rPr>
        <w:t>人</w:t>
      </w:r>
      <w:r>
        <w:rPr>
          <w:rFonts w:hint="eastAsia" w:ascii="仿宋" w:hAnsi="仿宋" w:eastAsia="仿宋" w:cs="仿宋"/>
          <w:b/>
          <w:bCs/>
          <w:color w:val="auto"/>
          <w:sz w:val="28"/>
          <w:szCs w:val="28"/>
        </w:rPr>
        <w:t>授权委托书</w:t>
      </w:r>
      <w:bookmarkEnd w:id="470"/>
    </w:p>
    <w:p w14:paraId="73342BF7">
      <w:pPr>
        <w:pStyle w:val="24"/>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color w:val="auto"/>
          <w:sz w:val="28"/>
          <w:szCs w:val="28"/>
        </w:rPr>
      </w:pPr>
      <w:r>
        <w:rPr>
          <w:rFonts w:hint="eastAsia" w:ascii="仿宋" w:hAnsi="仿宋" w:eastAsia="仿宋" w:cs="仿宋"/>
          <w:color w:val="auto"/>
          <w:kern w:val="2"/>
          <w:sz w:val="28"/>
          <w:szCs w:val="28"/>
          <w:u w:val="single"/>
          <w:lang w:eastAsia="zh-CN"/>
        </w:rPr>
        <w:t>察布查尔锡伯自治县公安局</w:t>
      </w:r>
      <w:r>
        <w:rPr>
          <w:rFonts w:hint="eastAsia" w:ascii="仿宋" w:hAnsi="仿宋" w:eastAsia="仿宋" w:cs="仿宋"/>
          <w:color w:val="auto"/>
          <w:kern w:val="2"/>
          <w:sz w:val="28"/>
          <w:szCs w:val="28"/>
          <w:u w:val="single"/>
        </w:rPr>
        <w:t>:</w:t>
      </w:r>
    </w:p>
    <w:p w14:paraId="39511213">
      <w:pPr>
        <w:pageBreakBefore w:val="0"/>
        <w:kinsoku/>
        <w:wordWrap/>
        <w:overflowPunct/>
        <w:topLinePunct w:val="0"/>
        <w:autoSpaceDE/>
        <w:autoSpaceDN/>
        <w:bidi w:val="0"/>
        <w:adjustRightInd/>
        <w:snapToGrid/>
        <w:spacing w:line="480" w:lineRule="exact"/>
        <w:ind w:left="239" w:leftChars="114"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本授权书声明:我</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系注册于</w:t>
      </w:r>
      <w:r>
        <w:rPr>
          <w:rFonts w:hint="eastAsia" w:ascii="仿宋" w:hAnsi="仿宋" w:eastAsia="仿宋" w:cs="仿宋"/>
          <w:color w:val="auto"/>
          <w:sz w:val="28"/>
          <w:szCs w:val="28"/>
          <w:u w:val="single"/>
        </w:rPr>
        <w:t xml:space="preserve">（地区的名称）             （供应商名称）                                 </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为我公司被授权人，以本公司的名义参加</w:t>
      </w:r>
      <w:r>
        <w:rPr>
          <w:rFonts w:hint="eastAsia" w:ascii="仿宋" w:hAnsi="仿宋" w:eastAsia="仿宋" w:cs="仿宋"/>
          <w:color w:val="auto"/>
          <w:sz w:val="28"/>
          <w:szCs w:val="28"/>
          <w:u w:val="single"/>
        </w:rPr>
        <w:t>（采购单位名称） （项目名称）（</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u w:val="single"/>
        </w:rPr>
        <w:t>编号）</w:t>
      </w:r>
      <w:r>
        <w:rPr>
          <w:rFonts w:hint="eastAsia" w:ascii="仿宋" w:hAnsi="仿宋" w:eastAsia="仿宋" w:cs="仿宋"/>
          <w:color w:val="auto"/>
          <w:sz w:val="28"/>
          <w:szCs w:val="28"/>
        </w:rPr>
        <w:t>的采购招标活动。被授权人在本次采购招标过程中所签署的一切文件和处理与之有关的一切事务,我均予以承认。</w:t>
      </w:r>
    </w:p>
    <w:p w14:paraId="466854D4">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本授权书于20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生效，被授权人无转让权,特此授权。</w:t>
      </w:r>
    </w:p>
    <w:p w14:paraId="39DEB7BC">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rPr>
        <w:t>代表人签字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392BEB99">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被授权人签字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联系电话：</w:t>
      </w:r>
      <w:r>
        <w:rPr>
          <w:rFonts w:hint="eastAsia" w:ascii="仿宋" w:hAnsi="仿宋" w:eastAsia="仿宋" w:cs="仿宋"/>
          <w:color w:val="auto"/>
          <w:sz w:val="28"/>
          <w:szCs w:val="28"/>
          <w:u w:val="single"/>
        </w:rPr>
        <w:t xml:space="preserve">             　　　</w:t>
      </w:r>
    </w:p>
    <w:p w14:paraId="67E6D7B8">
      <w:pPr>
        <w:pageBreakBefore w:val="0"/>
        <w:kinsoku/>
        <w:wordWrap/>
        <w:overflowPunct/>
        <w:topLinePunct w:val="0"/>
        <w:autoSpaceDE/>
        <w:autoSpaceDN/>
        <w:bidi w:val="0"/>
        <w:adjustRightInd/>
        <w:snapToGrid/>
        <w:spacing w:line="480" w:lineRule="exact"/>
        <w:ind w:firstLine="48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       章：</w:t>
      </w:r>
    </w:p>
    <w:p w14:paraId="3C229CB5">
      <w:pPr>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授权日期：20</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日</w:t>
      </w:r>
    </w:p>
    <w:p w14:paraId="079D32EA">
      <w:pPr>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rPr>
        <w:t>注：法定代表人亲自参加采购活动的，可不提供此项证明文件。</w:t>
      </w:r>
    </w:p>
    <w:p w14:paraId="4CE7D3C1">
      <w:pPr>
        <w:pageBreakBefore w:val="0"/>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color w:val="auto"/>
          <w:sz w:val="28"/>
          <w:szCs w:val="28"/>
        </w:rPr>
      </w:pPr>
      <w:bookmarkStart w:id="471" w:name="_Toc7744"/>
      <w:bookmarkStart w:id="472" w:name="_Toc26910"/>
      <w:bookmarkStart w:id="473" w:name="_Toc15473"/>
      <w:bookmarkStart w:id="474" w:name="_Toc15686"/>
      <w:bookmarkStart w:id="475" w:name="_Toc9439"/>
      <w:bookmarkStart w:id="476" w:name="_Toc7107"/>
      <w:bookmarkStart w:id="477" w:name="_Toc7689"/>
      <w:bookmarkStart w:id="478" w:name="_Toc17970"/>
      <w:bookmarkStart w:id="479" w:name="_Toc10604"/>
      <w:r>
        <w:rPr>
          <w:rFonts w:hint="eastAsia" w:ascii="仿宋" w:hAnsi="仿宋" w:eastAsia="仿宋" w:cs="仿宋"/>
          <w:b/>
          <w:bCs/>
          <w:color w:val="auto"/>
          <w:sz w:val="28"/>
          <w:szCs w:val="28"/>
        </w:rPr>
        <w:t>法定代表人身份证复印件</w:t>
      </w:r>
      <w:bookmarkEnd w:id="471"/>
      <w:bookmarkEnd w:id="472"/>
      <w:bookmarkEnd w:id="473"/>
      <w:bookmarkEnd w:id="474"/>
      <w:bookmarkEnd w:id="475"/>
      <w:bookmarkEnd w:id="476"/>
      <w:bookmarkEnd w:id="477"/>
      <w:bookmarkEnd w:id="478"/>
      <w:bookmarkEnd w:id="479"/>
    </w:p>
    <w:tbl>
      <w:tblPr>
        <w:tblStyle w:val="27"/>
        <w:tblpPr w:leftFromText="180" w:rightFromText="180" w:vertAnchor="text" w:horzAnchor="page" w:tblpX="2358" w:tblpY="4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4"/>
        <w:gridCol w:w="3735"/>
      </w:tblGrid>
      <w:tr w14:paraId="79F9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764" w:type="dxa"/>
            <w:noWrap w:val="0"/>
            <w:vAlign w:val="center"/>
          </w:tcPr>
          <w:p w14:paraId="2FFF9130">
            <w:pPr>
              <w:spacing w:line="440" w:lineRule="exact"/>
              <w:jc w:val="center"/>
              <w:outlineLvl w:val="0"/>
              <w:rPr>
                <w:rFonts w:hint="eastAsia" w:ascii="仿宋" w:hAnsi="仿宋" w:eastAsia="仿宋" w:cs="仿宋"/>
                <w:b/>
                <w:bCs/>
                <w:color w:val="auto"/>
                <w:sz w:val="28"/>
                <w:szCs w:val="28"/>
              </w:rPr>
            </w:pPr>
            <w:bookmarkStart w:id="480" w:name="_Toc1788"/>
            <w:bookmarkStart w:id="481" w:name="_Toc10083"/>
            <w:bookmarkStart w:id="482" w:name="_Toc17853"/>
            <w:bookmarkStart w:id="483" w:name="_Toc28558"/>
            <w:bookmarkStart w:id="484" w:name="_Toc1532"/>
            <w:bookmarkStart w:id="485" w:name="_Toc27086"/>
            <w:bookmarkStart w:id="486" w:name="_Toc9532"/>
            <w:bookmarkStart w:id="487" w:name="_Toc12022"/>
            <w:bookmarkStart w:id="488" w:name="_Toc24348"/>
            <w:r>
              <w:rPr>
                <w:rFonts w:hint="eastAsia" w:ascii="仿宋" w:hAnsi="仿宋" w:eastAsia="仿宋" w:cs="仿宋"/>
                <w:b/>
                <w:bCs/>
                <w:color w:val="auto"/>
                <w:sz w:val="28"/>
                <w:szCs w:val="28"/>
              </w:rPr>
              <w:t>正面</w:t>
            </w:r>
            <w:bookmarkEnd w:id="480"/>
            <w:bookmarkEnd w:id="481"/>
            <w:bookmarkEnd w:id="482"/>
            <w:bookmarkEnd w:id="483"/>
            <w:bookmarkEnd w:id="484"/>
            <w:bookmarkEnd w:id="485"/>
            <w:bookmarkEnd w:id="486"/>
            <w:bookmarkEnd w:id="487"/>
            <w:bookmarkEnd w:id="488"/>
            <w:r>
              <w:rPr>
                <w:rFonts w:hint="eastAsia" w:ascii="仿宋" w:hAnsi="仿宋" w:eastAsia="仿宋" w:cs="仿宋"/>
                <w:b/>
                <w:bCs/>
                <w:color w:val="auto"/>
                <w:sz w:val="28"/>
                <w:szCs w:val="28"/>
              </w:rPr>
              <w:t xml:space="preserve"> </w:t>
            </w:r>
          </w:p>
        </w:tc>
        <w:tc>
          <w:tcPr>
            <w:tcW w:w="3735" w:type="dxa"/>
            <w:noWrap w:val="0"/>
            <w:vAlign w:val="center"/>
          </w:tcPr>
          <w:p w14:paraId="764F175E">
            <w:pPr>
              <w:spacing w:line="440" w:lineRule="exact"/>
              <w:jc w:val="center"/>
              <w:outlineLvl w:val="0"/>
              <w:rPr>
                <w:rFonts w:hint="eastAsia" w:ascii="仿宋" w:hAnsi="仿宋" w:eastAsia="仿宋" w:cs="仿宋"/>
                <w:b/>
                <w:bCs/>
                <w:color w:val="auto"/>
                <w:sz w:val="28"/>
                <w:szCs w:val="28"/>
              </w:rPr>
            </w:pPr>
            <w:bookmarkStart w:id="489" w:name="_Toc10231"/>
            <w:bookmarkStart w:id="490" w:name="_Toc29392"/>
            <w:bookmarkStart w:id="491" w:name="_Toc21046"/>
            <w:bookmarkStart w:id="492" w:name="_Toc8028"/>
            <w:bookmarkStart w:id="493" w:name="_Toc9509"/>
            <w:bookmarkStart w:id="494" w:name="_Toc27278"/>
            <w:bookmarkStart w:id="495" w:name="_Toc24429"/>
            <w:bookmarkStart w:id="496" w:name="_Toc21167"/>
            <w:bookmarkStart w:id="497" w:name="_Toc9693"/>
            <w:r>
              <w:rPr>
                <w:rFonts w:hint="eastAsia" w:ascii="仿宋" w:hAnsi="仿宋" w:eastAsia="仿宋" w:cs="仿宋"/>
                <w:b/>
                <w:bCs/>
                <w:color w:val="auto"/>
                <w:sz w:val="28"/>
                <w:szCs w:val="28"/>
              </w:rPr>
              <w:t>背面</w:t>
            </w:r>
            <w:bookmarkEnd w:id="489"/>
            <w:bookmarkEnd w:id="490"/>
            <w:bookmarkEnd w:id="491"/>
            <w:bookmarkEnd w:id="492"/>
            <w:bookmarkEnd w:id="493"/>
            <w:bookmarkEnd w:id="494"/>
            <w:bookmarkEnd w:id="495"/>
            <w:bookmarkEnd w:id="496"/>
            <w:bookmarkEnd w:id="497"/>
            <w:r>
              <w:rPr>
                <w:rFonts w:hint="eastAsia" w:ascii="仿宋" w:hAnsi="仿宋" w:eastAsia="仿宋" w:cs="仿宋"/>
                <w:b/>
                <w:bCs/>
                <w:color w:val="auto"/>
                <w:sz w:val="28"/>
                <w:szCs w:val="28"/>
              </w:rPr>
              <w:t xml:space="preserve"> </w:t>
            </w:r>
          </w:p>
        </w:tc>
      </w:tr>
    </w:tbl>
    <w:p w14:paraId="0B1FCBB5">
      <w:pPr>
        <w:spacing w:line="440" w:lineRule="exact"/>
        <w:jc w:val="center"/>
        <w:rPr>
          <w:rFonts w:hint="eastAsia" w:ascii="仿宋" w:hAnsi="仿宋" w:eastAsia="仿宋" w:cs="仿宋"/>
          <w:b/>
          <w:bCs/>
          <w:color w:val="auto"/>
          <w:sz w:val="28"/>
          <w:szCs w:val="28"/>
        </w:rPr>
      </w:pPr>
      <w:bookmarkStart w:id="498" w:name="_Toc19940"/>
    </w:p>
    <w:p w14:paraId="40F3A7AA">
      <w:pPr>
        <w:spacing w:line="440" w:lineRule="exact"/>
        <w:jc w:val="center"/>
        <w:outlineLvl w:val="9"/>
        <w:rPr>
          <w:rFonts w:hint="eastAsia" w:ascii="仿宋" w:hAnsi="仿宋" w:eastAsia="仿宋" w:cs="仿宋"/>
          <w:b/>
          <w:bCs/>
          <w:color w:val="auto"/>
          <w:sz w:val="28"/>
          <w:szCs w:val="28"/>
        </w:rPr>
      </w:pPr>
      <w:bookmarkStart w:id="499" w:name="_Toc22668"/>
      <w:bookmarkStart w:id="500" w:name="_Toc27602"/>
      <w:bookmarkStart w:id="501" w:name="_Toc2062"/>
      <w:bookmarkStart w:id="502" w:name="_Toc16338"/>
      <w:bookmarkStart w:id="503" w:name="_Toc2287"/>
      <w:bookmarkStart w:id="504" w:name="_Toc15463"/>
    </w:p>
    <w:p w14:paraId="5C8FBA6C">
      <w:pPr>
        <w:spacing w:line="440" w:lineRule="exact"/>
        <w:jc w:val="center"/>
        <w:outlineLvl w:val="9"/>
        <w:rPr>
          <w:rFonts w:hint="eastAsia" w:ascii="仿宋" w:hAnsi="仿宋" w:eastAsia="仿宋" w:cs="仿宋"/>
          <w:b/>
          <w:bCs/>
          <w:color w:val="auto"/>
          <w:sz w:val="28"/>
          <w:szCs w:val="28"/>
        </w:rPr>
      </w:pPr>
    </w:p>
    <w:p w14:paraId="1CD54043">
      <w:pPr>
        <w:spacing w:line="440" w:lineRule="exact"/>
        <w:jc w:val="center"/>
        <w:outlineLvl w:val="9"/>
        <w:rPr>
          <w:rFonts w:hint="eastAsia" w:ascii="仿宋" w:hAnsi="仿宋" w:eastAsia="仿宋" w:cs="仿宋"/>
          <w:b/>
          <w:bCs/>
          <w:color w:val="auto"/>
          <w:sz w:val="28"/>
          <w:szCs w:val="28"/>
        </w:rPr>
      </w:pPr>
    </w:p>
    <w:p w14:paraId="43DA206C">
      <w:pPr>
        <w:spacing w:line="440" w:lineRule="exact"/>
        <w:jc w:val="center"/>
        <w:outlineLvl w:val="9"/>
        <w:rPr>
          <w:rFonts w:hint="eastAsia" w:ascii="仿宋" w:hAnsi="仿宋" w:eastAsia="仿宋" w:cs="仿宋"/>
          <w:b/>
          <w:bCs/>
          <w:color w:val="auto"/>
          <w:sz w:val="28"/>
          <w:szCs w:val="28"/>
        </w:rPr>
      </w:pPr>
    </w:p>
    <w:p w14:paraId="4F93D483">
      <w:pPr>
        <w:spacing w:line="440" w:lineRule="exact"/>
        <w:jc w:val="center"/>
        <w:outlineLvl w:val="9"/>
        <w:rPr>
          <w:rFonts w:hint="eastAsia" w:ascii="仿宋" w:hAnsi="仿宋" w:eastAsia="仿宋" w:cs="仿宋"/>
          <w:b/>
          <w:bCs/>
          <w:color w:val="auto"/>
          <w:sz w:val="28"/>
          <w:szCs w:val="28"/>
        </w:rPr>
      </w:pPr>
    </w:p>
    <w:p w14:paraId="6EE88ED7">
      <w:pPr>
        <w:spacing w:line="440" w:lineRule="exact"/>
        <w:jc w:val="center"/>
        <w:outlineLvl w:val="0"/>
        <w:rPr>
          <w:rFonts w:hint="eastAsia" w:ascii="仿宋" w:hAnsi="仿宋" w:eastAsia="仿宋" w:cs="仿宋"/>
          <w:b/>
          <w:bCs/>
          <w:color w:val="auto"/>
          <w:sz w:val="28"/>
          <w:szCs w:val="28"/>
        </w:rPr>
      </w:pPr>
      <w:bookmarkStart w:id="505" w:name="_Toc14005"/>
      <w:bookmarkStart w:id="506" w:name="_Toc22820"/>
      <w:r>
        <w:rPr>
          <w:rFonts w:hint="eastAsia" w:ascii="仿宋" w:hAnsi="仿宋" w:eastAsia="仿宋" w:cs="仿宋"/>
          <w:b/>
          <w:bCs/>
          <w:color w:val="auto"/>
          <w:sz w:val="28"/>
          <w:szCs w:val="28"/>
        </w:rPr>
        <w:t>被授权人身份证复印件</w:t>
      </w:r>
      <w:bookmarkEnd w:id="498"/>
      <w:bookmarkEnd w:id="499"/>
      <w:bookmarkEnd w:id="500"/>
      <w:bookmarkEnd w:id="501"/>
      <w:bookmarkEnd w:id="502"/>
      <w:bookmarkEnd w:id="503"/>
      <w:bookmarkEnd w:id="504"/>
      <w:bookmarkEnd w:id="505"/>
      <w:bookmarkEnd w:id="506"/>
    </w:p>
    <w:tbl>
      <w:tblPr>
        <w:tblStyle w:val="27"/>
        <w:tblpPr w:leftFromText="180" w:rightFromText="180" w:vertAnchor="text" w:horzAnchor="page" w:tblpX="2356"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3705"/>
      </w:tblGrid>
      <w:tr w14:paraId="591E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3808" w:type="dxa"/>
            <w:noWrap w:val="0"/>
            <w:vAlign w:val="center"/>
          </w:tcPr>
          <w:p w14:paraId="4F0B85FE">
            <w:pPr>
              <w:spacing w:line="440" w:lineRule="exact"/>
              <w:jc w:val="center"/>
              <w:outlineLvl w:val="0"/>
              <w:rPr>
                <w:rFonts w:hint="eastAsia" w:ascii="仿宋" w:hAnsi="仿宋" w:eastAsia="仿宋" w:cs="仿宋"/>
                <w:b/>
                <w:bCs/>
                <w:color w:val="auto"/>
                <w:sz w:val="28"/>
                <w:szCs w:val="28"/>
              </w:rPr>
            </w:pPr>
            <w:bookmarkStart w:id="507" w:name="_Toc8414"/>
            <w:bookmarkStart w:id="508" w:name="_Toc28900"/>
            <w:bookmarkStart w:id="509" w:name="_Toc23153"/>
            <w:bookmarkStart w:id="510" w:name="_Toc12008"/>
            <w:bookmarkStart w:id="511" w:name="_Toc16864"/>
            <w:bookmarkStart w:id="512" w:name="_Toc29873"/>
            <w:bookmarkStart w:id="513" w:name="_Toc19052"/>
            <w:bookmarkStart w:id="514" w:name="_Toc9965"/>
            <w:bookmarkStart w:id="515" w:name="_Toc14527"/>
            <w:bookmarkStart w:id="516" w:name="_Toc9107"/>
            <w:bookmarkStart w:id="517" w:name="_Toc5285"/>
            <w:bookmarkStart w:id="518" w:name="_Toc2380"/>
            <w:bookmarkStart w:id="519" w:name="_Toc21239"/>
            <w:bookmarkStart w:id="520" w:name="_Toc31819"/>
            <w:bookmarkStart w:id="521" w:name="_Toc12866"/>
            <w:bookmarkStart w:id="522" w:name="_Toc27144"/>
            <w:bookmarkStart w:id="523" w:name="_Toc18894"/>
            <w:bookmarkStart w:id="524" w:name="_Toc17248"/>
            <w:bookmarkStart w:id="525" w:name="_Toc23835"/>
            <w:bookmarkStart w:id="526" w:name="_Toc13738_WPSOffice_Level2"/>
            <w:bookmarkStart w:id="527" w:name="_Toc31120"/>
            <w:bookmarkStart w:id="528" w:name="_Toc27024"/>
            <w:bookmarkStart w:id="529" w:name="_Toc29612"/>
            <w:bookmarkStart w:id="530" w:name="_Toc14188"/>
            <w:r>
              <w:rPr>
                <w:rFonts w:hint="eastAsia" w:ascii="仿宋" w:hAnsi="仿宋" w:eastAsia="仿宋" w:cs="仿宋"/>
                <w:b/>
                <w:bCs/>
                <w:color w:val="auto"/>
                <w:sz w:val="28"/>
                <w:szCs w:val="28"/>
              </w:rPr>
              <w:t>正面</w:t>
            </w:r>
            <w:bookmarkEnd w:id="507"/>
            <w:bookmarkEnd w:id="508"/>
            <w:bookmarkEnd w:id="509"/>
            <w:bookmarkEnd w:id="510"/>
            <w:bookmarkEnd w:id="511"/>
            <w:bookmarkEnd w:id="512"/>
            <w:bookmarkEnd w:id="513"/>
            <w:bookmarkEnd w:id="514"/>
            <w:bookmarkEnd w:id="515"/>
            <w:r>
              <w:rPr>
                <w:rFonts w:hint="eastAsia" w:ascii="仿宋" w:hAnsi="仿宋" w:eastAsia="仿宋" w:cs="仿宋"/>
                <w:b/>
                <w:bCs/>
                <w:color w:val="auto"/>
                <w:sz w:val="28"/>
                <w:szCs w:val="28"/>
              </w:rPr>
              <w:t xml:space="preserve"> </w:t>
            </w:r>
          </w:p>
        </w:tc>
        <w:tc>
          <w:tcPr>
            <w:tcW w:w="3705" w:type="dxa"/>
            <w:noWrap w:val="0"/>
            <w:vAlign w:val="center"/>
          </w:tcPr>
          <w:p w14:paraId="68D74FCC">
            <w:pPr>
              <w:spacing w:line="440" w:lineRule="exact"/>
              <w:jc w:val="center"/>
              <w:outlineLvl w:val="0"/>
              <w:rPr>
                <w:rFonts w:hint="eastAsia" w:ascii="仿宋" w:hAnsi="仿宋" w:eastAsia="仿宋" w:cs="仿宋"/>
                <w:b/>
                <w:bCs/>
                <w:color w:val="auto"/>
                <w:sz w:val="28"/>
                <w:szCs w:val="28"/>
              </w:rPr>
            </w:pPr>
            <w:bookmarkStart w:id="531" w:name="_Toc26231"/>
            <w:bookmarkStart w:id="532" w:name="_Toc15814"/>
            <w:bookmarkStart w:id="533" w:name="_Toc1774"/>
            <w:bookmarkStart w:id="534" w:name="_Toc29191"/>
            <w:bookmarkStart w:id="535" w:name="_Toc19871"/>
            <w:bookmarkStart w:id="536" w:name="_Toc739"/>
            <w:bookmarkStart w:id="537" w:name="_Toc13879"/>
            <w:bookmarkStart w:id="538" w:name="_Toc20642"/>
            <w:bookmarkStart w:id="539" w:name="_Toc20436"/>
            <w:r>
              <w:rPr>
                <w:rFonts w:hint="eastAsia" w:ascii="仿宋" w:hAnsi="仿宋" w:eastAsia="仿宋" w:cs="仿宋"/>
                <w:b/>
                <w:bCs/>
                <w:color w:val="auto"/>
                <w:sz w:val="28"/>
                <w:szCs w:val="28"/>
              </w:rPr>
              <w:t>背面</w:t>
            </w:r>
            <w:bookmarkEnd w:id="531"/>
            <w:bookmarkEnd w:id="532"/>
            <w:bookmarkEnd w:id="533"/>
            <w:bookmarkEnd w:id="534"/>
            <w:bookmarkEnd w:id="535"/>
            <w:bookmarkEnd w:id="536"/>
            <w:bookmarkEnd w:id="537"/>
            <w:bookmarkEnd w:id="538"/>
            <w:bookmarkEnd w:id="539"/>
            <w:r>
              <w:rPr>
                <w:rFonts w:hint="eastAsia" w:ascii="仿宋" w:hAnsi="仿宋" w:eastAsia="仿宋" w:cs="仿宋"/>
                <w:b/>
                <w:bCs/>
                <w:color w:val="auto"/>
                <w:sz w:val="28"/>
                <w:szCs w:val="28"/>
              </w:rPr>
              <w:t xml:space="preserve"> </w:t>
            </w:r>
          </w:p>
        </w:tc>
      </w:tr>
    </w:tbl>
    <w:p w14:paraId="06861741">
      <w:pPr>
        <w:pStyle w:val="4"/>
        <w:pageBreakBefore w:val="0"/>
        <w:widowControl w:val="0"/>
        <w:kinsoku/>
        <w:wordWrap/>
        <w:overflowPunct/>
        <w:topLinePunct w:val="0"/>
        <w:autoSpaceDE/>
        <w:autoSpaceDN/>
        <w:bidi w:val="0"/>
        <w:adjustRightInd/>
        <w:snapToGrid/>
        <w:spacing w:line="480" w:lineRule="exact"/>
        <w:ind w:left="359"/>
        <w:jc w:val="center"/>
        <w:textAlignment w:val="auto"/>
        <w:rPr>
          <w:rFonts w:hint="eastAsia" w:ascii="仿宋" w:hAnsi="仿宋" w:eastAsia="仿宋" w:cs="仿宋"/>
          <w:color w:val="auto"/>
          <w:kern w:val="2"/>
          <w:sz w:val="28"/>
          <w:szCs w:val="28"/>
          <w:u w:val="none"/>
        </w:rPr>
      </w:pPr>
      <w:bookmarkStart w:id="540" w:name="_Toc10508"/>
      <w:bookmarkStart w:id="541" w:name="_Toc15264"/>
      <w:r>
        <w:rPr>
          <w:rFonts w:hint="eastAsia" w:ascii="仿宋" w:hAnsi="仿宋" w:eastAsia="仿宋" w:cs="仿宋"/>
          <w:color w:val="auto"/>
          <w:kern w:val="2"/>
          <w:sz w:val="28"/>
          <w:szCs w:val="28"/>
          <w:u w:val="none"/>
        </w:rPr>
        <w:t>4.开标一览表</w:t>
      </w:r>
      <w:bookmarkEnd w:id="540"/>
    </w:p>
    <w:p w14:paraId="5334BB67">
      <w:pPr>
        <w:pageBreakBefore w:val="0"/>
        <w:widowControl w:val="0"/>
        <w:kinsoku/>
        <w:wordWrap/>
        <w:overflowPunct/>
        <w:topLinePunct w:val="0"/>
        <w:autoSpaceDE/>
        <w:autoSpaceDN/>
        <w:bidi w:val="0"/>
        <w:adjustRightInd/>
        <w:snapToGrid/>
        <w:spacing w:line="480" w:lineRule="exact"/>
        <w:textAlignment w:val="auto"/>
        <w:rPr>
          <w:color w:val="auto"/>
        </w:rPr>
      </w:pPr>
      <w:bookmarkStart w:id="542" w:name="_Toc20912"/>
      <w:bookmarkStart w:id="543" w:name="_Toc27893"/>
      <w:bookmarkStart w:id="544" w:name="_Toc26776"/>
      <w:bookmarkStart w:id="545" w:name="_Toc4326"/>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5117"/>
      </w:tblGrid>
      <w:tr w14:paraId="150A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02" w:type="dxa"/>
            <w:noWrap w:val="0"/>
            <w:vAlign w:val="center"/>
          </w:tcPr>
          <w:p w14:paraId="7F2ADA61">
            <w:pPr>
              <w:pStyle w:val="16"/>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w:t>
            </w:r>
          </w:p>
        </w:tc>
        <w:tc>
          <w:tcPr>
            <w:tcW w:w="5117" w:type="dxa"/>
            <w:noWrap w:val="0"/>
            <w:vAlign w:val="center"/>
          </w:tcPr>
          <w:p w14:paraId="600DAAA1">
            <w:pPr>
              <w:pStyle w:val="16"/>
              <w:jc w:val="center"/>
              <w:rPr>
                <w:rFonts w:ascii="仿宋" w:hAnsi="仿宋" w:eastAsia="仿宋" w:cs="仿宋"/>
                <w:color w:val="auto"/>
                <w:sz w:val="28"/>
                <w:szCs w:val="28"/>
              </w:rPr>
            </w:pPr>
            <w:r>
              <w:rPr>
                <w:rFonts w:hint="eastAsia" w:ascii="仿宋" w:hAnsi="仿宋" w:eastAsia="仿宋" w:cs="仿宋"/>
                <w:color w:val="auto"/>
                <w:sz w:val="28"/>
                <w:szCs w:val="28"/>
              </w:rPr>
              <w:t>投标报价</w:t>
            </w:r>
          </w:p>
        </w:tc>
      </w:tr>
      <w:tr w14:paraId="33D8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02" w:type="dxa"/>
            <w:noWrap w:val="0"/>
            <w:vAlign w:val="center"/>
          </w:tcPr>
          <w:p w14:paraId="2B610EB8">
            <w:pPr>
              <w:pStyle w:val="16"/>
              <w:jc w:val="center"/>
              <w:rPr>
                <w:rFonts w:hint="eastAsia" w:ascii="仿宋" w:hAnsi="仿宋" w:eastAsia="仿宋" w:cs="仿宋"/>
                <w:color w:val="auto"/>
                <w:sz w:val="28"/>
                <w:szCs w:val="28"/>
              </w:rPr>
            </w:pPr>
            <w:r>
              <w:rPr>
                <w:rStyle w:val="62"/>
                <w:rFonts w:hint="eastAsia" w:ascii="仿宋" w:hAnsi="仿宋" w:eastAsia="仿宋" w:cs="仿宋"/>
                <w:b w:val="0"/>
                <w:bCs w:val="0"/>
                <w:i w:val="0"/>
                <w:caps w:val="0"/>
                <w:color w:val="auto"/>
                <w:spacing w:val="0"/>
                <w:w w:val="100"/>
                <w:kern w:val="2"/>
                <w:sz w:val="28"/>
                <w:szCs w:val="28"/>
                <w:lang w:val="en-US" w:eastAsia="zh-CN" w:bidi="ar-SA"/>
              </w:rPr>
              <w:t>统一折扣率（%）</w:t>
            </w:r>
          </w:p>
        </w:tc>
        <w:tc>
          <w:tcPr>
            <w:tcW w:w="5117" w:type="dxa"/>
            <w:noWrap w:val="0"/>
            <w:vAlign w:val="center"/>
          </w:tcPr>
          <w:p w14:paraId="3C149591">
            <w:pPr>
              <w:pStyle w:val="16"/>
              <w:rPr>
                <w:rFonts w:ascii="仿宋" w:hAnsi="仿宋" w:eastAsia="仿宋" w:cs="仿宋"/>
                <w:color w:val="auto"/>
                <w:sz w:val="28"/>
                <w:szCs w:val="28"/>
              </w:rPr>
            </w:pPr>
          </w:p>
        </w:tc>
      </w:tr>
      <w:tr w14:paraId="79F7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2EB827FC">
            <w:pPr>
              <w:pStyle w:val="16"/>
              <w:jc w:val="center"/>
              <w:rPr>
                <w:rFonts w:ascii="仿宋" w:hAnsi="仿宋" w:eastAsia="仿宋" w:cs="仿宋"/>
                <w:color w:val="auto"/>
                <w:sz w:val="28"/>
                <w:szCs w:val="28"/>
              </w:rPr>
            </w:pPr>
            <w:r>
              <w:rPr>
                <w:rStyle w:val="62"/>
                <w:rFonts w:hint="eastAsia" w:ascii="仿宋" w:hAnsi="仿宋" w:eastAsia="仿宋" w:cs="仿宋"/>
                <w:b w:val="0"/>
                <w:i w:val="0"/>
                <w:caps w:val="0"/>
                <w:color w:val="auto"/>
                <w:spacing w:val="0"/>
                <w:w w:val="100"/>
                <w:kern w:val="2"/>
                <w:sz w:val="28"/>
                <w:szCs w:val="28"/>
                <w:lang w:val="en-US" w:eastAsia="zh-CN" w:bidi="ar-SA"/>
              </w:rPr>
              <w:t>质保期限</w:t>
            </w:r>
          </w:p>
        </w:tc>
        <w:tc>
          <w:tcPr>
            <w:tcW w:w="5117" w:type="dxa"/>
            <w:noWrap w:val="0"/>
            <w:vAlign w:val="center"/>
          </w:tcPr>
          <w:p w14:paraId="75F17170">
            <w:pPr>
              <w:pStyle w:val="16"/>
              <w:jc w:val="center"/>
              <w:rPr>
                <w:rFonts w:ascii="仿宋" w:hAnsi="仿宋" w:eastAsia="仿宋" w:cs="仿宋"/>
                <w:color w:val="auto"/>
                <w:sz w:val="28"/>
                <w:szCs w:val="28"/>
              </w:rPr>
            </w:pPr>
          </w:p>
        </w:tc>
      </w:tr>
      <w:tr w14:paraId="7061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21070A62">
            <w:pPr>
              <w:pStyle w:val="16"/>
              <w:jc w:val="center"/>
              <w:rPr>
                <w:rFonts w:ascii="仿宋" w:hAnsi="仿宋" w:eastAsia="仿宋" w:cs="仿宋"/>
                <w:color w:val="auto"/>
                <w:sz w:val="28"/>
                <w:szCs w:val="28"/>
              </w:rPr>
            </w:pPr>
            <w:r>
              <w:rPr>
                <w:rStyle w:val="62"/>
                <w:rFonts w:hint="eastAsia" w:ascii="仿宋" w:hAnsi="仿宋" w:eastAsia="仿宋" w:cs="仿宋"/>
                <w:b w:val="0"/>
                <w:i w:val="0"/>
                <w:caps w:val="0"/>
                <w:color w:val="auto"/>
                <w:spacing w:val="0"/>
                <w:w w:val="100"/>
                <w:kern w:val="2"/>
                <w:sz w:val="28"/>
                <w:szCs w:val="28"/>
                <w:lang w:val="en-US" w:eastAsia="zh-CN" w:bidi="ar-SA"/>
              </w:rPr>
              <w:t>交货时间</w:t>
            </w:r>
          </w:p>
        </w:tc>
        <w:tc>
          <w:tcPr>
            <w:tcW w:w="5117" w:type="dxa"/>
            <w:noWrap w:val="0"/>
            <w:vAlign w:val="center"/>
          </w:tcPr>
          <w:p w14:paraId="62A3BDAC">
            <w:pPr>
              <w:pStyle w:val="16"/>
              <w:jc w:val="center"/>
              <w:rPr>
                <w:rFonts w:ascii="仿宋" w:hAnsi="仿宋" w:eastAsia="仿宋" w:cs="仿宋"/>
                <w:color w:val="auto"/>
                <w:sz w:val="28"/>
                <w:szCs w:val="28"/>
              </w:rPr>
            </w:pPr>
          </w:p>
        </w:tc>
      </w:tr>
      <w:tr w14:paraId="3F41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1A922C4B">
            <w:pPr>
              <w:pStyle w:val="16"/>
              <w:jc w:val="center"/>
              <w:rPr>
                <w:rStyle w:val="62"/>
                <w:rFonts w:hint="eastAsia" w:ascii="仿宋" w:hAnsi="仿宋" w:eastAsia="仿宋" w:cs="仿宋"/>
                <w:b w:val="0"/>
                <w:i w:val="0"/>
                <w:caps w:val="0"/>
                <w:color w:val="auto"/>
                <w:spacing w:val="0"/>
                <w:w w:val="100"/>
                <w:kern w:val="2"/>
                <w:sz w:val="28"/>
                <w:szCs w:val="28"/>
                <w:lang w:val="en-US" w:eastAsia="zh-CN" w:bidi="ar-SA"/>
              </w:rPr>
            </w:pPr>
            <w:r>
              <w:rPr>
                <w:rStyle w:val="62"/>
                <w:rFonts w:hint="eastAsia" w:ascii="仿宋" w:hAnsi="仿宋" w:eastAsia="仿宋" w:cs="仿宋"/>
                <w:b w:val="0"/>
                <w:i w:val="0"/>
                <w:caps w:val="0"/>
                <w:color w:val="auto"/>
                <w:spacing w:val="0"/>
                <w:w w:val="100"/>
                <w:kern w:val="2"/>
                <w:sz w:val="28"/>
                <w:szCs w:val="28"/>
                <w:lang w:val="en-US" w:eastAsia="zh-CN" w:bidi="ar-SA"/>
              </w:rPr>
              <w:t>合同履约期限</w:t>
            </w:r>
          </w:p>
        </w:tc>
        <w:tc>
          <w:tcPr>
            <w:tcW w:w="5117" w:type="dxa"/>
            <w:noWrap w:val="0"/>
            <w:vAlign w:val="center"/>
          </w:tcPr>
          <w:p w14:paraId="31AB7620">
            <w:pPr>
              <w:pStyle w:val="16"/>
              <w:jc w:val="center"/>
              <w:rPr>
                <w:rFonts w:ascii="仿宋" w:hAnsi="仿宋" w:eastAsia="仿宋" w:cs="仿宋"/>
                <w:color w:val="auto"/>
                <w:sz w:val="28"/>
                <w:szCs w:val="28"/>
              </w:rPr>
            </w:pPr>
          </w:p>
        </w:tc>
      </w:tr>
      <w:tr w14:paraId="23BF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noWrap w:val="0"/>
            <w:vAlign w:val="center"/>
          </w:tcPr>
          <w:p w14:paraId="28B51D63">
            <w:pPr>
              <w:pStyle w:val="16"/>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报价总说明</w:t>
            </w:r>
          </w:p>
        </w:tc>
        <w:tc>
          <w:tcPr>
            <w:tcW w:w="5117" w:type="dxa"/>
            <w:noWrap w:val="0"/>
            <w:vAlign w:val="center"/>
          </w:tcPr>
          <w:p w14:paraId="12186EEE">
            <w:pPr>
              <w:pStyle w:val="16"/>
              <w:jc w:val="center"/>
              <w:rPr>
                <w:rFonts w:ascii="仿宋" w:hAnsi="仿宋" w:eastAsia="仿宋" w:cs="仿宋"/>
                <w:color w:val="auto"/>
                <w:sz w:val="28"/>
                <w:szCs w:val="28"/>
              </w:rPr>
            </w:pPr>
          </w:p>
        </w:tc>
      </w:tr>
    </w:tbl>
    <w:p w14:paraId="74E63CE1">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5F4C982B">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6FC65FFC">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5E0165A6">
      <w:pPr>
        <w:keepNext w:val="0"/>
        <w:keepLines w:val="0"/>
        <w:pageBreakBefore w:val="0"/>
        <w:kinsoku/>
        <w:wordWrap/>
        <w:overflowPunct/>
        <w:topLinePunct w:val="0"/>
        <w:autoSpaceDE w:val="0"/>
        <w:autoSpaceDN w:val="0"/>
        <w:bidi w:val="0"/>
        <w:adjustRightInd w:val="0"/>
        <w:spacing w:after="0" w:line="480" w:lineRule="exact"/>
        <w:textAlignment w:val="auto"/>
        <w:rPr>
          <w:rFonts w:hint="eastAsia" w:ascii="仿宋" w:hAnsi="仿宋" w:eastAsia="仿宋" w:cs="仿宋"/>
          <w:color w:val="auto"/>
          <w:sz w:val="28"/>
          <w:szCs w:val="28"/>
          <w:lang w:val="en-US" w:eastAsia="zh-CN"/>
        </w:rPr>
      </w:pPr>
      <w:bookmarkStart w:id="546" w:name="_Toc31611"/>
      <w:bookmarkStart w:id="547" w:name="_Toc29462"/>
      <w:bookmarkStart w:id="548" w:name="_Toc2941"/>
      <w:bookmarkStart w:id="549" w:name="_Toc13372"/>
      <w:bookmarkStart w:id="550" w:name="_Toc17913"/>
      <w:r>
        <w:rPr>
          <w:rFonts w:hint="eastAsia" w:ascii="仿宋" w:hAnsi="仿宋" w:eastAsia="仿宋" w:cs="仿宋"/>
          <w:color w:val="auto"/>
          <w:kern w:val="2"/>
          <w:sz w:val="28"/>
          <w:szCs w:val="28"/>
          <w:lang w:val="en-US" w:eastAsia="zh-CN" w:bidi="ar-SA"/>
        </w:rPr>
        <w:t>备注：1.本项目投标报价采用统一折扣率</w:t>
      </w:r>
      <w:r>
        <w:rPr>
          <w:rFonts w:hint="eastAsia" w:ascii="仿宋" w:hAnsi="仿宋" w:eastAsia="仿宋" w:cs="仿宋"/>
          <w:color w:val="auto"/>
          <w:kern w:val="2"/>
          <w:sz w:val="28"/>
          <w:szCs w:val="28"/>
          <w:u w:val="single"/>
          <w:lang w:val="en-US" w:eastAsia="zh-CN" w:bidi="ar-SA"/>
        </w:rPr>
        <w:t xml:space="preserve">   </w:t>
      </w:r>
      <w:r>
        <w:rPr>
          <w:rFonts w:hint="eastAsia" w:ascii="仿宋" w:hAnsi="仿宋" w:eastAsia="仿宋" w:cs="仿宋"/>
          <w:color w:val="auto"/>
          <w:kern w:val="2"/>
          <w:sz w:val="28"/>
          <w:szCs w:val="28"/>
          <w:lang w:val="en-US" w:eastAsia="zh-CN" w:bidi="ar-SA"/>
        </w:rPr>
        <w:t>%的方式报价（备注：①采购人不接受供应商报折扣率＞100%。②其中本招标文件中所有折扣率报价均为统一报价，投标供应商所提交投标文件中所有折扣率必须有且只有一个折扣率报价，不得出现两个报价。）2.</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如果需要对投标报价或其它内容加以说明，可在报价</w:t>
      </w:r>
      <w:r>
        <w:rPr>
          <w:rFonts w:hint="eastAsia" w:ascii="仿宋" w:hAnsi="仿宋" w:eastAsia="仿宋" w:cs="仿宋"/>
          <w:color w:val="auto"/>
          <w:sz w:val="28"/>
          <w:szCs w:val="28"/>
          <w:lang w:val="en-US" w:eastAsia="zh-CN"/>
        </w:rPr>
        <w:t>总</w:t>
      </w:r>
      <w:r>
        <w:rPr>
          <w:rFonts w:hint="eastAsia" w:ascii="仿宋" w:hAnsi="仿宋" w:eastAsia="仿宋" w:cs="仿宋"/>
          <w:color w:val="auto"/>
          <w:sz w:val="28"/>
          <w:szCs w:val="28"/>
        </w:rPr>
        <w:t>说明中填写。</w:t>
      </w:r>
      <w:bookmarkEnd w:id="546"/>
      <w:bookmarkEnd w:id="547"/>
      <w:bookmarkEnd w:id="548"/>
      <w:bookmarkEnd w:id="549"/>
      <w:bookmarkEnd w:id="550"/>
      <w:r>
        <w:rPr>
          <w:rFonts w:hint="eastAsia" w:ascii="仿宋" w:hAnsi="仿宋" w:eastAsia="仿宋" w:cs="仿宋"/>
          <w:color w:val="auto"/>
          <w:sz w:val="28"/>
          <w:szCs w:val="28"/>
          <w:lang w:val="en-US" w:eastAsia="zh-CN"/>
        </w:rPr>
        <w:t>此报价必须包括完成此项目所有内容的费用。此报价包含招标文件中采购需求里所有产品的报价。</w:t>
      </w:r>
    </w:p>
    <w:p w14:paraId="4737934F">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hint="eastAsia"/>
          <w:color w:val="auto"/>
          <w:lang w:val="en-US" w:eastAsia="zh-CN"/>
        </w:rPr>
      </w:pPr>
    </w:p>
    <w:p w14:paraId="52F48A5A">
      <w:pPr>
        <w:pStyle w:val="4"/>
        <w:keepNext w:val="0"/>
        <w:keepLines w:val="0"/>
        <w:spacing w:line="360" w:lineRule="exact"/>
        <w:ind w:left="840"/>
        <w:jc w:val="both"/>
        <w:outlineLvl w:val="9"/>
        <w:rPr>
          <w:rFonts w:hint="eastAsia" w:ascii="仿宋" w:hAnsi="仿宋" w:eastAsia="仿宋" w:cs="黑体"/>
          <w:color w:val="auto"/>
          <w:kern w:val="2"/>
          <w:sz w:val="32"/>
          <w:szCs w:val="32"/>
          <w:u w:val="none"/>
        </w:rPr>
      </w:pPr>
    </w:p>
    <w:p w14:paraId="45EC1B60">
      <w:pPr>
        <w:rPr>
          <w:rFonts w:hint="eastAsia" w:ascii="仿宋" w:hAnsi="仿宋" w:eastAsia="仿宋" w:cs="黑体"/>
          <w:b/>
          <w:color w:val="auto"/>
          <w:sz w:val="32"/>
          <w:szCs w:val="32"/>
        </w:rPr>
      </w:pPr>
    </w:p>
    <w:p w14:paraId="13DC9B0E">
      <w:pPr>
        <w:pStyle w:val="26"/>
        <w:ind w:firstLine="643"/>
        <w:rPr>
          <w:rFonts w:hint="eastAsia" w:ascii="仿宋" w:hAnsi="仿宋" w:eastAsia="仿宋" w:cs="黑体"/>
          <w:b/>
          <w:color w:val="auto"/>
          <w:kern w:val="2"/>
          <w:sz w:val="32"/>
          <w:szCs w:val="32"/>
        </w:rPr>
      </w:pPr>
    </w:p>
    <w:p w14:paraId="6607B994">
      <w:pPr>
        <w:pStyle w:val="26"/>
        <w:ind w:firstLine="643"/>
        <w:rPr>
          <w:rFonts w:hint="eastAsia" w:ascii="仿宋" w:hAnsi="仿宋" w:eastAsia="仿宋" w:cs="黑体"/>
          <w:b/>
          <w:color w:val="auto"/>
          <w:kern w:val="2"/>
          <w:sz w:val="32"/>
          <w:szCs w:val="32"/>
        </w:rPr>
      </w:pPr>
    </w:p>
    <w:p w14:paraId="4FF2E088">
      <w:pPr>
        <w:pStyle w:val="26"/>
        <w:ind w:firstLine="643"/>
        <w:rPr>
          <w:rFonts w:hint="eastAsia" w:ascii="仿宋" w:hAnsi="仿宋" w:eastAsia="仿宋" w:cs="黑体"/>
          <w:b/>
          <w:color w:val="auto"/>
          <w:kern w:val="2"/>
          <w:sz w:val="32"/>
          <w:szCs w:val="32"/>
        </w:rPr>
      </w:pPr>
    </w:p>
    <w:p w14:paraId="3450943A">
      <w:pPr>
        <w:pStyle w:val="26"/>
        <w:ind w:firstLine="643"/>
        <w:rPr>
          <w:rFonts w:hint="eastAsia" w:ascii="仿宋" w:hAnsi="仿宋" w:eastAsia="仿宋" w:cs="黑体"/>
          <w:b/>
          <w:color w:val="auto"/>
          <w:kern w:val="2"/>
          <w:sz w:val="32"/>
          <w:szCs w:val="32"/>
        </w:rPr>
      </w:pPr>
    </w:p>
    <w:p w14:paraId="2E664403">
      <w:pPr>
        <w:pStyle w:val="26"/>
        <w:ind w:firstLine="643"/>
        <w:rPr>
          <w:rFonts w:hint="eastAsia" w:ascii="仿宋" w:hAnsi="仿宋" w:eastAsia="仿宋" w:cs="黑体"/>
          <w:b/>
          <w:color w:val="auto"/>
          <w:kern w:val="2"/>
          <w:sz w:val="32"/>
          <w:szCs w:val="32"/>
        </w:rPr>
      </w:pPr>
    </w:p>
    <w:p w14:paraId="34C19161">
      <w:pPr>
        <w:pStyle w:val="26"/>
        <w:ind w:firstLine="643"/>
        <w:rPr>
          <w:rFonts w:hint="eastAsia" w:ascii="仿宋" w:hAnsi="仿宋" w:eastAsia="仿宋" w:cs="黑体"/>
          <w:b/>
          <w:color w:val="auto"/>
          <w:kern w:val="2"/>
          <w:sz w:val="32"/>
          <w:szCs w:val="32"/>
        </w:rPr>
      </w:pPr>
    </w:p>
    <w:p w14:paraId="4EAD64D3">
      <w:pPr>
        <w:pStyle w:val="26"/>
        <w:ind w:firstLine="643"/>
        <w:rPr>
          <w:rFonts w:hint="eastAsia" w:ascii="仿宋" w:hAnsi="仿宋" w:eastAsia="仿宋" w:cs="黑体"/>
          <w:b/>
          <w:color w:val="auto"/>
          <w:kern w:val="2"/>
          <w:sz w:val="32"/>
          <w:szCs w:val="32"/>
        </w:rPr>
      </w:pPr>
    </w:p>
    <w:p w14:paraId="61A071FE">
      <w:pPr>
        <w:pStyle w:val="26"/>
        <w:ind w:firstLine="643"/>
        <w:rPr>
          <w:rFonts w:hint="eastAsia" w:ascii="仿宋" w:hAnsi="仿宋" w:eastAsia="仿宋" w:cs="黑体"/>
          <w:b/>
          <w:color w:val="auto"/>
          <w:kern w:val="2"/>
          <w:sz w:val="32"/>
          <w:szCs w:val="32"/>
        </w:rPr>
      </w:pPr>
    </w:p>
    <w:p w14:paraId="42B302D6">
      <w:pPr>
        <w:pStyle w:val="26"/>
        <w:ind w:firstLine="643"/>
        <w:rPr>
          <w:rFonts w:hint="eastAsia" w:ascii="仿宋" w:hAnsi="仿宋" w:eastAsia="仿宋" w:cs="黑体"/>
          <w:b/>
          <w:color w:val="auto"/>
          <w:kern w:val="2"/>
          <w:sz w:val="32"/>
          <w:szCs w:val="32"/>
        </w:rPr>
      </w:pPr>
    </w:p>
    <w:p w14:paraId="2D79CD28">
      <w:pPr>
        <w:pStyle w:val="16"/>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5.报价明细表</w:t>
      </w:r>
    </w:p>
    <w:p w14:paraId="3A0A891E">
      <w:pPr>
        <w:keepNext w:val="0"/>
        <w:keepLines w:val="0"/>
        <w:pageBreakBefore w:val="0"/>
        <w:widowControl w:val="0"/>
        <w:kinsoku/>
        <w:wordWrap/>
        <w:overflowPunct/>
        <w:topLinePunct w:val="0"/>
        <w:autoSpaceDE/>
        <w:autoSpaceDN/>
        <w:bidi w:val="0"/>
        <w:adjustRightInd/>
        <w:snapToGrid/>
        <w:spacing w:line="480" w:lineRule="exact"/>
        <w:textAlignment w:val="auto"/>
        <w:rPr>
          <w:color w:val="auto"/>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Fonts w:hint="eastAsia" w:ascii="仿宋" w:hAnsi="仿宋" w:eastAsia="仿宋" w:cs="仿宋"/>
          <w:color w:val="auto"/>
          <w:sz w:val="28"/>
          <w:szCs w:val="28"/>
        </w:rPr>
        <w:t xml:space="preserve">  </w:t>
      </w:r>
      <w:r>
        <w:rPr>
          <w:rFonts w:hint="eastAsia"/>
          <w:color w:val="auto"/>
        </w:rPr>
        <w:t xml:space="preserve">        </w:t>
      </w:r>
    </w:p>
    <w:tbl>
      <w:tblPr>
        <w:tblStyle w:val="27"/>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789"/>
        <w:gridCol w:w="1188"/>
        <w:gridCol w:w="773"/>
        <w:gridCol w:w="1904"/>
        <w:gridCol w:w="1458"/>
        <w:gridCol w:w="821"/>
      </w:tblGrid>
      <w:tr w14:paraId="5A00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6ADD1F18">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序号</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37903EE">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名称</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7A8935">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品牌</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149598E4">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规格</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14:paraId="011F43F8">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制造商名称</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14:paraId="59DE2342">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统一折扣率（%）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617A75B">
            <w:pPr>
              <w:pageBreakBefore w:val="0"/>
              <w:kinsoku/>
              <w:overflowPunct/>
              <w:topLinePunct w:val="0"/>
              <w:bidi w:val="0"/>
              <w:snapToGrid w:val="0"/>
              <w:spacing w:before="0" w:beforeAutospacing="0" w:after="0" w:afterAutospacing="0" w:line="500" w:lineRule="exact"/>
              <w:jc w:val="center"/>
              <w:textAlignment w:val="baseline"/>
              <w:rPr>
                <w:rStyle w:val="62"/>
                <w:rFonts w:hint="eastAsia" w:ascii="仿宋" w:hAnsi="仿宋" w:eastAsia="仿宋" w:cs="仿宋"/>
                <w:b/>
                <w:bCs/>
                <w:i w:val="0"/>
                <w:caps w:val="0"/>
                <w:color w:val="auto"/>
                <w:spacing w:val="0"/>
                <w:w w:val="100"/>
                <w:kern w:val="2"/>
                <w:sz w:val="28"/>
                <w:szCs w:val="28"/>
                <w:lang w:val="en-US" w:eastAsia="zh-CN" w:bidi="ar-SA"/>
              </w:rPr>
            </w:pPr>
            <w:r>
              <w:rPr>
                <w:rStyle w:val="62"/>
                <w:rFonts w:hint="eastAsia" w:ascii="仿宋" w:hAnsi="仿宋" w:eastAsia="仿宋" w:cs="仿宋"/>
                <w:b/>
                <w:bCs/>
                <w:i w:val="0"/>
                <w:caps w:val="0"/>
                <w:color w:val="auto"/>
                <w:spacing w:val="0"/>
                <w:w w:val="100"/>
                <w:kern w:val="2"/>
                <w:sz w:val="28"/>
                <w:szCs w:val="28"/>
                <w:lang w:val="en-US" w:eastAsia="zh-CN" w:bidi="ar-SA"/>
              </w:rPr>
              <w:t>备注</w:t>
            </w:r>
          </w:p>
        </w:tc>
      </w:tr>
      <w:tr w14:paraId="0798F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3EC6B939">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513EFE57">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33692A1">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773" w:type="dxa"/>
            <w:tcBorders>
              <w:top w:val="single" w:color="000000" w:sz="4" w:space="0"/>
              <w:left w:val="single" w:color="000000" w:sz="4" w:space="0"/>
              <w:bottom w:val="single" w:color="auto" w:sz="4" w:space="0"/>
              <w:right w:val="single" w:color="000000" w:sz="4" w:space="0"/>
            </w:tcBorders>
            <w:noWrap w:val="0"/>
            <w:vAlign w:val="center"/>
          </w:tcPr>
          <w:p w14:paraId="4B4D6DC5">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14:paraId="7ED7A062">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458" w:type="dxa"/>
            <w:vMerge w:val="restart"/>
            <w:tcBorders>
              <w:top w:val="single" w:color="000000" w:sz="4" w:space="0"/>
              <w:left w:val="single" w:color="000000" w:sz="4" w:space="0"/>
              <w:right w:val="single" w:color="000000" w:sz="4" w:space="0"/>
            </w:tcBorders>
            <w:noWrap w:val="0"/>
            <w:vAlign w:val="center"/>
          </w:tcPr>
          <w:p w14:paraId="136513E1">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285A7D1B">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541BA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10003577">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76206119">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1EAD33E">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773" w:type="dxa"/>
            <w:tcBorders>
              <w:top w:val="single" w:color="auto" w:sz="4" w:space="0"/>
              <w:left w:val="single" w:color="000000" w:sz="4" w:space="0"/>
              <w:bottom w:val="single" w:color="auto" w:sz="4" w:space="0"/>
              <w:right w:val="single" w:color="000000" w:sz="4" w:space="0"/>
            </w:tcBorders>
            <w:noWrap w:val="0"/>
            <w:vAlign w:val="center"/>
          </w:tcPr>
          <w:p w14:paraId="04C6F424">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14:paraId="61634DDE">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458" w:type="dxa"/>
            <w:vMerge w:val="continue"/>
            <w:tcBorders>
              <w:left w:val="single" w:color="000000" w:sz="4" w:space="0"/>
              <w:right w:val="single" w:color="000000" w:sz="4" w:space="0"/>
            </w:tcBorders>
            <w:noWrap w:val="0"/>
            <w:vAlign w:val="center"/>
          </w:tcPr>
          <w:p w14:paraId="51F0A3AD">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566E94E3">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219E5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2140E380">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4EB07904">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4789529">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773" w:type="dxa"/>
            <w:tcBorders>
              <w:top w:val="single" w:color="auto" w:sz="4" w:space="0"/>
              <w:left w:val="single" w:color="000000" w:sz="4" w:space="0"/>
              <w:bottom w:val="single" w:color="auto" w:sz="4" w:space="0"/>
              <w:right w:val="single" w:color="000000" w:sz="4" w:space="0"/>
            </w:tcBorders>
            <w:noWrap w:val="0"/>
            <w:vAlign w:val="center"/>
          </w:tcPr>
          <w:p w14:paraId="571501EC">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14:paraId="424C62B6">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458" w:type="dxa"/>
            <w:vMerge w:val="continue"/>
            <w:tcBorders>
              <w:left w:val="single" w:color="000000" w:sz="4" w:space="0"/>
              <w:right w:val="single" w:color="000000" w:sz="4" w:space="0"/>
            </w:tcBorders>
            <w:noWrap w:val="0"/>
            <w:vAlign w:val="center"/>
          </w:tcPr>
          <w:p w14:paraId="3F7E9017">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7875023F">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r w14:paraId="35E7C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14:paraId="065654F2">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14:paraId="37ADA0F5">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r>
              <w:rPr>
                <w:rStyle w:val="62"/>
                <w:rFonts w:hint="eastAsia" w:ascii="仿宋" w:hAnsi="仿宋" w:eastAsia="仿宋" w:cs="仿宋"/>
                <w:b w:val="0"/>
                <w:i w:val="0"/>
                <w:caps w:val="0"/>
                <w:color w:val="auto"/>
                <w:spacing w:val="0"/>
                <w:w w:val="100"/>
                <w:kern w:val="2"/>
                <w:sz w:val="28"/>
                <w:szCs w:val="28"/>
                <w:lang w:val="en-US" w:eastAsia="zh-CN" w:bidi="ar-SA"/>
              </w:rPr>
              <w:t>…</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66FC03C">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773" w:type="dxa"/>
            <w:tcBorders>
              <w:top w:val="single" w:color="auto" w:sz="4" w:space="0"/>
              <w:left w:val="single" w:color="000000" w:sz="4" w:space="0"/>
              <w:bottom w:val="single" w:color="auto" w:sz="4" w:space="0"/>
              <w:right w:val="single" w:color="000000" w:sz="4" w:space="0"/>
            </w:tcBorders>
            <w:noWrap w:val="0"/>
            <w:vAlign w:val="center"/>
          </w:tcPr>
          <w:p w14:paraId="61550BA8">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904" w:type="dxa"/>
            <w:tcBorders>
              <w:top w:val="single" w:color="000000" w:sz="4" w:space="0"/>
              <w:left w:val="single" w:color="000000" w:sz="4" w:space="0"/>
              <w:bottom w:val="single" w:color="000000" w:sz="4" w:space="0"/>
              <w:right w:val="single" w:color="000000" w:sz="4" w:space="0"/>
            </w:tcBorders>
            <w:noWrap w:val="0"/>
            <w:vAlign w:val="center"/>
          </w:tcPr>
          <w:p w14:paraId="11EF01E5">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1458" w:type="dxa"/>
            <w:vMerge w:val="continue"/>
            <w:tcBorders>
              <w:left w:val="single" w:color="000000" w:sz="4" w:space="0"/>
              <w:bottom w:val="single" w:color="000000" w:sz="4" w:space="0"/>
              <w:right w:val="single" w:color="000000" w:sz="4" w:space="0"/>
            </w:tcBorders>
            <w:noWrap w:val="0"/>
            <w:vAlign w:val="center"/>
          </w:tcPr>
          <w:p w14:paraId="27EAC6AC">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14:paraId="06FAFA7F">
            <w:pPr>
              <w:pageBreakBefore w:val="0"/>
              <w:kinsoku/>
              <w:overflowPunct/>
              <w:topLinePunct w:val="0"/>
              <w:bidi w:val="0"/>
              <w:snapToGrid w:val="0"/>
              <w:spacing w:before="0" w:beforeAutospacing="0" w:after="0" w:afterAutospacing="0" w:line="500" w:lineRule="exact"/>
              <w:jc w:val="both"/>
              <w:textAlignment w:val="baseline"/>
              <w:rPr>
                <w:rStyle w:val="62"/>
                <w:rFonts w:hint="eastAsia" w:ascii="仿宋" w:hAnsi="仿宋" w:eastAsia="仿宋" w:cs="仿宋"/>
                <w:b w:val="0"/>
                <w:i w:val="0"/>
                <w:caps w:val="0"/>
                <w:color w:val="auto"/>
                <w:spacing w:val="0"/>
                <w:w w:val="100"/>
                <w:kern w:val="2"/>
                <w:sz w:val="28"/>
                <w:szCs w:val="28"/>
                <w:lang w:val="en-US" w:eastAsia="zh-CN" w:bidi="ar-SA"/>
              </w:rPr>
            </w:pPr>
          </w:p>
        </w:tc>
      </w:tr>
    </w:tbl>
    <w:p w14:paraId="68181EDA">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309F9177">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58FDAF02">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日期：</w:t>
      </w:r>
    </w:p>
    <w:p w14:paraId="1E2ACA6B">
      <w:pPr>
        <w:pStyle w:val="26"/>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黑体"/>
          <w:b/>
          <w:color w:val="auto"/>
          <w:kern w:val="2"/>
          <w:sz w:val="32"/>
          <w:szCs w:val="32"/>
        </w:rPr>
      </w:pPr>
      <w:r>
        <w:rPr>
          <w:rFonts w:hint="eastAsia" w:ascii="仿宋" w:hAnsi="仿宋" w:eastAsia="仿宋" w:cs="仿宋"/>
          <w:color w:val="auto"/>
          <w:sz w:val="28"/>
          <w:szCs w:val="28"/>
          <w:lang w:val="en-US" w:eastAsia="zh-CN"/>
        </w:rPr>
        <w:t>备</w:t>
      </w:r>
      <w:r>
        <w:rPr>
          <w:rFonts w:hint="eastAsia" w:ascii="仿宋" w:hAnsi="仿宋" w:eastAsia="仿宋" w:cs="仿宋"/>
          <w:color w:val="auto"/>
          <w:sz w:val="28"/>
          <w:szCs w:val="28"/>
        </w:rPr>
        <w:t>注:如果不提供详细报价明细表将视为没有实质性响应采购文件。</w:t>
      </w:r>
    </w:p>
    <w:p w14:paraId="5B616B7B">
      <w:pPr>
        <w:pStyle w:val="26"/>
        <w:ind w:firstLine="643"/>
        <w:rPr>
          <w:rFonts w:hint="eastAsia" w:ascii="仿宋" w:hAnsi="仿宋" w:eastAsia="仿宋" w:cs="黑体"/>
          <w:b/>
          <w:color w:val="auto"/>
          <w:kern w:val="2"/>
          <w:sz w:val="32"/>
          <w:szCs w:val="32"/>
        </w:rPr>
      </w:pPr>
    </w:p>
    <w:bookmarkEnd w:id="542"/>
    <w:p w14:paraId="72D9D74D">
      <w:pPr>
        <w:pStyle w:val="3"/>
        <w:spacing w:line="240" w:lineRule="auto"/>
        <w:ind w:left="5460"/>
        <w:jc w:val="both"/>
        <w:outlineLvl w:val="9"/>
        <w:rPr>
          <w:rFonts w:hint="eastAsia" w:ascii="仿宋" w:hAnsi="仿宋" w:eastAsia="仿宋" w:cs="黑体"/>
          <w:color w:val="auto"/>
          <w:kern w:val="2"/>
          <w:sz w:val="32"/>
          <w:szCs w:val="32"/>
        </w:rPr>
      </w:pPr>
      <w:bookmarkStart w:id="551" w:name="_Toc16808"/>
      <w:bookmarkStart w:id="552" w:name="_Toc26864"/>
      <w:bookmarkStart w:id="553" w:name="_Toc23626"/>
    </w:p>
    <w:p w14:paraId="4F0236A3">
      <w:pPr>
        <w:pStyle w:val="3"/>
        <w:keepNext w:val="0"/>
        <w:keepLines w:val="0"/>
        <w:spacing w:line="240" w:lineRule="auto"/>
        <w:jc w:val="both"/>
        <w:outlineLvl w:val="9"/>
        <w:rPr>
          <w:rFonts w:hint="eastAsia" w:ascii="仿宋" w:hAnsi="仿宋" w:eastAsia="仿宋" w:cs="黑体"/>
          <w:color w:val="auto"/>
          <w:kern w:val="2"/>
          <w:sz w:val="32"/>
          <w:szCs w:val="32"/>
        </w:rPr>
      </w:pPr>
    </w:p>
    <w:p w14:paraId="6A8C2F67">
      <w:pPr>
        <w:pStyle w:val="3"/>
        <w:keepNext w:val="0"/>
        <w:keepLines w:val="0"/>
        <w:spacing w:line="440" w:lineRule="exact"/>
        <w:ind w:firstLine="2800" w:firstLineChars="1000"/>
        <w:jc w:val="both"/>
        <w:outlineLvl w:val="9"/>
        <w:rPr>
          <w:rFonts w:hint="eastAsia" w:ascii="仿宋" w:hAnsi="仿宋" w:eastAsia="仿宋" w:cs="黑体"/>
          <w:color w:val="auto"/>
          <w:kern w:val="2"/>
          <w:sz w:val="28"/>
          <w:szCs w:val="28"/>
        </w:rPr>
      </w:pPr>
    </w:p>
    <w:p w14:paraId="06133929">
      <w:pPr>
        <w:rPr>
          <w:rFonts w:hint="eastAsia" w:ascii="仿宋" w:hAnsi="仿宋" w:eastAsia="仿宋" w:cs="黑体"/>
          <w:color w:val="auto"/>
          <w:kern w:val="2"/>
          <w:sz w:val="28"/>
          <w:szCs w:val="28"/>
        </w:rPr>
      </w:pPr>
    </w:p>
    <w:p w14:paraId="0F37C6FD">
      <w:pPr>
        <w:rPr>
          <w:rFonts w:hint="eastAsia" w:ascii="仿宋" w:hAnsi="仿宋" w:eastAsia="仿宋" w:cs="黑体"/>
          <w:color w:val="auto"/>
          <w:kern w:val="2"/>
          <w:sz w:val="28"/>
          <w:szCs w:val="28"/>
        </w:rPr>
      </w:pPr>
    </w:p>
    <w:p w14:paraId="6B392B43">
      <w:pPr>
        <w:rPr>
          <w:rFonts w:hint="eastAsia" w:ascii="仿宋" w:hAnsi="仿宋" w:eastAsia="仿宋" w:cs="黑体"/>
          <w:color w:val="auto"/>
          <w:kern w:val="2"/>
          <w:sz w:val="28"/>
          <w:szCs w:val="28"/>
        </w:rPr>
      </w:pPr>
    </w:p>
    <w:p w14:paraId="00B5E1FE">
      <w:pPr>
        <w:rPr>
          <w:rFonts w:hint="eastAsia" w:ascii="仿宋" w:hAnsi="仿宋" w:eastAsia="仿宋" w:cs="黑体"/>
          <w:color w:val="auto"/>
          <w:kern w:val="2"/>
          <w:sz w:val="28"/>
          <w:szCs w:val="28"/>
        </w:rPr>
      </w:pPr>
    </w:p>
    <w:p w14:paraId="683D25E9">
      <w:pPr>
        <w:rPr>
          <w:rFonts w:hint="eastAsia" w:ascii="仿宋" w:hAnsi="仿宋" w:eastAsia="仿宋" w:cs="黑体"/>
          <w:color w:val="auto"/>
          <w:kern w:val="2"/>
          <w:sz w:val="28"/>
          <w:szCs w:val="28"/>
        </w:rPr>
      </w:pPr>
    </w:p>
    <w:p w14:paraId="0D972056">
      <w:pPr>
        <w:rPr>
          <w:rFonts w:hint="eastAsia" w:ascii="仿宋" w:hAnsi="仿宋" w:eastAsia="仿宋" w:cs="黑体"/>
          <w:color w:val="auto"/>
          <w:kern w:val="2"/>
          <w:sz w:val="28"/>
          <w:szCs w:val="28"/>
        </w:rPr>
      </w:pPr>
    </w:p>
    <w:p w14:paraId="02C86BE6">
      <w:pPr>
        <w:rPr>
          <w:rFonts w:hint="eastAsia" w:ascii="仿宋" w:hAnsi="仿宋" w:eastAsia="仿宋" w:cs="黑体"/>
          <w:color w:val="auto"/>
          <w:kern w:val="2"/>
          <w:sz w:val="28"/>
          <w:szCs w:val="28"/>
        </w:rPr>
      </w:pPr>
    </w:p>
    <w:p w14:paraId="3CAB043C">
      <w:pPr>
        <w:rPr>
          <w:rFonts w:hint="eastAsia" w:ascii="仿宋" w:hAnsi="仿宋" w:eastAsia="仿宋" w:cs="黑体"/>
          <w:color w:val="auto"/>
          <w:kern w:val="2"/>
          <w:sz w:val="28"/>
          <w:szCs w:val="28"/>
        </w:rPr>
      </w:pPr>
    </w:p>
    <w:p w14:paraId="65987990">
      <w:pPr>
        <w:rPr>
          <w:rFonts w:hint="eastAsia" w:ascii="仿宋" w:hAnsi="仿宋" w:eastAsia="仿宋" w:cs="黑体"/>
          <w:color w:val="auto"/>
          <w:kern w:val="2"/>
          <w:sz w:val="28"/>
          <w:szCs w:val="28"/>
        </w:rPr>
      </w:pPr>
    </w:p>
    <w:p w14:paraId="7D4817A5">
      <w:pPr>
        <w:rPr>
          <w:rFonts w:hint="eastAsia" w:ascii="仿宋" w:hAnsi="仿宋" w:eastAsia="仿宋" w:cs="黑体"/>
          <w:color w:val="auto"/>
          <w:kern w:val="2"/>
          <w:sz w:val="28"/>
          <w:szCs w:val="28"/>
        </w:rPr>
      </w:pPr>
    </w:p>
    <w:p w14:paraId="2D7209B7">
      <w:pPr>
        <w:rPr>
          <w:rFonts w:hint="eastAsia" w:ascii="仿宋" w:hAnsi="仿宋" w:eastAsia="仿宋" w:cs="黑体"/>
          <w:color w:val="auto"/>
          <w:kern w:val="2"/>
          <w:sz w:val="28"/>
          <w:szCs w:val="28"/>
        </w:rPr>
      </w:pPr>
    </w:p>
    <w:p w14:paraId="0F8EB013">
      <w:pPr>
        <w:pStyle w:val="3"/>
        <w:keepNext w:val="0"/>
        <w:keepLines w:val="0"/>
        <w:spacing w:line="440" w:lineRule="exact"/>
        <w:ind w:firstLine="2800" w:firstLineChars="1000"/>
        <w:jc w:val="both"/>
        <w:outlineLvl w:val="9"/>
        <w:rPr>
          <w:rFonts w:hint="eastAsia" w:ascii="仿宋" w:hAnsi="仿宋" w:eastAsia="仿宋" w:cs="黑体"/>
          <w:color w:val="auto"/>
          <w:kern w:val="2"/>
          <w:sz w:val="28"/>
          <w:szCs w:val="28"/>
        </w:rPr>
      </w:pPr>
    </w:p>
    <w:p w14:paraId="0B0474EB">
      <w:pPr>
        <w:pStyle w:val="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kern w:val="2"/>
          <w:sz w:val="28"/>
          <w:szCs w:val="28"/>
          <w:lang w:val="en-US" w:eastAsia="zh-CN" w:bidi="ar-SA"/>
        </w:rPr>
      </w:pPr>
      <w:bookmarkStart w:id="554" w:name="_Toc280"/>
      <w:r>
        <w:rPr>
          <w:rFonts w:hint="eastAsia" w:ascii="仿宋" w:hAnsi="仿宋" w:eastAsia="仿宋" w:cs="仿宋"/>
          <w:b/>
          <w:color w:val="auto"/>
          <w:kern w:val="2"/>
          <w:sz w:val="28"/>
          <w:szCs w:val="28"/>
          <w:lang w:val="en-US" w:eastAsia="zh-CN" w:bidi="ar-SA"/>
        </w:rPr>
        <w:t>6.技术参数偏离表</w:t>
      </w:r>
      <w:bookmarkEnd w:id="541"/>
      <w:bookmarkEnd w:id="543"/>
      <w:bookmarkEnd w:id="544"/>
      <w:bookmarkEnd w:id="545"/>
      <w:bookmarkEnd w:id="551"/>
      <w:bookmarkEnd w:id="552"/>
      <w:bookmarkEnd w:id="553"/>
      <w:bookmarkEnd w:id="554"/>
    </w:p>
    <w:p w14:paraId="3A56CC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8"/>
          <w:szCs w:val="28"/>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Fonts w:hint="eastAsia" w:ascii="仿宋" w:hAnsi="仿宋" w:eastAsia="仿宋" w:cs="仿宋"/>
          <w:b/>
          <w:bCs/>
          <w:color w:val="auto"/>
          <w:sz w:val="28"/>
          <w:szCs w:val="28"/>
        </w:rPr>
        <w:t xml:space="preserve">       </w:t>
      </w:r>
    </w:p>
    <w:tbl>
      <w:tblPr>
        <w:tblStyle w:val="27"/>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573"/>
        <w:gridCol w:w="2046"/>
        <w:gridCol w:w="2049"/>
        <w:gridCol w:w="2100"/>
        <w:gridCol w:w="662"/>
      </w:tblGrid>
      <w:tr w14:paraId="15AC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614" w:type="dxa"/>
            <w:noWrap w:val="0"/>
            <w:vAlign w:val="center"/>
          </w:tcPr>
          <w:p w14:paraId="7DDBC04F">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1573" w:type="dxa"/>
            <w:noWrap w:val="0"/>
            <w:vAlign w:val="center"/>
          </w:tcPr>
          <w:p w14:paraId="5ABCC6B7">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投标产品名称</w:t>
            </w:r>
          </w:p>
        </w:tc>
        <w:tc>
          <w:tcPr>
            <w:tcW w:w="2046" w:type="dxa"/>
            <w:noWrap w:val="0"/>
            <w:vAlign w:val="center"/>
          </w:tcPr>
          <w:p w14:paraId="443C0085">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招标规格参数</w:t>
            </w:r>
          </w:p>
        </w:tc>
        <w:tc>
          <w:tcPr>
            <w:tcW w:w="2049" w:type="dxa"/>
            <w:noWrap w:val="0"/>
            <w:vAlign w:val="center"/>
          </w:tcPr>
          <w:p w14:paraId="150B2518">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投标规格参数</w:t>
            </w:r>
          </w:p>
        </w:tc>
        <w:tc>
          <w:tcPr>
            <w:tcW w:w="2100" w:type="dxa"/>
            <w:noWrap w:val="0"/>
            <w:vAlign w:val="center"/>
          </w:tcPr>
          <w:p w14:paraId="6A5D3AB8">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偏离</w:t>
            </w:r>
          </w:p>
          <w:p w14:paraId="0CCD38AA">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（正/无/负）</w:t>
            </w:r>
          </w:p>
        </w:tc>
        <w:tc>
          <w:tcPr>
            <w:tcW w:w="662" w:type="dxa"/>
            <w:noWrap w:val="0"/>
            <w:vAlign w:val="center"/>
          </w:tcPr>
          <w:p w14:paraId="6416225F">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w:t>
            </w:r>
          </w:p>
        </w:tc>
      </w:tr>
      <w:tr w14:paraId="1B3F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14" w:type="dxa"/>
            <w:noWrap w:val="0"/>
            <w:vAlign w:val="top"/>
          </w:tcPr>
          <w:p w14:paraId="6241C381">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573" w:type="dxa"/>
            <w:noWrap w:val="0"/>
            <w:vAlign w:val="top"/>
          </w:tcPr>
          <w:p w14:paraId="6568CD2F">
            <w:pPr>
              <w:spacing w:line="440" w:lineRule="exact"/>
              <w:rPr>
                <w:rFonts w:hint="eastAsia" w:ascii="仿宋" w:hAnsi="仿宋" w:eastAsia="仿宋" w:cs="仿宋"/>
                <w:color w:val="auto"/>
                <w:sz w:val="28"/>
                <w:szCs w:val="28"/>
              </w:rPr>
            </w:pPr>
          </w:p>
        </w:tc>
        <w:tc>
          <w:tcPr>
            <w:tcW w:w="2046" w:type="dxa"/>
            <w:noWrap w:val="0"/>
            <w:vAlign w:val="top"/>
          </w:tcPr>
          <w:p w14:paraId="02AF9CAB">
            <w:pPr>
              <w:spacing w:line="440" w:lineRule="exact"/>
              <w:rPr>
                <w:rFonts w:hint="eastAsia" w:ascii="仿宋" w:hAnsi="仿宋" w:eastAsia="仿宋" w:cs="仿宋"/>
                <w:color w:val="auto"/>
                <w:sz w:val="28"/>
                <w:szCs w:val="28"/>
              </w:rPr>
            </w:pPr>
          </w:p>
        </w:tc>
        <w:tc>
          <w:tcPr>
            <w:tcW w:w="2049" w:type="dxa"/>
            <w:noWrap w:val="0"/>
            <w:vAlign w:val="top"/>
          </w:tcPr>
          <w:p w14:paraId="7F0EC538">
            <w:pPr>
              <w:spacing w:line="440" w:lineRule="exact"/>
              <w:rPr>
                <w:rFonts w:hint="eastAsia" w:ascii="仿宋" w:hAnsi="仿宋" w:eastAsia="仿宋" w:cs="仿宋"/>
                <w:color w:val="auto"/>
                <w:sz w:val="28"/>
                <w:szCs w:val="28"/>
              </w:rPr>
            </w:pPr>
          </w:p>
        </w:tc>
        <w:tc>
          <w:tcPr>
            <w:tcW w:w="2100" w:type="dxa"/>
            <w:noWrap w:val="0"/>
            <w:vAlign w:val="top"/>
          </w:tcPr>
          <w:p w14:paraId="1E1BF616">
            <w:pPr>
              <w:spacing w:line="440" w:lineRule="exact"/>
              <w:rPr>
                <w:rFonts w:hint="eastAsia" w:ascii="仿宋" w:hAnsi="仿宋" w:eastAsia="仿宋" w:cs="仿宋"/>
                <w:color w:val="auto"/>
                <w:sz w:val="28"/>
                <w:szCs w:val="28"/>
              </w:rPr>
            </w:pPr>
          </w:p>
        </w:tc>
        <w:tc>
          <w:tcPr>
            <w:tcW w:w="662" w:type="dxa"/>
            <w:noWrap w:val="0"/>
            <w:vAlign w:val="top"/>
          </w:tcPr>
          <w:p w14:paraId="7AADBD81">
            <w:pPr>
              <w:spacing w:line="440" w:lineRule="exact"/>
              <w:rPr>
                <w:rFonts w:hint="eastAsia" w:ascii="仿宋" w:hAnsi="仿宋" w:eastAsia="仿宋" w:cs="仿宋"/>
                <w:color w:val="auto"/>
                <w:sz w:val="28"/>
                <w:szCs w:val="28"/>
              </w:rPr>
            </w:pPr>
          </w:p>
        </w:tc>
      </w:tr>
      <w:tr w14:paraId="21B2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14" w:type="dxa"/>
            <w:noWrap w:val="0"/>
            <w:vAlign w:val="top"/>
          </w:tcPr>
          <w:p w14:paraId="26019250">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573" w:type="dxa"/>
            <w:noWrap w:val="0"/>
            <w:vAlign w:val="top"/>
          </w:tcPr>
          <w:p w14:paraId="59A8E9CF">
            <w:pPr>
              <w:spacing w:line="440" w:lineRule="exact"/>
              <w:rPr>
                <w:rFonts w:hint="eastAsia" w:ascii="仿宋" w:hAnsi="仿宋" w:eastAsia="仿宋" w:cs="仿宋"/>
                <w:color w:val="auto"/>
                <w:sz w:val="28"/>
                <w:szCs w:val="28"/>
              </w:rPr>
            </w:pPr>
          </w:p>
        </w:tc>
        <w:tc>
          <w:tcPr>
            <w:tcW w:w="2046" w:type="dxa"/>
            <w:noWrap w:val="0"/>
            <w:vAlign w:val="top"/>
          </w:tcPr>
          <w:p w14:paraId="011E16A7">
            <w:pPr>
              <w:spacing w:line="440" w:lineRule="exact"/>
              <w:rPr>
                <w:rFonts w:hint="eastAsia" w:ascii="仿宋" w:hAnsi="仿宋" w:eastAsia="仿宋" w:cs="仿宋"/>
                <w:color w:val="auto"/>
                <w:sz w:val="28"/>
                <w:szCs w:val="28"/>
              </w:rPr>
            </w:pPr>
          </w:p>
        </w:tc>
        <w:tc>
          <w:tcPr>
            <w:tcW w:w="2049" w:type="dxa"/>
            <w:noWrap w:val="0"/>
            <w:vAlign w:val="top"/>
          </w:tcPr>
          <w:p w14:paraId="6E708351">
            <w:pPr>
              <w:spacing w:line="440" w:lineRule="exact"/>
              <w:rPr>
                <w:rFonts w:hint="eastAsia" w:ascii="仿宋" w:hAnsi="仿宋" w:eastAsia="仿宋" w:cs="仿宋"/>
                <w:color w:val="auto"/>
                <w:sz w:val="28"/>
                <w:szCs w:val="28"/>
              </w:rPr>
            </w:pPr>
          </w:p>
        </w:tc>
        <w:tc>
          <w:tcPr>
            <w:tcW w:w="2100" w:type="dxa"/>
            <w:noWrap w:val="0"/>
            <w:vAlign w:val="top"/>
          </w:tcPr>
          <w:p w14:paraId="21F6B299">
            <w:pPr>
              <w:spacing w:line="440" w:lineRule="exact"/>
              <w:rPr>
                <w:rFonts w:hint="eastAsia" w:ascii="仿宋" w:hAnsi="仿宋" w:eastAsia="仿宋" w:cs="仿宋"/>
                <w:color w:val="auto"/>
                <w:sz w:val="28"/>
                <w:szCs w:val="28"/>
              </w:rPr>
            </w:pPr>
          </w:p>
        </w:tc>
        <w:tc>
          <w:tcPr>
            <w:tcW w:w="662" w:type="dxa"/>
            <w:noWrap w:val="0"/>
            <w:vAlign w:val="top"/>
          </w:tcPr>
          <w:p w14:paraId="67293B89">
            <w:pPr>
              <w:spacing w:line="440" w:lineRule="exact"/>
              <w:rPr>
                <w:rFonts w:hint="eastAsia" w:ascii="仿宋" w:hAnsi="仿宋" w:eastAsia="仿宋" w:cs="仿宋"/>
                <w:color w:val="auto"/>
                <w:sz w:val="28"/>
                <w:szCs w:val="28"/>
              </w:rPr>
            </w:pPr>
          </w:p>
        </w:tc>
      </w:tr>
      <w:tr w14:paraId="294F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14" w:type="dxa"/>
            <w:noWrap w:val="0"/>
            <w:vAlign w:val="top"/>
          </w:tcPr>
          <w:p w14:paraId="174B0D7A">
            <w:pPr>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573" w:type="dxa"/>
            <w:noWrap w:val="0"/>
            <w:vAlign w:val="top"/>
          </w:tcPr>
          <w:p w14:paraId="7E0CBB8E">
            <w:pPr>
              <w:spacing w:line="440" w:lineRule="exact"/>
              <w:rPr>
                <w:rFonts w:hint="eastAsia" w:ascii="仿宋" w:hAnsi="仿宋" w:eastAsia="仿宋" w:cs="仿宋"/>
                <w:color w:val="auto"/>
                <w:sz w:val="28"/>
                <w:szCs w:val="28"/>
              </w:rPr>
            </w:pPr>
          </w:p>
        </w:tc>
        <w:tc>
          <w:tcPr>
            <w:tcW w:w="2046" w:type="dxa"/>
            <w:noWrap w:val="0"/>
            <w:vAlign w:val="top"/>
          </w:tcPr>
          <w:p w14:paraId="78A28410">
            <w:pPr>
              <w:spacing w:line="440" w:lineRule="exact"/>
              <w:rPr>
                <w:rFonts w:hint="eastAsia" w:ascii="仿宋" w:hAnsi="仿宋" w:eastAsia="仿宋" w:cs="仿宋"/>
                <w:color w:val="auto"/>
                <w:sz w:val="28"/>
                <w:szCs w:val="28"/>
              </w:rPr>
            </w:pPr>
          </w:p>
        </w:tc>
        <w:tc>
          <w:tcPr>
            <w:tcW w:w="2049" w:type="dxa"/>
            <w:noWrap w:val="0"/>
            <w:vAlign w:val="top"/>
          </w:tcPr>
          <w:p w14:paraId="6C19F7AC">
            <w:pPr>
              <w:spacing w:line="440" w:lineRule="exact"/>
              <w:rPr>
                <w:rFonts w:hint="eastAsia" w:ascii="仿宋" w:hAnsi="仿宋" w:eastAsia="仿宋" w:cs="仿宋"/>
                <w:color w:val="auto"/>
                <w:sz w:val="28"/>
                <w:szCs w:val="28"/>
              </w:rPr>
            </w:pPr>
          </w:p>
        </w:tc>
        <w:tc>
          <w:tcPr>
            <w:tcW w:w="2100" w:type="dxa"/>
            <w:noWrap w:val="0"/>
            <w:vAlign w:val="top"/>
          </w:tcPr>
          <w:p w14:paraId="0C070034">
            <w:pPr>
              <w:spacing w:line="440" w:lineRule="exact"/>
              <w:rPr>
                <w:rFonts w:hint="eastAsia" w:ascii="仿宋" w:hAnsi="仿宋" w:eastAsia="仿宋" w:cs="仿宋"/>
                <w:color w:val="auto"/>
                <w:sz w:val="28"/>
                <w:szCs w:val="28"/>
              </w:rPr>
            </w:pPr>
          </w:p>
        </w:tc>
        <w:tc>
          <w:tcPr>
            <w:tcW w:w="662" w:type="dxa"/>
            <w:noWrap w:val="0"/>
            <w:vAlign w:val="top"/>
          </w:tcPr>
          <w:p w14:paraId="551062D4">
            <w:pPr>
              <w:spacing w:line="440" w:lineRule="exact"/>
              <w:rPr>
                <w:rFonts w:hint="eastAsia" w:ascii="仿宋" w:hAnsi="仿宋" w:eastAsia="仿宋" w:cs="仿宋"/>
                <w:color w:val="auto"/>
                <w:sz w:val="28"/>
                <w:szCs w:val="28"/>
              </w:rPr>
            </w:pPr>
          </w:p>
        </w:tc>
      </w:t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tbl>
    <w:p w14:paraId="454486AF">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bookmarkStart w:id="555" w:name="_Toc25633"/>
      <w:bookmarkStart w:id="556" w:name="_Toc22349"/>
      <w:bookmarkStart w:id="557" w:name="_Toc17736"/>
      <w:bookmarkStart w:id="558" w:name="_Toc24493"/>
      <w:bookmarkStart w:id="559" w:name="_Toc28734"/>
      <w:bookmarkStart w:id="560" w:name="_Toc7997"/>
      <w:bookmarkStart w:id="561" w:name="_Toc3339"/>
      <w:bookmarkStart w:id="562" w:name="_Toc4564"/>
      <w:bookmarkStart w:id="563" w:name="_Toc18576"/>
      <w:bookmarkStart w:id="564" w:name="_Toc8728"/>
      <w:bookmarkStart w:id="565" w:name="_Toc2882"/>
      <w:bookmarkStart w:id="566" w:name="_Toc8972"/>
      <w:bookmarkStart w:id="567" w:name="_Toc2509"/>
      <w:bookmarkStart w:id="568" w:name="_Toc19355"/>
      <w:bookmarkStart w:id="569" w:name="_Toc7502"/>
      <w:bookmarkStart w:id="570" w:name="_Toc6453_WPSOffice_Level2"/>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71E781AF">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6C244AD2">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日期：</w:t>
      </w:r>
    </w:p>
    <w:p w14:paraId="31148F1A">
      <w:pPr>
        <w:pStyle w:val="8"/>
        <w:spacing w:line="440" w:lineRule="exact"/>
        <w:rPr>
          <w:rFonts w:hint="eastAsia" w:ascii="仿宋" w:hAnsi="仿宋" w:eastAsia="仿宋" w:cs="黑体"/>
          <w:b/>
          <w:color w:val="auto"/>
          <w:kern w:val="2"/>
          <w:sz w:val="28"/>
          <w:szCs w:val="28"/>
        </w:rPr>
      </w:pPr>
    </w:p>
    <w:p w14:paraId="7550ECCF">
      <w:pPr>
        <w:pStyle w:val="8"/>
        <w:rPr>
          <w:rFonts w:hint="eastAsia" w:ascii="仿宋" w:hAnsi="仿宋" w:eastAsia="仿宋" w:cs="黑体"/>
          <w:b/>
          <w:color w:val="auto"/>
          <w:kern w:val="2"/>
          <w:sz w:val="32"/>
          <w:szCs w:val="32"/>
        </w:rPr>
      </w:pPr>
    </w:p>
    <w:p w14:paraId="58780BF5">
      <w:pPr>
        <w:pStyle w:val="8"/>
        <w:rPr>
          <w:rFonts w:hint="eastAsia" w:ascii="仿宋" w:hAnsi="仿宋" w:eastAsia="仿宋" w:cs="黑体"/>
          <w:b/>
          <w:color w:val="auto"/>
          <w:kern w:val="2"/>
          <w:sz w:val="32"/>
          <w:szCs w:val="32"/>
        </w:rPr>
      </w:pPr>
    </w:p>
    <w:p w14:paraId="6704913F">
      <w:pPr>
        <w:pStyle w:val="8"/>
        <w:jc w:val="center"/>
        <w:rPr>
          <w:rFonts w:hint="eastAsia" w:ascii="仿宋" w:hAnsi="仿宋" w:eastAsia="仿宋" w:cs="黑体"/>
          <w:b/>
          <w:color w:val="auto"/>
          <w:kern w:val="2"/>
          <w:sz w:val="32"/>
          <w:szCs w:val="32"/>
        </w:rPr>
      </w:pPr>
    </w:p>
    <w:p w14:paraId="40A799D7">
      <w:pPr>
        <w:pStyle w:val="8"/>
        <w:jc w:val="center"/>
        <w:rPr>
          <w:rFonts w:hint="eastAsia" w:ascii="仿宋" w:hAnsi="仿宋" w:eastAsia="仿宋" w:cs="黑体"/>
          <w:b/>
          <w:color w:val="auto"/>
          <w:kern w:val="2"/>
          <w:sz w:val="32"/>
          <w:szCs w:val="32"/>
        </w:rPr>
      </w:pPr>
    </w:p>
    <w:p w14:paraId="7A042E37">
      <w:pPr>
        <w:pStyle w:val="8"/>
        <w:jc w:val="center"/>
        <w:rPr>
          <w:rFonts w:hint="eastAsia" w:ascii="仿宋" w:hAnsi="仿宋" w:eastAsia="仿宋" w:cs="黑体"/>
          <w:b/>
          <w:color w:val="auto"/>
          <w:kern w:val="2"/>
          <w:sz w:val="32"/>
          <w:szCs w:val="32"/>
        </w:rPr>
      </w:pPr>
    </w:p>
    <w:p w14:paraId="59AC170C">
      <w:pPr>
        <w:pStyle w:val="8"/>
        <w:jc w:val="center"/>
        <w:rPr>
          <w:rFonts w:hint="eastAsia" w:ascii="仿宋" w:hAnsi="仿宋" w:eastAsia="仿宋" w:cs="黑体"/>
          <w:b/>
          <w:color w:val="auto"/>
          <w:kern w:val="2"/>
          <w:sz w:val="32"/>
          <w:szCs w:val="32"/>
        </w:rPr>
      </w:pPr>
    </w:p>
    <w:p w14:paraId="5077C028">
      <w:pPr>
        <w:pStyle w:val="8"/>
        <w:jc w:val="center"/>
        <w:rPr>
          <w:rFonts w:hint="eastAsia" w:ascii="仿宋" w:hAnsi="仿宋" w:eastAsia="仿宋" w:cs="黑体"/>
          <w:b/>
          <w:color w:val="auto"/>
          <w:kern w:val="2"/>
          <w:sz w:val="32"/>
          <w:szCs w:val="32"/>
        </w:rPr>
      </w:pPr>
    </w:p>
    <w:p w14:paraId="070B4502">
      <w:pPr>
        <w:pStyle w:val="8"/>
        <w:jc w:val="center"/>
        <w:rPr>
          <w:rFonts w:hint="eastAsia" w:ascii="仿宋" w:hAnsi="仿宋" w:eastAsia="仿宋" w:cs="黑体"/>
          <w:b/>
          <w:color w:val="auto"/>
          <w:kern w:val="2"/>
          <w:sz w:val="32"/>
          <w:szCs w:val="32"/>
        </w:rPr>
      </w:pPr>
    </w:p>
    <w:p w14:paraId="4BDE24BD">
      <w:pPr>
        <w:pStyle w:val="8"/>
        <w:jc w:val="center"/>
        <w:rPr>
          <w:rFonts w:hint="eastAsia" w:ascii="仿宋" w:hAnsi="仿宋" w:eastAsia="仿宋" w:cs="黑体"/>
          <w:b/>
          <w:color w:val="auto"/>
          <w:kern w:val="2"/>
          <w:sz w:val="32"/>
          <w:szCs w:val="32"/>
        </w:rPr>
      </w:pPr>
    </w:p>
    <w:p w14:paraId="3FD983D7">
      <w:pPr>
        <w:pStyle w:val="8"/>
        <w:jc w:val="center"/>
        <w:rPr>
          <w:rFonts w:hint="eastAsia" w:ascii="仿宋" w:hAnsi="仿宋" w:eastAsia="仿宋" w:cs="黑体"/>
          <w:b/>
          <w:color w:val="auto"/>
          <w:kern w:val="2"/>
          <w:sz w:val="32"/>
          <w:szCs w:val="32"/>
        </w:rPr>
      </w:pPr>
    </w:p>
    <w:p w14:paraId="60171C54">
      <w:pPr>
        <w:pStyle w:val="8"/>
        <w:jc w:val="center"/>
        <w:rPr>
          <w:rFonts w:hint="eastAsia" w:ascii="仿宋" w:hAnsi="仿宋" w:eastAsia="仿宋" w:cs="黑体"/>
          <w:b/>
          <w:color w:val="auto"/>
          <w:kern w:val="2"/>
          <w:sz w:val="32"/>
          <w:szCs w:val="32"/>
        </w:rPr>
      </w:pPr>
    </w:p>
    <w:p w14:paraId="3B3393EC">
      <w:pPr>
        <w:pStyle w:val="8"/>
        <w:jc w:val="center"/>
        <w:rPr>
          <w:rFonts w:hint="eastAsia" w:ascii="仿宋" w:hAnsi="仿宋" w:eastAsia="仿宋" w:cs="黑体"/>
          <w:b/>
          <w:color w:val="auto"/>
          <w:kern w:val="2"/>
          <w:sz w:val="32"/>
          <w:szCs w:val="32"/>
        </w:rPr>
      </w:pPr>
    </w:p>
    <w:p w14:paraId="6244CEBC">
      <w:pPr>
        <w:rPr>
          <w:rFonts w:hint="eastAsia" w:ascii="仿宋" w:hAnsi="仿宋" w:eastAsia="仿宋" w:cs="黑体"/>
          <w:b/>
          <w:color w:val="auto"/>
          <w:sz w:val="32"/>
          <w:szCs w:val="32"/>
        </w:rPr>
      </w:pPr>
    </w:p>
    <w:p w14:paraId="67075D4A">
      <w:pPr>
        <w:pStyle w:val="26"/>
        <w:ind w:firstLine="400"/>
        <w:rPr>
          <w:rFonts w:hint="eastAsia"/>
          <w:color w:val="auto"/>
        </w:rPr>
      </w:pPr>
    </w:p>
    <w:p w14:paraId="4747B565">
      <w:pPr>
        <w:pStyle w:val="8"/>
        <w:jc w:val="center"/>
        <w:rPr>
          <w:rFonts w:hint="eastAsia" w:ascii="仿宋" w:hAnsi="仿宋" w:eastAsia="仿宋" w:cs="黑体"/>
          <w:b/>
          <w:color w:val="auto"/>
          <w:kern w:val="2"/>
          <w:sz w:val="32"/>
          <w:szCs w:val="32"/>
        </w:rPr>
      </w:pPr>
    </w:p>
    <w:p w14:paraId="1CA2D071">
      <w:pPr>
        <w:pStyle w:val="8"/>
        <w:jc w:val="center"/>
        <w:rPr>
          <w:rFonts w:hint="eastAsia" w:ascii="仿宋" w:hAnsi="仿宋" w:eastAsia="仿宋" w:cs="黑体"/>
          <w:b/>
          <w:color w:val="auto"/>
          <w:kern w:val="2"/>
          <w:sz w:val="32"/>
          <w:szCs w:val="32"/>
        </w:rPr>
      </w:pPr>
    </w:p>
    <w:p w14:paraId="562D450E">
      <w:pPr>
        <w:pStyle w:val="8"/>
        <w:jc w:val="center"/>
        <w:rPr>
          <w:rFonts w:hint="eastAsia" w:ascii="仿宋" w:hAnsi="仿宋" w:eastAsia="仿宋" w:cs="黑体"/>
          <w:b/>
          <w:color w:val="auto"/>
          <w:kern w:val="2"/>
          <w:sz w:val="32"/>
          <w:szCs w:val="32"/>
        </w:rPr>
      </w:pPr>
    </w:p>
    <w:p w14:paraId="4C0F294D">
      <w:pPr>
        <w:pStyle w:val="8"/>
        <w:jc w:val="center"/>
        <w:rPr>
          <w:rFonts w:hint="eastAsia" w:ascii="仿宋" w:hAnsi="仿宋" w:eastAsia="仿宋" w:cs="黑体"/>
          <w:b/>
          <w:color w:val="auto"/>
          <w:kern w:val="2"/>
          <w:sz w:val="32"/>
          <w:szCs w:val="32"/>
        </w:rPr>
      </w:pPr>
    </w:p>
    <w:p w14:paraId="2A928BBE">
      <w:pPr>
        <w:pStyle w:val="8"/>
        <w:jc w:val="center"/>
        <w:rPr>
          <w:rFonts w:hint="eastAsia" w:ascii="仿宋" w:hAnsi="仿宋" w:eastAsia="仿宋" w:cs="黑体"/>
          <w:b/>
          <w:color w:val="auto"/>
          <w:kern w:val="2"/>
          <w:sz w:val="32"/>
          <w:szCs w:val="32"/>
        </w:rPr>
      </w:pPr>
    </w:p>
    <w:p w14:paraId="3F9405A3">
      <w:pPr>
        <w:pStyle w:val="8"/>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黑体"/>
          <w:b/>
          <w:color w:val="auto"/>
          <w:kern w:val="2"/>
          <w:sz w:val="28"/>
          <w:szCs w:val="28"/>
        </w:rPr>
      </w:pPr>
      <w:r>
        <w:rPr>
          <w:rFonts w:hint="eastAsia" w:ascii="仿宋" w:hAnsi="仿宋" w:eastAsia="仿宋" w:cs="黑体"/>
          <w:b/>
          <w:color w:val="auto"/>
          <w:kern w:val="2"/>
          <w:sz w:val="28"/>
          <w:szCs w:val="28"/>
          <w:lang w:val="en-US" w:eastAsia="zh-CN"/>
        </w:rPr>
        <w:t>7</w:t>
      </w:r>
      <w:r>
        <w:rPr>
          <w:rFonts w:hint="eastAsia" w:ascii="仿宋" w:hAnsi="仿宋" w:eastAsia="仿宋" w:cs="黑体"/>
          <w:b/>
          <w:color w:val="auto"/>
          <w:kern w:val="2"/>
          <w:sz w:val="28"/>
          <w:szCs w:val="28"/>
        </w:rPr>
        <w:t>.商务要求偏离表</w:t>
      </w:r>
    </w:p>
    <w:p w14:paraId="52BF3E44">
      <w:pPr>
        <w:pStyle w:val="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Fonts w:hint="eastAsia" w:ascii="仿宋" w:hAnsi="仿宋" w:eastAsia="仿宋" w:cs="仿宋"/>
          <w:b/>
          <w:bCs/>
          <w:color w:val="auto"/>
          <w:kern w:val="2"/>
          <w:sz w:val="28"/>
          <w:szCs w:val="28"/>
        </w:rPr>
        <w:t xml:space="preserve">       </w:t>
      </w:r>
    </w:p>
    <w:tbl>
      <w:tblPr>
        <w:tblStyle w:val="27"/>
        <w:tblW w:w="0" w:type="auto"/>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55"/>
        <w:gridCol w:w="1957"/>
        <w:gridCol w:w="2309"/>
        <w:gridCol w:w="1225"/>
      </w:tblGrid>
      <w:tr w14:paraId="3C24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7" w:hRule="atLeast"/>
        </w:trPr>
        <w:tc>
          <w:tcPr>
            <w:tcW w:w="736" w:type="dxa"/>
            <w:noWrap w:val="0"/>
            <w:vAlign w:val="center"/>
          </w:tcPr>
          <w:p w14:paraId="7C56893D">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455" w:type="dxa"/>
            <w:noWrap w:val="0"/>
            <w:vAlign w:val="center"/>
          </w:tcPr>
          <w:p w14:paraId="20DD0864">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招标商务要求</w:t>
            </w:r>
          </w:p>
        </w:tc>
        <w:tc>
          <w:tcPr>
            <w:tcW w:w="1957" w:type="dxa"/>
            <w:noWrap w:val="0"/>
            <w:vAlign w:val="center"/>
          </w:tcPr>
          <w:p w14:paraId="3D793790">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投标商务要求</w:t>
            </w:r>
          </w:p>
        </w:tc>
        <w:tc>
          <w:tcPr>
            <w:tcW w:w="2309" w:type="dxa"/>
            <w:noWrap w:val="0"/>
            <w:vAlign w:val="center"/>
          </w:tcPr>
          <w:p w14:paraId="26C797F7">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偏离</w:t>
            </w:r>
          </w:p>
          <w:p w14:paraId="436F665A">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（正/无/负）</w:t>
            </w:r>
          </w:p>
        </w:tc>
        <w:tc>
          <w:tcPr>
            <w:tcW w:w="1225" w:type="dxa"/>
            <w:noWrap w:val="0"/>
            <w:vAlign w:val="center"/>
          </w:tcPr>
          <w:p w14:paraId="0BDFB9AA">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说明</w:t>
            </w:r>
          </w:p>
        </w:tc>
      </w:tr>
      <w:tr w14:paraId="77D34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9" w:hRule="atLeast"/>
        </w:trPr>
        <w:tc>
          <w:tcPr>
            <w:tcW w:w="736" w:type="dxa"/>
            <w:noWrap w:val="0"/>
            <w:vAlign w:val="top"/>
          </w:tcPr>
          <w:p w14:paraId="583A5A57">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55" w:type="dxa"/>
            <w:noWrap w:val="0"/>
            <w:vAlign w:val="top"/>
          </w:tcPr>
          <w:p w14:paraId="281A4B4B">
            <w:pPr>
              <w:spacing w:line="440" w:lineRule="exact"/>
              <w:jc w:val="center"/>
              <w:rPr>
                <w:rFonts w:hint="eastAsia" w:ascii="仿宋" w:hAnsi="仿宋" w:eastAsia="仿宋" w:cs="仿宋"/>
                <w:color w:val="auto"/>
                <w:sz w:val="28"/>
                <w:szCs w:val="28"/>
              </w:rPr>
            </w:pPr>
          </w:p>
        </w:tc>
        <w:tc>
          <w:tcPr>
            <w:tcW w:w="1957" w:type="dxa"/>
            <w:noWrap w:val="0"/>
            <w:vAlign w:val="top"/>
          </w:tcPr>
          <w:p w14:paraId="3D3B3569">
            <w:pPr>
              <w:spacing w:line="440" w:lineRule="exact"/>
              <w:jc w:val="center"/>
              <w:rPr>
                <w:rFonts w:hint="eastAsia" w:ascii="仿宋" w:hAnsi="仿宋" w:eastAsia="仿宋" w:cs="仿宋"/>
                <w:color w:val="auto"/>
                <w:sz w:val="28"/>
                <w:szCs w:val="28"/>
              </w:rPr>
            </w:pPr>
          </w:p>
        </w:tc>
        <w:tc>
          <w:tcPr>
            <w:tcW w:w="2309" w:type="dxa"/>
            <w:noWrap w:val="0"/>
            <w:vAlign w:val="top"/>
          </w:tcPr>
          <w:p w14:paraId="227B4511">
            <w:pPr>
              <w:spacing w:line="440" w:lineRule="exact"/>
              <w:jc w:val="center"/>
              <w:rPr>
                <w:rFonts w:hint="eastAsia" w:ascii="仿宋" w:hAnsi="仿宋" w:eastAsia="仿宋" w:cs="仿宋"/>
                <w:color w:val="auto"/>
                <w:sz w:val="28"/>
                <w:szCs w:val="28"/>
              </w:rPr>
            </w:pPr>
          </w:p>
        </w:tc>
        <w:tc>
          <w:tcPr>
            <w:tcW w:w="1225" w:type="dxa"/>
            <w:noWrap w:val="0"/>
            <w:vAlign w:val="top"/>
          </w:tcPr>
          <w:p w14:paraId="0F40FA83">
            <w:pPr>
              <w:spacing w:line="440" w:lineRule="exact"/>
              <w:jc w:val="center"/>
              <w:rPr>
                <w:rFonts w:hint="eastAsia" w:ascii="仿宋" w:hAnsi="仿宋" w:eastAsia="仿宋" w:cs="仿宋"/>
                <w:color w:val="auto"/>
                <w:sz w:val="28"/>
                <w:szCs w:val="28"/>
              </w:rPr>
            </w:pPr>
          </w:p>
        </w:tc>
      </w:tr>
      <w:tr w14:paraId="2425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6" w:type="dxa"/>
            <w:noWrap w:val="0"/>
            <w:vAlign w:val="top"/>
          </w:tcPr>
          <w:p w14:paraId="2F832D66">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455" w:type="dxa"/>
            <w:noWrap w:val="0"/>
            <w:vAlign w:val="top"/>
          </w:tcPr>
          <w:p w14:paraId="5ECDFECB">
            <w:pPr>
              <w:spacing w:line="440" w:lineRule="exact"/>
              <w:jc w:val="center"/>
              <w:rPr>
                <w:rFonts w:hint="eastAsia" w:ascii="仿宋" w:hAnsi="仿宋" w:eastAsia="仿宋" w:cs="仿宋"/>
                <w:color w:val="auto"/>
                <w:sz w:val="28"/>
                <w:szCs w:val="28"/>
              </w:rPr>
            </w:pPr>
          </w:p>
        </w:tc>
        <w:tc>
          <w:tcPr>
            <w:tcW w:w="1957" w:type="dxa"/>
            <w:noWrap w:val="0"/>
            <w:vAlign w:val="top"/>
          </w:tcPr>
          <w:p w14:paraId="6129D066">
            <w:pPr>
              <w:spacing w:line="440" w:lineRule="exact"/>
              <w:jc w:val="center"/>
              <w:rPr>
                <w:rFonts w:hint="eastAsia" w:ascii="仿宋" w:hAnsi="仿宋" w:eastAsia="仿宋" w:cs="仿宋"/>
                <w:color w:val="auto"/>
                <w:sz w:val="28"/>
                <w:szCs w:val="28"/>
              </w:rPr>
            </w:pPr>
          </w:p>
        </w:tc>
        <w:tc>
          <w:tcPr>
            <w:tcW w:w="2309" w:type="dxa"/>
            <w:noWrap w:val="0"/>
            <w:vAlign w:val="top"/>
          </w:tcPr>
          <w:p w14:paraId="31302785">
            <w:pPr>
              <w:spacing w:line="440" w:lineRule="exact"/>
              <w:jc w:val="center"/>
              <w:rPr>
                <w:rFonts w:hint="eastAsia" w:ascii="仿宋" w:hAnsi="仿宋" w:eastAsia="仿宋" w:cs="仿宋"/>
                <w:color w:val="auto"/>
                <w:sz w:val="28"/>
                <w:szCs w:val="28"/>
              </w:rPr>
            </w:pPr>
          </w:p>
        </w:tc>
        <w:tc>
          <w:tcPr>
            <w:tcW w:w="1225" w:type="dxa"/>
            <w:noWrap w:val="0"/>
            <w:vAlign w:val="top"/>
          </w:tcPr>
          <w:p w14:paraId="5CB7B47A">
            <w:pPr>
              <w:spacing w:line="440" w:lineRule="exact"/>
              <w:jc w:val="center"/>
              <w:rPr>
                <w:rFonts w:hint="eastAsia" w:ascii="仿宋" w:hAnsi="仿宋" w:eastAsia="仿宋" w:cs="仿宋"/>
                <w:color w:val="auto"/>
                <w:sz w:val="28"/>
                <w:szCs w:val="28"/>
              </w:rPr>
            </w:pPr>
          </w:p>
        </w:tc>
      </w:tr>
      <w:tr w14:paraId="28C2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36" w:type="dxa"/>
            <w:noWrap w:val="0"/>
            <w:vAlign w:val="top"/>
          </w:tcPr>
          <w:p w14:paraId="0DB22F1F">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2455" w:type="dxa"/>
            <w:noWrap w:val="0"/>
            <w:vAlign w:val="top"/>
          </w:tcPr>
          <w:p w14:paraId="3EC1EF64">
            <w:pPr>
              <w:spacing w:line="440" w:lineRule="exact"/>
              <w:jc w:val="center"/>
              <w:rPr>
                <w:rFonts w:hint="eastAsia" w:ascii="仿宋" w:hAnsi="仿宋" w:eastAsia="仿宋" w:cs="仿宋"/>
                <w:color w:val="auto"/>
                <w:sz w:val="28"/>
                <w:szCs w:val="28"/>
              </w:rPr>
            </w:pPr>
          </w:p>
        </w:tc>
        <w:tc>
          <w:tcPr>
            <w:tcW w:w="1957" w:type="dxa"/>
            <w:noWrap w:val="0"/>
            <w:vAlign w:val="top"/>
          </w:tcPr>
          <w:p w14:paraId="0259E8B1">
            <w:pPr>
              <w:spacing w:line="440" w:lineRule="exact"/>
              <w:jc w:val="center"/>
              <w:rPr>
                <w:rFonts w:hint="eastAsia" w:ascii="仿宋" w:hAnsi="仿宋" w:eastAsia="仿宋" w:cs="仿宋"/>
                <w:color w:val="auto"/>
                <w:sz w:val="28"/>
                <w:szCs w:val="28"/>
              </w:rPr>
            </w:pPr>
          </w:p>
        </w:tc>
        <w:tc>
          <w:tcPr>
            <w:tcW w:w="2309" w:type="dxa"/>
            <w:noWrap w:val="0"/>
            <w:vAlign w:val="top"/>
          </w:tcPr>
          <w:p w14:paraId="63F9AD1C">
            <w:pPr>
              <w:spacing w:line="440" w:lineRule="exact"/>
              <w:jc w:val="center"/>
              <w:rPr>
                <w:rFonts w:hint="eastAsia" w:ascii="仿宋" w:hAnsi="仿宋" w:eastAsia="仿宋" w:cs="仿宋"/>
                <w:color w:val="auto"/>
                <w:sz w:val="28"/>
                <w:szCs w:val="28"/>
              </w:rPr>
            </w:pPr>
          </w:p>
        </w:tc>
        <w:tc>
          <w:tcPr>
            <w:tcW w:w="1225" w:type="dxa"/>
            <w:noWrap w:val="0"/>
            <w:vAlign w:val="top"/>
          </w:tcPr>
          <w:p w14:paraId="51C4F600">
            <w:pPr>
              <w:spacing w:line="440" w:lineRule="exact"/>
              <w:jc w:val="center"/>
              <w:rPr>
                <w:rFonts w:hint="eastAsia" w:ascii="仿宋" w:hAnsi="仿宋" w:eastAsia="仿宋" w:cs="仿宋"/>
                <w:color w:val="auto"/>
                <w:sz w:val="28"/>
                <w:szCs w:val="28"/>
              </w:rPr>
            </w:pPr>
          </w:p>
        </w:tc>
      </w:tr>
    </w:tbl>
    <w:p w14:paraId="1182FB6D">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42BB2BFC">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4DA0D155">
      <w:pPr>
        <w:pStyle w:val="8"/>
        <w:spacing w:line="440" w:lineRule="exact"/>
        <w:ind w:firstLine="0"/>
        <w:jc w:val="left"/>
        <w:rPr>
          <w:rFonts w:hint="eastAsia" w:ascii="仿宋" w:hAnsi="仿宋" w:eastAsia="仿宋" w:cs="黑体"/>
          <w:b/>
          <w:color w:val="auto"/>
          <w:kern w:val="2"/>
          <w:sz w:val="28"/>
          <w:szCs w:val="28"/>
        </w:rPr>
      </w:pPr>
      <w:r>
        <w:rPr>
          <w:rFonts w:hint="eastAsia" w:ascii="仿宋" w:hAnsi="仿宋" w:eastAsia="仿宋" w:cs="仿宋"/>
          <w:color w:val="auto"/>
          <w:sz w:val="28"/>
          <w:szCs w:val="28"/>
        </w:rPr>
        <w:t>日期：</w:t>
      </w:r>
    </w:p>
    <w:p w14:paraId="7340CE4C">
      <w:pPr>
        <w:pStyle w:val="8"/>
        <w:spacing w:line="440" w:lineRule="exact"/>
        <w:ind w:firstLine="0"/>
        <w:jc w:val="center"/>
        <w:rPr>
          <w:rFonts w:hint="eastAsia" w:ascii="仿宋" w:hAnsi="仿宋" w:eastAsia="仿宋" w:cs="黑体"/>
          <w:b/>
          <w:color w:val="auto"/>
          <w:kern w:val="2"/>
          <w:sz w:val="28"/>
          <w:szCs w:val="28"/>
        </w:rPr>
      </w:pPr>
    </w:p>
    <w:p w14:paraId="01EF38EA">
      <w:pPr>
        <w:pStyle w:val="8"/>
        <w:spacing w:line="440" w:lineRule="exact"/>
        <w:ind w:firstLine="0"/>
        <w:jc w:val="both"/>
        <w:rPr>
          <w:rFonts w:hint="eastAsia" w:ascii="仿宋" w:hAnsi="仿宋" w:eastAsia="仿宋" w:cs="黑体"/>
          <w:b/>
          <w:color w:val="auto"/>
          <w:kern w:val="2"/>
          <w:sz w:val="28"/>
          <w:szCs w:val="28"/>
        </w:rPr>
      </w:pPr>
    </w:p>
    <w:p w14:paraId="0AC7E01E">
      <w:pPr>
        <w:widowControl/>
        <w:jc w:val="center"/>
        <w:rPr>
          <w:rFonts w:hint="eastAsia" w:ascii="仿宋" w:hAnsi="仿宋" w:eastAsia="仿宋" w:cs="黑体"/>
          <w:b/>
          <w:color w:val="auto"/>
          <w:sz w:val="32"/>
          <w:szCs w:val="32"/>
        </w:rPr>
      </w:pPr>
    </w:p>
    <w:p w14:paraId="651180FB">
      <w:pPr>
        <w:widowControl/>
        <w:jc w:val="center"/>
        <w:rPr>
          <w:rFonts w:hint="eastAsia" w:ascii="仿宋" w:hAnsi="仿宋" w:eastAsia="仿宋" w:cs="黑体"/>
          <w:b/>
          <w:color w:val="auto"/>
          <w:sz w:val="32"/>
          <w:szCs w:val="32"/>
        </w:rPr>
      </w:pPr>
    </w:p>
    <w:p w14:paraId="65C50AE0">
      <w:pPr>
        <w:widowControl/>
        <w:jc w:val="center"/>
        <w:rPr>
          <w:rFonts w:hint="eastAsia" w:ascii="仿宋" w:hAnsi="仿宋" w:eastAsia="仿宋" w:cs="黑体"/>
          <w:b/>
          <w:color w:val="auto"/>
          <w:sz w:val="32"/>
          <w:szCs w:val="32"/>
        </w:rPr>
      </w:pPr>
    </w:p>
    <w:p w14:paraId="6A25B9D1">
      <w:pPr>
        <w:widowControl/>
        <w:jc w:val="center"/>
        <w:rPr>
          <w:rFonts w:hint="eastAsia" w:ascii="仿宋" w:hAnsi="仿宋" w:eastAsia="仿宋" w:cs="黑体"/>
          <w:b/>
          <w:color w:val="auto"/>
          <w:sz w:val="32"/>
          <w:szCs w:val="32"/>
        </w:rPr>
      </w:pPr>
    </w:p>
    <w:p w14:paraId="03CAC852">
      <w:pPr>
        <w:widowControl/>
        <w:jc w:val="center"/>
        <w:rPr>
          <w:rFonts w:hint="eastAsia" w:ascii="仿宋" w:hAnsi="仿宋" w:eastAsia="仿宋" w:cs="黑体"/>
          <w:b/>
          <w:color w:val="auto"/>
          <w:sz w:val="32"/>
          <w:szCs w:val="32"/>
        </w:rPr>
      </w:pPr>
    </w:p>
    <w:p w14:paraId="0CED99D6">
      <w:pPr>
        <w:widowControl/>
        <w:jc w:val="center"/>
        <w:rPr>
          <w:rFonts w:hint="eastAsia" w:ascii="仿宋" w:hAnsi="仿宋" w:eastAsia="仿宋" w:cs="黑体"/>
          <w:b/>
          <w:color w:val="auto"/>
          <w:sz w:val="32"/>
          <w:szCs w:val="32"/>
        </w:rPr>
      </w:pPr>
    </w:p>
    <w:p w14:paraId="33378604">
      <w:pPr>
        <w:widowControl/>
        <w:jc w:val="center"/>
        <w:rPr>
          <w:rFonts w:hint="eastAsia" w:ascii="仿宋" w:hAnsi="仿宋" w:eastAsia="仿宋" w:cs="黑体"/>
          <w:b/>
          <w:color w:val="auto"/>
          <w:sz w:val="32"/>
          <w:szCs w:val="32"/>
        </w:rPr>
      </w:pPr>
    </w:p>
    <w:p w14:paraId="6F25E61B">
      <w:pPr>
        <w:widowControl/>
        <w:jc w:val="center"/>
        <w:rPr>
          <w:rFonts w:hint="eastAsia" w:ascii="仿宋" w:hAnsi="仿宋" w:eastAsia="仿宋" w:cs="黑体"/>
          <w:b/>
          <w:color w:val="auto"/>
          <w:sz w:val="32"/>
          <w:szCs w:val="32"/>
        </w:rPr>
      </w:pPr>
    </w:p>
    <w:p w14:paraId="44993D1F">
      <w:pPr>
        <w:widowControl/>
        <w:jc w:val="center"/>
        <w:rPr>
          <w:rFonts w:hint="eastAsia" w:ascii="仿宋" w:hAnsi="仿宋" w:eastAsia="仿宋" w:cs="黑体"/>
          <w:b/>
          <w:color w:val="auto"/>
          <w:sz w:val="32"/>
          <w:szCs w:val="32"/>
        </w:rPr>
      </w:pPr>
    </w:p>
    <w:p w14:paraId="0A991CAF">
      <w:pPr>
        <w:widowControl/>
        <w:jc w:val="center"/>
        <w:rPr>
          <w:rFonts w:hint="eastAsia" w:ascii="仿宋" w:hAnsi="仿宋" w:eastAsia="仿宋" w:cs="黑体"/>
          <w:b/>
          <w:color w:val="auto"/>
          <w:sz w:val="32"/>
          <w:szCs w:val="32"/>
        </w:rPr>
      </w:pPr>
    </w:p>
    <w:p w14:paraId="19D4BBE8">
      <w:pPr>
        <w:widowControl/>
        <w:jc w:val="center"/>
        <w:rPr>
          <w:rFonts w:hint="eastAsia" w:ascii="仿宋" w:hAnsi="仿宋" w:eastAsia="仿宋" w:cs="黑体"/>
          <w:b/>
          <w:color w:val="auto"/>
          <w:sz w:val="32"/>
          <w:szCs w:val="32"/>
        </w:rPr>
      </w:pPr>
    </w:p>
    <w:p w14:paraId="52F081DD">
      <w:pPr>
        <w:widowControl/>
        <w:jc w:val="center"/>
        <w:rPr>
          <w:rFonts w:hint="eastAsia" w:ascii="仿宋" w:hAnsi="仿宋" w:eastAsia="仿宋" w:cs="黑体"/>
          <w:b/>
          <w:color w:val="auto"/>
          <w:sz w:val="32"/>
          <w:szCs w:val="32"/>
        </w:rPr>
      </w:pPr>
    </w:p>
    <w:p w14:paraId="1064536A">
      <w:pPr>
        <w:widowControl/>
        <w:jc w:val="center"/>
        <w:rPr>
          <w:rFonts w:hint="eastAsia" w:ascii="仿宋" w:hAnsi="仿宋" w:eastAsia="仿宋" w:cs="黑体"/>
          <w:b/>
          <w:color w:val="auto"/>
          <w:sz w:val="32"/>
          <w:szCs w:val="32"/>
        </w:rPr>
      </w:pPr>
    </w:p>
    <w:p w14:paraId="3221E057">
      <w:pPr>
        <w:widowControl/>
        <w:jc w:val="center"/>
        <w:rPr>
          <w:rFonts w:hint="eastAsia" w:ascii="仿宋" w:hAnsi="仿宋" w:eastAsia="仿宋" w:cs="黑体"/>
          <w:b/>
          <w:color w:val="auto"/>
          <w:sz w:val="32"/>
          <w:szCs w:val="32"/>
        </w:rPr>
      </w:pPr>
    </w:p>
    <w:p w14:paraId="32AC20A4">
      <w:pPr>
        <w:widowControl/>
        <w:jc w:val="center"/>
        <w:rPr>
          <w:rFonts w:hint="eastAsia" w:ascii="仿宋" w:hAnsi="仿宋" w:eastAsia="仿宋" w:cs="黑体"/>
          <w:b/>
          <w:color w:val="auto"/>
          <w:sz w:val="32"/>
          <w:szCs w:val="32"/>
        </w:rPr>
      </w:pPr>
    </w:p>
    <w:p w14:paraId="6C2DD0E5">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8</w:t>
      </w:r>
      <w:r>
        <w:rPr>
          <w:rFonts w:hint="eastAsia" w:ascii="仿宋" w:hAnsi="仿宋" w:eastAsia="仿宋" w:cs="仿宋"/>
          <w:b/>
          <w:color w:val="auto"/>
          <w:sz w:val="28"/>
          <w:szCs w:val="28"/>
        </w:rPr>
        <w:t>.项目负责人简历表及拟投入本项目主要成员表</w:t>
      </w:r>
    </w:p>
    <w:p w14:paraId="158970C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Fonts w:hint="eastAsia" w:ascii="仿宋" w:hAnsi="仿宋" w:eastAsia="仿宋" w:cs="仿宋"/>
          <w:b/>
          <w:color w:val="auto"/>
          <w:sz w:val="28"/>
          <w:szCs w:val="28"/>
        </w:rPr>
        <w:t xml:space="preserve">       </w:t>
      </w:r>
    </w:p>
    <w:tbl>
      <w:tblPr>
        <w:tblStyle w:val="27"/>
        <w:tblW w:w="9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0"/>
        <w:gridCol w:w="937"/>
        <w:gridCol w:w="888"/>
        <w:gridCol w:w="912"/>
        <w:gridCol w:w="813"/>
        <w:gridCol w:w="775"/>
        <w:gridCol w:w="1462"/>
        <w:gridCol w:w="963"/>
        <w:gridCol w:w="1025"/>
        <w:gridCol w:w="842"/>
      </w:tblGrid>
      <w:tr w14:paraId="278D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exact"/>
          <w:jc w:val="center"/>
        </w:trPr>
        <w:tc>
          <w:tcPr>
            <w:tcW w:w="930" w:type="dxa"/>
            <w:noWrap w:val="0"/>
            <w:vAlign w:val="center"/>
          </w:tcPr>
          <w:p w14:paraId="7433EBD9">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职责分工</w:t>
            </w:r>
          </w:p>
        </w:tc>
        <w:tc>
          <w:tcPr>
            <w:tcW w:w="937" w:type="dxa"/>
            <w:noWrap w:val="0"/>
            <w:vAlign w:val="center"/>
          </w:tcPr>
          <w:p w14:paraId="06056255">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888" w:type="dxa"/>
            <w:tcBorders>
              <w:right w:val="single" w:color="auto" w:sz="4" w:space="0"/>
            </w:tcBorders>
            <w:noWrap w:val="0"/>
            <w:vAlign w:val="center"/>
          </w:tcPr>
          <w:p w14:paraId="30EA2C07">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年龄</w:t>
            </w:r>
          </w:p>
        </w:tc>
        <w:tc>
          <w:tcPr>
            <w:tcW w:w="912" w:type="dxa"/>
            <w:tcBorders>
              <w:left w:val="single" w:color="auto" w:sz="4" w:space="0"/>
            </w:tcBorders>
            <w:noWrap w:val="0"/>
            <w:vAlign w:val="center"/>
          </w:tcPr>
          <w:p w14:paraId="7BDD7518">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学历</w:t>
            </w:r>
          </w:p>
        </w:tc>
        <w:tc>
          <w:tcPr>
            <w:tcW w:w="813" w:type="dxa"/>
            <w:noWrap w:val="0"/>
            <w:vAlign w:val="center"/>
          </w:tcPr>
          <w:p w14:paraId="54E426BF">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专业</w:t>
            </w:r>
          </w:p>
        </w:tc>
        <w:tc>
          <w:tcPr>
            <w:tcW w:w="775" w:type="dxa"/>
            <w:tcBorders>
              <w:right w:val="single" w:color="auto" w:sz="4" w:space="0"/>
            </w:tcBorders>
            <w:noWrap w:val="0"/>
            <w:vAlign w:val="center"/>
          </w:tcPr>
          <w:p w14:paraId="12C4794B">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职务</w:t>
            </w:r>
          </w:p>
        </w:tc>
        <w:tc>
          <w:tcPr>
            <w:tcW w:w="1462" w:type="dxa"/>
            <w:tcBorders>
              <w:left w:val="single" w:color="auto" w:sz="4" w:space="0"/>
            </w:tcBorders>
            <w:noWrap w:val="0"/>
            <w:vAlign w:val="center"/>
          </w:tcPr>
          <w:p w14:paraId="0D12FF59">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在本项目中担任的岗位</w:t>
            </w:r>
          </w:p>
        </w:tc>
        <w:tc>
          <w:tcPr>
            <w:tcW w:w="963" w:type="dxa"/>
            <w:tcBorders>
              <w:left w:val="single" w:color="auto" w:sz="4" w:space="0"/>
            </w:tcBorders>
            <w:noWrap w:val="0"/>
            <w:vAlign w:val="center"/>
          </w:tcPr>
          <w:p w14:paraId="07986581">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从业证件</w:t>
            </w:r>
          </w:p>
        </w:tc>
        <w:tc>
          <w:tcPr>
            <w:tcW w:w="1025" w:type="dxa"/>
            <w:noWrap w:val="0"/>
            <w:vAlign w:val="center"/>
          </w:tcPr>
          <w:p w14:paraId="166D0654">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从事类似工作年限</w:t>
            </w:r>
          </w:p>
        </w:tc>
        <w:tc>
          <w:tcPr>
            <w:tcW w:w="842" w:type="dxa"/>
            <w:noWrap w:val="0"/>
            <w:vAlign w:val="center"/>
          </w:tcPr>
          <w:p w14:paraId="7581CB6E">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6C8BA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exact"/>
          <w:jc w:val="center"/>
        </w:trPr>
        <w:tc>
          <w:tcPr>
            <w:tcW w:w="930" w:type="dxa"/>
            <w:noWrap w:val="0"/>
            <w:vAlign w:val="center"/>
          </w:tcPr>
          <w:p w14:paraId="4AD943E5">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项目负责人</w:t>
            </w:r>
          </w:p>
        </w:tc>
        <w:tc>
          <w:tcPr>
            <w:tcW w:w="937" w:type="dxa"/>
            <w:noWrap w:val="0"/>
            <w:vAlign w:val="center"/>
          </w:tcPr>
          <w:p w14:paraId="41C20EAF">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731B6C98">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4F8EAEF6">
            <w:pPr>
              <w:spacing w:line="440" w:lineRule="exact"/>
              <w:jc w:val="center"/>
              <w:rPr>
                <w:rFonts w:hint="eastAsia" w:ascii="仿宋" w:hAnsi="仿宋" w:eastAsia="仿宋" w:cs="仿宋"/>
                <w:color w:val="auto"/>
                <w:sz w:val="28"/>
                <w:szCs w:val="28"/>
              </w:rPr>
            </w:pPr>
          </w:p>
        </w:tc>
        <w:tc>
          <w:tcPr>
            <w:tcW w:w="813" w:type="dxa"/>
            <w:noWrap w:val="0"/>
            <w:vAlign w:val="center"/>
          </w:tcPr>
          <w:p w14:paraId="451DD4C6">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4855FB61">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6F798988">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0609D6D2">
            <w:pPr>
              <w:spacing w:line="440" w:lineRule="exact"/>
              <w:jc w:val="center"/>
              <w:rPr>
                <w:rFonts w:hint="eastAsia" w:ascii="仿宋" w:hAnsi="仿宋" w:eastAsia="仿宋" w:cs="仿宋"/>
                <w:color w:val="auto"/>
                <w:sz w:val="28"/>
                <w:szCs w:val="28"/>
              </w:rPr>
            </w:pPr>
          </w:p>
        </w:tc>
        <w:tc>
          <w:tcPr>
            <w:tcW w:w="1025" w:type="dxa"/>
            <w:noWrap w:val="0"/>
            <w:vAlign w:val="center"/>
          </w:tcPr>
          <w:p w14:paraId="5745356D">
            <w:pPr>
              <w:spacing w:line="440" w:lineRule="exact"/>
              <w:jc w:val="center"/>
              <w:rPr>
                <w:rFonts w:hint="eastAsia" w:ascii="仿宋" w:hAnsi="仿宋" w:eastAsia="仿宋" w:cs="仿宋"/>
                <w:color w:val="auto"/>
                <w:sz w:val="28"/>
                <w:szCs w:val="28"/>
              </w:rPr>
            </w:pPr>
          </w:p>
        </w:tc>
        <w:tc>
          <w:tcPr>
            <w:tcW w:w="842" w:type="dxa"/>
            <w:noWrap w:val="0"/>
            <w:vAlign w:val="center"/>
          </w:tcPr>
          <w:p w14:paraId="3454EB04">
            <w:pPr>
              <w:spacing w:line="440" w:lineRule="exact"/>
              <w:jc w:val="center"/>
              <w:rPr>
                <w:rFonts w:hint="eastAsia" w:ascii="仿宋" w:hAnsi="仿宋" w:eastAsia="仿宋" w:cs="仿宋"/>
                <w:color w:val="auto"/>
                <w:sz w:val="28"/>
                <w:szCs w:val="28"/>
              </w:rPr>
            </w:pPr>
          </w:p>
        </w:tc>
      </w:tr>
      <w:tr w14:paraId="3D36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restart"/>
            <w:noWrap w:val="0"/>
            <w:vAlign w:val="center"/>
          </w:tcPr>
          <w:p w14:paraId="085EF6C5">
            <w:pPr>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其他人员</w:t>
            </w:r>
          </w:p>
        </w:tc>
        <w:tc>
          <w:tcPr>
            <w:tcW w:w="937" w:type="dxa"/>
            <w:noWrap w:val="0"/>
            <w:vAlign w:val="center"/>
          </w:tcPr>
          <w:p w14:paraId="7EB8C96F">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09953D86">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39D845E8">
            <w:pPr>
              <w:spacing w:line="440" w:lineRule="exact"/>
              <w:jc w:val="center"/>
              <w:rPr>
                <w:rFonts w:hint="eastAsia" w:ascii="仿宋" w:hAnsi="仿宋" w:eastAsia="仿宋" w:cs="仿宋"/>
                <w:color w:val="auto"/>
                <w:sz w:val="28"/>
                <w:szCs w:val="28"/>
              </w:rPr>
            </w:pPr>
          </w:p>
        </w:tc>
        <w:tc>
          <w:tcPr>
            <w:tcW w:w="813" w:type="dxa"/>
            <w:noWrap w:val="0"/>
            <w:vAlign w:val="center"/>
          </w:tcPr>
          <w:p w14:paraId="4B4EAFF0">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13D35460">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06E46B1B">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66FBCD3C">
            <w:pPr>
              <w:spacing w:line="440" w:lineRule="exact"/>
              <w:jc w:val="center"/>
              <w:rPr>
                <w:rFonts w:hint="eastAsia" w:ascii="仿宋" w:hAnsi="仿宋" w:eastAsia="仿宋" w:cs="仿宋"/>
                <w:color w:val="auto"/>
                <w:sz w:val="28"/>
                <w:szCs w:val="28"/>
              </w:rPr>
            </w:pPr>
          </w:p>
        </w:tc>
        <w:tc>
          <w:tcPr>
            <w:tcW w:w="1025" w:type="dxa"/>
            <w:noWrap w:val="0"/>
            <w:vAlign w:val="center"/>
          </w:tcPr>
          <w:p w14:paraId="37254CDB">
            <w:pPr>
              <w:spacing w:line="440" w:lineRule="exact"/>
              <w:jc w:val="center"/>
              <w:rPr>
                <w:rFonts w:hint="eastAsia" w:ascii="仿宋" w:hAnsi="仿宋" w:eastAsia="仿宋" w:cs="仿宋"/>
                <w:color w:val="auto"/>
                <w:sz w:val="28"/>
                <w:szCs w:val="28"/>
              </w:rPr>
            </w:pPr>
          </w:p>
        </w:tc>
        <w:tc>
          <w:tcPr>
            <w:tcW w:w="842" w:type="dxa"/>
            <w:noWrap w:val="0"/>
            <w:vAlign w:val="center"/>
          </w:tcPr>
          <w:p w14:paraId="5AF2A553">
            <w:pPr>
              <w:spacing w:line="440" w:lineRule="exact"/>
              <w:jc w:val="center"/>
              <w:rPr>
                <w:rFonts w:hint="eastAsia" w:ascii="仿宋" w:hAnsi="仿宋" w:eastAsia="仿宋" w:cs="仿宋"/>
                <w:color w:val="auto"/>
                <w:sz w:val="28"/>
                <w:szCs w:val="28"/>
              </w:rPr>
            </w:pPr>
          </w:p>
        </w:tc>
      </w:tr>
      <w:tr w14:paraId="3E9C7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noWrap w:val="0"/>
            <w:vAlign w:val="center"/>
          </w:tcPr>
          <w:p w14:paraId="34EF51FB">
            <w:pPr>
              <w:spacing w:line="440" w:lineRule="exact"/>
              <w:jc w:val="center"/>
              <w:rPr>
                <w:rFonts w:hint="eastAsia" w:ascii="仿宋" w:hAnsi="仿宋" w:eastAsia="仿宋" w:cs="仿宋"/>
                <w:color w:val="auto"/>
                <w:sz w:val="28"/>
                <w:szCs w:val="28"/>
              </w:rPr>
            </w:pPr>
          </w:p>
        </w:tc>
        <w:tc>
          <w:tcPr>
            <w:tcW w:w="937" w:type="dxa"/>
            <w:noWrap w:val="0"/>
            <w:vAlign w:val="center"/>
          </w:tcPr>
          <w:p w14:paraId="649CBB31">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543D8F61">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61367798">
            <w:pPr>
              <w:spacing w:line="440" w:lineRule="exact"/>
              <w:jc w:val="center"/>
              <w:rPr>
                <w:rFonts w:hint="eastAsia" w:ascii="仿宋" w:hAnsi="仿宋" w:eastAsia="仿宋" w:cs="仿宋"/>
                <w:color w:val="auto"/>
                <w:sz w:val="28"/>
                <w:szCs w:val="28"/>
              </w:rPr>
            </w:pPr>
          </w:p>
        </w:tc>
        <w:tc>
          <w:tcPr>
            <w:tcW w:w="813" w:type="dxa"/>
            <w:noWrap w:val="0"/>
            <w:vAlign w:val="center"/>
          </w:tcPr>
          <w:p w14:paraId="6B3FD90E">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17747249">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0DC6A464">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0E0B444A">
            <w:pPr>
              <w:spacing w:line="440" w:lineRule="exact"/>
              <w:jc w:val="center"/>
              <w:rPr>
                <w:rFonts w:hint="eastAsia" w:ascii="仿宋" w:hAnsi="仿宋" w:eastAsia="仿宋" w:cs="仿宋"/>
                <w:color w:val="auto"/>
                <w:sz w:val="28"/>
                <w:szCs w:val="28"/>
              </w:rPr>
            </w:pPr>
          </w:p>
        </w:tc>
        <w:tc>
          <w:tcPr>
            <w:tcW w:w="1025" w:type="dxa"/>
            <w:noWrap w:val="0"/>
            <w:vAlign w:val="center"/>
          </w:tcPr>
          <w:p w14:paraId="1C231ED0">
            <w:pPr>
              <w:spacing w:line="440" w:lineRule="exact"/>
              <w:jc w:val="center"/>
              <w:rPr>
                <w:rFonts w:hint="eastAsia" w:ascii="仿宋" w:hAnsi="仿宋" w:eastAsia="仿宋" w:cs="仿宋"/>
                <w:color w:val="auto"/>
                <w:sz w:val="28"/>
                <w:szCs w:val="28"/>
              </w:rPr>
            </w:pPr>
          </w:p>
        </w:tc>
        <w:tc>
          <w:tcPr>
            <w:tcW w:w="842" w:type="dxa"/>
            <w:noWrap w:val="0"/>
            <w:vAlign w:val="center"/>
          </w:tcPr>
          <w:p w14:paraId="1E35CEFA">
            <w:pPr>
              <w:spacing w:line="440" w:lineRule="exact"/>
              <w:jc w:val="center"/>
              <w:rPr>
                <w:rFonts w:hint="eastAsia" w:ascii="仿宋" w:hAnsi="仿宋" w:eastAsia="仿宋" w:cs="仿宋"/>
                <w:color w:val="auto"/>
                <w:sz w:val="28"/>
                <w:szCs w:val="28"/>
              </w:rPr>
            </w:pPr>
          </w:p>
        </w:tc>
      </w:tr>
      <w:tr w14:paraId="66B0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noWrap w:val="0"/>
            <w:vAlign w:val="center"/>
          </w:tcPr>
          <w:p w14:paraId="7192F991">
            <w:pPr>
              <w:spacing w:line="440" w:lineRule="exact"/>
              <w:jc w:val="center"/>
              <w:rPr>
                <w:rFonts w:hint="eastAsia" w:ascii="仿宋" w:hAnsi="仿宋" w:eastAsia="仿宋" w:cs="仿宋"/>
                <w:color w:val="auto"/>
                <w:sz w:val="28"/>
                <w:szCs w:val="28"/>
              </w:rPr>
            </w:pPr>
          </w:p>
        </w:tc>
        <w:tc>
          <w:tcPr>
            <w:tcW w:w="937" w:type="dxa"/>
            <w:noWrap w:val="0"/>
            <w:vAlign w:val="center"/>
          </w:tcPr>
          <w:p w14:paraId="6AECBDBD">
            <w:pPr>
              <w:spacing w:line="440" w:lineRule="exact"/>
              <w:jc w:val="center"/>
              <w:rPr>
                <w:rFonts w:hint="eastAsia" w:ascii="仿宋" w:hAnsi="仿宋" w:eastAsia="仿宋" w:cs="仿宋"/>
                <w:color w:val="auto"/>
                <w:sz w:val="28"/>
                <w:szCs w:val="28"/>
              </w:rPr>
            </w:pPr>
          </w:p>
        </w:tc>
        <w:tc>
          <w:tcPr>
            <w:tcW w:w="888" w:type="dxa"/>
            <w:tcBorders>
              <w:right w:val="single" w:color="auto" w:sz="4" w:space="0"/>
            </w:tcBorders>
            <w:noWrap w:val="0"/>
            <w:vAlign w:val="center"/>
          </w:tcPr>
          <w:p w14:paraId="58A04A6E">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56ED35EE">
            <w:pPr>
              <w:spacing w:line="440" w:lineRule="exact"/>
              <w:jc w:val="center"/>
              <w:rPr>
                <w:rFonts w:hint="eastAsia" w:ascii="仿宋" w:hAnsi="仿宋" w:eastAsia="仿宋" w:cs="仿宋"/>
                <w:color w:val="auto"/>
                <w:sz w:val="28"/>
                <w:szCs w:val="28"/>
              </w:rPr>
            </w:pPr>
          </w:p>
        </w:tc>
        <w:tc>
          <w:tcPr>
            <w:tcW w:w="813" w:type="dxa"/>
            <w:noWrap w:val="0"/>
            <w:vAlign w:val="center"/>
          </w:tcPr>
          <w:p w14:paraId="53BF7EE8">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47F23B89">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3B9252A3">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73D003D4">
            <w:pPr>
              <w:spacing w:line="440" w:lineRule="exact"/>
              <w:jc w:val="center"/>
              <w:rPr>
                <w:rFonts w:hint="eastAsia" w:ascii="仿宋" w:hAnsi="仿宋" w:eastAsia="仿宋" w:cs="仿宋"/>
                <w:color w:val="auto"/>
                <w:sz w:val="28"/>
                <w:szCs w:val="28"/>
              </w:rPr>
            </w:pPr>
          </w:p>
        </w:tc>
        <w:tc>
          <w:tcPr>
            <w:tcW w:w="1025" w:type="dxa"/>
            <w:noWrap w:val="0"/>
            <w:vAlign w:val="center"/>
          </w:tcPr>
          <w:p w14:paraId="6E7A4AEA">
            <w:pPr>
              <w:spacing w:line="440" w:lineRule="exact"/>
              <w:jc w:val="center"/>
              <w:rPr>
                <w:rFonts w:hint="eastAsia" w:ascii="仿宋" w:hAnsi="仿宋" w:eastAsia="仿宋" w:cs="仿宋"/>
                <w:color w:val="auto"/>
                <w:sz w:val="28"/>
                <w:szCs w:val="28"/>
              </w:rPr>
            </w:pPr>
          </w:p>
        </w:tc>
        <w:tc>
          <w:tcPr>
            <w:tcW w:w="842" w:type="dxa"/>
            <w:noWrap w:val="0"/>
            <w:vAlign w:val="center"/>
          </w:tcPr>
          <w:p w14:paraId="44FF42AD">
            <w:pPr>
              <w:spacing w:line="440" w:lineRule="exact"/>
              <w:jc w:val="center"/>
              <w:rPr>
                <w:rFonts w:hint="eastAsia" w:ascii="仿宋" w:hAnsi="仿宋" w:eastAsia="仿宋" w:cs="仿宋"/>
                <w:color w:val="auto"/>
                <w:sz w:val="28"/>
                <w:szCs w:val="28"/>
              </w:rPr>
            </w:pPr>
          </w:p>
        </w:tc>
      </w:tr>
      <w:tr w14:paraId="7DE38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30" w:type="dxa"/>
            <w:vMerge w:val="continue"/>
            <w:tcBorders>
              <w:bottom w:val="single" w:color="auto" w:sz="4" w:space="0"/>
            </w:tcBorders>
            <w:noWrap w:val="0"/>
            <w:vAlign w:val="center"/>
          </w:tcPr>
          <w:p w14:paraId="36D870B8">
            <w:pPr>
              <w:spacing w:line="440" w:lineRule="exact"/>
              <w:jc w:val="center"/>
              <w:rPr>
                <w:rFonts w:hint="eastAsia" w:ascii="仿宋" w:hAnsi="仿宋" w:eastAsia="仿宋" w:cs="仿宋"/>
                <w:color w:val="auto"/>
                <w:sz w:val="28"/>
                <w:szCs w:val="28"/>
              </w:rPr>
            </w:pPr>
            <w:bookmarkStart w:id="571" w:name="_Toc26038"/>
          </w:p>
        </w:tc>
        <w:tc>
          <w:tcPr>
            <w:tcW w:w="937" w:type="dxa"/>
            <w:tcBorders>
              <w:bottom w:val="single" w:color="auto" w:sz="4" w:space="0"/>
            </w:tcBorders>
            <w:noWrap w:val="0"/>
            <w:vAlign w:val="center"/>
          </w:tcPr>
          <w:p w14:paraId="3A01751B">
            <w:pPr>
              <w:spacing w:line="44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888" w:type="dxa"/>
            <w:tcBorders>
              <w:right w:val="single" w:color="auto" w:sz="4" w:space="0"/>
            </w:tcBorders>
            <w:noWrap w:val="0"/>
            <w:vAlign w:val="center"/>
          </w:tcPr>
          <w:p w14:paraId="5A77B2F6">
            <w:pPr>
              <w:spacing w:line="440" w:lineRule="exact"/>
              <w:jc w:val="center"/>
              <w:rPr>
                <w:rFonts w:hint="eastAsia" w:ascii="仿宋" w:hAnsi="仿宋" w:eastAsia="仿宋" w:cs="仿宋"/>
                <w:color w:val="auto"/>
                <w:sz w:val="28"/>
                <w:szCs w:val="28"/>
              </w:rPr>
            </w:pPr>
          </w:p>
        </w:tc>
        <w:tc>
          <w:tcPr>
            <w:tcW w:w="912" w:type="dxa"/>
            <w:tcBorders>
              <w:left w:val="single" w:color="auto" w:sz="4" w:space="0"/>
            </w:tcBorders>
            <w:noWrap w:val="0"/>
            <w:vAlign w:val="center"/>
          </w:tcPr>
          <w:p w14:paraId="1E7B7518">
            <w:pPr>
              <w:spacing w:line="440" w:lineRule="exact"/>
              <w:jc w:val="center"/>
              <w:rPr>
                <w:rFonts w:hint="eastAsia" w:ascii="仿宋" w:hAnsi="仿宋" w:eastAsia="仿宋" w:cs="仿宋"/>
                <w:color w:val="auto"/>
                <w:sz w:val="28"/>
                <w:szCs w:val="28"/>
              </w:rPr>
            </w:pPr>
          </w:p>
        </w:tc>
        <w:tc>
          <w:tcPr>
            <w:tcW w:w="813" w:type="dxa"/>
            <w:noWrap w:val="0"/>
            <w:vAlign w:val="center"/>
          </w:tcPr>
          <w:p w14:paraId="07C6141F">
            <w:pPr>
              <w:spacing w:line="440" w:lineRule="exact"/>
              <w:jc w:val="center"/>
              <w:rPr>
                <w:rFonts w:hint="eastAsia" w:ascii="仿宋" w:hAnsi="仿宋" w:eastAsia="仿宋" w:cs="仿宋"/>
                <w:color w:val="auto"/>
                <w:sz w:val="28"/>
                <w:szCs w:val="28"/>
              </w:rPr>
            </w:pPr>
          </w:p>
        </w:tc>
        <w:tc>
          <w:tcPr>
            <w:tcW w:w="775" w:type="dxa"/>
            <w:tcBorders>
              <w:right w:val="single" w:color="auto" w:sz="4" w:space="0"/>
            </w:tcBorders>
            <w:noWrap w:val="0"/>
            <w:vAlign w:val="center"/>
          </w:tcPr>
          <w:p w14:paraId="4DFA76C4">
            <w:pPr>
              <w:spacing w:line="440" w:lineRule="exact"/>
              <w:jc w:val="center"/>
              <w:rPr>
                <w:rFonts w:hint="eastAsia" w:ascii="仿宋" w:hAnsi="仿宋" w:eastAsia="仿宋" w:cs="仿宋"/>
                <w:color w:val="auto"/>
                <w:sz w:val="28"/>
                <w:szCs w:val="28"/>
              </w:rPr>
            </w:pPr>
          </w:p>
        </w:tc>
        <w:tc>
          <w:tcPr>
            <w:tcW w:w="1462" w:type="dxa"/>
            <w:tcBorders>
              <w:left w:val="single" w:color="auto" w:sz="4" w:space="0"/>
            </w:tcBorders>
            <w:noWrap w:val="0"/>
            <w:vAlign w:val="center"/>
          </w:tcPr>
          <w:p w14:paraId="79B5A558">
            <w:pPr>
              <w:spacing w:line="440" w:lineRule="exact"/>
              <w:jc w:val="center"/>
              <w:rPr>
                <w:rFonts w:hint="eastAsia" w:ascii="仿宋" w:hAnsi="仿宋" w:eastAsia="仿宋" w:cs="仿宋"/>
                <w:color w:val="auto"/>
                <w:sz w:val="28"/>
                <w:szCs w:val="28"/>
              </w:rPr>
            </w:pPr>
          </w:p>
        </w:tc>
        <w:tc>
          <w:tcPr>
            <w:tcW w:w="963" w:type="dxa"/>
            <w:tcBorders>
              <w:left w:val="single" w:color="auto" w:sz="4" w:space="0"/>
            </w:tcBorders>
            <w:noWrap w:val="0"/>
            <w:vAlign w:val="center"/>
          </w:tcPr>
          <w:p w14:paraId="33C223F1">
            <w:pPr>
              <w:spacing w:line="440" w:lineRule="exact"/>
              <w:jc w:val="center"/>
              <w:rPr>
                <w:rFonts w:hint="eastAsia" w:ascii="仿宋" w:hAnsi="仿宋" w:eastAsia="仿宋" w:cs="仿宋"/>
                <w:color w:val="auto"/>
                <w:sz w:val="28"/>
                <w:szCs w:val="28"/>
              </w:rPr>
            </w:pPr>
          </w:p>
        </w:tc>
        <w:tc>
          <w:tcPr>
            <w:tcW w:w="1025" w:type="dxa"/>
            <w:noWrap w:val="0"/>
            <w:vAlign w:val="center"/>
          </w:tcPr>
          <w:p w14:paraId="6F284384">
            <w:pPr>
              <w:spacing w:line="440" w:lineRule="exact"/>
              <w:jc w:val="center"/>
              <w:rPr>
                <w:rFonts w:hint="eastAsia" w:ascii="仿宋" w:hAnsi="仿宋" w:eastAsia="仿宋" w:cs="仿宋"/>
                <w:color w:val="auto"/>
                <w:sz w:val="28"/>
                <w:szCs w:val="28"/>
              </w:rPr>
            </w:pPr>
          </w:p>
        </w:tc>
        <w:tc>
          <w:tcPr>
            <w:tcW w:w="842" w:type="dxa"/>
            <w:noWrap w:val="0"/>
            <w:vAlign w:val="center"/>
          </w:tcPr>
          <w:p w14:paraId="4E5415A0">
            <w:pPr>
              <w:spacing w:line="440" w:lineRule="exact"/>
              <w:jc w:val="center"/>
              <w:rPr>
                <w:rFonts w:hint="eastAsia" w:ascii="仿宋" w:hAnsi="仿宋" w:eastAsia="仿宋" w:cs="仿宋"/>
                <w:color w:val="auto"/>
                <w:sz w:val="28"/>
                <w:szCs w:val="28"/>
              </w:rPr>
            </w:pPr>
          </w:p>
        </w:tc>
      </w:tr>
    </w:tbl>
    <w:p w14:paraId="28A5CEE5">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1C51103E">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161D620A">
      <w:pPr>
        <w:pStyle w:val="8"/>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 w:hAnsi="仿宋" w:eastAsia="仿宋" w:cs="黑体"/>
          <w:b/>
          <w:color w:val="auto"/>
          <w:kern w:val="2"/>
          <w:sz w:val="28"/>
          <w:szCs w:val="28"/>
        </w:rPr>
      </w:pPr>
      <w:r>
        <w:rPr>
          <w:rFonts w:hint="eastAsia" w:ascii="仿宋" w:hAnsi="仿宋" w:eastAsia="仿宋" w:cs="仿宋"/>
          <w:color w:val="auto"/>
          <w:sz w:val="28"/>
          <w:szCs w:val="28"/>
        </w:rPr>
        <w:t>日期：</w:t>
      </w:r>
    </w:p>
    <w:p w14:paraId="021FAB80">
      <w:pPr>
        <w:spacing w:line="440" w:lineRule="exact"/>
        <w:rPr>
          <w:rFonts w:hint="eastAsia" w:ascii="仿宋" w:hAnsi="仿宋" w:eastAsia="仿宋" w:cs="仿宋"/>
          <w:b/>
          <w:bCs/>
          <w:color w:val="auto"/>
          <w:sz w:val="28"/>
          <w:szCs w:val="28"/>
        </w:rPr>
      </w:pPr>
    </w:p>
    <w:p w14:paraId="70CD8342">
      <w:pPr>
        <w:spacing w:line="440" w:lineRule="exact"/>
        <w:jc w:val="center"/>
        <w:rPr>
          <w:rFonts w:hint="eastAsia" w:ascii="仿宋" w:hAnsi="仿宋" w:eastAsia="仿宋" w:cs="仿宋"/>
          <w:b/>
          <w:bCs/>
          <w:color w:val="auto"/>
          <w:sz w:val="28"/>
          <w:szCs w:val="28"/>
        </w:rPr>
      </w:pPr>
    </w:p>
    <w:p w14:paraId="57DA5748">
      <w:pPr>
        <w:pStyle w:val="4"/>
        <w:spacing w:line="440" w:lineRule="exact"/>
        <w:outlineLvl w:val="9"/>
        <w:rPr>
          <w:rFonts w:hint="eastAsia" w:ascii="仿宋" w:hAnsi="仿宋" w:eastAsia="仿宋" w:cs="仿宋"/>
          <w:bCs/>
          <w:color w:val="auto"/>
          <w:sz w:val="28"/>
          <w:szCs w:val="28"/>
        </w:rPr>
      </w:pPr>
    </w:p>
    <w:p w14:paraId="3FDDC52C">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14:paraId="65D8ADC3">
      <w:pPr>
        <w:pStyle w:val="8"/>
        <w:rPr>
          <w:rFonts w:hint="eastAsia"/>
        </w:rPr>
      </w:pPr>
    </w:p>
    <w:p w14:paraId="37EF851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9.</w:t>
      </w:r>
      <w:r>
        <w:rPr>
          <w:rFonts w:hint="eastAsia" w:ascii="仿宋" w:hAnsi="仿宋" w:eastAsia="仿宋" w:cs="仿宋"/>
          <w:b/>
          <w:color w:val="auto"/>
          <w:sz w:val="28"/>
          <w:szCs w:val="28"/>
        </w:rPr>
        <w:t>根据本项目评分标准顺序编写；（自拟）</w:t>
      </w:r>
    </w:p>
    <w:p w14:paraId="5DF006BF">
      <w:pPr>
        <w:spacing w:line="380" w:lineRule="exact"/>
        <w:jc w:val="center"/>
        <w:rPr>
          <w:rFonts w:hint="eastAsia" w:ascii="仿宋" w:hAnsi="仿宋" w:eastAsia="仿宋" w:cs="仿宋"/>
          <w:b/>
          <w:bCs/>
          <w:color w:val="auto"/>
          <w:sz w:val="30"/>
          <w:szCs w:val="30"/>
        </w:rPr>
      </w:pPr>
    </w:p>
    <w:p w14:paraId="56D9B23D">
      <w:pPr>
        <w:spacing w:line="380" w:lineRule="exact"/>
        <w:jc w:val="center"/>
        <w:rPr>
          <w:rFonts w:hint="eastAsia" w:ascii="仿宋" w:hAnsi="仿宋" w:eastAsia="仿宋" w:cs="仿宋"/>
          <w:b/>
          <w:bCs/>
          <w:color w:val="auto"/>
          <w:sz w:val="30"/>
          <w:szCs w:val="30"/>
        </w:rPr>
      </w:pPr>
    </w:p>
    <w:p w14:paraId="145B7146">
      <w:pPr>
        <w:spacing w:line="380" w:lineRule="exact"/>
        <w:jc w:val="center"/>
        <w:rPr>
          <w:rFonts w:hint="eastAsia" w:ascii="仿宋" w:hAnsi="仿宋" w:eastAsia="仿宋" w:cs="仿宋"/>
          <w:b/>
          <w:bCs/>
          <w:color w:val="auto"/>
          <w:sz w:val="30"/>
          <w:szCs w:val="30"/>
        </w:rPr>
      </w:pPr>
    </w:p>
    <w:p w14:paraId="7D65EE5F">
      <w:pPr>
        <w:spacing w:line="380" w:lineRule="exact"/>
        <w:jc w:val="center"/>
        <w:outlineLvl w:val="9"/>
        <w:rPr>
          <w:rFonts w:hint="eastAsia" w:ascii="仿宋" w:hAnsi="仿宋" w:eastAsia="仿宋" w:cs="仿宋"/>
          <w:b/>
          <w:bCs/>
          <w:color w:val="auto"/>
          <w:sz w:val="30"/>
          <w:szCs w:val="30"/>
        </w:rPr>
      </w:pPr>
      <w:bookmarkStart w:id="572" w:name="_Toc8277"/>
      <w:bookmarkStart w:id="573" w:name="_Toc30853"/>
      <w:bookmarkStart w:id="574" w:name="_Toc24632"/>
      <w:bookmarkStart w:id="575" w:name="_Toc17360"/>
      <w:bookmarkStart w:id="576" w:name="_Toc13594"/>
      <w:bookmarkStart w:id="577" w:name="_Toc6160"/>
    </w:p>
    <w:p w14:paraId="6B64B953">
      <w:pPr>
        <w:pStyle w:val="26"/>
        <w:ind w:firstLine="602"/>
        <w:rPr>
          <w:rFonts w:hint="eastAsia" w:ascii="仿宋" w:hAnsi="仿宋" w:eastAsia="仿宋" w:cs="仿宋"/>
          <w:b/>
          <w:bCs/>
          <w:color w:val="auto"/>
          <w:sz w:val="30"/>
          <w:szCs w:val="30"/>
        </w:rPr>
      </w:pPr>
    </w:p>
    <w:p w14:paraId="5E4006C6">
      <w:pPr>
        <w:pStyle w:val="26"/>
        <w:ind w:firstLine="602"/>
        <w:rPr>
          <w:rFonts w:hint="eastAsia" w:ascii="仿宋" w:hAnsi="仿宋" w:eastAsia="仿宋" w:cs="仿宋"/>
          <w:b/>
          <w:bCs/>
          <w:color w:val="auto"/>
          <w:sz w:val="30"/>
          <w:szCs w:val="30"/>
        </w:rPr>
      </w:pPr>
    </w:p>
    <w:p w14:paraId="230C2AD6">
      <w:pPr>
        <w:pStyle w:val="26"/>
        <w:ind w:firstLine="602"/>
        <w:rPr>
          <w:rFonts w:hint="eastAsia" w:ascii="仿宋" w:hAnsi="仿宋" w:eastAsia="仿宋" w:cs="仿宋"/>
          <w:b/>
          <w:bCs/>
          <w:color w:val="auto"/>
          <w:sz w:val="30"/>
          <w:szCs w:val="30"/>
        </w:rPr>
      </w:pPr>
    </w:p>
    <w:p w14:paraId="5168539D">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53B77040">
      <w:pPr>
        <w:rPr>
          <w:rFonts w:hint="eastAsia"/>
        </w:rPr>
      </w:pPr>
    </w:p>
    <w:p w14:paraId="65F8A856">
      <w:pPr>
        <w:spacing w:line="440" w:lineRule="exact"/>
        <w:jc w:val="center"/>
        <w:outlineLvl w:val="1"/>
        <w:rPr>
          <w:rFonts w:ascii="仿宋" w:hAnsi="仿宋" w:eastAsia="仿宋" w:cs="仿宋"/>
          <w:b/>
          <w:bCs/>
          <w:color w:val="auto"/>
          <w:sz w:val="28"/>
          <w:szCs w:val="28"/>
        </w:rPr>
      </w:pPr>
      <w:bookmarkStart w:id="578" w:name="_Toc6549"/>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CN"/>
        </w:rPr>
        <w:t>0</w:t>
      </w:r>
      <w:r>
        <w:rPr>
          <w:rFonts w:hint="eastAsia" w:ascii="仿宋" w:hAnsi="仿宋" w:eastAsia="仿宋" w:cs="仿宋"/>
          <w:b/>
          <w:bCs/>
          <w:color w:val="auto"/>
          <w:sz w:val="28"/>
          <w:szCs w:val="28"/>
        </w:rPr>
        <w:t>.类似业绩表</w:t>
      </w:r>
      <w:bookmarkEnd w:id="555"/>
      <w:bookmarkEnd w:id="571"/>
      <w:bookmarkEnd w:id="572"/>
      <w:bookmarkEnd w:id="573"/>
      <w:bookmarkEnd w:id="574"/>
      <w:bookmarkEnd w:id="575"/>
      <w:bookmarkEnd w:id="576"/>
      <w:bookmarkEnd w:id="577"/>
      <w:bookmarkEnd w:id="578"/>
    </w:p>
    <w:p w14:paraId="25560D22">
      <w:pPr>
        <w:autoSpaceDE w:val="0"/>
        <w:autoSpaceDN w:val="0"/>
        <w:adjustRightInd w:val="0"/>
        <w:spacing w:line="440" w:lineRule="exact"/>
        <w:rPr>
          <w:rFonts w:ascii="仿宋" w:hAnsi="仿宋" w:eastAsia="仿宋" w:cs="仿宋"/>
          <w:b/>
          <w:bCs/>
          <w:color w:val="auto"/>
          <w:kern w:val="0"/>
          <w:sz w:val="28"/>
          <w:szCs w:val="28"/>
        </w:rPr>
      </w:pPr>
      <w:r>
        <w:rPr>
          <w:rFonts w:hint="eastAsia" w:ascii="仿宋" w:hAnsi="仿宋" w:eastAsia="仿宋" w:cs="仿宋"/>
          <w:b/>
          <w:bCs/>
          <w:color w:val="auto"/>
          <w:sz w:val="28"/>
          <w:szCs w:val="28"/>
        </w:rPr>
        <w:t xml:space="preserve">项目名称：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项目编号</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color w:val="auto"/>
          <w:kern w:val="2"/>
          <w:sz w:val="28"/>
          <w:szCs w:val="28"/>
        </w:rPr>
        <w:t xml:space="preserve"> </w:t>
      </w:r>
      <w:r>
        <w:rPr>
          <w:rStyle w:val="50"/>
          <w:rFonts w:hint="eastAsia" w:ascii="仿宋" w:hAnsi="仿宋" w:eastAsia="仿宋" w:cs="仿宋"/>
          <w:color w:val="auto"/>
          <w:kern w:val="2"/>
          <w:sz w:val="28"/>
          <w:szCs w:val="28"/>
          <w:lang w:val="en-US"/>
        </w:rPr>
        <w:t xml:space="preserve"> </w:t>
      </w:r>
      <w:r>
        <w:rPr>
          <w:rStyle w:val="50"/>
          <w:rFonts w:hint="eastAsia" w:ascii="仿宋" w:hAnsi="仿宋" w:eastAsia="仿宋" w:cs="仿宋"/>
          <w:b/>
          <w:bCs/>
          <w:color w:val="auto"/>
          <w:kern w:val="2"/>
          <w:sz w:val="28"/>
          <w:szCs w:val="28"/>
        </w:rPr>
        <w:t xml:space="preserve"> </w:t>
      </w:r>
      <w:r>
        <w:rPr>
          <w:rStyle w:val="50"/>
          <w:rFonts w:hint="eastAsia" w:ascii="仿宋" w:hAnsi="仿宋" w:eastAsia="仿宋" w:cs="仿宋"/>
          <w:b/>
          <w:bCs/>
          <w:color w:val="auto"/>
          <w:kern w:val="2"/>
          <w:sz w:val="28"/>
          <w:szCs w:val="28"/>
          <w:lang w:val="en-US"/>
        </w:rPr>
        <w:t xml:space="preserve">  </w:t>
      </w:r>
      <w:r>
        <w:rPr>
          <w:rFonts w:hint="eastAsia" w:ascii="仿宋" w:hAnsi="仿宋" w:eastAsia="仿宋" w:cs="仿宋"/>
          <w:b/>
          <w:color w:val="auto"/>
          <w:sz w:val="28"/>
          <w:szCs w:val="28"/>
        </w:rPr>
        <w:t xml:space="preserve"> </w:t>
      </w:r>
      <w:r>
        <w:rPr>
          <w:rFonts w:hint="eastAsia" w:ascii="仿宋" w:hAnsi="仿宋" w:eastAsia="仿宋" w:cs="仿宋"/>
          <w:b/>
          <w:bCs/>
          <w:color w:val="auto"/>
          <w:kern w:val="0"/>
          <w:sz w:val="28"/>
          <w:szCs w:val="28"/>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14:paraId="16BD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21" w:type="dxa"/>
            <w:noWrap w:val="0"/>
            <w:vAlign w:val="center"/>
          </w:tcPr>
          <w:p w14:paraId="4426AFBA">
            <w:pPr>
              <w:autoSpaceDE w:val="0"/>
              <w:autoSpaceDN w:val="0"/>
              <w:adjustRightInd w:val="0"/>
              <w:spacing w:line="44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地区</w:t>
            </w:r>
          </w:p>
        </w:tc>
        <w:tc>
          <w:tcPr>
            <w:tcW w:w="3296" w:type="dxa"/>
            <w:noWrap w:val="0"/>
            <w:vAlign w:val="center"/>
          </w:tcPr>
          <w:p w14:paraId="666BCDB5">
            <w:pPr>
              <w:autoSpaceDE w:val="0"/>
              <w:autoSpaceDN w:val="0"/>
              <w:adjustRightInd w:val="0"/>
              <w:spacing w:line="440" w:lineRule="exact"/>
              <w:ind w:right="-107" w:rightChars="-51"/>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项目名称</w:t>
            </w:r>
          </w:p>
        </w:tc>
        <w:tc>
          <w:tcPr>
            <w:tcW w:w="1251" w:type="dxa"/>
            <w:noWrap w:val="0"/>
            <w:vAlign w:val="center"/>
          </w:tcPr>
          <w:p w14:paraId="7DF7A5B7">
            <w:pPr>
              <w:autoSpaceDE w:val="0"/>
              <w:autoSpaceDN w:val="0"/>
              <w:adjustRightIn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中标、成交金额(万元)</w:t>
            </w:r>
          </w:p>
        </w:tc>
        <w:tc>
          <w:tcPr>
            <w:tcW w:w="1963" w:type="dxa"/>
            <w:noWrap w:val="0"/>
            <w:vAlign w:val="center"/>
          </w:tcPr>
          <w:p w14:paraId="5C1ED035">
            <w:pPr>
              <w:autoSpaceDE w:val="0"/>
              <w:autoSpaceDN w:val="0"/>
              <w:adjustRightIn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验收结果</w:t>
            </w:r>
          </w:p>
        </w:tc>
        <w:tc>
          <w:tcPr>
            <w:tcW w:w="1251" w:type="dxa"/>
            <w:noWrap w:val="0"/>
            <w:vAlign w:val="center"/>
          </w:tcPr>
          <w:p w14:paraId="24567BCA">
            <w:pPr>
              <w:autoSpaceDE w:val="0"/>
              <w:autoSpaceDN w:val="0"/>
              <w:adjustRightIn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备 注</w:t>
            </w:r>
          </w:p>
        </w:tc>
      </w:tr>
      <w:tr w14:paraId="65E5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1" w:type="dxa"/>
            <w:noWrap w:val="0"/>
            <w:vAlign w:val="top"/>
          </w:tcPr>
          <w:p w14:paraId="4E867646">
            <w:pPr>
              <w:spacing w:line="440" w:lineRule="exact"/>
              <w:rPr>
                <w:rFonts w:ascii="仿宋" w:hAnsi="仿宋" w:eastAsia="仿宋" w:cs="仿宋"/>
                <w:color w:val="auto"/>
                <w:sz w:val="28"/>
                <w:szCs w:val="28"/>
              </w:rPr>
            </w:pPr>
          </w:p>
        </w:tc>
        <w:tc>
          <w:tcPr>
            <w:tcW w:w="3296" w:type="dxa"/>
            <w:noWrap w:val="0"/>
            <w:vAlign w:val="top"/>
          </w:tcPr>
          <w:p w14:paraId="452A39D9">
            <w:pPr>
              <w:spacing w:line="440" w:lineRule="exact"/>
              <w:rPr>
                <w:rFonts w:ascii="仿宋" w:hAnsi="仿宋" w:eastAsia="仿宋" w:cs="仿宋"/>
                <w:color w:val="auto"/>
                <w:sz w:val="28"/>
                <w:szCs w:val="28"/>
              </w:rPr>
            </w:pPr>
          </w:p>
        </w:tc>
        <w:tc>
          <w:tcPr>
            <w:tcW w:w="1251" w:type="dxa"/>
            <w:noWrap w:val="0"/>
            <w:vAlign w:val="top"/>
          </w:tcPr>
          <w:p w14:paraId="03E0AC0F">
            <w:pPr>
              <w:spacing w:line="440" w:lineRule="exact"/>
              <w:rPr>
                <w:rFonts w:ascii="仿宋" w:hAnsi="仿宋" w:eastAsia="仿宋" w:cs="仿宋"/>
                <w:color w:val="auto"/>
                <w:sz w:val="28"/>
                <w:szCs w:val="28"/>
              </w:rPr>
            </w:pPr>
          </w:p>
        </w:tc>
        <w:tc>
          <w:tcPr>
            <w:tcW w:w="1963" w:type="dxa"/>
            <w:noWrap w:val="0"/>
            <w:vAlign w:val="top"/>
          </w:tcPr>
          <w:p w14:paraId="0A5421CA">
            <w:pPr>
              <w:spacing w:line="440" w:lineRule="exact"/>
              <w:rPr>
                <w:rFonts w:ascii="仿宋" w:hAnsi="仿宋" w:eastAsia="仿宋" w:cs="仿宋"/>
                <w:color w:val="auto"/>
                <w:sz w:val="28"/>
                <w:szCs w:val="28"/>
              </w:rPr>
            </w:pPr>
          </w:p>
        </w:tc>
        <w:tc>
          <w:tcPr>
            <w:tcW w:w="1251" w:type="dxa"/>
            <w:noWrap w:val="0"/>
            <w:vAlign w:val="top"/>
          </w:tcPr>
          <w:p w14:paraId="0FADB812">
            <w:pPr>
              <w:spacing w:line="440" w:lineRule="exact"/>
              <w:rPr>
                <w:rFonts w:ascii="仿宋" w:hAnsi="仿宋" w:eastAsia="仿宋" w:cs="仿宋"/>
                <w:color w:val="auto"/>
                <w:sz w:val="28"/>
                <w:szCs w:val="28"/>
              </w:rPr>
            </w:pPr>
          </w:p>
        </w:tc>
      </w:tr>
      <w:tr w14:paraId="15C4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21" w:type="dxa"/>
            <w:noWrap w:val="0"/>
            <w:vAlign w:val="top"/>
          </w:tcPr>
          <w:p w14:paraId="628F3E5D">
            <w:pPr>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3296" w:type="dxa"/>
            <w:noWrap w:val="0"/>
            <w:vAlign w:val="top"/>
          </w:tcPr>
          <w:p w14:paraId="7B92254A">
            <w:pPr>
              <w:spacing w:line="440" w:lineRule="exact"/>
              <w:rPr>
                <w:rFonts w:ascii="仿宋" w:hAnsi="仿宋" w:eastAsia="仿宋" w:cs="仿宋"/>
                <w:color w:val="auto"/>
                <w:sz w:val="28"/>
                <w:szCs w:val="28"/>
              </w:rPr>
            </w:pPr>
          </w:p>
        </w:tc>
        <w:tc>
          <w:tcPr>
            <w:tcW w:w="1251" w:type="dxa"/>
            <w:noWrap w:val="0"/>
            <w:vAlign w:val="top"/>
          </w:tcPr>
          <w:p w14:paraId="74658151">
            <w:pPr>
              <w:spacing w:line="440" w:lineRule="exact"/>
              <w:rPr>
                <w:rFonts w:ascii="仿宋" w:hAnsi="仿宋" w:eastAsia="仿宋" w:cs="仿宋"/>
                <w:color w:val="auto"/>
                <w:sz w:val="28"/>
                <w:szCs w:val="28"/>
              </w:rPr>
            </w:pPr>
          </w:p>
        </w:tc>
        <w:tc>
          <w:tcPr>
            <w:tcW w:w="1963" w:type="dxa"/>
            <w:noWrap w:val="0"/>
            <w:vAlign w:val="top"/>
          </w:tcPr>
          <w:p w14:paraId="5E287E33">
            <w:pPr>
              <w:spacing w:line="440" w:lineRule="exact"/>
              <w:rPr>
                <w:rFonts w:ascii="仿宋" w:hAnsi="仿宋" w:eastAsia="仿宋" w:cs="仿宋"/>
                <w:color w:val="auto"/>
                <w:sz w:val="28"/>
                <w:szCs w:val="28"/>
              </w:rPr>
            </w:pPr>
          </w:p>
        </w:tc>
        <w:tc>
          <w:tcPr>
            <w:tcW w:w="1251" w:type="dxa"/>
            <w:noWrap w:val="0"/>
            <w:vAlign w:val="top"/>
          </w:tcPr>
          <w:p w14:paraId="11BC1FD5">
            <w:pPr>
              <w:spacing w:line="440" w:lineRule="exact"/>
              <w:rPr>
                <w:rFonts w:ascii="仿宋" w:hAnsi="仿宋" w:eastAsia="仿宋" w:cs="仿宋"/>
                <w:color w:val="auto"/>
                <w:sz w:val="28"/>
                <w:szCs w:val="28"/>
              </w:rPr>
            </w:pPr>
          </w:p>
        </w:tc>
      </w:tr>
    </w:tbl>
    <w:p w14:paraId="569F481B">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投标人名称（单位盖章）：</w:t>
      </w:r>
      <w:r>
        <w:rPr>
          <w:rFonts w:hint="eastAsia" w:ascii="仿宋" w:hAnsi="仿宋" w:eastAsia="仿宋" w:cs="仿宋"/>
          <w:color w:val="auto"/>
          <w:sz w:val="28"/>
          <w:szCs w:val="28"/>
          <w:u w:val="single"/>
        </w:rPr>
        <w:t xml:space="preserve">                </w:t>
      </w:r>
    </w:p>
    <w:p w14:paraId="68D9BDAC">
      <w:pPr>
        <w:pStyle w:val="16"/>
        <w:keepNext w:val="0"/>
        <w:keepLines w:val="0"/>
        <w:pageBreakBefore w:val="0"/>
        <w:widowControl w:val="0"/>
        <w:tabs>
          <w:tab w:val="left" w:pos="5580"/>
        </w:tabs>
        <w:kinsoku/>
        <w:wordWrap/>
        <w:overflowPunct/>
        <w:topLinePunct w:val="0"/>
        <w:autoSpaceDE/>
        <w:autoSpaceDN/>
        <w:bidi w:val="0"/>
        <w:adjustRightInd/>
        <w:snapToGrid/>
        <w:spacing w:line="480" w:lineRule="exact"/>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法定代表人或被授权人(签字或签章):</w:t>
      </w:r>
      <w:r>
        <w:rPr>
          <w:rFonts w:hint="eastAsia" w:ascii="仿宋" w:hAnsi="仿宋" w:eastAsia="仿宋" w:cs="仿宋"/>
          <w:color w:val="auto"/>
          <w:sz w:val="28"/>
          <w:szCs w:val="28"/>
          <w:u w:val="single"/>
        </w:rPr>
        <w:tab/>
      </w:r>
    </w:p>
    <w:p w14:paraId="6C5D0202">
      <w:pPr>
        <w:spacing w:line="440" w:lineRule="exact"/>
        <w:rPr>
          <w:rFonts w:hint="eastAsia" w:ascii="仿宋" w:hAnsi="仿宋" w:eastAsia="仿宋" w:cs="仿宋"/>
          <w:color w:val="auto"/>
          <w:sz w:val="28"/>
          <w:szCs w:val="28"/>
        </w:rPr>
      </w:pPr>
      <w:r>
        <w:rPr>
          <w:rFonts w:hint="eastAsia" w:ascii="仿宋" w:hAnsi="仿宋" w:eastAsia="仿宋" w:cs="仿宋"/>
          <w:color w:val="auto"/>
          <w:sz w:val="28"/>
          <w:szCs w:val="28"/>
        </w:rPr>
        <w:t>日期：</w:t>
      </w:r>
    </w:p>
    <w:p w14:paraId="4B8FAC42">
      <w:pPr>
        <w:spacing w:line="440" w:lineRule="exact"/>
        <w:rPr>
          <w:rFonts w:ascii="仿宋" w:hAnsi="仿宋" w:eastAsia="仿宋" w:cs="仿宋"/>
          <w:color w:val="auto"/>
          <w:sz w:val="28"/>
          <w:szCs w:val="28"/>
        </w:rPr>
      </w:pPr>
      <w:r>
        <w:rPr>
          <w:rFonts w:hint="eastAsia" w:ascii="仿宋" w:hAnsi="仿宋" w:eastAsia="仿宋" w:cs="仿宋"/>
          <w:color w:val="auto"/>
          <w:sz w:val="28"/>
          <w:szCs w:val="28"/>
          <w:lang w:val="en-US" w:eastAsia="zh-CN"/>
        </w:rPr>
        <w:t>备</w:t>
      </w:r>
      <w:r>
        <w:rPr>
          <w:rFonts w:hint="eastAsia" w:ascii="仿宋" w:hAnsi="仿宋" w:eastAsia="仿宋" w:cs="仿宋"/>
          <w:color w:val="auto"/>
          <w:sz w:val="28"/>
          <w:szCs w:val="28"/>
        </w:rPr>
        <w:t>注：</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供应商（仅限于供应商自己实施的）以上业绩需提供有关书面证明材料</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Start w:id="579" w:name="_Toc10015_WPSOffice_Level2"/>
      <w:bookmarkStart w:id="580" w:name="_Toc32375"/>
      <w:bookmarkStart w:id="581" w:name="_Toc288"/>
      <w:bookmarkStart w:id="582" w:name="_Toc25174"/>
      <w:bookmarkStart w:id="583" w:name="_Toc21899"/>
      <w:bookmarkStart w:id="584" w:name="_Toc8343"/>
      <w:bookmarkStart w:id="585" w:name="_Toc1365"/>
      <w:bookmarkStart w:id="586" w:name="_Toc22369"/>
      <w:bookmarkStart w:id="587" w:name="_Toc531"/>
      <w:bookmarkStart w:id="588" w:name="_Toc17340"/>
      <w:bookmarkStart w:id="589" w:name="_Toc5115"/>
      <w:bookmarkStart w:id="590" w:name="_Toc27671"/>
      <w:bookmarkStart w:id="591" w:name="_Toc5813"/>
      <w:bookmarkStart w:id="592" w:name="_Toc29509"/>
      <w:bookmarkStart w:id="593" w:name="_Toc19247"/>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bidi="ar"/>
        </w:rPr>
        <w:t>附合同或中标（或成交）通知书复印件加盖企业公章。</w:t>
      </w:r>
    </w:p>
    <w:bookmarkEnd w:id="579"/>
    <w:p w14:paraId="7A622409">
      <w:pPr>
        <w:pStyle w:val="4"/>
        <w:spacing w:line="440" w:lineRule="exact"/>
        <w:outlineLvl w:val="9"/>
        <w:rPr>
          <w:rFonts w:hint="eastAsia"/>
          <w:color w:val="auto"/>
          <w:sz w:val="28"/>
          <w:szCs w:val="28"/>
        </w:rPr>
      </w:pPr>
    </w:p>
    <w:p w14:paraId="11B32609">
      <w:pPr>
        <w:rPr>
          <w:rFonts w:hint="eastAsia"/>
          <w:color w:val="auto"/>
          <w:sz w:val="28"/>
          <w:szCs w:val="28"/>
        </w:rPr>
      </w:pPr>
    </w:p>
    <w:p w14:paraId="0BC47C6B">
      <w:pPr>
        <w:pStyle w:val="13"/>
        <w:rPr>
          <w:rFonts w:hint="eastAsia"/>
          <w:color w:val="auto"/>
          <w:sz w:val="28"/>
          <w:szCs w:val="28"/>
        </w:rPr>
      </w:pPr>
    </w:p>
    <w:p w14:paraId="02E5BDCD">
      <w:pPr>
        <w:rPr>
          <w:rFonts w:hint="eastAsia"/>
          <w:color w:val="auto"/>
          <w:sz w:val="28"/>
          <w:szCs w:val="28"/>
        </w:rPr>
      </w:pPr>
    </w:p>
    <w:p w14:paraId="608D4024">
      <w:pPr>
        <w:pStyle w:val="13"/>
        <w:rPr>
          <w:rFonts w:hint="eastAsia"/>
          <w:color w:val="auto"/>
          <w:sz w:val="28"/>
          <w:szCs w:val="28"/>
        </w:rPr>
      </w:pPr>
    </w:p>
    <w:p w14:paraId="7415C0A4">
      <w:pPr>
        <w:rPr>
          <w:rFonts w:hint="eastAsia"/>
          <w:color w:val="auto"/>
          <w:sz w:val="28"/>
          <w:szCs w:val="28"/>
        </w:rPr>
      </w:pPr>
    </w:p>
    <w:p w14:paraId="1D93AB4D">
      <w:pPr>
        <w:pStyle w:val="13"/>
        <w:rPr>
          <w:rFonts w:hint="eastAsia"/>
          <w:color w:val="auto"/>
          <w:sz w:val="28"/>
          <w:szCs w:val="28"/>
        </w:rPr>
      </w:pPr>
    </w:p>
    <w:p w14:paraId="54E1A50C">
      <w:pPr>
        <w:rPr>
          <w:rFonts w:hint="eastAsia"/>
          <w:color w:val="auto"/>
          <w:sz w:val="28"/>
          <w:szCs w:val="28"/>
        </w:rPr>
      </w:pPr>
    </w:p>
    <w:p w14:paraId="58B89E02">
      <w:pPr>
        <w:pStyle w:val="13"/>
        <w:rPr>
          <w:rFonts w:hint="eastAsia"/>
          <w:color w:val="auto"/>
          <w:sz w:val="28"/>
          <w:szCs w:val="28"/>
        </w:rPr>
      </w:pPr>
    </w:p>
    <w:p w14:paraId="2FDBCE0A">
      <w:pPr>
        <w:rPr>
          <w:rFonts w:hint="eastAsia"/>
          <w:color w:val="auto"/>
        </w:rPr>
      </w:pPr>
    </w:p>
    <w:p w14:paraId="730A53AD">
      <w:pPr>
        <w:rPr>
          <w:rFonts w:hint="eastAsia"/>
          <w:color w:val="auto"/>
        </w:rPr>
      </w:pPr>
    </w:p>
    <w:p w14:paraId="77F0FE04">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rPr>
      </w:pPr>
      <w:bookmarkStart w:id="594" w:name="_Toc23489"/>
      <w:r>
        <w:rPr>
          <w:rFonts w:hint="eastAsia" w:ascii="仿宋" w:hAnsi="仿宋" w:eastAsia="仿宋" w:cs="仿宋"/>
          <w:b/>
          <w:bCs/>
          <w:color w:val="auto"/>
          <w:sz w:val="28"/>
          <w:szCs w:val="28"/>
          <w:lang w:val="en-US" w:eastAsia="zh-CN"/>
        </w:rPr>
        <w:t>11.无串通投标行为的承诺书</w:t>
      </w:r>
      <w:bookmarkEnd w:id="594"/>
    </w:p>
    <w:p w14:paraId="1AE4891F">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eastAsia"/>
          <w:b/>
          <w:bCs/>
          <w:color w:val="auto"/>
          <w:sz w:val="28"/>
          <w:szCs w:val="28"/>
        </w:rPr>
      </w:pPr>
      <w:r>
        <w:rPr>
          <w:rFonts w:hint="eastAsia" w:ascii="仿宋" w:hAnsi="仿宋" w:eastAsia="仿宋" w:cs="仿宋"/>
          <w:b/>
          <w:bCs/>
          <w:color w:val="auto"/>
          <w:kern w:val="2"/>
          <w:sz w:val="28"/>
          <w:szCs w:val="28"/>
          <w:u w:val="single"/>
          <w:lang w:eastAsia="zh-CN"/>
        </w:rPr>
        <w:t>察布查尔锡伯自治县公安局</w:t>
      </w:r>
      <w:r>
        <w:rPr>
          <w:rFonts w:hint="eastAsia" w:ascii="仿宋" w:hAnsi="仿宋" w:eastAsia="仿宋" w:cs="仿宋"/>
          <w:b/>
          <w:bCs/>
          <w:color w:val="auto"/>
          <w:kern w:val="2"/>
          <w:sz w:val="28"/>
          <w:szCs w:val="28"/>
          <w:u w:val="single"/>
        </w:rPr>
        <w:t>:</w:t>
      </w:r>
    </w:p>
    <w:p w14:paraId="555A99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我公司参与</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项目的采购招标活动，我公司郑重声明：我公司</w:t>
      </w:r>
      <w:r>
        <w:rPr>
          <w:rFonts w:hint="eastAsia" w:ascii="仿宋" w:hAnsi="仿宋" w:eastAsia="仿宋" w:cs="仿宋"/>
          <w:color w:val="auto"/>
          <w:sz w:val="28"/>
          <w:szCs w:val="28"/>
          <w:highlight w:val="none"/>
          <w:lang w:val="en-US" w:eastAsia="zh-CN"/>
        </w:rPr>
        <w:t>不组织、不参与任何串通投标的行为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自觉遵守</w:t>
      </w:r>
      <w:r>
        <w:rPr>
          <w:rFonts w:hint="eastAsia" w:ascii="仿宋" w:hAnsi="仿宋" w:eastAsia="仿宋" w:cs="仿宋"/>
          <w:color w:val="auto"/>
          <w:sz w:val="28"/>
          <w:szCs w:val="28"/>
          <w:highlight w:val="none"/>
        </w:rPr>
        <w:t>《中华人民共和国政府采购法》和《中华人民共和国政府采购法实施条例》</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规定。我公司对此声明负全部法律责任。</w:t>
      </w:r>
    </w:p>
    <w:p w14:paraId="0B82E39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14:paraId="5A7056F4">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 xml:space="preserve"> </w:t>
      </w:r>
      <w:r>
        <w:rPr>
          <w:rFonts w:hint="eastAsia" w:ascii="仿宋" w:hAnsi="仿宋" w:eastAsia="仿宋" w:cs="仿宋"/>
          <w:b w:val="0"/>
          <w:bCs w:val="0"/>
          <w:color w:val="auto"/>
          <w:sz w:val="28"/>
          <w:szCs w:val="28"/>
          <w:highlight w:val="none"/>
        </w:rPr>
        <w:t>承</w:t>
      </w:r>
      <w:r>
        <w:rPr>
          <w:rFonts w:hint="eastAsia" w:ascii="仿宋" w:hAnsi="仿宋" w:eastAsia="仿宋" w:cs="仿宋"/>
          <w:color w:val="auto"/>
          <w:sz w:val="28"/>
          <w:szCs w:val="28"/>
          <w:lang w:val="en-US" w:eastAsia="zh-CN"/>
        </w:rPr>
        <w:t>诺单位：           公司（公章）</w:t>
      </w:r>
    </w:p>
    <w:p w14:paraId="228ED037">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法定代表人：（签字或签章）</w:t>
      </w:r>
    </w:p>
    <w:p w14:paraId="334CFD00">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法定代表人身份证号：</w:t>
      </w:r>
    </w:p>
    <w:p w14:paraId="479938E6">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  年  月  日</w:t>
      </w:r>
    </w:p>
    <w:p w14:paraId="314BD907">
      <w:pPr>
        <w:rPr>
          <w:rFonts w:hint="eastAsia"/>
          <w:color w:val="auto"/>
        </w:rPr>
      </w:pPr>
    </w:p>
    <w:p w14:paraId="400AD195">
      <w:pPr>
        <w:pStyle w:val="4"/>
        <w:outlineLvl w:val="9"/>
        <w:rPr>
          <w:rFonts w:hint="eastAsia"/>
          <w:color w:val="auto"/>
        </w:rPr>
      </w:pPr>
    </w:p>
    <w:p w14:paraId="7608CB0F">
      <w:pPr>
        <w:rPr>
          <w:rFonts w:hint="eastAsia"/>
          <w:color w:val="auto"/>
        </w:rPr>
      </w:pPr>
    </w:p>
    <w:p w14:paraId="340D398E">
      <w:pPr>
        <w:pStyle w:val="4"/>
        <w:outlineLvl w:val="9"/>
        <w:rPr>
          <w:rFonts w:hint="eastAsia"/>
          <w:color w:val="auto"/>
        </w:rPr>
      </w:pPr>
    </w:p>
    <w:p w14:paraId="32C585C9">
      <w:pPr>
        <w:rPr>
          <w:rFonts w:hint="eastAsia"/>
          <w:color w:val="auto"/>
        </w:rPr>
      </w:pPr>
    </w:p>
    <w:p w14:paraId="20FA5888">
      <w:pPr>
        <w:pStyle w:val="4"/>
        <w:outlineLvl w:val="9"/>
        <w:rPr>
          <w:rFonts w:hint="eastAsia"/>
          <w:color w:val="auto"/>
        </w:rPr>
      </w:pPr>
    </w:p>
    <w:p w14:paraId="7F1EF02F">
      <w:pPr>
        <w:rPr>
          <w:rFonts w:hint="eastAsia"/>
          <w:color w:val="auto"/>
        </w:rPr>
      </w:pPr>
    </w:p>
    <w:p w14:paraId="787491FD">
      <w:pPr>
        <w:rPr>
          <w:rFonts w:hint="eastAsia"/>
          <w:color w:val="auto"/>
        </w:rPr>
      </w:pPr>
    </w:p>
    <w:p w14:paraId="4FE3CEDB">
      <w:pPr>
        <w:pStyle w:val="25"/>
        <w:ind w:firstLine="210"/>
        <w:rPr>
          <w:rFonts w:hint="eastAsia"/>
          <w:color w:val="auto"/>
        </w:rPr>
      </w:pPr>
    </w:p>
    <w:p w14:paraId="00D1A99C">
      <w:pPr>
        <w:pStyle w:val="25"/>
        <w:ind w:firstLine="210"/>
        <w:rPr>
          <w:rFonts w:hint="eastAsia"/>
          <w:color w:val="auto"/>
        </w:rPr>
      </w:pPr>
    </w:p>
    <w:p w14:paraId="1A0D9F64">
      <w:pPr>
        <w:pStyle w:val="25"/>
        <w:ind w:firstLine="210"/>
        <w:rPr>
          <w:rFonts w:hint="eastAsia"/>
          <w:color w:val="auto"/>
        </w:rPr>
      </w:pPr>
    </w:p>
    <w:p w14:paraId="05060E17">
      <w:pPr>
        <w:pStyle w:val="25"/>
        <w:ind w:firstLine="210"/>
        <w:rPr>
          <w:rFonts w:hint="eastAsia"/>
          <w:color w:val="auto"/>
        </w:rPr>
      </w:pPr>
    </w:p>
    <w:p w14:paraId="39479570">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5" w:name="_Toc7660"/>
      <w:bookmarkStart w:id="596" w:name="_Toc9476"/>
      <w:r>
        <w:rPr>
          <w:rFonts w:hint="eastAsia" w:ascii="仿宋" w:hAnsi="仿宋" w:eastAsia="仿宋" w:cs="仿宋"/>
          <w:b/>
          <w:bCs/>
          <w:color w:val="auto"/>
          <w:sz w:val="28"/>
          <w:szCs w:val="28"/>
          <w:lang w:val="en-US" w:eastAsia="zh-CN"/>
        </w:rPr>
        <w:t>12.中小企业声明函（货物）</w:t>
      </w:r>
      <w:bookmarkEnd w:id="595"/>
      <w:bookmarkEnd w:id="596"/>
    </w:p>
    <w:p w14:paraId="6B382EA5">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7" w:name="_Toc10982"/>
      <w:r>
        <w:rPr>
          <w:rFonts w:hint="eastAsia" w:ascii="仿宋" w:hAnsi="仿宋" w:eastAsia="仿宋" w:cs="仿宋"/>
          <w:b/>
          <w:bCs/>
          <w:color w:val="auto"/>
          <w:sz w:val="28"/>
          <w:szCs w:val="28"/>
          <w:lang w:val="en-US" w:eastAsia="zh-CN"/>
        </w:rPr>
        <w:t>（若有请如实填写，如不是无需附此函）</w:t>
      </w:r>
      <w:bookmarkEnd w:id="597"/>
    </w:p>
    <w:p w14:paraId="0C5DA22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本公司（联合体）郑重声明，根据《政府采购促进中小企业发展管理办法》（财库﹝2020﹞46 号）的规定，本公司（联合体）参加</w:t>
      </w:r>
      <w:r>
        <w:rPr>
          <w:rFonts w:hint="eastAsia" w:ascii="仿宋" w:hAnsi="仿宋" w:eastAsia="仿宋" w:cs="仿宋"/>
          <w:color w:val="auto"/>
          <w:sz w:val="28"/>
          <w:szCs w:val="28"/>
          <w:highlight w:val="none"/>
          <w:u w:val="single"/>
        </w:rPr>
        <w:t>（单位名称）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（项目名称）</w:t>
      </w:r>
      <w:r>
        <w:rPr>
          <w:rFonts w:hint="eastAsia" w:ascii="仿宋" w:hAnsi="仿宋" w:eastAsia="仿宋" w:cs="仿宋"/>
          <w:color w:val="auto"/>
          <w:sz w:val="28"/>
          <w:szCs w:val="28"/>
          <w:highlight w:val="none"/>
        </w:rPr>
        <w:t>采购活动，提供的货物全部由符合政策要求的中小企业制造。相关企业（含联合体中的中小企业、签订分包意向协议的中小企业）的具体情况如下：</w:t>
      </w:r>
    </w:p>
    <w:p w14:paraId="2B42F211">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u w:val="single"/>
        </w:rPr>
        <w:t xml:space="preserve"> （标的名称）</w:t>
      </w:r>
      <w:r>
        <w:rPr>
          <w:rFonts w:hint="eastAsia" w:ascii="仿宋" w:hAnsi="仿宋" w:eastAsia="仿宋" w:cs="仿宋"/>
          <w:color w:val="auto"/>
          <w:sz w:val="28"/>
          <w:szCs w:val="28"/>
          <w:highlight w:val="none"/>
        </w:rPr>
        <w:t xml:space="preserve"> ，属于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零售业</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中型企业、小型企业、微型企业</w:t>
      </w:r>
      <w:r>
        <w:rPr>
          <w:rFonts w:hint="eastAsia" w:ascii="仿宋" w:hAnsi="仿宋" w:eastAsia="仿宋" w:cs="仿宋"/>
          <w:color w:val="auto"/>
          <w:sz w:val="28"/>
          <w:szCs w:val="28"/>
          <w:highlight w:val="none"/>
        </w:rPr>
        <w:t>）；</w:t>
      </w:r>
    </w:p>
    <w:p w14:paraId="311C8E1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 </w:t>
      </w:r>
      <w:r>
        <w:rPr>
          <w:rFonts w:hint="eastAsia" w:ascii="仿宋" w:hAnsi="仿宋" w:eastAsia="仿宋" w:cs="仿宋"/>
          <w:color w:val="auto"/>
          <w:sz w:val="28"/>
          <w:szCs w:val="28"/>
          <w:highlight w:val="none"/>
          <w:u w:val="single"/>
        </w:rPr>
        <w:t xml:space="preserve">（标的名称） </w:t>
      </w:r>
      <w:r>
        <w:rPr>
          <w:rFonts w:hint="eastAsia" w:ascii="仿宋" w:hAnsi="仿宋" w:eastAsia="仿宋" w:cs="仿宋"/>
          <w:color w:val="auto"/>
          <w:sz w:val="28"/>
          <w:szCs w:val="28"/>
          <w:highlight w:val="none"/>
        </w:rPr>
        <w:t>，属于</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行业；制造商为（</w:t>
      </w:r>
      <w:r>
        <w:rPr>
          <w:rFonts w:hint="eastAsia" w:ascii="仿宋" w:hAnsi="仿宋" w:eastAsia="仿宋" w:cs="仿宋"/>
          <w:color w:val="auto"/>
          <w:sz w:val="28"/>
          <w:szCs w:val="28"/>
          <w:highlight w:val="none"/>
          <w:u w:val="single"/>
        </w:rPr>
        <w:t>企业名称</w:t>
      </w:r>
      <w:r>
        <w:rPr>
          <w:rFonts w:hint="eastAsia" w:ascii="仿宋" w:hAnsi="仿宋" w:eastAsia="仿宋" w:cs="仿宋"/>
          <w:color w:val="auto"/>
          <w:sz w:val="28"/>
          <w:szCs w:val="28"/>
          <w:highlight w:val="none"/>
        </w:rPr>
        <w:t>） ，从业人员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人，营业收入为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万元，属于</w:t>
      </w:r>
      <w:r>
        <w:rPr>
          <w:rFonts w:hint="eastAsia" w:ascii="仿宋" w:hAnsi="仿宋" w:eastAsia="仿宋" w:cs="仿宋"/>
          <w:color w:val="auto"/>
          <w:sz w:val="28"/>
          <w:szCs w:val="28"/>
          <w:highlight w:val="none"/>
          <w:u w:val="single"/>
        </w:rPr>
        <w:t>（中型企业、小型 企业、微型企业</w:t>
      </w:r>
      <w:r>
        <w:rPr>
          <w:rFonts w:hint="eastAsia" w:ascii="仿宋" w:hAnsi="仿宋" w:eastAsia="仿宋" w:cs="仿宋"/>
          <w:color w:val="auto"/>
          <w:sz w:val="28"/>
          <w:szCs w:val="28"/>
          <w:highlight w:val="none"/>
        </w:rPr>
        <w:t>）；</w:t>
      </w:r>
    </w:p>
    <w:p w14:paraId="36B796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F1AEF0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以上企业，不属于大企业的分支机构，不存在控股股东为大企业的情形，也不存在与大企业的负责人为同一人的情形。</w:t>
      </w:r>
    </w:p>
    <w:p w14:paraId="6869607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本企业对上述声明内容的真实性负责。如有虚假，将依法承担相应责任。</w:t>
      </w:r>
    </w:p>
    <w:p w14:paraId="2942E990">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企业名称（盖章）：</w:t>
      </w:r>
    </w:p>
    <w:p w14:paraId="5799BC19">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 期：</w:t>
      </w:r>
    </w:p>
    <w:p w14:paraId="46417448">
      <w:pPr>
        <w:pStyle w:val="74"/>
        <w:spacing w:line="440" w:lineRule="exact"/>
        <w:rPr>
          <w:rFonts w:hint="eastAsia"/>
          <w:color w:val="auto"/>
          <w:sz w:val="28"/>
          <w:szCs w:val="28"/>
        </w:rPr>
      </w:pPr>
    </w:p>
    <w:p w14:paraId="74C4F564">
      <w:pPr>
        <w:pStyle w:val="74"/>
        <w:spacing w:line="440" w:lineRule="exact"/>
        <w:rPr>
          <w:rFonts w:hint="eastAsia"/>
          <w:color w:val="auto"/>
          <w:sz w:val="28"/>
          <w:szCs w:val="28"/>
        </w:rPr>
      </w:pPr>
    </w:p>
    <w:p w14:paraId="6CAC738E">
      <w:pPr>
        <w:pStyle w:val="74"/>
        <w:spacing w:line="440" w:lineRule="exact"/>
        <w:rPr>
          <w:rFonts w:hint="eastAsia"/>
          <w:color w:val="auto"/>
          <w:sz w:val="28"/>
          <w:szCs w:val="28"/>
        </w:rPr>
      </w:pPr>
    </w:p>
    <w:p w14:paraId="438D3B25">
      <w:pPr>
        <w:pStyle w:val="74"/>
        <w:spacing w:line="440" w:lineRule="exact"/>
        <w:rPr>
          <w:rFonts w:hint="eastAsia"/>
          <w:color w:val="auto"/>
          <w:sz w:val="28"/>
          <w:szCs w:val="28"/>
        </w:rPr>
      </w:pPr>
    </w:p>
    <w:p w14:paraId="0CCB218C">
      <w:pPr>
        <w:pStyle w:val="74"/>
        <w:spacing w:line="440" w:lineRule="exact"/>
        <w:rPr>
          <w:rFonts w:hint="eastAsia"/>
          <w:color w:val="auto"/>
          <w:sz w:val="28"/>
          <w:szCs w:val="28"/>
        </w:rPr>
      </w:pPr>
    </w:p>
    <w:p w14:paraId="14B0B63C">
      <w:pPr>
        <w:pStyle w:val="74"/>
        <w:rPr>
          <w:rFonts w:hint="eastAsia"/>
          <w:color w:val="auto"/>
        </w:rPr>
      </w:pPr>
    </w:p>
    <w:p w14:paraId="1698A9FE">
      <w:pPr>
        <w:pStyle w:val="74"/>
        <w:rPr>
          <w:rFonts w:hint="eastAsia"/>
          <w:color w:val="auto"/>
        </w:rPr>
      </w:pPr>
    </w:p>
    <w:p w14:paraId="3BB4915A">
      <w:pPr>
        <w:pStyle w:val="73"/>
        <w:widowControl/>
        <w:snapToGrid w:val="0"/>
        <w:spacing w:before="0" w:line="240" w:lineRule="atLeast"/>
        <w:rPr>
          <w:rStyle w:val="50"/>
          <w:rFonts w:hint="eastAsia" w:ascii="仿宋" w:hAnsi="仿宋" w:eastAsia="仿宋"/>
          <w:color w:val="auto"/>
          <w:sz w:val="30"/>
          <w:szCs w:val="30"/>
        </w:rPr>
      </w:pPr>
    </w:p>
    <w:p w14:paraId="4B884B27">
      <w:pPr>
        <w:pStyle w:val="74"/>
        <w:rPr>
          <w:rStyle w:val="50"/>
          <w:rFonts w:hint="eastAsia" w:ascii="仿宋" w:hAnsi="仿宋" w:eastAsia="仿宋"/>
          <w:color w:val="auto"/>
          <w:sz w:val="30"/>
          <w:szCs w:val="30"/>
        </w:rPr>
      </w:pPr>
    </w:p>
    <w:p w14:paraId="123EC3D0">
      <w:pPr>
        <w:pStyle w:val="74"/>
        <w:rPr>
          <w:rStyle w:val="50"/>
          <w:rFonts w:hint="eastAsia" w:ascii="仿宋" w:hAnsi="仿宋" w:eastAsia="仿宋"/>
          <w:color w:val="auto"/>
          <w:sz w:val="30"/>
          <w:szCs w:val="30"/>
        </w:rPr>
      </w:pPr>
    </w:p>
    <w:p w14:paraId="478649FD">
      <w:pPr>
        <w:pStyle w:val="74"/>
        <w:rPr>
          <w:rFonts w:hint="eastAsia"/>
          <w:color w:val="auto"/>
        </w:rPr>
      </w:pPr>
    </w:p>
    <w:p w14:paraId="28063263">
      <w:pPr>
        <w:pStyle w:val="73"/>
        <w:keepNext w:val="0"/>
        <w:keepLines w:val="0"/>
        <w:pageBreakBefore w:val="0"/>
        <w:widowControl w:val="0"/>
        <w:kinsoku/>
        <w:wordWrap/>
        <w:overflowPunct/>
        <w:topLinePunct w:val="0"/>
        <w:autoSpaceDE/>
        <w:autoSpaceDN/>
        <w:bidi w:val="0"/>
        <w:adjustRightInd/>
        <w:snapToGrid w:val="0"/>
        <w:spacing w:before="0" w:line="480" w:lineRule="exact"/>
        <w:rPr>
          <w:rStyle w:val="50"/>
          <w:rFonts w:ascii="仿宋" w:hAnsi="仿宋" w:eastAsia="仿宋"/>
          <w:color w:val="auto"/>
          <w:sz w:val="28"/>
          <w:szCs w:val="28"/>
        </w:rPr>
      </w:pPr>
      <w:r>
        <w:rPr>
          <w:rStyle w:val="50"/>
          <w:rFonts w:hint="eastAsia" w:ascii="仿宋" w:hAnsi="仿宋" w:eastAsia="仿宋"/>
          <w:color w:val="auto"/>
          <w:sz w:val="28"/>
          <w:szCs w:val="28"/>
          <w:lang w:val="en-US"/>
        </w:rPr>
        <w:t>13.</w:t>
      </w:r>
      <w:r>
        <w:rPr>
          <w:rStyle w:val="50"/>
          <w:rFonts w:ascii="仿宋" w:hAnsi="仿宋" w:eastAsia="仿宋"/>
          <w:color w:val="auto"/>
          <w:sz w:val="28"/>
          <w:szCs w:val="28"/>
        </w:rPr>
        <w:t>残疾人福利性单位声明函</w:t>
      </w:r>
    </w:p>
    <w:p w14:paraId="5419E339">
      <w:pPr>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rPr>
          <w:rStyle w:val="50"/>
          <w:rFonts w:ascii="仿宋" w:hAnsi="仿宋" w:eastAsia="仿宋"/>
          <w:b/>
          <w:bCs/>
          <w:color w:val="auto"/>
          <w:sz w:val="28"/>
          <w:szCs w:val="28"/>
        </w:rPr>
      </w:pPr>
      <w:r>
        <w:rPr>
          <w:rStyle w:val="50"/>
          <w:rFonts w:ascii="仿宋" w:hAnsi="仿宋" w:eastAsia="仿宋"/>
          <w:b/>
          <w:bCs/>
          <w:color w:val="auto"/>
          <w:kern w:val="2"/>
          <w:sz w:val="28"/>
          <w:szCs w:val="28"/>
        </w:rPr>
        <w:t>（若有请如实填写，如不是无需附此函）</w:t>
      </w:r>
    </w:p>
    <w:p w14:paraId="1ED196B1">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68E2165">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73693512">
      <w:pPr>
        <w:keepNext w:val="0"/>
        <w:keepLines w:val="0"/>
        <w:pageBreakBefore w:val="0"/>
        <w:widowControl w:val="0"/>
        <w:kinsoku/>
        <w:wordWrap/>
        <w:overflowPunct/>
        <w:topLinePunct w:val="0"/>
        <w:autoSpaceDE/>
        <w:autoSpaceDN/>
        <w:bidi w:val="0"/>
        <w:adjustRightInd/>
        <w:spacing w:line="480" w:lineRule="exact"/>
        <w:ind w:firstLine="560" w:firstLineChars="200"/>
        <w:jc w:val="left"/>
        <w:rPr>
          <w:rFonts w:hint="eastAsia" w:ascii="仿宋" w:hAnsi="仿宋" w:eastAsia="仿宋" w:cs="仿宋"/>
          <w:color w:val="auto"/>
          <w:sz w:val="28"/>
          <w:szCs w:val="28"/>
        </w:rPr>
      </w:pPr>
    </w:p>
    <w:p w14:paraId="0FBC989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baseline"/>
        <w:rPr>
          <w:rStyle w:val="50"/>
          <w:rFonts w:ascii="仿宋" w:hAnsi="仿宋" w:eastAsia="仿宋"/>
          <w:color w:val="auto"/>
          <w:kern w:val="2"/>
          <w:sz w:val="28"/>
          <w:szCs w:val="28"/>
        </w:rPr>
      </w:pPr>
    </w:p>
    <w:p w14:paraId="55902398">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baseline"/>
        <w:rPr>
          <w:rStyle w:val="50"/>
          <w:rFonts w:ascii="仿宋" w:hAnsi="仿宋" w:eastAsia="仿宋"/>
          <w:color w:val="auto"/>
          <w:kern w:val="2"/>
          <w:sz w:val="28"/>
          <w:szCs w:val="28"/>
        </w:rPr>
      </w:pPr>
      <w:r>
        <w:rPr>
          <w:rStyle w:val="50"/>
          <w:rFonts w:ascii="仿宋" w:hAnsi="仿宋" w:eastAsia="仿宋"/>
          <w:color w:val="auto"/>
          <w:kern w:val="2"/>
          <w:sz w:val="28"/>
          <w:szCs w:val="28"/>
        </w:rPr>
        <w:t xml:space="preserve">         残疾人福利性单位名称（盖单位章）：______________</w:t>
      </w:r>
    </w:p>
    <w:p w14:paraId="3F67E6B6">
      <w:pPr>
        <w:pStyle w:val="8"/>
        <w:keepNext w:val="0"/>
        <w:keepLines w:val="0"/>
        <w:pageBreakBefore w:val="0"/>
        <w:widowControl w:val="0"/>
        <w:kinsoku/>
        <w:wordWrap/>
        <w:overflowPunct/>
        <w:topLinePunct w:val="0"/>
        <w:autoSpaceDE/>
        <w:autoSpaceDN/>
        <w:bidi w:val="0"/>
        <w:adjustRightInd/>
        <w:spacing w:line="480" w:lineRule="exact"/>
        <w:rPr>
          <w:rFonts w:hint="eastAsia" w:ascii="仿宋_GB2312" w:eastAsia="仿宋_GB2312"/>
          <w:b/>
          <w:color w:val="auto"/>
          <w:sz w:val="28"/>
          <w:szCs w:val="28"/>
        </w:rPr>
      </w:pPr>
      <w:r>
        <w:rPr>
          <w:rStyle w:val="50"/>
          <w:rFonts w:ascii="仿宋" w:hAnsi="仿宋" w:eastAsia="仿宋"/>
          <w:color w:val="auto"/>
          <w:kern w:val="2"/>
          <w:sz w:val="28"/>
          <w:szCs w:val="28"/>
        </w:rPr>
        <w:t xml:space="preserve">        </w:t>
      </w:r>
      <w:r>
        <w:rPr>
          <w:rStyle w:val="50"/>
          <w:rFonts w:hint="eastAsia" w:ascii="仿宋" w:hAnsi="仿宋" w:eastAsia="仿宋"/>
          <w:color w:val="auto"/>
          <w:kern w:val="2"/>
          <w:sz w:val="28"/>
          <w:szCs w:val="28"/>
        </w:rPr>
        <w:t xml:space="preserve">                         </w:t>
      </w:r>
      <w:r>
        <w:rPr>
          <w:rStyle w:val="50"/>
          <w:rFonts w:ascii="仿宋" w:hAnsi="仿宋" w:eastAsia="仿宋"/>
          <w:color w:val="auto"/>
          <w:kern w:val="2"/>
          <w:sz w:val="28"/>
          <w:szCs w:val="28"/>
        </w:rPr>
        <w:t xml:space="preserve"> 日  期：______________</w:t>
      </w:r>
    </w:p>
    <w:p w14:paraId="18A4C772">
      <w:pPr>
        <w:spacing w:line="440" w:lineRule="exact"/>
        <w:jc w:val="center"/>
        <w:rPr>
          <w:rFonts w:hint="eastAsia" w:ascii="仿宋" w:hAnsi="仿宋" w:eastAsia="仿宋" w:cs="仿宋"/>
          <w:b/>
          <w:color w:val="auto"/>
          <w:sz w:val="28"/>
          <w:szCs w:val="28"/>
        </w:rPr>
      </w:pPr>
    </w:p>
    <w:p w14:paraId="1C652910">
      <w:pPr>
        <w:spacing w:line="440" w:lineRule="exact"/>
        <w:rPr>
          <w:rStyle w:val="50"/>
          <w:rFonts w:hint="eastAsia" w:ascii="仿宋" w:hAnsi="仿宋" w:eastAsia="仿宋"/>
          <w:b/>
          <w:color w:val="auto"/>
          <w:sz w:val="28"/>
          <w:szCs w:val="28"/>
        </w:rPr>
      </w:pPr>
    </w:p>
    <w:p w14:paraId="63170F2F">
      <w:pPr>
        <w:spacing w:line="440" w:lineRule="exact"/>
        <w:jc w:val="center"/>
        <w:rPr>
          <w:rStyle w:val="50"/>
          <w:rFonts w:hint="eastAsia" w:ascii="仿宋" w:hAnsi="仿宋" w:eastAsia="仿宋"/>
          <w:b/>
          <w:color w:val="auto"/>
          <w:sz w:val="28"/>
          <w:szCs w:val="28"/>
        </w:rPr>
      </w:pPr>
    </w:p>
    <w:p w14:paraId="7B02BFE0">
      <w:pPr>
        <w:rPr>
          <w:rStyle w:val="50"/>
          <w:rFonts w:hint="eastAsia" w:ascii="仿宋" w:hAnsi="仿宋" w:eastAsia="仿宋"/>
          <w:b/>
          <w:color w:val="auto"/>
          <w:sz w:val="28"/>
          <w:szCs w:val="28"/>
        </w:rPr>
      </w:pPr>
      <w:r>
        <w:rPr>
          <w:rStyle w:val="50"/>
          <w:rFonts w:hint="eastAsia" w:ascii="仿宋" w:hAnsi="仿宋" w:eastAsia="仿宋"/>
          <w:b/>
          <w:color w:val="auto"/>
          <w:sz w:val="28"/>
          <w:szCs w:val="28"/>
        </w:rPr>
        <w:br w:type="page"/>
      </w:r>
    </w:p>
    <w:p w14:paraId="47E29C8A">
      <w:pPr>
        <w:pStyle w:val="8"/>
        <w:rPr>
          <w:rFonts w:hint="eastAsia"/>
        </w:rPr>
      </w:pP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2A17E735">
      <w:pPr>
        <w:pStyle w:val="73"/>
        <w:keepNext w:val="0"/>
        <w:keepLines w:val="0"/>
        <w:numPr>
          <w:ilvl w:val="0"/>
          <w:numId w:val="0"/>
        </w:numPr>
        <w:snapToGrid w:val="0"/>
        <w:spacing w:before="0" w:line="440" w:lineRule="exact"/>
        <w:jc w:val="center"/>
        <w:rPr>
          <w:rStyle w:val="50"/>
          <w:rFonts w:hint="eastAsia" w:ascii="仿宋" w:hAnsi="仿宋" w:eastAsia="仿宋" w:cs="Times New Roman"/>
          <w:color w:val="auto"/>
          <w:sz w:val="28"/>
          <w:szCs w:val="28"/>
          <w:lang w:val="en-US" w:eastAsia="zh-CN"/>
        </w:rPr>
      </w:pPr>
      <w:r>
        <w:rPr>
          <w:rStyle w:val="50"/>
          <w:rFonts w:hint="eastAsia" w:ascii="仿宋" w:hAnsi="仿宋" w:eastAsia="仿宋" w:cs="Times New Roman"/>
          <w:color w:val="auto"/>
          <w:sz w:val="28"/>
          <w:szCs w:val="28"/>
          <w:lang w:val="en-US" w:eastAsia="zh-CN"/>
        </w:rPr>
        <w:t>14.监狱企业证明</w:t>
      </w:r>
    </w:p>
    <w:p w14:paraId="728570B0">
      <w:pPr>
        <w:keepNext w:val="0"/>
        <w:keepLines w:val="0"/>
        <w:pageBreakBefore w:val="0"/>
        <w:widowControl w:val="0"/>
        <w:kinsoku/>
        <w:wordWrap/>
        <w:overflowPunct/>
        <w:topLinePunct w:val="0"/>
        <w:autoSpaceDE/>
        <w:autoSpaceDN/>
        <w:bidi w:val="0"/>
        <w:adjustRightInd/>
        <w:snapToGrid w:val="0"/>
        <w:spacing w:line="480" w:lineRule="exact"/>
        <w:jc w:val="center"/>
        <w:textAlignment w:val="baseline"/>
        <w:rPr>
          <w:rStyle w:val="50"/>
          <w:rFonts w:ascii="仿宋" w:hAnsi="仿宋" w:eastAsia="仿宋"/>
          <w:b/>
          <w:bCs/>
          <w:color w:val="auto"/>
          <w:sz w:val="28"/>
          <w:szCs w:val="28"/>
        </w:rPr>
      </w:pPr>
      <w:r>
        <w:rPr>
          <w:rStyle w:val="50"/>
          <w:rFonts w:ascii="仿宋" w:hAnsi="仿宋" w:eastAsia="仿宋"/>
          <w:b/>
          <w:bCs/>
          <w:color w:val="auto"/>
          <w:kern w:val="2"/>
          <w:sz w:val="28"/>
          <w:szCs w:val="28"/>
        </w:rPr>
        <w:t>（若有请如实填写，如不是无需附此</w:t>
      </w:r>
      <w:r>
        <w:rPr>
          <w:rStyle w:val="50"/>
          <w:rFonts w:hint="eastAsia" w:ascii="仿宋" w:hAnsi="仿宋" w:eastAsia="仿宋"/>
          <w:b/>
          <w:bCs/>
          <w:color w:val="auto"/>
          <w:kern w:val="2"/>
          <w:sz w:val="28"/>
          <w:szCs w:val="28"/>
          <w:lang w:val="en-US"/>
        </w:rPr>
        <w:t>证明</w:t>
      </w:r>
      <w:r>
        <w:rPr>
          <w:rStyle w:val="50"/>
          <w:rFonts w:ascii="仿宋" w:hAnsi="仿宋" w:eastAsia="仿宋"/>
          <w:b/>
          <w:bCs/>
          <w:color w:val="auto"/>
          <w:kern w:val="2"/>
          <w:sz w:val="28"/>
          <w:szCs w:val="28"/>
        </w:rPr>
        <w:t>）</w:t>
      </w:r>
    </w:p>
    <w:p w14:paraId="33D4CB50">
      <w:pPr>
        <w:keepNext w:val="0"/>
        <w:keepLines w:val="0"/>
        <w:pageBreakBefore w:val="0"/>
        <w:widowControl w:val="0"/>
        <w:kinsoku/>
        <w:wordWrap/>
        <w:overflowPunct/>
        <w:topLinePunct w:val="0"/>
        <w:autoSpaceDE/>
        <w:autoSpaceDN/>
        <w:bidi w:val="0"/>
        <w:adjustRightInd/>
        <w:spacing w:line="48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证明无格式要求，由出具监狱企业证明的单位自行拟定。</w:t>
      </w:r>
    </w:p>
    <w:p w14:paraId="1E86C635">
      <w:pPr>
        <w:jc w:val="center"/>
        <w:rPr>
          <w:rFonts w:hint="eastAsia" w:ascii="仿宋" w:hAnsi="仿宋" w:eastAsia="仿宋" w:cs="仿宋"/>
          <w:b/>
          <w:bCs/>
          <w:color w:val="auto"/>
          <w:sz w:val="44"/>
          <w:szCs w:val="44"/>
        </w:rPr>
      </w:pPr>
    </w:p>
    <w:p w14:paraId="3E58703A">
      <w:pPr>
        <w:rPr>
          <w:rFonts w:hint="eastAsia" w:ascii="仿宋" w:hAnsi="仿宋" w:eastAsia="仿宋" w:cs="仿宋"/>
          <w:b/>
          <w:bCs/>
          <w:color w:val="auto"/>
          <w:sz w:val="44"/>
          <w:szCs w:val="44"/>
        </w:rPr>
      </w:pPr>
      <w:r>
        <w:rPr>
          <w:rFonts w:hint="eastAsia" w:ascii="仿宋" w:hAnsi="仿宋" w:eastAsia="仿宋" w:cs="仿宋"/>
          <w:b/>
          <w:bCs/>
          <w:color w:val="auto"/>
          <w:sz w:val="44"/>
          <w:szCs w:val="44"/>
        </w:rPr>
        <w:br w:type="page"/>
      </w:r>
    </w:p>
    <w:p w14:paraId="0AEA4A2A">
      <w:pPr>
        <w:pStyle w:val="8"/>
        <w:rPr>
          <w:rFonts w:hint="eastAsia"/>
        </w:rPr>
      </w:pPr>
    </w:p>
    <w:p w14:paraId="37BBC559">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8" w:name="_Toc7240"/>
      <w:r>
        <w:rPr>
          <w:rFonts w:hint="eastAsia" w:ascii="仿宋" w:hAnsi="仿宋" w:eastAsia="仿宋" w:cs="仿宋"/>
          <w:b/>
          <w:bCs/>
          <w:color w:val="auto"/>
          <w:sz w:val="28"/>
          <w:szCs w:val="28"/>
          <w:lang w:val="en-US" w:eastAsia="zh-CN"/>
        </w:rPr>
        <w:t>15.招标文件要求投标供应商提交的其它投标资料或者投标供应商认为有必要提供的资料；</w:t>
      </w:r>
      <w:bookmarkEnd w:id="598"/>
    </w:p>
    <w:p w14:paraId="28D9A9C5">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b/>
          <w:bCs/>
          <w:color w:val="auto"/>
          <w:sz w:val="28"/>
          <w:szCs w:val="28"/>
          <w:lang w:val="en-US" w:eastAsia="zh-CN"/>
        </w:rPr>
      </w:pPr>
    </w:p>
    <w:p w14:paraId="5F8BF254">
      <w:p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br w:type="page"/>
      </w:r>
    </w:p>
    <w:p w14:paraId="2F7C98AE">
      <w:pPr>
        <w:pStyle w:val="8"/>
        <w:rPr>
          <w:rFonts w:hint="eastAsia"/>
          <w:lang w:val="en-US" w:eastAsia="zh-CN"/>
        </w:rPr>
      </w:pPr>
    </w:p>
    <w:p w14:paraId="105490C9">
      <w:pPr>
        <w:keepNext w:val="0"/>
        <w:keepLines w:val="0"/>
        <w:pageBreakBefore w:val="0"/>
        <w:kinsoku/>
        <w:wordWrap/>
        <w:overflowPunct/>
        <w:topLinePunct w:val="0"/>
        <w:autoSpaceDE/>
        <w:autoSpaceDN/>
        <w:bidi w:val="0"/>
        <w:adjustRightInd/>
        <w:snapToGrid/>
        <w:spacing w:line="480" w:lineRule="exact"/>
        <w:jc w:val="center"/>
        <w:textAlignment w:val="auto"/>
        <w:outlineLvl w:val="1"/>
        <w:rPr>
          <w:rFonts w:hint="eastAsia" w:ascii="仿宋" w:hAnsi="仿宋" w:eastAsia="仿宋" w:cs="仿宋"/>
          <w:b/>
          <w:bCs/>
          <w:color w:val="auto"/>
          <w:sz w:val="28"/>
          <w:szCs w:val="28"/>
          <w:lang w:val="en-US" w:eastAsia="zh-CN"/>
        </w:rPr>
      </w:pPr>
      <w:bookmarkStart w:id="599" w:name="_Toc1985"/>
      <w:r>
        <w:rPr>
          <w:rFonts w:hint="eastAsia" w:ascii="仿宋" w:hAnsi="仿宋" w:eastAsia="仿宋" w:cs="仿宋"/>
          <w:b/>
          <w:bCs/>
          <w:color w:val="auto"/>
          <w:sz w:val="28"/>
          <w:szCs w:val="28"/>
          <w:lang w:val="en-US" w:eastAsia="zh-CN"/>
        </w:rPr>
        <w:t>16.投标资质(2)-(7)项资料复印件加盖公章。</w:t>
      </w:r>
      <w:bookmarkEnd w:id="599"/>
    </w:p>
    <w:p w14:paraId="0ADBAC52">
      <w:pPr>
        <w:jc w:val="center"/>
        <w:rPr>
          <w:rFonts w:hint="eastAsia" w:ascii="仿宋" w:hAnsi="仿宋" w:eastAsia="仿宋" w:cs="仿宋"/>
          <w:b/>
          <w:bCs/>
          <w:color w:val="auto"/>
          <w:sz w:val="44"/>
          <w:szCs w:val="44"/>
        </w:rPr>
      </w:pPr>
    </w:p>
    <w:p w14:paraId="15BFA7C1">
      <w:pPr>
        <w:jc w:val="center"/>
        <w:rPr>
          <w:rFonts w:hint="eastAsia" w:ascii="仿宋" w:hAnsi="仿宋" w:eastAsia="仿宋" w:cs="仿宋"/>
          <w:b/>
          <w:bCs/>
          <w:color w:val="auto"/>
          <w:sz w:val="44"/>
          <w:szCs w:val="44"/>
        </w:rPr>
      </w:pPr>
    </w:p>
    <w:p w14:paraId="04238349">
      <w:pPr>
        <w:keepNext w:val="0"/>
        <w:keepLines w:val="0"/>
        <w:pageBreakBefore w:val="0"/>
        <w:kinsoku/>
        <w:wordWrap/>
        <w:overflowPunct/>
        <w:topLinePunct w:val="0"/>
        <w:autoSpaceDE/>
        <w:autoSpaceDN/>
        <w:bidi w:val="0"/>
        <w:adjustRightInd/>
        <w:snapToGrid/>
        <w:spacing w:line="480" w:lineRule="exact"/>
        <w:jc w:val="both"/>
        <w:textAlignment w:val="auto"/>
        <w:outlineLvl w:val="1"/>
        <w:rPr>
          <w:rFonts w:hint="default" w:ascii="仿宋" w:hAnsi="仿宋" w:eastAsia="仿宋" w:cs="仿宋"/>
          <w:b/>
          <w:bCs/>
          <w:color w:val="auto"/>
          <w:sz w:val="28"/>
          <w:szCs w:val="28"/>
          <w:lang w:val="en-US" w:eastAsia="zh-CN"/>
        </w:rPr>
      </w:pPr>
      <w:bookmarkStart w:id="600" w:name="_Toc14230"/>
      <w:r>
        <w:rPr>
          <w:rFonts w:hint="eastAsia" w:ascii="仿宋" w:hAnsi="仿宋" w:eastAsia="仿宋" w:cs="仿宋"/>
          <w:b/>
          <w:bCs/>
          <w:color w:val="auto"/>
          <w:sz w:val="28"/>
          <w:szCs w:val="28"/>
          <w:lang w:val="en-US" w:eastAsia="zh-CN"/>
        </w:rPr>
        <w:t>附件如下：</w:t>
      </w:r>
      <w:bookmarkEnd w:id="600"/>
    </w:p>
    <w:p w14:paraId="3FCCCD46">
      <w:pPr>
        <w:pStyle w:val="75"/>
        <w:keepNext w:val="0"/>
        <w:keepLines w:val="0"/>
        <w:pageBreakBefore w:val="0"/>
        <w:kinsoku/>
        <w:wordWrap/>
        <w:overflowPunct/>
        <w:topLinePunct w:val="0"/>
        <w:bidi w:val="0"/>
        <w:snapToGrid/>
        <w:spacing w:line="480" w:lineRule="exact"/>
        <w:jc w:val="center"/>
        <w:textAlignment w:val="auto"/>
        <w:outlineLvl w:val="2"/>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.无重大违法记录声明函</w:t>
      </w:r>
      <w:bookmarkStart w:id="601" w:name="_Toc5325"/>
      <w:bookmarkStart w:id="602" w:name="_Toc18233"/>
    </w:p>
    <w:p w14:paraId="51FE3FCB">
      <w:pPr>
        <w:pStyle w:val="24"/>
        <w:keepNext w:val="0"/>
        <w:keepLines w:val="0"/>
        <w:pageBreakBefore w:val="0"/>
        <w:widowControl/>
        <w:kinsoku/>
        <w:wordWrap/>
        <w:overflowPunct/>
        <w:topLinePunct w:val="0"/>
        <w:bidi w:val="0"/>
        <w:snapToGrid/>
        <w:spacing w:before="0" w:beforeAutospacing="0" w:after="0" w:afterAutospacing="0" w:line="48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察布查尔锡伯自治县公安局</w:t>
      </w:r>
      <w:r>
        <w:rPr>
          <w:rFonts w:hint="eastAsia" w:ascii="仿宋" w:hAnsi="仿宋" w:eastAsia="仿宋" w:cs="仿宋"/>
          <w:b/>
          <w:bCs/>
          <w:color w:val="auto"/>
          <w:sz w:val="28"/>
          <w:szCs w:val="28"/>
        </w:rPr>
        <w:t>:</w:t>
      </w:r>
      <w:bookmarkEnd w:id="601"/>
      <w:bookmarkEnd w:id="602"/>
    </w:p>
    <w:p w14:paraId="4A30A9C3">
      <w:pPr>
        <w:pStyle w:val="75"/>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仿宋" w:hAnsi="仿宋" w:eastAsia="仿宋" w:cs="仿宋"/>
          <w:color w:val="auto"/>
          <w:sz w:val="28"/>
          <w:szCs w:val="28"/>
          <w:highlight w:val="none"/>
        </w:rPr>
      </w:pPr>
      <w:bookmarkStart w:id="603" w:name="_Toc25920"/>
      <w:bookmarkStart w:id="604" w:name="_Toc27699"/>
      <w:bookmarkStart w:id="605" w:name="_Toc8177"/>
      <w:bookmarkStart w:id="606" w:name="_Toc975"/>
      <w:r>
        <w:rPr>
          <w:rFonts w:hint="eastAsia" w:ascii="仿宋" w:hAnsi="仿宋" w:eastAsia="仿宋" w:cs="仿宋"/>
          <w:color w:val="auto"/>
          <w:sz w:val="28"/>
          <w:szCs w:val="28"/>
          <w:highlight w:val="none"/>
        </w:rPr>
        <w:t>我公司参与公开招标</w:t>
      </w:r>
      <w:r>
        <w:rPr>
          <w:rFonts w:hint="eastAsia" w:ascii="仿宋" w:hAnsi="仿宋" w:eastAsia="仿宋" w:cs="仿宋"/>
          <w:color w:val="auto"/>
          <w:sz w:val="28"/>
          <w:szCs w:val="28"/>
          <w:highlight w:val="none"/>
          <w:u w:val="single"/>
        </w:rPr>
        <w:t>文件编号</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u w:val="single"/>
        </w:rPr>
        <w:t xml:space="preserve"> 项目</w:t>
      </w:r>
      <w:r>
        <w:rPr>
          <w:rFonts w:hint="eastAsia" w:ascii="仿宋" w:hAnsi="仿宋" w:eastAsia="仿宋" w:cs="仿宋"/>
          <w:color w:val="auto"/>
          <w:sz w:val="28"/>
          <w:szCs w:val="28"/>
          <w:highlight w:val="none"/>
          <w:u w:val="single"/>
          <w:lang w:val="en-US" w:eastAsia="zh-CN"/>
        </w:rPr>
        <w:t>名称</w:t>
      </w:r>
      <w:r>
        <w:rPr>
          <w:rFonts w:hint="eastAsia" w:ascii="仿宋" w:hAnsi="仿宋" w:eastAsia="仿宋" w:cs="仿宋"/>
          <w:color w:val="auto"/>
          <w:sz w:val="28"/>
          <w:szCs w:val="28"/>
          <w:highlight w:val="none"/>
        </w:rPr>
        <w:t>的采购招标活动，我公司郑重声明：我公司参加本次采购招标活动前三年内，在经营活动中无重大违法记录（重大违法记录是指供应商因违法经营受到刑事处罚或者责令停产停业、吊销许可证或者营业执照），具备《中华人民共和国政府采购法》和《中华人民共和国政府采购法实施条例》中规定的投标供应商资格条件。我公司对此声明负全部法律责任。</w:t>
      </w:r>
      <w:bookmarkEnd w:id="603"/>
      <w:bookmarkEnd w:id="604"/>
      <w:bookmarkEnd w:id="605"/>
      <w:bookmarkEnd w:id="606"/>
    </w:p>
    <w:p w14:paraId="1709DCF1">
      <w:pPr>
        <w:pStyle w:val="75"/>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outlineLvl w:val="1"/>
        <w:rPr>
          <w:rFonts w:hint="eastAsia" w:ascii="仿宋" w:hAnsi="仿宋" w:eastAsia="仿宋" w:cs="仿宋"/>
          <w:color w:val="auto"/>
          <w:sz w:val="28"/>
          <w:szCs w:val="28"/>
          <w:highlight w:val="none"/>
        </w:rPr>
      </w:pPr>
      <w:bookmarkStart w:id="607" w:name="_Toc19673"/>
      <w:bookmarkStart w:id="608" w:name="_Toc6447"/>
      <w:bookmarkStart w:id="609" w:name="_Toc10574"/>
      <w:r>
        <w:rPr>
          <w:rFonts w:hint="eastAsia" w:ascii="仿宋" w:hAnsi="仿宋" w:eastAsia="仿宋" w:cs="仿宋"/>
          <w:color w:val="auto"/>
          <w:sz w:val="28"/>
          <w:szCs w:val="28"/>
          <w:highlight w:val="none"/>
        </w:rPr>
        <w:t>特此声明。</w:t>
      </w:r>
      <w:bookmarkEnd w:id="607"/>
      <w:bookmarkEnd w:id="608"/>
      <w:bookmarkEnd w:id="609"/>
    </w:p>
    <w:p w14:paraId="5FFC8806">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承诺单位：           公司（公章）</w:t>
      </w:r>
    </w:p>
    <w:p w14:paraId="2F6A0669">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法定代表人：（签字或签章）</w:t>
      </w:r>
    </w:p>
    <w:p w14:paraId="26991B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法定代表人身份证号：</w:t>
      </w:r>
    </w:p>
    <w:p w14:paraId="3DD21B63">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20  年  月  日</w:t>
      </w:r>
    </w:p>
    <w:p w14:paraId="02B4A852">
      <w:pPr>
        <w:pStyle w:val="75"/>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outlineLvl w:val="9"/>
        <w:rPr>
          <w:color w:val="auto"/>
          <w:sz w:val="28"/>
          <w:szCs w:val="28"/>
        </w:rPr>
      </w:pPr>
    </w:p>
    <w:p w14:paraId="0C21B6D6">
      <w:pPr>
        <w:keepNext w:val="0"/>
        <w:keepLines w:val="0"/>
        <w:pageBreakBefore w:val="0"/>
        <w:kinsoku/>
        <w:wordWrap/>
        <w:overflowPunct/>
        <w:topLinePunct w:val="0"/>
        <w:bidi w:val="0"/>
        <w:snapToGrid/>
        <w:spacing w:line="480" w:lineRule="exact"/>
        <w:textAlignment w:val="auto"/>
        <w:rPr>
          <w:rFonts w:hint="eastAsia" w:ascii="宋体" w:hAnsi="宋体"/>
          <w:b/>
          <w:color w:val="auto"/>
          <w:sz w:val="32"/>
          <w:szCs w:val="32"/>
        </w:rPr>
      </w:pPr>
    </w:p>
    <w:p w14:paraId="4D045E24">
      <w:pPr>
        <w:pStyle w:val="10"/>
        <w:rPr>
          <w:rFonts w:hint="eastAsia" w:ascii="宋体" w:hAnsi="宋体"/>
          <w:b/>
          <w:color w:val="auto"/>
          <w:sz w:val="32"/>
          <w:szCs w:val="32"/>
        </w:rPr>
      </w:pPr>
    </w:p>
    <w:p w14:paraId="58E6D99B">
      <w:pPr>
        <w:rPr>
          <w:rFonts w:hint="eastAsia" w:ascii="宋体" w:hAnsi="宋体"/>
          <w:b/>
          <w:color w:val="auto"/>
          <w:sz w:val="32"/>
          <w:szCs w:val="32"/>
        </w:rPr>
      </w:pPr>
    </w:p>
    <w:p w14:paraId="152CE9AC">
      <w:pPr>
        <w:pStyle w:val="10"/>
        <w:rPr>
          <w:rFonts w:hint="eastAsia" w:ascii="宋体" w:hAnsi="宋体"/>
          <w:b/>
          <w:color w:val="auto"/>
          <w:sz w:val="32"/>
          <w:szCs w:val="32"/>
        </w:rPr>
      </w:pPr>
    </w:p>
    <w:p w14:paraId="5ADEE1A1">
      <w:pPr>
        <w:rPr>
          <w:rFonts w:hint="eastAsia" w:ascii="宋体" w:hAnsi="宋体"/>
          <w:b/>
          <w:color w:val="auto"/>
          <w:sz w:val="32"/>
          <w:szCs w:val="32"/>
        </w:rPr>
      </w:pPr>
    </w:p>
    <w:p w14:paraId="406DD465">
      <w:pPr>
        <w:pStyle w:val="10"/>
        <w:rPr>
          <w:rFonts w:hint="eastAsia" w:ascii="宋体" w:hAnsi="宋体"/>
          <w:b/>
          <w:color w:val="auto"/>
          <w:sz w:val="32"/>
          <w:szCs w:val="32"/>
        </w:rPr>
      </w:pPr>
    </w:p>
    <w:p w14:paraId="63F44311">
      <w:pPr>
        <w:rPr>
          <w:rFonts w:hint="eastAsia" w:ascii="宋体" w:hAnsi="宋体"/>
          <w:b/>
          <w:color w:val="auto"/>
          <w:sz w:val="32"/>
          <w:szCs w:val="32"/>
        </w:rPr>
      </w:pPr>
    </w:p>
    <w:p w14:paraId="1562DBA8">
      <w:pPr>
        <w:pStyle w:val="10"/>
        <w:rPr>
          <w:rFonts w:hint="eastAsia" w:ascii="宋体" w:hAnsi="宋体"/>
          <w:b/>
          <w:color w:val="auto"/>
          <w:sz w:val="32"/>
          <w:szCs w:val="32"/>
        </w:rPr>
      </w:pPr>
    </w:p>
    <w:p w14:paraId="74F0FBBF">
      <w:pPr>
        <w:rPr>
          <w:rFonts w:hint="eastAsia" w:ascii="宋体" w:hAnsi="宋体"/>
          <w:b/>
          <w:color w:val="auto"/>
          <w:sz w:val="32"/>
          <w:szCs w:val="32"/>
        </w:rPr>
      </w:pPr>
    </w:p>
    <w:p w14:paraId="02B9D888">
      <w:pPr>
        <w:pStyle w:val="10"/>
        <w:rPr>
          <w:rFonts w:hint="eastAsia" w:ascii="宋体" w:hAnsi="宋体"/>
          <w:b/>
          <w:color w:val="auto"/>
          <w:sz w:val="32"/>
          <w:szCs w:val="32"/>
        </w:rPr>
      </w:pPr>
    </w:p>
    <w:p w14:paraId="1644A4AE">
      <w:pPr>
        <w:tabs>
          <w:tab w:val="left" w:pos="4108"/>
          <w:tab w:val="center" w:pos="5975"/>
        </w:tabs>
        <w:jc w:val="both"/>
        <w:rPr>
          <w:rFonts w:hint="eastAsia" w:ascii="仿宋" w:hAnsi="仿宋" w:eastAsia="仿宋" w:cs="仿宋"/>
          <w:b/>
          <w:bCs/>
          <w:color w:val="auto"/>
          <w:sz w:val="32"/>
          <w:szCs w:val="32"/>
        </w:rPr>
      </w:pPr>
    </w:p>
    <w:p w14:paraId="0DCFFB47">
      <w:pPr>
        <w:tabs>
          <w:tab w:val="left" w:pos="4108"/>
          <w:tab w:val="center" w:pos="5975"/>
        </w:tabs>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.投标文件标书封皮格式</w:t>
      </w:r>
    </w:p>
    <w:p w14:paraId="3A37455E">
      <w:pPr>
        <w:pStyle w:val="8"/>
        <w:spacing w:line="440" w:lineRule="exact"/>
        <w:ind w:firstLine="0"/>
        <w:rPr>
          <w:rFonts w:hint="eastAsia" w:ascii="仿宋" w:hAnsi="仿宋" w:eastAsia="仿宋" w:cs="仿宋"/>
          <w:color w:val="auto"/>
          <w:sz w:val="28"/>
          <w:szCs w:val="28"/>
        </w:rPr>
      </w:pPr>
    </w:p>
    <w:p w14:paraId="20AF9838">
      <w:pPr>
        <w:spacing w:line="440" w:lineRule="exact"/>
        <w:ind w:firstLine="7027" w:firstLineChars="2500"/>
        <w:rPr>
          <w:rFonts w:hint="eastAsia" w:ascii="仿宋" w:hAnsi="仿宋" w:eastAsia="仿宋" w:cs="仿宋"/>
          <w:color w:val="auto"/>
          <w:sz w:val="28"/>
          <w:szCs w:val="28"/>
        </w:rPr>
      </w:pPr>
      <w:r>
        <w:rPr>
          <w:rFonts w:hint="eastAsia" w:ascii="仿宋" w:hAnsi="仿宋" w:eastAsia="仿宋" w:cs="仿宋"/>
          <w:b/>
          <w:bCs/>
          <w:color w:val="auto"/>
          <w:kern w:val="1"/>
          <w:sz w:val="28"/>
          <w:szCs w:val="28"/>
        </w:rPr>
        <w:t>正（副）本</w:t>
      </w:r>
    </w:p>
    <w:p w14:paraId="128002B7">
      <w:pPr>
        <w:spacing w:line="440" w:lineRule="exact"/>
        <w:rPr>
          <w:rFonts w:hint="eastAsia" w:ascii="仿宋" w:hAnsi="仿宋" w:eastAsia="仿宋" w:cs="仿宋"/>
          <w:color w:val="auto"/>
          <w:sz w:val="28"/>
          <w:szCs w:val="28"/>
        </w:rPr>
      </w:pPr>
    </w:p>
    <w:p w14:paraId="5BDD3646">
      <w:pPr>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u w:val="single"/>
        </w:rPr>
        <w:t xml:space="preserve">  ****        </w:t>
      </w:r>
      <w:r>
        <w:rPr>
          <w:rFonts w:hint="eastAsia" w:ascii="仿宋" w:hAnsi="仿宋" w:eastAsia="仿宋" w:cs="仿宋"/>
          <w:b/>
          <w:bCs/>
          <w:color w:val="auto"/>
          <w:sz w:val="28"/>
          <w:szCs w:val="28"/>
        </w:rPr>
        <w:t>项目</w:t>
      </w:r>
    </w:p>
    <w:p w14:paraId="37DC4A7F">
      <w:pPr>
        <w:spacing w:line="44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（项目编号）</w:t>
      </w:r>
    </w:p>
    <w:p w14:paraId="0E362FD0">
      <w:pPr>
        <w:spacing w:line="440" w:lineRule="exact"/>
        <w:rPr>
          <w:rFonts w:hint="eastAsia" w:ascii="仿宋" w:hAnsi="仿宋" w:eastAsia="仿宋" w:cs="仿宋"/>
          <w:color w:val="auto"/>
          <w:sz w:val="28"/>
          <w:szCs w:val="28"/>
        </w:rPr>
      </w:pPr>
    </w:p>
    <w:p w14:paraId="332FB659">
      <w:pPr>
        <w:spacing w:line="440" w:lineRule="exact"/>
        <w:rPr>
          <w:rFonts w:hint="eastAsia" w:ascii="仿宋" w:hAnsi="仿宋" w:eastAsia="仿宋" w:cs="仿宋"/>
          <w:color w:val="auto"/>
          <w:sz w:val="28"/>
          <w:szCs w:val="28"/>
        </w:rPr>
      </w:pPr>
    </w:p>
    <w:p w14:paraId="7D4B747E">
      <w:pPr>
        <w:spacing w:line="440" w:lineRule="exact"/>
        <w:rPr>
          <w:rFonts w:hint="eastAsia" w:ascii="仿宋" w:hAnsi="仿宋" w:eastAsia="仿宋" w:cs="仿宋"/>
          <w:color w:val="auto"/>
          <w:sz w:val="28"/>
          <w:szCs w:val="28"/>
        </w:rPr>
      </w:pPr>
    </w:p>
    <w:p w14:paraId="7883041F">
      <w:pPr>
        <w:pStyle w:val="25"/>
        <w:ind w:firstLine="210"/>
        <w:rPr>
          <w:rFonts w:hint="eastAsia"/>
          <w:color w:val="auto"/>
        </w:rPr>
      </w:pPr>
    </w:p>
    <w:p w14:paraId="417DB35B">
      <w:pPr>
        <w:pStyle w:val="25"/>
        <w:ind w:firstLine="210"/>
        <w:rPr>
          <w:rFonts w:hint="eastAsia"/>
          <w:color w:val="auto"/>
        </w:rPr>
      </w:pPr>
    </w:p>
    <w:p w14:paraId="581DB486">
      <w:pPr>
        <w:spacing w:line="440" w:lineRule="exact"/>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投 标 文 件</w:t>
      </w:r>
    </w:p>
    <w:p w14:paraId="305EA1F7">
      <w:pPr>
        <w:spacing w:line="440" w:lineRule="exact"/>
        <w:rPr>
          <w:rFonts w:hint="eastAsia" w:ascii="仿宋" w:hAnsi="仿宋" w:eastAsia="仿宋" w:cs="仿宋"/>
          <w:color w:val="auto"/>
          <w:sz w:val="28"/>
          <w:szCs w:val="28"/>
        </w:rPr>
      </w:pPr>
    </w:p>
    <w:p w14:paraId="11B9379D">
      <w:pPr>
        <w:spacing w:line="440" w:lineRule="exact"/>
        <w:rPr>
          <w:rFonts w:hint="eastAsia" w:ascii="仿宋" w:hAnsi="仿宋" w:eastAsia="仿宋" w:cs="仿宋"/>
          <w:color w:val="auto"/>
          <w:sz w:val="28"/>
          <w:szCs w:val="28"/>
        </w:rPr>
      </w:pPr>
    </w:p>
    <w:p w14:paraId="2BF2815D">
      <w:pPr>
        <w:pStyle w:val="25"/>
        <w:ind w:firstLine="280"/>
        <w:rPr>
          <w:rFonts w:hint="eastAsia" w:ascii="仿宋" w:hAnsi="仿宋" w:eastAsia="仿宋" w:cs="仿宋"/>
          <w:color w:val="auto"/>
          <w:sz w:val="28"/>
          <w:szCs w:val="28"/>
        </w:rPr>
      </w:pPr>
    </w:p>
    <w:p w14:paraId="0829BCD9">
      <w:pPr>
        <w:rPr>
          <w:rFonts w:hint="eastAsia"/>
          <w:color w:val="auto"/>
        </w:rPr>
      </w:pPr>
    </w:p>
    <w:p w14:paraId="4368C94B">
      <w:pPr>
        <w:spacing w:line="440" w:lineRule="exact"/>
        <w:rPr>
          <w:rFonts w:hint="eastAsia" w:ascii="仿宋" w:hAnsi="仿宋" w:eastAsia="仿宋" w:cs="仿宋"/>
          <w:color w:val="auto"/>
          <w:sz w:val="28"/>
          <w:szCs w:val="28"/>
        </w:rPr>
      </w:pPr>
    </w:p>
    <w:p w14:paraId="3B46EC37">
      <w:pPr>
        <w:spacing w:line="440" w:lineRule="exact"/>
        <w:ind w:firstLine="1124" w:firstLineChars="400"/>
        <w:jc w:val="lef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采购人：</w:t>
      </w:r>
      <w:r>
        <w:rPr>
          <w:rFonts w:hint="eastAsia" w:ascii="仿宋" w:hAnsi="仿宋" w:eastAsia="仿宋" w:cs="仿宋"/>
          <w:b/>
          <w:bCs/>
          <w:color w:val="auto"/>
          <w:sz w:val="28"/>
          <w:szCs w:val="28"/>
          <w:u w:val="single"/>
        </w:rPr>
        <w:t xml:space="preserve">                               </w:t>
      </w:r>
    </w:p>
    <w:p w14:paraId="29F88E37">
      <w:pPr>
        <w:spacing w:line="440" w:lineRule="exact"/>
        <w:ind w:firstLine="1124" w:firstLineChars="400"/>
        <w:jc w:val="left"/>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采购代理机构：</w:t>
      </w:r>
      <w:r>
        <w:rPr>
          <w:rFonts w:hint="eastAsia" w:ascii="仿宋" w:hAnsi="仿宋" w:eastAsia="仿宋" w:cs="仿宋"/>
          <w:b/>
          <w:bCs/>
          <w:color w:val="auto"/>
          <w:sz w:val="28"/>
          <w:szCs w:val="28"/>
          <w:u w:val="single"/>
          <w:lang w:val="en-US" w:eastAsia="zh-CN"/>
        </w:rPr>
        <w:t xml:space="preserve">                         </w:t>
      </w:r>
    </w:p>
    <w:p w14:paraId="5DB071CD">
      <w:pPr>
        <w:spacing w:line="440" w:lineRule="exact"/>
        <w:ind w:firstLine="1124" w:firstLineChars="400"/>
        <w:jc w:val="lef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供应商名称</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盖章</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u w:val="single"/>
        </w:rPr>
        <w:t xml:space="preserve">                   </w:t>
      </w:r>
    </w:p>
    <w:p w14:paraId="792EFF6E">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法定代表</w:t>
      </w:r>
      <w:r>
        <w:rPr>
          <w:rFonts w:hint="eastAsia" w:ascii="仿宋" w:hAnsi="仿宋" w:eastAsia="仿宋" w:cs="仿宋"/>
          <w:b/>
          <w:bCs/>
          <w:color w:val="auto"/>
          <w:sz w:val="28"/>
          <w:szCs w:val="28"/>
          <w:highlight w:val="none"/>
          <w:lang w:val="en-US" w:eastAsia="zh-CN"/>
        </w:rPr>
        <w:t>人签字或签章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single"/>
        </w:rPr>
        <w:t xml:space="preserve">                   </w:t>
      </w:r>
    </w:p>
    <w:p w14:paraId="37DB66B5">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被授权人</w:t>
      </w:r>
      <w:r>
        <w:rPr>
          <w:rFonts w:hint="eastAsia" w:ascii="仿宋" w:hAnsi="仿宋" w:eastAsia="仿宋" w:cs="仿宋"/>
          <w:b/>
          <w:bCs/>
          <w:color w:val="auto"/>
          <w:sz w:val="28"/>
          <w:szCs w:val="28"/>
          <w:highlight w:val="none"/>
          <w:lang w:val="en-US" w:eastAsia="zh-CN"/>
        </w:rPr>
        <w:t>签字或签章</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u w:val="single"/>
        </w:rPr>
        <w:t xml:space="preserve">                   </w:t>
      </w:r>
    </w:p>
    <w:p w14:paraId="7C99C1B3">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联系电话：</w:t>
      </w:r>
      <w:r>
        <w:rPr>
          <w:rFonts w:hint="eastAsia" w:ascii="仿宋" w:hAnsi="仿宋" w:eastAsia="仿宋" w:cs="仿宋"/>
          <w:b/>
          <w:bCs/>
          <w:color w:val="auto"/>
          <w:sz w:val="28"/>
          <w:szCs w:val="28"/>
          <w:highlight w:val="none"/>
          <w:u w:val="single"/>
        </w:rPr>
        <w:t xml:space="preserve">                             </w:t>
      </w:r>
    </w:p>
    <w:p w14:paraId="67E97A62">
      <w:pPr>
        <w:ind w:firstLine="1124" w:firstLineChars="400"/>
        <w:jc w:val="left"/>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rPr>
        <w:t>地址：</w:t>
      </w:r>
      <w:r>
        <w:rPr>
          <w:rFonts w:hint="eastAsia" w:ascii="仿宋" w:hAnsi="仿宋" w:eastAsia="仿宋" w:cs="仿宋"/>
          <w:b/>
          <w:bCs/>
          <w:color w:val="auto"/>
          <w:sz w:val="28"/>
          <w:szCs w:val="28"/>
          <w:highlight w:val="none"/>
          <w:u w:val="single"/>
        </w:rPr>
        <w:t xml:space="preserve">                                 </w:t>
      </w:r>
    </w:p>
    <w:p w14:paraId="16282A17">
      <w:pPr>
        <w:keepNext/>
        <w:keepLines/>
        <w:spacing w:line="440" w:lineRule="exact"/>
        <w:jc w:val="center"/>
        <w:rPr>
          <w:rFonts w:hint="eastAsia" w:ascii="仿宋" w:hAnsi="仿宋" w:eastAsia="仿宋" w:cs="仿宋"/>
          <w:b/>
          <w:bCs/>
          <w:color w:val="auto"/>
          <w:sz w:val="28"/>
          <w:szCs w:val="28"/>
        </w:rPr>
      </w:pPr>
    </w:p>
    <w:p w14:paraId="4F864A9C">
      <w:pPr>
        <w:rPr>
          <w:color w:val="auto"/>
        </w:rPr>
      </w:pPr>
    </w:p>
    <w:p w14:paraId="5D1902E6">
      <w:pPr>
        <w:pStyle w:val="26"/>
        <w:ind w:firstLine="400"/>
        <w:rPr>
          <w:color w:val="auto"/>
        </w:rPr>
      </w:pPr>
    </w:p>
    <w:p w14:paraId="71028220">
      <w:pPr>
        <w:rPr>
          <w:color w:val="auto"/>
        </w:rPr>
      </w:pPr>
    </w:p>
    <w:p w14:paraId="377EDAB4">
      <w:pPr>
        <w:spacing w:line="440" w:lineRule="exact"/>
        <w:jc w:val="center"/>
        <w:outlineLvl w:val="1"/>
        <w:rPr>
          <w:rFonts w:hint="default" w:ascii="仿宋" w:hAnsi="仿宋" w:eastAsia="仿宋" w:cs="仿宋"/>
          <w:b/>
          <w:color w:val="auto"/>
          <w:sz w:val="28"/>
          <w:szCs w:val="28"/>
          <w:lang w:val="en-US" w:eastAsia="zh-CN"/>
        </w:rPr>
      </w:pPr>
      <w:bookmarkStart w:id="610" w:name="_Toc7943"/>
      <w:bookmarkStart w:id="611" w:name="_Toc28371"/>
      <w:r>
        <w:rPr>
          <w:rFonts w:hint="eastAsia" w:ascii="仿宋" w:hAnsi="仿宋" w:eastAsia="仿宋" w:cs="仿宋"/>
          <w:b/>
          <w:color w:val="auto"/>
          <w:sz w:val="28"/>
          <w:szCs w:val="28"/>
          <w:lang w:val="en-US" w:eastAsia="zh-CN"/>
        </w:rPr>
        <w:t>3.附表</w:t>
      </w:r>
      <w:bookmarkEnd w:id="610"/>
    </w:p>
    <w:p w14:paraId="06FA30D6">
      <w:pPr>
        <w:spacing w:line="440" w:lineRule="exact"/>
        <w:outlineLvl w:val="1"/>
        <w:rPr>
          <w:rFonts w:hint="eastAsia" w:ascii="仿宋" w:hAnsi="仿宋" w:eastAsia="仿宋" w:cs="仿宋"/>
          <w:b/>
          <w:color w:val="auto"/>
          <w:sz w:val="28"/>
          <w:szCs w:val="28"/>
          <w:lang w:eastAsia="zh-CN"/>
        </w:rPr>
      </w:pPr>
      <w:bookmarkStart w:id="612" w:name="_Toc2230"/>
      <w:r>
        <w:rPr>
          <w:rFonts w:hint="eastAsia" w:ascii="仿宋" w:hAnsi="仿宋" w:eastAsia="仿宋" w:cs="仿宋"/>
          <w:b/>
          <w:color w:val="auto"/>
          <w:sz w:val="28"/>
          <w:szCs w:val="28"/>
        </w:rPr>
        <w:t>附表一、采购项目验收单</w:t>
      </w:r>
      <w:bookmarkEnd w:id="611"/>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仅供参考，可根据实际情况进行调整</w:t>
      </w:r>
      <w:r>
        <w:rPr>
          <w:rFonts w:hint="eastAsia" w:ascii="仿宋" w:hAnsi="仿宋" w:eastAsia="仿宋" w:cs="仿宋"/>
          <w:b/>
          <w:color w:val="auto"/>
          <w:sz w:val="28"/>
          <w:szCs w:val="28"/>
          <w:lang w:eastAsia="zh-CN"/>
        </w:rPr>
        <w:t>）</w:t>
      </w:r>
      <w:bookmarkEnd w:id="612"/>
    </w:p>
    <w:tbl>
      <w:tblPr>
        <w:tblStyle w:val="2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57"/>
        <w:gridCol w:w="228"/>
        <w:gridCol w:w="1005"/>
        <w:gridCol w:w="704"/>
        <w:gridCol w:w="1381"/>
        <w:gridCol w:w="1643"/>
        <w:gridCol w:w="253"/>
        <w:gridCol w:w="2090"/>
      </w:tblGrid>
      <w:tr w14:paraId="3F90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gridSpan w:val="3"/>
            <w:noWrap w:val="0"/>
            <w:vAlign w:val="center"/>
          </w:tcPr>
          <w:p w14:paraId="576B149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p w14:paraId="1FEC59F6">
            <w:pPr>
              <w:spacing w:line="440" w:lineRule="exact"/>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rPr>
              <w:t>及编号</w:t>
            </w:r>
          </w:p>
        </w:tc>
        <w:tc>
          <w:tcPr>
            <w:tcW w:w="7076" w:type="dxa"/>
            <w:gridSpan w:val="6"/>
            <w:noWrap w:val="0"/>
            <w:vAlign w:val="center"/>
          </w:tcPr>
          <w:p w14:paraId="16780625">
            <w:pPr>
              <w:spacing w:line="440" w:lineRule="exact"/>
              <w:jc w:val="center"/>
              <w:rPr>
                <w:rFonts w:hint="eastAsia" w:ascii="仿宋" w:hAnsi="仿宋" w:eastAsia="仿宋" w:cs="仿宋"/>
                <w:b/>
                <w:color w:val="auto"/>
                <w:sz w:val="24"/>
                <w:szCs w:val="24"/>
              </w:rPr>
            </w:pPr>
          </w:p>
        </w:tc>
      </w:tr>
      <w:tr w14:paraId="5860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14" w:type="dxa"/>
            <w:gridSpan w:val="3"/>
            <w:noWrap w:val="0"/>
            <w:vAlign w:val="center"/>
          </w:tcPr>
          <w:p w14:paraId="71C5B161">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采购人</w:t>
            </w:r>
          </w:p>
        </w:tc>
        <w:tc>
          <w:tcPr>
            <w:tcW w:w="3090" w:type="dxa"/>
            <w:gridSpan w:val="3"/>
            <w:noWrap w:val="0"/>
            <w:vAlign w:val="center"/>
          </w:tcPr>
          <w:p w14:paraId="2625E7B1">
            <w:pPr>
              <w:spacing w:line="440" w:lineRule="exact"/>
              <w:jc w:val="center"/>
              <w:rPr>
                <w:rFonts w:hint="eastAsia" w:ascii="仿宋" w:hAnsi="仿宋" w:eastAsia="仿宋" w:cs="仿宋"/>
                <w:b/>
                <w:color w:val="auto"/>
                <w:sz w:val="24"/>
                <w:szCs w:val="24"/>
              </w:rPr>
            </w:pPr>
          </w:p>
        </w:tc>
        <w:tc>
          <w:tcPr>
            <w:tcW w:w="1643" w:type="dxa"/>
            <w:noWrap w:val="0"/>
            <w:vAlign w:val="center"/>
          </w:tcPr>
          <w:p w14:paraId="577E935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项目负责人</w:t>
            </w:r>
          </w:p>
        </w:tc>
        <w:tc>
          <w:tcPr>
            <w:tcW w:w="2343" w:type="dxa"/>
            <w:gridSpan w:val="2"/>
            <w:noWrap w:val="0"/>
            <w:vAlign w:val="center"/>
          </w:tcPr>
          <w:p w14:paraId="6B7FC289">
            <w:pPr>
              <w:spacing w:line="440" w:lineRule="exact"/>
              <w:jc w:val="center"/>
              <w:rPr>
                <w:rFonts w:hint="eastAsia" w:ascii="仿宋" w:hAnsi="仿宋" w:eastAsia="仿宋" w:cs="仿宋"/>
                <w:b/>
                <w:color w:val="auto"/>
                <w:sz w:val="24"/>
                <w:szCs w:val="24"/>
              </w:rPr>
            </w:pPr>
          </w:p>
        </w:tc>
      </w:tr>
      <w:tr w14:paraId="3236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gridSpan w:val="3"/>
            <w:noWrap w:val="0"/>
            <w:vAlign w:val="center"/>
          </w:tcPr>
          <w:p w14:paraId="72D2FE04">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中标(成交)供应商</w:t>
            </w:r>
          </w:p>
        </w:tc>
        <w:tc>
          <w:tcPr>
            <w:tcW w:w="3090" w:type="dxa"/>
            <w:gridSpan w:val="3"/>
            <w:noWrap w:val="0"/>
            <w:vAlign w:val="center"/>
          </w:tcPr>
          <w:p w14:paraId="0124172F">
            <w:pPr>
              <w:spacing w:line="440" w:lineRule="exact"/>
              <w:jc w:val="center"/>
              <w:rPr>
                <w:rFonts w:hint="eastAsia" w:ascii="仿宋" w:hAnsi="仿宋" w:eastAsia="仿宋" w:cs="仿宋"/>
                <w:b/>
                <w:bCs/>
                <w:color w:val="auto"/>
                <w:sz w:val="24"/>
                <w:szCs w:val="24"/>
              </w:rPr>
            </w:pPr>
          </w:p>
        </w:tc>
        <w:tc>
          <w:tcPr>
            <w:tcW w:w="1643" w:type="dxa"/>
            <w:noWrap w:val="0"/>
            <w:vAlign w:val="center"/>
          </w:tcPr>
          <w:p w14:paraId="4A097025">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采购方式</w:t>
            </w:r>
          </w:p>
        </w:tc>
        <w:tc>
          <w:tcPr>
            <w:tcW w:w="2343" w:type="dxa"/>
            <w:gridSpan w:val="2"/>
            <w:noWrap w:val="0"/>
            <w:vAlign w:val="center"/>
          </w:tcPr>
          <w:p w14:paraId="7289D633">
            <w:pPr>
              <w:spacing w:line="440" w:lineRule="exact"/>
              <w:jc w:val="center"/>
              <w:rPr>
                <w:rFonts w:hint="eastAsia" w:ascii="仿宋" w:hAnsi="仿宋" w:eastAsia="仿宋" w:cs="仿宋"/>
                <w:b/>
                <w:color w:val="auto"/>
                <w:sz w:val="24"/>
                <w:szCs w:val="24"/>
              </w:rPr>
            </w:pPr>
          </w:p>
        </w:tc>
      </w:tr>
      <w:tr w14:paraId="5BF64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4" w:type="dxa"/>
            <w:gridSpan w:val="3"/>
            <w:noWrap w:val="0"/>
            <w:vAlign w:val="center"/>
          </w:tcPr>
          <w:p w14:paraId="3E779AAE">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合同完</w:t>
            </w:r>
          </w:p>
          <w:p w14:paraId="3F0DBD47">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成时间</w:t>
            </w:r>
          </w:p>
        </w:tc>
        <w:tc>
          <w:tcPr>
            <w:tcW w:w="3090" w:type="dxa"/>
            <w:gridSpan w:val="3"/>
            <w:noWrap w:val="0"/>
            <w:vAlign w:val="center"/>
          </w:tcPr>
          <w:p w14:paraId="46B86380">
            <w:pPr>
              <w:spacing w:line="440" w:lineRule="exact"/>
              <w:jc w:val="center"/>
              <w:rPr>
                <w:rFonts w:hint="eastAsia" w:ascii="仿宋" w:hAnsi="仿宋" w:eastAsia="仿宋" w:cs="仿宋"/>
                <w:b/>
                <w:color w:val="auto"/>
                <w:sz w:val="24"/>
                <w:szCs w:val="24"/>
              </w:rPr>
            </w:pPr>
          </w:p>
        </w:tc>
        <w:tc>
          <w:tcPr>
            <w:tcW w:w="1643" w:type="dxa"/>
            <w:noWrap w:val="0"/>
            <w:vAlign w:val="center"/>
          </w:tcPr>
          <w:p w14:paraId="0F1870E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项目验</w:t>
            </w:r>
          </w:p>
          <w:p w14:paraId="188F162B">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收时间</w:t>
            </w:r>
          </w:p>
        </w:tc>
        <w:tc>
          <w:tcPr>
            <w:tcW w:w="2343" w:type="dxa"/>
            <w:gridSpan w:val="2"/>
            <w:noWrap w:val="0"/>
            <w:vAlign w:val="center"/>
          </w:tcPr>
          <w:p w14:paraId="30C4DBEF">
            <w:pPr>
              <w:spacing w:line="440" w:lineRule="exact"/>
              <w:jc w:val="center"/>
              <w:rPr>
                <w:rFonts w:hint="eastAsia" w:ascii="仿宋" w:hAnsi="仿宋" w:eastAsia="仿宋" w:cs="仿宋"/>
                <w:b/>
                <w:color w:val="auto"/>
                <w:sz w:val="24"/>
                <w:szCs w:val="24"/>
              </w:rPr>
            </w:pPr>
          </w:p>
        </w:tc>
      </w:tr>
      <w:tr w14:paraId="0063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800" w:type="dxa"/>
            <w:gridSpan w:val="8"/>
            <w:noWrap w:val="0"/>
            <w:vAlign w:val="center"/>
          </w:tcPr>
          <w:p w14:paraId="4ED5B605">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中标(成交)设备</w:t>
            </w:r>
          </w:p>
        </w:tc>
        <w:tc>
          <w:tcPr>
            <w:tcW w:w="2090" w:type="dxa"/>
            <w:noWrap w:val="0"/>
            <w:vAlign w:val="center"/>
          </w:tcPr>
          <w:p w14:paraId="2513F44C">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验收情况</w:t>
            </w:r>
          </w:p>
        </w:tc>
      </w:tr>
      <w:tr w14:paraId="1565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noWrap w:val="0"/>
            <w:vAlign w:val="center"/>
          </w:tcPr>
          <w:p w14:paraId="26201038">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057" w:type="dxa"/>
            <w:noWrap w:val="0"/>
            <w:vAlign w:val="center"/>
          </w:tcPr>
          <w:p w14:paraId="38D549C0">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设备</w:t>
            </w:r>
          </w:p>
          <w:p w14:paraId="08B77083">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1233" w:type="dxa"/>
            <w:gridSpan w:val="2"/>
            <w:noWrap w:val="0"/>
            <w:vAlign w:val="center"/>
          </w:tcPr>
          <w:p w14:paraId="5A472BC7">
            <w:pPr>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制造商</w:t>
            </w:r>
          </w:p>
        </w:tc>
        <w:tc>
          <w:tcPr>
            <w:tcW w:w="704" w:type="dxa"/>
            <w:noWrap w:val="0"/>
            <w:vAlign w:val="center"/>
          </w:tcPr>
          <w:p w14:paraId="50E9168C">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c>
          <w:tcPr>
            <w:tcW w:w="3277" w:type="dxa"/>
            <w:gridSpan w:val="3"/>
            <w:noWrap w:val="0"/>
            <w:vAlign w:val="center"/>
          </w:tcPr>
          <w:p w14:paraId="62E48028">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规格参数</w:t>
            </w:r>
          </w:p>
        </w:tc>
        <w:tc>
          <w:tcPr>
            <w:tcW w:w="2090" w:type="dxa"/>
            <w:noWrap w:val="0"/>
            <w:vAlign w:val="center"/>
          </w:tcPr>
          <w:p w14:paraId="6B1F9B06">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是否合格</w:t>
            </w:r>
          </w:p>
        </w:tc>
      </w:tr>
      <w:tr w14:paraId="1597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00" w:type="dxa"/>
            <w:gridSpan w:val="8"/>
            <w:noWrap w:val="0"/>
            <w:vAlign w:val="center"/>
          </w:tcPr>
          <w:p w14:paraId="0155769E">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详见《中标（成交）通知书》采购清单</w:t>
            </w:r>
          </w:p>
        </w:tc>
        <w:tc>
          <w:tcPr>
            <w:tcW w:w="2090" w:type="dxa"/>
            <w:noWrap w:val="0"/>
            <w:vAlign w:val="top"/>
          </w:tcPr>
          <w:p w14:paraId="4F552C69">
            <w:pPr>
              <w:spacing w:line="440" w:lineRule="exact"/>
              <w:rPr>
                <w:rFonts w:hint="eastAsia" w:ascii="仿宋" w:hAnsi="仿宋" w:eastAsia="仿宋" w:cs="仿宋"/>
                <w:b/>
                <w:color w:val="auto"/>
                <w:sz w:val="24"/>
                <w:szCs w:val="24"/>
              </w:rPr>
            </w:pPr>
          </w:p>
        </w:tc>
      </w:tr>
      <w:tr w14:paraId="3BD1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vMerge w:val="restart"/>
            <w:noWrap w:val="0"/>
            <w:vAlign w:val="center"/>
          </w:tcPr>
          <w:p w14:paraId="44D2F4B8">
            <w:pPr>
              <w:spacing w:line="440" w:lineRule="exact"/>
              <w:ind w:left="103" w:leftChars="49"/>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验收小组</w:t>
            </w:r>
          </w:p>
        </w:tc>
        <w:tc>
          <w:tcPr>
            <w:tcW w:w="2290" w:type="dxa"/>
            <w:gridSpan w:val="3"/>
            <w:noWrap w:val="0"/>
            <w:vAlign w:val="center"/>
          </w:tcPr>
          <w:p w14:paraId="739C7E1E">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采购人代表</w:t>
            </w:r>
          </w:p>
        </w:tc>
        <w:tc>
          <w:tcPr>
            <w:tcW w:w="6071" w:type="dxa"/>
            <w:gridSpan w:val="5"/>
            <w:noWrap w:val="0"/>
            <w:vAlign w:val="center"/>
          </w:tcPr>
          <w:p w14:paraId="1F7AB6E8">
            <w:pPr>
              <w:spacing w:line="440" w:lineRule="exact"/>
              <w:rPr>
                <w:rFonts w:hint="eastAsia" w:ascii="仿宋" w:hAnsi="仿宋" w:eastAsia="仿宋" w:cs="仿宋"/>
                <w:b/>
                <w:color w:val="auto"/>
                <w:sz w:val="24"/>
                <w:szCs w:val="24"/>
              </w:rPr>
            </w:pPr>
          </w:p>
        </w:tc>
      </w:tr>
      <w:tr w14:paraId="2761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9" w:type="dxa"/>
            <w:vMerge w:val="continue"/>
            <w:noWrap w:val="0"/>
            <w:vAlign w:val="center"/>
          </w:tcPr>
          <w:p w14:paraId="6726F0E7">
            <w:pPr>
              <w:spacing w:line="440" w:lineRule="exact"/>
              <w:ind w:left="103" w:leftChars="49"/>
              <w:jc w:val="center"/>
              <w:rPr>
                <w:rFonts w:hint="eastAsia" w:ascii="仿宋" w:hAnsi="仿宋" w:eastAsia="仿宋" w:cs="仿宋"/>
                <w:b/>
                <w:color w:val="auto"/>
                <w:sz w:val="24"/>
                <w:szCs w:val="24"/>
              </w:rPr>
            </w:pPr>
          </w:p>
        </w:tc>
        <w:tc>
          <w:tcPr>
            <w:tcW w:w="2290" w:type="dxa"/>
            <w:gridSpan w:val="3"/>
            <w:noWrap w:val="0"/>
            <w:vAlign w:val="center"/>
          </w:tcPr>
          <w:p w14:paraId="1D27954B">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专业技术或</w:t>
            </w:r>
          </w:p>
          <w:p w14:paraId="4EFA8D65">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使用人员</w:t>
            </w:r>
          </w:p>
        </w:tc>
        <w:tc>
          <w:tcPr>
            <w:tcW w:w="6071" w:type="dxa"/>
            <w:gridSpan w:val="5"/>
            <w:noWrap w:val="0"/>
            <w:vAlign w:val="center"/>
          </w:tcPr>
          <w:p w14:paraId="716B5C8F">
            <w:pPr>
              <w:spacing w:line="440" w:lineRule="exact"/>
              <w:rPr>
                <w:rFonts w:hint="eastAsia" w:ascii="仿宋" w:hAnsi="仿宋" w:eastAsia="仿宋" w:cs="仿宋"/>
                <w:b/>
                <w:color w:val="auto"/>
                <w:sz w:val="24"/>
                <w:szCs w:val="24"/>
              </w:rPr>
            </w:pPr>
          </w:p>
        </w:tc>
      </w:tr>
      <w:tr w14:paraId="5648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9" w:type="dxa"/>
            <w:vMerge w:val="continue"/>
            <w:noWrap w:val="0"/>
            <w:vAlign w:val="center"/>
          </w:tcPr>
          <w:p w14:paraId="6F0485B1">
            <w:pPr>
              <w:spacing w:line="440" w:lineRule="exact"/>
              <w:ind w:left="103" w:leftChars="49"/>
              <w:jc w:val="center"/>
              <w:rPr>
                <w:rFonts w:hint="eastAsia" w:ascii="仿宋" w:hAnsi="仿宋" w:eastAsia="仿宋" w:cs="仿宋"/>
                <w:b/>
                <w:color w:val="auto"/>
                <w:sz w:val="24"/>
                <w:szCs w:val="24"/>
              </w:rPr>
            </w:pPr>
          </w:p>
        </w:tc>
        <w:tc>
          <w:tcPr>
            <w:tcW w:w="2290" w:type="dxa"/>
            <w:gridSpan w:val="3"/>
            <w:noWrap w:val="0"/>
            <w:vAlign w:val="center"/>
          </w:tcPr>
          <w:p w14:paraId="5A1E802D">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验收监督人员</w:t>
            </w:r>
          </w:p>
        </w:tc>
        <w:tc>
          <w:tcPr>
            <w:tcW w:w="6071" w:type="dxa"/>
            <w:gridSpan w:val="5"/>
            <w:noWrap w:val="0"/>
            <w:vAlign w:val="center"/>
          </w:tcPr>
          <w:p w14:paraId="45034CF0">
            <w:pPr>
              <w:spacing w:line="440" w:lineRule="exact"/>
              <w:rPr>
                <w:rFonts w:hint="eastAsia" w:ascii="仿宋" w:hAnsi="仿宋" w:eastAsia="仿宋" w:cs="仿宋"/>
                <w:b/>
                <w:color w:val="auto"/>
                <w:sz w:val="24"/>
                <w:szCs w:val="24"/>
              </w:rPr>
            </w:pPr>
          </w:p>
        </w:tc>
      </w:tr>
      <w:tr w14:paraId="4F67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9" w:type="dxa"/>
            <w:vMerge w:val="continue"/>
            <w:noWrap w:val="0"/>
            <w:vAlign w:val="center"/>
          </w:tcPr>
          <w:p w14:paraId="0C7A0923">
            <w:pPr>
              <w:spacing w:line="440" w:lineRule="exact"/>
              <w:ind w:left="103" w:leftChars="49"/>
              <w:jc w:val="center"/>
              <w:rPr>
                <w:rFonts w:hint="eastAsia" w:ascii="仿宋" w:hAnsi="仿宋" w:eastAsia="仿宋" w:cs="仿宋"/>
                <w:b/>
                <w:color w:val="auto"/>
                <w:sz w:val="24"/>
                <w:szCs w:val="24"/>
              </w:rPr>
            </w:pPr>
          </w:p>
        </w:tc>
        <w:tc>
          <w:tcPr>
            <w:tcW w:w="2290" w:type="dxa"/>
            <w:gridSpan w:val="3"/>
            <w:noWrap w:val="0"/>
            <w:vAlign w:val="center"/>
          </w:tcPr>
          <w:p w14:paraId="45393862">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项目验收意见</w:t>
            </w:r>
          </w:p>
        </w:tc>
        <w:tc>
          <w:tcPr>
            <w:tcW w:w="6071" w:type="dxa"/>
            <w:gridSpan w:val="5"/>
            <w:noWrap w:val="0"/>
            <w:vAlign w:val="center"/>
          </w:tcPr>
          <w:p w14:paraId="54F5A102">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（是否合格）</w:t>
            </w:r>
          </w:p>
        </w:tc>
      </w:tr>
      <w:tr w14:paraId="0E81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890" w:type="dxa"/>
            <w:gridSpan w:val="9"/>
            <w:noWrap w:val="0"/>
            <w:vAlign w:val="center"/>
          </w:tcPr>
          <w:p w14:paraId="04B5829B">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供应商意见：（是否属实）</w:t>
            </w:r>
          </w:p>
          <w:p w14:paraId="1BB6045F">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供应商代表（签字）：                          20   年   月  日</w:t>
            </w:r>
          </w:p>
        </w:tc>
      </w:tr>
      <w:tr w14:paraId="2CFE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890" w:type="dxa"/>
            <w:gridSpan w:val="9"/>
            <w:tcBorders>
              <w:right w:val="single" w:color="auto" w:sz="4" w:space="0"/>
            </w:tcBorders>
            <w:noWrap w:val="0"/>
            <w:vAlign w:val="top"/>
          </w:tcPr>
          <w:p w14:paraId="4A1A43B8">
            <w:pPr>
              <w:spacing w:line="44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采购人意见:</w:t>
            </w:r>
          </w:p>
          <w:p w14:paraId="527CB3C6">
            <w:pPr>
              <w:spacing w:line="440" w:lineRule="exact"/>
              <w:ind w:firstLine="2976" w:firstLineChars="1235"/>
              <w:rPr>
                <w:rFonts w:hint="eastAsia" w:ascii="仿宋" w:hAnsi="仿宋" w:eastAsia="仿宋" w:cs="仿宋"/>
                <w:b/>
                <w:color w:val="auto"/>
                <w:sz w:val="24"/>
                <w:szCs w:val="24"/>
              </w:rPr>
            </w:pPr>
            <w:r>
              <w:rPr>
                <w:rFonts w:hint="eastAsia" w:ascii="仿宋" w:hAnsi="仿宋" w:eastAsia="仿宋" w:cs="仿宋"/>
                <w:b/>
                <w:color w:val="auto"/>
                <w:sz w:val="24"/>
                <w:szCs w:val="24"/>
              </w:rPr>
              <w:t>(是否合格)</w:t>
            </w:r>
          </w:p>
          <w:p w14:paraId="7DAA2042">
            <w:pPr>
              <w:spacing w:line="440" w:lineRule="exact"/>
              <w:ind w:firstLine="1771" w:firstLineChars="735"/>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采购人公章</w:t>
            </w:r>
          </w:p>
          <w:p w14:paraId="22D4A75B">
            <w:pPr>
              <w:spacing w:line="440" w:lineRule="exact"/>
              <w:ind w:firstLine="1771" w:firstLineChars="735"/>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 xml:space="preserve">  20   年   月  日</w:t>
            </w:r>
          </w:p>
        </w:tc>
      </w:tr>
    </w:tbl>
    <w:p w14:paraId="345DB465">
      <w:pPr>
        <w:spacing w:line="44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备注:1.采购人自行组织验收。2.采购人视项目具体情况,应邀请纪检监察、审计、人员进行监督并在“验收监督人员”一栏中签字。3.本验收单一式四联，采购人2联、采购代理机构1联、中标（成交）供应商1联。</w:t>
      </w:r>
    </w:p>
    <w:p w14:paraId="2F9EFC57">
      <w:pPr>
        <w:keepNext w:val="0"/>
        <w:keepLines w:val="0"/>
        <w:pageBreakBefore w:val="0"/>
        <w:kinsoku/>
        <w:wordWrap/>
        <w:overflowPunct/>
        <w:topLinePunct w:val="0"/>
        <w:autoSpaceDE/>
        <w:autoSpaceDN/>
        <w:bidi w:val="0"/>
        <w:spacing w:line="480" w:lineRule="exact"/>
        <w:textAlignment w:val="auto"/>
        <w:outlineLvl w:val="1"/>
        <w:rPr>
          <w:rFonts w:hint="eastAsia" w:ascii="仿宋" w:hAnsi="仿宋" w:eastAsia="仿宋" w:cs="仿宋"/>
          <w:b/>
          <w:color w:val="auto"/>
          <w:sz w:val="28"/>
          <w:szCs w:val="28"/>
          <w:lang w:eastAsia="zh-CN"/>
        </w:rPr>
      </w:pPr>
      <w:bookmarkStart w:id="613" w:name="_Toc10807"/>
      <w:bookmarkStart w:id="614" w:name="_Toc5524"/>
      <w:r>
        <w:rPr>
          <w:rFonts w:hint="eastAsia" w:ascii="仿宋" w:hAnsi="仿宋" w:eastAsia="仿宋" w:cs="仿宋"/>
          <w:b/>
          <w:color w:val="auto"/>
          <w:sz w:val="28"/>
          <w:szCs w:val="28"/>
          <w:lang w:eastAsia="zh-CN"/>
        </w:rPr>
        <w:t>附表二、质疑函范本</w:t>
      </w:r>
      <w:bookmarkEnd w:id="613"/>
      <w:bookmarkEnd w:id="614"/>
    </w:p>
    <w:p w14:paraId="69C66350">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15" w:name="_Toc31100"/>
      <w:bookmarkStart w:id="616" w:name="_Toc29532"/>
      <w:bookmarkStart w:id="617" w:name="_Toc27307"/>
      <w:r>
        <w:rPr>
          <w:rFonts w:hint="eastAsia" w:ascii="仿宋" w:hAnsi="仿宋" w:eastAsia="仿宋" w:cs="仿宋"/>
          <w:bCs/>
          <w:color w:val="auto"/>
          <w:sz w:val="28"/>
          <w:szCs w:val="28"/>
        </w:rPr>
        <w:t>一、质疑供应商基本信息</w:t>
      </w:r>
      <w:bookmarkEnd w:id="615"/>
      <w:bookmarkEnd w:id="616"/>
      <w:bookmarkEnd w:id="617"/>
    </w:p>
    <w:p w14:paraId="3203FB9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质疑供应商：</w:t>
      </w:r>
    </w:p>
    <w:p w14:paraId="7083671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地址：邮编：</w:t>
      </w:r>
    </w:p>
    <w:p w14:paraId="77BBD682">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联系人：联系电话：</w:t>
      </w:r>
    </w:p>
    <w:p w14:paraId="176D4F48">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授权代表：</w:t>
      </w:r>
    </w:p>
    <w:p w14:paraId="287D1A73">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14:paraId="29C4B376">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 邮编：</w:t>
      </w:r>
    </w:p>
    <w:p w14:paraId="628A3BED">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18" w:name="_Toc11926"/>
      <w:bookmarkStart w:id="619" w:name="_Toc5762"/>
      <w:bookmarkStart w:id="620" w:name="_Toc16898"/>
      <w:r>
        <w:rPr>
          <w:rFonts w:hint="eastAsia" w:ascii="仿宋" w:hAnsi="仿宋" w:eastAsia="仿宋" w:cs="仿宋"/>
          <w:bCs/>
          <w:color w:val="auto"/>
          <w:sz w:val="28"/>
          <w:szCs w:val="28"/>
        </w:rPr>
        <w:t>二、质疑项目基本情况</w:t>
      </w:r>
      <w:bookmarkEnd w:id="618"/>
      <w:bookmarkEnd w:id="619"/>
      <w:bookmarkEnd w:id="620"/>
    </w:p>
    <w:p w14:paraId="3514654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质疑项目的名称：</w:t>
      </w:r>
    </w:p>
    <w:p w14:paraId="52CBFAA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质疑项目的编号：包号：</w:t>
      </w:r>
    </w:p>
    <w:p w14:paraId="53776D4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采购人名称：</w:t>
      </w:r>
    </w:p>
    <w:p w14:paraId="72DEC85E">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招标文件获取日期：</w:t>
      </w:r>
    </w:p>
    <w:p w14:paraId="3CF4CB9D">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21" w:name="_Toc4190"/>
      <w:bookmarkStart w:id="622" w:name="_Toc25814"/>
      <w:bookmarkStart w:id="623" w:name="_Toc21791"/>
      <w:r>
        <w:rPr>
          <w:rFonts w:hint="eastAsia" w:ascii="仿宋" w:hAnsi="仿宋" w:eastAsia="仿宋" w:cs="仿宋"/>
          <w:bCs/>
          <w:color w:val="auto"/>
          <w:sz w:val="28"/>
          <w:szCs w:val="28"/>
        </w:rPr>
        <w:t>三、质疑事项具体内容</w:t>
      </w:r>
      <w:bookmarkEnd w:id="621"/>
      <w:bookmarkEnd w:id="622"/>
      <w:bookmarkEnd w:id="623"/>
    </w:p>
    <w:p w14:paraId="210DD07B">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质疑事项1：</w:t>
      </w:r>
    </w:p>
    <w:p w14:paraId="76FE1521">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事实依据：</w:t>
      </w:r>
    </w:p>
    <w:p w14:paraId="1E3A79B3">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p>
    <w:p w14:paraId="04D0710F">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法律依据：</w:t>
      </w:r>
    </w:p>
    <w:p w14:paraId="116307B1">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p>
    <w:p w14:paraId="6E720DAC">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质疑事项2</w:t>
      </w:r>
    </w:p>
    <w:p w14:paraId="3122354A">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p w14:paraId="2A6A4716">
      <w:pPr>
        <w:keepNext w:val="0"/>
        <w:keepLines w:val="0"/>
        <w:pageBreakBefore w:val="0"/>
        <w:kinsoku/>
        <w:wordWrap/>
        <w:overflowPunct/>
        <w:topLinePunct w:val="0"/>
        <w:autoSpaceDE/>
        <w:autoSpaceDN/>
        <w:bidi w:val="0"/>
        <w:adjustRightInd w:val="0"/>
        <w:snapToGrid w:val="0"/>
        <w:spacing w:line="480" w:lineRule="exact"/>
        <w:textAlignment w:val="auto"/>
        <w:outlineLvl w:val="1"/>
        <w:rPr>
          <w:rFonts w:hint="eastAsia" w:ascii="仿宋" w:hAnsi="仿宋" w:eastAsia="仿宋" w:cs="仿宋"/>
          <w:bCs/>
          <w:color w:val="auto"/>
          <w:sz w:val="28"/>
          <w:szCs w:val="28"/>
        </w:rPr>
      </w:pPr>
      <w:bookmarkStart w:id="624" w:name="_Toc1597"/>
      <w:bookmarkStart w:id="625" w:name="_Toc18579"/>
      <w:bookmarkStart w:id="626" w:name="_Toc3249"/>
      <w:r>
        <w:rPr>
          <w:rFonts w:hint="eastAsia" w:ascii="仿宋" w:hAnsi="仿宋" w:eastAsia="仿宋" w:cs="仿宋"/>
          <w:bCs/>
          <w:color w:val="auto"/>
          <w:sz w:val="28"/>
          <w:szCs w:val="28"/>
        </w:rPr>
        <w:t>四、与质疑事项相关的质疑请求</w:t>
      </w:r>
      <w:bookmarkEnd w:id="624"/>
      <w:bookmarkEnd w:id="625"/>
      <w:bookmarkEnd w:id="626"/>
    </w:p>
    <w:p w14:paraId="78C097B4">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8"/>
          <w:szCs w:val="28"/>
          <w:u w:val="dotted"/>
        </w:rPr>
      </w:pPr>
      <w:r>
        <w:rPr>
          <w:rFonts w:hint="eastAsia" w:ascii="仿宋" w:hAnsi="仿宋" w:eastAsia="仿宋" w:cs="仿宋"/>
          <w:color w:val="auto"/>
          <w:sz w:val="28"/>
          <w:szCs w:val="28"/>
        </w:rPr>
        <w:t>请求：</w:t>
      </w:r>
    </w:p>
    <w:p w14:paraId="2A00B258">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签字(签章)：                   公章：                      </w:t>
      </w:r>
    </w:p>
    <w:p w14:paraId="7DDDBED3">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日期：    </w:t>
      </w:r>
    </w:p>
    <w:p w14:paraId="6B4A2DC6">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质疑函制作说明：</w:t>
      </w:r>
    </w:p>
    <w:p w14:paraId="097EF3FC">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1.供应商提出质疑时，应提交质疑函和必要的证明材料。</w:t>
      </w:r>
    </w:p>
    <w:p w14:paraId="36B5B6D0">
      <w:pPr>
        <w:keepNext w:val="0"/>
        <w:keepLines w:val="0"/>
        <w:pageBreakBefore w:val="0"/>
        <w:widowControl/>
        <w:kinsoku/>
        <w:wordWrap/>
        <w:overflowPunct/>
        <w:topLinePunct w:val="0"/>
        <w:autoSpaceDE/>
        <w:autoSpaceDN/>
        <w:bidi w:val="0"/>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rPr>
        <w:t>供应商签署的授权委托书。授权委托书应载明代理人的姓名或者名称、代理事项、具体权限、期限和相关事项。</w:t>
      </w:r>
    </w:p>
    <w:p w14:paraId="5F73CAEC">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3.质疑供应商若对项目的某一分包进行质疑，质疑函中应列明具体分包号。</w:t>
      </w:r>
    </w:p>
    <w:p w14:paraId="063C0201">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4.质疑函的质疑事项应具体、明确，并有必要的事实依据和法律依据。</w:t>
      </w:r>
    </w:p>
    <w:p w14:paraId="013940FF">
      <w:pPr>
        <w:keepNext w:val="0"/>
        <w:keepLines w:val="0"/>
        <w:pageBreakBefore w:val="0"/>
        <w:widowControl/>
        <w:kinsoku/>
        <w:wordWrap/>
        <w:overflowPunct/>
        <w:topLinePunct w:val="0"/>
        <w:autoSpaceDE/>
        <w:autoSpaceDN/>
        <w:bidi w:val="0"/>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5.质疑函的质疑请求应与质疑事项相关。</w:t>
      </w:r>
    </w:p>
    <w:p w14:paraId="18625624">
      <w:pPr>
        <w:keepNext w:val="0"/>
        <w:keepLines w:val="0"/>
        <w:pageBreakBefore w:val="0"/>
        <w:kinsoku/>
        <w:wordWrap/>
        <w:overflowPunct/>
        <w:topLinePunct w:val="0"/>
        <w:autoSpaceDE/>
        <w:autoSpaceDN/>
        <w:bidi w:val="0"/>
        <w:spacing w:line="480" w:lineRule="exact"/>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6.质疑供应商为自然人的，质疑函应由本人签字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；质疑供应商为法人或者其他组织的，质疑函应由法定代表人、主要负责人，或者其授权代表签字</w:t>
      </w:r>
      <w:r>
        <w:rPr>
          <w:rFonts w:hint="eastAsia" w:ascii="仿宋" w:hAnsi="仿宋" w:eastAsia="仿宋" w:cs="仿宋"/>
          <w:bCs/>
          <w:color w:val="auto"/>
          <w:sz w:val="28"/>
          <w:szCs w:val="28"/>
        </w:rPr>
        <w:t>或签章</w:t>
      </w:r>
      <w:r>
        <w:rPr>
          <w:rFonts w:hint="eastAsia" w:ascii="仿宋" w:hAnsi="仿宋" w:eastAsia="仿宋" w:cs="仿宋"/>
          <w:color w:val="auto"/>
          <w:sz w:val="28"/>
          <w:szCs w:val="28"/>
        </w:rPr>
        <w:t>，并加盖公章。</w:t>
      </w:r>
    </w:p>
    <w:p w14:paraId="55127ABE">
      <w:pPr>
        <w:tabs>
          <w:tab w:val="left" w:pos="4108"/>
          <w:tab w:val="center" w:pos="5975"/>
        </w:tabs>
        <w:spacing w:line="440" w:lineRule="exact"/>
        <w:ind w:firstLine="1405" w:firstLineChars="500"/>
        <w:outlineLvl w:val="9"/>
        <w:rPr>
          <w:rFonts w:hint="eastAsia" w:ascii="仿宋" w:hAnsi="仿宋" w:eastAsia="仿宋" w:cs="仿宋"/>
          <w:b/>
          <w:bCs/>
          <w:color w:val="auto"/>
          <w:sz w:val="28"/>
          <w:szCs w:val="28"/>
        </w:rPr>
      </w:pPr>
    </w:p>
    <w:p w14:paraId="56798BE6">
      <w:pPr>
        <w:tabs>
          <w:tab w:val="left" w:pos="4108"/>
          <w:tab w:val="center" w:pos="5975"/>
        </w:tabs>
        <w:ind w:firstLine="2209" w:firstLineChars="500"/>
        <w:outlineLvl w:val="9"/>
        <w:rPr>
          <w:rFonts w:hint="eastAsia" w:ascii="仿宋" w:hAnsi="仿宋" w:eastAsia="仿宋" w:cs="仿宋"/>
          <w:b/>
          <w:bCs/>
          <w:color w:val="auto"/>
          <w:sz w:val="44"/>
          <w:szCs w:val="44"/>
        </w:rPr>
      </w:pPr>
    </w:p>
    <w:p w14:paraId="7DE94FBB">
      <w:pPr>
        <w:tabs>
          <w:tab w:val="left" w:pos="4108"/>
          <w:tab w:val="center" w:pos="5975"/>
        </w:tabs>
        <w:ind w:firstLine="2209" w:firstLineChars="500"/>
        <w:outlineLvl w:val="9"/>
        <w:rPr>
          <w:rFonts w:hint="eastAsia" w:ascii="仿宋" w:hAnsi="仿宋" w:eastAsia="仿宋" w:cs="仿宋"/>
          <w:b/>
          <w:bCs/>
          <w:color w:val="auto"/>
          <w:sz w:val="44"/>
          <w:szCs w:val="44"/>
        </w:rPr>
      </w:pPr>
    </w:p>
    <w:p w14:paraId="4C9D5559">
      <w:pPr>
        <w:tabs>
          <w:tab w:val="left" w:pos="4108"/>
          <w:tab w:val="center" w:pos="5975"/>
        </w:tabs>
        <w:ind w:firstLine="2209" w:firstLineChars="500"/>
        <w:outlineLvl w:val="9"/>
        <w:rPr>
          <w:rFonts w:hint="eastAsia" w:ascii="仿宋" w:hAnsi="仿宋" w:eastAsia="仿宋" w:cs="仿宋"/>
          <w:b/>
          <w:bCs/>
          <w:color w:val="auto"/>
          <w:sz w:val="44"/>
          <w:szCs w:val="44"/>
        </w:rPr>
      </w:pPr>
    </w:p>
    <w:p w14:paraId="37559E26">
      <w:pPr>
        <w:spacing w:line="400" w:lineRule="exact"/>
        <w:jc w:val="center"/>
        <w:rPr>
          <w:rFonts w:hint="eastAsia" w:ascii="仿宋" w:hAnsi="仿宋" w:eastAsia="仿宋" w:cs="仿宋"/>
          <w:b/>
          <w:color w:val="auto"/>
          <w:sz w:val="32"/>
          <w:szCs w:val="32"/>
          <w:highlight w:val="none"/>
        </w:rPr>
      </w:pPr>
    </w:p>
    <w:p w14:paraId="6AFE0552">
      <w:pPr>
        <w:rPr>
          <w:rFonts w:hint="eastAsia" w:ascii="仿宋" w:hAnsi="仿宋" w:eastAsia="仿宋" w:cs="仿宋"/>
          <w:color w:val="auto"/>
          <w:highlight w:val="none"/>
        </w:rPr>
        <w:sectPr>
          <w:headerReference r:id="rId11" w:type="default"/>
          <w:footerReference r:id="rId12" w:type="default"/>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p>
    <w:p w14:paraId="724CA2A8">
      <w:pPr>
        <w:pStyle w:val="8"/>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kern w:val="44"/>
          <w:sz w:val="44"/>
          <w:szCs w:val="44"/>
          <w:highlight w:val="none"/>
          <w:lang w:val="en-US" w:eastAsia="zh-CN"/>
        </w:rPr>
      </w:pPr>
      <w:bookmarkStart w:id="627" w:name="_Toc12058"/>
      <w:bookmarkStart w:id="628" w:name="_Toc1014"/>
      <w:r>
        <w:rPr>
          <w:rFonts w:hint="eastAsia" w:ascii="仿宋" w:hAnsi="仿宋" w:eastAsia="仿宋" w:cs="仿宋"/>
          <w:b/>
          <w:color w:val="auto"/>
          <w:kern w:val="44"/>
          <w:sz w:val="44"/>
          <w:szCs w:val="44"/>
          <w:highlight w:val="none"/>
          <w:lang w:val="en-US" w:eastAsia="zh-CN"/>
        </w:rPr>
        <w:t>第六章 采购合同格式</w:t>
      </w:r>
      <w:bookmarkEnd w:id="627"/>
      <w:bookmarkEnd w:id="628"/>
    </w:p>
    <w:p w14:paraId="665D1E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pacing w:val="-20"/>
          <w:sz w:val="24"/>
          <w:szCs w:val="24"/>
          <w:shd w:val="clear" w:color="auto" w:fill="FFFFFF"/>
        </w:rPr>
      </w:pPr>
      <w:r>
        <w:rPr>
          <w:rFonts w:hint="eastAsia" w:ascii="仿宋" w:hAnsi="仿宋" w:eastAsia="仿宋" w:cs="仿宋"/>
          <w:b/>
          <w:bCs/>
          <w:color w:val="auto"/>
          <w:spacing w:val="-20"/>
          <w:sz w:val="24"/>
          <w:szCs w:val="24"/>
          <w:shd w:val="clear" w:color="auto" w:fill="FFFFFF"/>
        </w:rPr>
        <w:t>注：本合同仅为合同的参考文本，合同签订双方可根据项目的具体要求进行修订。</w:t>
      </w:r>
    </w:p>
    <w:p w14:paraId="3831E85D">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kern w:val="0"/>
          <w:sz w:val="32"/>
          <w:szCs w:val="32"/>
        </w:rPr>
      </w:pPr>
    </w:p>
    <w:p w14:paraId="5F0582E6">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宋体" w:hAnsi="宋体" w:cs="宋体"/>
          <w:color w:val="auto"/>
          <w:kern w:val="0"/>
          <w:sz w:val="32"/>
          <w:szCs w:val="32"/>
        </w:rPr>
      </w:pPr>
    </w:p>
    <w:p w14:paraId="4D781BBE">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项目名称：</w:t>
      </w:r>
      <w:r>
        <w:rPr>
          <w:rFonts w:hint="eastAsia" w:ascii="仿宋" w:hAnsi="仿宋" w:eastAsia="仿宋" w:cs="仿宋"/>
          <w:color w:val="auto"/>
          <w:sz w:val="32"/>
          <w:szCs w:val="32"/>
          <w:u w:val="single"/>
        </w:rPr>
        <w:t xml:space="preserve">                             </w:t>
      </w:r>
    </w:p>
    <w:p w14:paraId="7FD4BAE8">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合同编号：</w:t>
      </w:r>
      <w:r>
        <w:rPr>
          <w:rFonts w:hint="eastAsia" w:ascii="仿宋" w:hAnsi="仿宋" w:eastAsia="仿宋" w:cs="仿宋"/>
          <w:color w:val="auto"/>
          <w:sz w:val="32"/>
          <w:szCs w:val="32"/>
          <w:u w:val="single"/>
        </w:rPr>
        <w:t xml:space="preserve">                             </w:t>
      </w:r>
    </w:p>
    <w:p w14:paraId="652A5FF1">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    方：</w:t>
      </w:r>
      <w:r>
        <w:rPr>
          <w:rFonts w:hint="eastAsia" w:ascii="仿宋" w:hAnsi="仿宋" w:eastAsia="仿宋" w:cs="仿宋"/>
          <w:color w:val="auto"/>
          <w:sz w:val="32"/>
          <w:szCs w:val="32"/>
          <w:u w:val="single"/>
        </w:rPr>
        <w:t xml:space="preserve">                             </w:t>
      </w:r>
    </w:p>
    <w:p w14:paraId="3089A27F">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乙    方：</w:t>
      </w:r>
      <w:r>
        <w:rPr>
          <w:rFonts w:hint="eastAsia" w:ascii="仿宋" w:hAnsi="仿宋" w:eastAsia="仿宋" w:cs="仿宋"/>
          <w:color w:val="auto"/>
          <w:sz w:val="32"/>
          <w:szCs w:val="32"/>
          <w:u w:val="single"/>
        </w:rPr>
        <w:t xml:space="preserve">                             </w:t>
      </w:r>
    </w:p>
    <w:p w14:paraId="7BB196F8">
      <w:pPr>
        <w:keepNext w:val="0"/>
        <w:keepLines w:val="0"/>
        <w:pageBreakBefore w:val="0"/>
        <w:widowControl w:val="0"/>
        <w:kinsoku/>
        <w:wordWrap/>
        <w:overflowPunct/>
        <w:topLinePunct w:val="0"/>
        <w:autoSpaceDE/>
        <w:autoSpaceDN/>
        <w:bidi w:val="0"/>
        <w:adjustRightInd/>
        <w:snapToGrid/>
        <w:spacing w:line="480" w:lineRule="exact"/>
        <w:ind w:left="420" w:leftChars="200" w:firstLine="640" w:firstLineChars="200"/>
        <w:textAlignment w:val="auto"/>
        <w:rPr>
          <w:rFonts w:hint="eastAsia" w:ascii="仿宋" w:hAnsi="仿宋" w:eastAsia="仿宋" w:cs="仿宋"/>
          <w:color w:val="auto"/>
          <w:sz w:val="32"/>
          <w:szCs w:val="32"/>
          <w:highlight w:val="none"/>
        </w:rPr>
        <w:sectPr>
          <w:pgSz w:w="11907" w:h="16840"/>
          <w:pgMar w:top="1440" w:right="1474" w:bottom="1440" w:left="147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 w:val="32"/>
          <w:szCs w:val="32"/>
        </w:rPr>
        <w:t>签订时间：</w:t>
      </w:r>
      <w:r>
        <w:rPr>
          <w:rFonts w:hint="eastAsia" w:ascii="仿宋" w:hAnsi="仿宋" w:eastAsia="仿宋" w:cs="仿宋"/>
          <w:color w:val="auto"/>
          <w:sz w:val="32"/>
          <w:szCs w:val="32"/>
          <w:u w:val="single"/>
        </w:rPr>
        <w:t xml:space="preserve">                           </w:t>
      </w:r>
    </w:p>
    <w:p w14:paraId="3E63E05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月</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日</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（采购人名称）   </w:t>
      </w:r>
      <w:r>
        <w:rPr>
          <w:rFonts w:hint="eastAsia" w:ascii="仿宋" w:hAnsi="仿宋" w:eastAsia="仿宋" w:cs="仿宋"/>
          <w:color w:val="auto"/>
          <w:sz w:val="28"/>
          <w:szCs w:val="28"/>
        </w:rPr>
        <w:t>以</w:t>
      </w:r>
      <w:r>
        <w:rPr>
          <w:rFonts w:hint="eastAsia" w:ascii="仿宋" w:hAnsi="仿宋" w:eastAsia="仿宋" w:cs="仿宋"/>
          <w:color w:val="auto"/>
          <w:sz w:val="28"/>
          <w:szCs w:val="28"/>
          <w:u w:val="single"/>
        </w:rPr>
        <w:t xml:space="preserve">   （政府采购方式）  </w:t>
      </w:r>
      <w:r>
        <w:rPr>
          <w:rFonts w:hint="eastAsia" w:ascii="仿宋" w:hAnsi="仿宋" w:eastAsia="仿宋" w:cs="仿宋"/>
          <w:color w:val="auto"/>
          <w:sz w:val="28"/>
          <w:szCs w:val="28"/>
        </w:rPr>
        <w:t>对</w:t>
      </w:r>
      <w:r>
        <w:rPr>
          <w:rFonts w:hint="eastAsia" w:ascii="仿宋" w:hAnsi="仿宋" w:eastAsia="仿宋" w:cs="仿宋"/>
          <w:color w:val="auto"/>
          <w:sz w:val="28"/>
          <w:szCs w:val="28"/>
          <w:u w:val="single"/>
        </w:rPr>
        <w:t xml:space="preserve">   （同前页项目名称）   </w:t>
      </w:r>
      <w:r>
        <w:rPr>
          <w:rFonts w:hint="eastAsia" w:ascii="仿宋" w:hAnsi="仿宋" w:eastAsia="仿宋" w:cs="仿宋"/>
          <w:color w:val="auto"/>
          <w:sz w:val="28"/>
          <w:szCs w:val="28"/>
        </w:rPr>
        <w:t>项目进行了采购。经</w:t>
      </w:r>
      <w:r>
        <w:rPr>
          <w:rFonts w:hint="eastAsia" w:ascii="仿宋" w:hAnsi="仿宋" w:eastAsia="仿宋" w:cs="仿宋"/>
          <w:color w:val="auto"/>
          <w:sz w:val="28"/>
          <w:szCs w:val="28"/>
          <w:u w:val="single"/>
        </w:rPr>
        <w:t xml:space="preserve">   （相关评定主体名称）   </w:t>
      </w:r>
      <w:r>
        <w:rPr>
          <w:rFonts w:hint="eastAsia" w:ascii="仿宋" w:hAnsi="仿宋" w:eastAsia="仿宋" w:cs="仿宋"/>
          <w:color w:val="auto"/>
          <w:sz w:val="28"/>
          <w:szCs w:val="28"/>
        </w:rPr>
        <w:t>评定，</w:t>
      </w:r>
      <w:r>
        <w:rPr>
          <w:rFonts w:hint="eastAsia" w:ascii="仿宋" w:hAnsi="仿宋" w:eastAsia="仿宋" w:cs="仿宋"/>
          <w:color w:val="auto"/>
          <w:sz w:val="28"/>
          <w:szCs w:val="28"/>
          <w:u w:val="single"/>
        </w:rPr>
        <w:t xml:space="preserve">   （中标供应商名称）</w:t>
      </w:r>
      <w:r>
        <w:rPr>
          <w:rFonts w:hint="eastAsia" w:ascii="仿宋" w:hAnsi="仿宋" w:eastAsia="仿宋" w:cs="仿宋"/>
          <w:color w:val="auto"/>
          <w:sz w:val="28"/>
          <w:szCs w:val="28"/>
        </w:rPr>
        <w:t>为该项目中标供应商。现于中标通知书发出之日起三十日内，按照招标文件确定的事项签订本合同。</w:t>
      </w:r>
    </w:p>
    <w:p w14:paraId="3926BC3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bookmarkStart w:id="629" w:name="_Toc3029"/>
      <w:bookmarkStart w:id="630" w:name="_Toc24059"/>
      <w:bookmarkStart w:id="631" w:name="_Toc20666"/>
      <w:bookmarkStart w:id="632" w:name="_Toc2232"/>
      <w:bookmarkStart w:id="633" w:name="_Toc18228"/>
      <w:bookmarkStart w:id="634" w:name="_Toc10348"/>
      <w:r>
        <w:rPr>
          <w:rFonts w:hint="eastAsia" w:ascii="仿宋" w:hAnsi="仿宋" w:eastAsia="仿宋" w:cs="仿宋"/>
          <w:color w:val="auto"/>
          <w:sz w:val="28"/>
          <w:szCs w:val="28"/>
          <w:lang w:val="zh-CN"/>
        </w:rPr>
        <w:t>根据《中华人民共和国政府采购法》《中华人民共和国政府采购法实施条例》《中华人民共和国民法典》</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lang w:val="zh-CN"/>
        </w:rPr>
        <w:t>规定等相关法律法规之规定，按照平等、自愿、公平和诚实信用的原则，经</w:t>
      </w:r>
      <w:r>
        <w:rPr>
          <w:rFonts w:hint="eastAsia" w:ascii="仿宋" w:hAnsi="仿宋" w:eastAsia="仿宋" w:cs="仿宋"/>
          <w:color w:val="auto"/>
          <w:sz w:val="28"/>
          <w:szCs w:val="28"/>
          <w:u w:val="single"/>
        </w:rPr>
        <w:t xml:space="preserve"> （采购人名称）</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(以下简称：甲方)和</w:t>
      </w:r>
      <w:r>
        <w:rPr>
          <w:rFonts w:hint="eastAsia" w:ascii="仿宋" w:hAnsi="仿宋" w:eastAsia="仿宋" w:cs="仿宋"/>
          <w:color w:val="auto"/>
          <w:sz w:val="28"/>
          <w:szCs w:val="28"/>
          <w:u w:val="single"/>
        </w:rPr>
        <w:t xml:space="preserve">  （中标供应商名称）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(以下简称：乙方)协商一致，约定以下合同</w:t>
      </w:r>
      <w:r>
        <w:rPr>
          <w:rFonts w:hint="eastAsia" w:ascii="仿宋" w:hAnsi="仿宋" w:eastAsia="仿宋" w:cs="仿宋"/>
          <w:color w:val="auto"/>
          <w:sz w:val="28"/>
          <w:szCs w:val="28"/>
        </w:rPr>
        <w:t>条款，以兹共同遵守、全面履行。</w:t>
      </w:r>
    </w:p>
    <w:p w14:paraId="5B85F38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bookmarkStart w:id="635" w:name="_Toc12117"/>
      <w:bookmarkStart w:id="636" w:name="_Toc12829"/>
      <w:bookmarkStart w:id="637" w:name="_Toc4551"/>
      <w:bookmarkStart w:id="638" w:name="_Toc7692"/>
      <w:r>
        <w:rPr>
          <w:rFonts w:hint="eastAsia" w:ascii="仿宋" w:hAnsi="仿宋" w:eastAsia="仿宋" w:cs="仿宋"/>
          <w:b/>
          <w:color w:val="auto"/>
          <w:sz w:val="28"/>
          <w:szCs w:val="28"/>
        </w:rPr>
        <w:t>1.1 合同组成部分</w:t>
      </w:r>
      <w:bookmarkEnd w:id="629"/>
      <w:bookmarkEnd w:id="630"/>
      <w:bookmarkEnd w:id="631"/>
      <w:bookmarkEnd w:id="632"/>
      <w:bookmarkEnd w:id="633"/>
      <w:bookmarkEnd w:id="634"/>
      <w:bookmarkEnd w:id="635"/>
      <w:bookmarkEnd w:id="636"/>
      <w:bookmarkEnd w:id="637"/>
      <w:bookmarkEnd w:id="638"/>
    </w:p>
    <w:p w14:paraId="709477E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0B63044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1.1.1 本合同及其补充合同、变更协议；</w:t>
      </w:r>
    </w:p>
    <w:p w14:paraId="5088ECC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1.1.2 中标通知书；</w:t>
      </w:r>
    </w:p>
    <w:p w14:paraId="7B46965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1.1.3 投标文件（含澄清或者说明文件）；</w:t>
      </w:r>
    </w:p>
    <w:p w14:paraId="771DB11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1.1.4 招标文件（含澄清或者修改文件）；</w:t>
      </w:r>
    </w:p>
    <w:p w14:paraId="690D616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1.1.5 其他相关采购文件。</w:t>
      </w:r>
    </w:p>
    <w:p w14:paraId="55E2D19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outlineLvl w:val="1"/>
        <w:rPr>
          <w:rFonts w:hint="eastAsia" w:ascii="仿宋" w:hAnsi="仿宋" w:eastAsia="仿宋" w:cs="仿宋"/>
          <w:b/>
          <w:color w:val="auto"/>
          <w:sz w:val="28"/>
          <w:szCs w:val="28"/>
        </w:rPr>
      </w:pPr>
      <w:bookmarkStart w:id="639" w:name="_Toc21295"/>
      <w:bookmarkStart w:id="640" w:name="_Toc31812"/>
      <w:bookmarkStart w:id="641" w:name="_Toc639"/>
      <w:bookmarkStart w:id="642" w:name="_Toc5787"/>
      <w:bookmarkStart w:id="643" w:name="_Toc5055"/>
      <w:bookmarkStart w:id="644" w:name="_Toc27126"/>
      <w:bookmarkStart w:id="645" w:name="_Toc11120"/>
      <w:bookmarkStart w:id="646" w:name="_Toc8634"/>
      <w:bookmarkStart w:id="647" w:name="_Toc14438"/>
      <w:bookmarkStart w:id="648" w:name="_Toc24300"/>
      <w:r>
        <w:rPr>
          <w:rFonts w:hint="eastAsia" w:ascii="仿宋" w:hAnsi="仿宋" w:eastAsia="仿宋" w:cs="仿宋"/>
          <w:b/>
          <w:color w:val="auto"/>
          <w:sz w:val="28"/>
          <w:szCs w:val="28"/>
        </w:rPr>
        <w:t>1.2 货物</w:t>
      </w:r>
      <w:bookmarkEnd w:id="639"/>
      <w:bookmarkEnd w:id="640"/>
      <w:bookmarkEnd w:id="641"/>
      <w:bookmarkEnd w:id="642"/>
      <w:bookmarkEnd w:id="643"/>
      <w:bookmarkEnd w:id="644"/>
      <w:bookmarkEnd w:id="645"/>
      <w:bookmarkEnd w:id="646"/>
      <w:bookmarkEnd w:id="647"/>
      <w:bookmarkEnd w:id="648"/>
    </w:p>
    <w:p w14:paraId="4236075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1.2.1 货物名称：</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380FF8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1.2.2 货物数量：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06437AD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1.2.3 货物质量：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23060D42">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outlineLvl w:val="1"/>
        <w:rPr>
          <w:rFonts w:hint="eastAsia" w:ascii="仿宋" w:hAnsi="仿宋" w:eastAsia="仿宋" w:cs="仿宋"/>
          <w:b/>
          <w:color w:val="auto"/>
          <w:sz w:val="28"/>
          <w:szCs w:val="28"/>
        </w:rPr>
      </w:pPr>
      <w:bookmarkStart w:id="649" w:name="_Toc22233"/>
      <w:bookmarkStart w:id="650" w:name="_Toc733"/>
      <w:bookmarkStart w:id="651" w:name="_Toc20588"/>
      <w:bookmarkStart w:id="652" w:name="_Toc27983"/>
      <w:bookmarkStart w:id="653" w:name="_Toc6725"/>
      <w:bookmarkStart w:id="654" w:name="_Toc21551"/>
      <w:bookmarkStart w:id="655" w:name="_Toc6013"/>
      <w:bookmarkStart w:id="656" w:name="_Toc23292"/>
      <w:bookmarkStart w:id="657" w:name="_Toc31435"/>
      <w:bookmarkStart w:id="658" w:name="_Toc21631"/>
      <w:r>
        <w:rPr>
          <w:rFonts w:hint="eastAsia" w:ascii="仿宋" w:hAnsi="仿宋" w:eastAsia="仿宋" w:cs="仿宋"/>
          <w:b/>
          <w:color w:val="auto"/>
          <w:sz w:val="28"/>
          <w:szCs w:val="28"/>
        </w:rPr>
        <w:t>1.3 价款</w:t>
      </w:r>
      <w:bookmarkEnd w:id="649"/>
      <w:bookmarkEnd w:id="650"/>
      <w:bookmarkEnd w:id="651"/>
      <w:bookmarkEnd w:id="652"/>
      <w:bookmarkEnd w:id="653"/>
      <w:bookmarkEnd w:id="654"/>
      <w:bookmarkEnd w:id="655"/>
      <w:bookmarkEnd w:id="656"/>
      <w:bookmarkEnd w:id="657"/>
      <w:bookmarkEnd w:id="658"/>
    </w:p>
    <w:p w14:paraId="3DC556B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本合同总价</w:t>
      </w:r>
      <w:r>
        <w:rPr>
          <w:rFonts w:hint="eastAsia" w:ascii="仿宋" w:hAnsi="仿宋" w:eastAsia="仿宋" w:cs="仿宋"/>
          <w:color w:val="auto"/>
          <w:sz w:val="28"/>
          <w:szCs w:val="28"/>
          <w:lang w:val="en-US" w:eastAsia="zh-CN"/>
        </w:rPr>
        <w:t>折扣率</w:t>
      </w:r>
      <w:r>
        <w:rPr>
          <w:rFonts w:hint="eastAsia" w:ascii="仿宋" w:hAnsi="仿宋" w:eastAsia="仿宋" w:cs="仿宋"/>
          <w:color w:val="auto"/>
          <w:sz w:val="28"/>
          <w:szCs w:val="28"/>
        </w:rPr>
        <w:t>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w:t>
      </w:r>
      <w:r>
        <w:rPr>
          <w:rFonts w:hint="eastAsia" w:ascii="仿宋" w:hAnsi="仿宋" w:eastAsia="仿宋" w:cs="仿宋"/>
          <w:color w:val="auto"/>
          <w:sz w:val="28"/>
          <w:szCs w:val="28"/>
        </w:rPr>
        <w:t>。</w:t>
      </w:r>
    </w:p>
    <w:p w14:paraId="2427693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03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166EA62">
            <w:pPr>
              <w:pStyle w:val="76"/>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402" w:type="dxa"/>
            <w:noWrap w:val="0"/>
            <w:vAlign w:val="center"/>
          </w:tcPr>
          <w:p w14:paraId="67EC9231">
            <w:pPr>
              <w:pStyle w:val="76"/>
              <w:spacing w:line="440" w:lineRule="exact"/>
              <w:ind w:firstLine="200"/>
              <w:jc w:val="center"/>
              <w:rPr>
                <w:rFonts w:hint="eastAsia" w:ascii="仿宋" w:hAnsi="仿宋" w:eastAsia="仿宋" w:cs="仿宋"/>
                <w:color w:val="auto"/>
                <w:sz w:val="28"/>
                <w:szCs w:val="28"/>
              </w:rPr>
            </w:pPr>
            <w:r>
              <w:rPr>
                <w:rFonts w:hint="eastAsia" w:ascii="仿宋" w:hAnsi="仿宋" w:eastAsia="仿宋" w:cs="仿宋"/>
                <w:color w:val="auto"/>
                <w:sz w:val="28"/>
                <w:szCs w:val="28"/>
              </w:rPr>
              <w:t>分项名称</w:t>
            </w:r>
          </w:p>
        </w:tc>
        <w:tc>
          <w:tcPr>
            <w:tcW w:w="2552" w:type="dxa"/>
            <w:noWrap w:val="0"/>
            <w:vAlign w:val="center"/>
          </w:tcPr>
          <w:p w14:paraId="625D5832">
            <w:pPr>
              <w:pStyle w:val="76"/>
              <w:spacing w:line="4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分项价格</w:t>
            </w:r>
          </w:p>
        </w:tc>
      </w:tr>
      <w:tr w14:paraId="4F04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2F820EC">
            <w:pPr>
              <w:pStyle w:val="76"/>
              <w:spacing w:line="440" w:lineRule="exact"/>
              <w:ind w:firstLine="200"/>
              <w:jc w:val="center"/>
              <w:rPr>
                <w:rFonts w:hint="eastAsia" w:ascii="仿宋" w:hAnsi="仿宋" w:eastAsia="仿宋" w:cs="仿宋"/>
                <w:color w:val="auto"/>
                <w:sz w:val="28"/>
                <w:szCs w:val="28"/>
              </w:rPr>
            </w:pPr>
          </w:p>
        </w:tc>
        <w:tc>
          <w:tcPr>
            <w:tcW w:w="3402" w:type="dxa"/>
            <w:noWrap w:val="0"/>
            <w:vAlign w:val="center"/>
          </w:tcPr>
          <w:p w14:paraId="4C4E5745">
            <w:pPr>
              <w:pStyle w:val="76"/>
              <w:spacing w:line="440" w:lineRule="exact"/>
              <w:ind w:firstLine="200"/>
              <w:jc w:val="center"/>
              <w:rPr>
                <w:rFonts w:hint="eastAsia" w:ascii="仿宋" w:hAnsi="仿宋" w:eastAsia="仿宋" w:cs="仿宋"/>
                <w:color w:val="auto"/>
                <w:sz w:val="28"/>
                <w:szCs w:val="28"/>
              </w:rPr>
            </w:pPr>
          </w:p>
        </w:tc>
        <w:tc>
          <w:tcPr>
            <w:tcW w:w="2552" w:type="dxa"/>
            <w:noWrap w:val="0"/>
            <w:vAlign w:val="center"/>
          </w:tcPr>
          <w:p w14:paraId="609A1848">
            <w:pPr>
              <w:pStyle w:val="76"/>
              <w:spacing w:line="440" w:lineRule="exact"/>
              <w:ind w:firstLine="200"/>
              <w:jc w:val="center"/>
              <w:rPr>
                <w:rFonts w:hint="eastAsia" w:ascii="仿宋" w:hAnsi="仿宋" w:eastAsia="仿宋" w:cs="仿宋"/>
                <w:color w:val="auto"/>
                <w:sz w:val="28"/>
                <w:szCs w:val="28"/>
              </w:rPr>
            </w:pPr>
          </w:p>
        </w:tc>
      </w:tr>
      <w:tr w14:paraId="5039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0B29F35">
            <w:pPr>
              <w:pStyle w:val="76"/>
              <w:spacing w:line="440" w:lineRule="exact"/>
              <w:ind w:firstLine="200"/>
              <w:jc w:val="center"/>
              <w:rPr>
                <w:rFonts w:hint="eastAsia" w:ascii="仿宋" w:hAnsi="仿宋" w:eastAsia="仿宋" w:cs="仿宋"/>
                <w:color w:val="auto"/>
                <w:sz w:val="28"/>
                <w:szCs w:val="28"/>
              </w:rPr>
            </w:pPr>
            <w:r>
              <w:rPr>
                <w:rFonts w:hint="eastAsia" w:ascii="仿宋" w:hAnsi="仿宋" w:eastAsia="仿宋" w:cs="仿宋"/>
                <w:color w:val="auto"/>
                <w:sz w:val="28"/>
                <w:szCs w:val="28"/>
              </w:rPr>
              <w:t>总价</w:t>
            </w:r>
          </w:p>
        </w:tc>
        <w:tc>
          <w:tcPr>
            <w:tcW w:w="2552" w:type="dxa"/>
            <w:noWrap w:val="0"/>
            <w:vAlign w:val="center"/>
          </w:tcPr>
          <w:p w14:paraId="5EB6AEE6">
            <w:pPr>
              <w:pStyle w:val="76"/>
              <w:spacing w:line="440" w:lineRule="exact"/>
              <w:ind w:firstLine="200"/>
              <w:jc w:val="center"/>
              <w:rPr>
                <w:rFonts w:hint="eastAsia" w:ascii="仿宋" w:hAnsi="仿宋" w:eastAsia="仿宋" w:cs="仿宋"/>
                <w:color w:val="auto"/>
                <w:sz w:val="28"/>
                <w:szCs w:val="28"/>
              </w:rPr>
            </w:pPr>
          </w:p>
        </w:tc>
      </w:tr>
    </w:tbl>
    <w:p w14:paraId="0726C2DB">
      <w:pPr>
        <w:keepNext w:val="0"/>
        <w:keepLines w:val="0"/>
        <w:pageBreakBefore w:val="0"/>
        <w:widowControl w:val="0"/>
        <w:kinsoku/>
        <w:wordWrap/>
        <w:overflowPunct/>
        <w:topLinePunct w:val="0"/>
        <w:bidi w:val="0"/>
        <w:snapToGrid/>
        <w:spacing w:line="480" w:lineRule="exact"/>
        <w:ind w:firstLine="482" w:firstLineChars="200"/>
        <w:textAlignment w:val="auto"/>
        <w:outlineLvl w:val="1"/>
        <w:rPr>
          <w:rFonts w:hint="eastAsia" w:ascii="仿宋" w:hAnsi="仿宋" w:eastAsia="仿宋" w:cs="仿宋"/>
          <w:b/>
          <w:color w:val="auto"/>
          <w:spacing w:val="-20"/>
          <w:sz w:val="28"/>
          <w:szCs w:val="28"/>
        </w:rPr>
      </w:pPr>
      <w:bookmarkStart w:id="659" w:name="_Toc13555"/>
      <w:bookmarkStart w:id="660" w:name="_Toc10234"/>
      <w:bookmarkStart w:id="661" w:name="_Toc22618"/>
      <w:bookmarkStart w:id="662" w:name="_Toc14212"/>
      <w:bookmarkStart w:id="663" w:name="_Toc14865"/>
      <w:bookmarkStart w:id="664" w:name="_Toc18356"/>
      <w:bookmarkStart w:id="665" w:name="_Toc21107"/>
      <w:bookmarkStart w:id="666" w:name="_Toc14208"/>
      <w:bookmarkStart w:id="667" w:name="_Toc10340"/>
      <w:bookmarkStart w:id="668" w:name="_Toc1814"/>
      <w:r>
        <w:rPr>
          <w:rFonts w:hint="eastAsia" w:ascii="仿宋" w:hAnsi="仿宋" w:eastAsia="仿宋" w:cs="仿宋"/>
          <w:b/>
          <w:color w:val="auto"/>
          <w:spacing w:val="-20"/>
          <w:sz w:val="28"/>
          <w:szCs w:val="28"/>
        </w:rPr>
        <w:t>1.4 付款方式和发票开具方式</w:t>
      </w:r>
      <w:bookmarkEnd w:id="659"/>
      <w:bookmarkEnd w:id="660"/>
      <w:bookmarkEnd w:id="661"/>
      <w:bookmarkEnd w:id="662"/>
      <w:bookmarkEnd w:id="663"/>
      <w:bookmarkEnd w:id="664"/>
      <w:bookmarkEnd w:id="665"/>
      <w:bookmarkEnd w:id="666"/>
      <w:bookmarkEnd w:id="667"/>
      <w:bookmarkEnd w:id="668"/>
    </w:p>
    <w:p w14:paraId="67B39184">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1.4.1 付款方式：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w:t>
      </w:r>
    </w:p>
    <w:p w14:paraId="569FC6A1">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1.4.2 发票开具方式：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565CEBDF">
      <w:pPr>
        <w:keepNext w:val="0"/>
        <w:keepLines w:val="0"/>
        <w:pageBreakBefore w:val="0"/>
        <w:widowControl w:val="0"/>
        <w:kinsoku/>
        <w:wordWrap/>
        <w:overflowPunct/>
        <w:topLinePunct w:val="0"/>
        <w:bidi w:val="0"/>
        <w:snapToGrid/>
        <w:spacing w:line="480" w:lineRule="exact"/>
        <w:ind w:firstLine="482" w:firstLineChars="200"/>
        <w:textAlignment w:val="auto"/>
        <w:outlineLvl w:val="1"/>
        <w:rPr>
          <w:rFonts w:hint="eastAsia" w:ascii="仿宋" w:hAnsi="仿宋" w:eastAsia="仿宋" w:cs="仿宋"/>
          <w:b/>
          <w:color w:val="auto"/>
          <w:spacing w:val="-20"/>
          <w:sz w:val="28"/>
          <w:szCs w:val="28"/>
        </w:rPr>
      </w:pPr>
      <w:bookmarkStart w:id="669" w:name="_Toc32071"/>
      <w:bookmarkStart w:id="670" w:name="_Toc25629"/>
      <w:bookmarkStart w:id="671" w:name="_Toc12530"/>
      <w:bookmarkStart w:id="672" w:name="_Toc19304"/>
      <w:bookmarkStart w:id="673" w:name="_Toc11743"/>
      <w:bookmarkStart w:id="674" w:name="_Toc5684"/>
      <w:bookmarkStart w:id="675" w:name="_Toc25306"/>
      <w:bookmarkStart w:id="676" w:name="_Toc19337"/>
      <w:bookmarkStart w:id="677" w:name="_Toc2839"/>
      <w:bookmarkStart w:id="678" w:name="_Toc2846"/>
      <w:r>
        <w:rPr>
          <w:rFonts w:hint="eastAsia" w:ascii="仿宋" w:hAnsi="仿宋" w:eastAsia="仿宋" w:cs="仿宋"/>
          <w:b/>
          <w:color w:val="auto"/>
          <w:spacing w:val="-20"/>
          <w:sz w:val="28"/>
          <w:szCs w:val="28"/>
        </w:rPr>
        <w:t>1.5 货物交付期限、地点和方式</w:t>
      </w:r>
      <w:bookmarkEnd w:id="669"/>
      <w:bookmarkEnd w:id="670"/>
      <w:bookmarkEnd w:id="671"/>
      <w:bookmarkEnd w:id="672"/>
      <w:bookmarkEnd w:id="673"/>
      <w:bookmarkEnd w:id="674"/>
      <w:bookmarkEnd w:id="675"/>
      <w:bookmarkEnd w:id="676"/>
      <w:bookmarkEnd w:id="677"/>
      <w:bookmarkEnd w:id="678"/>
    </w:p>
    <w:p w14:paraId="0744A19C">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1.5.1 交付期限：</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24CDA5B7">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1.5.2 交付地点：</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36C8CFB2">
      <w:pPr>
        <w:keepNext w:val="0"/>
        <w:keepLines w:val="0"/>
        <w:pageBreakBefore w:val="0"/>
        <w:widowControl w:val="0"/>
        <w:kinsoku/>
        <w:wordWrap/>
        <w:overflowPunct/>
        <w:topLinePunct w:val="0"/>
        <w:bidi w:val="0"/>
        <w:snapToGrid/>
        <w:spacing w:line="480" w:lineRule="exact"/>
        <w:ind w:firstLine="480" w:firstLineChars="200"/>
        <w:textAlignment w:val="auto"/>
        <w:rPr>
          <w:rFonts w:hint="eastAsia" w:ascii="仿宋" w:hAnsi="仿宋" w:eastAsia="仿宋" w:cs="仿宋"/>
          <w:color w:val="auto"/>
          <w:spacing w:val="-20"/>
          <w:sz w:val="28"/>
          <w:szCs w:val="28"/>
        </w:rPr>
      </w:pPr>
      <w:r>
        <w:rPr>
          <w:rFonts w:hint="eastAsia" w:ascii="仿宋" w:hAnsi="仿宋" w:eastAsia="仿宋" w:cs="仿宋"/>
          <w:color w:val="auto"/>
          <w:spacing w:val="-20"/>
          <w:sz w:val="28"/>
          <w:szCs w:val="28"/>
        </w:rPr>
        <w:t>1.5.3 交付方式：</w:t>
      </w:r>
      <w:r>
        <w:rPr>
          <w:rFonts w:hint="eastAsia" w:ascii="仿宋" w:hAnsi="仿宋" w:eastAsia="仿宋" w:cs="仿宋"/>
          <w:color w:val="auto"/>
          <w:spacing w:val="-20"/>
          <w:sz w:val="28"/>
          <w:szCs w:val="28"/>
          <w:u w:val="single"/>
        </w:rPr>
        <w:t xml:space="preserve">　　　　　　　　　                      　     </w:t>
      </w:r>
      <w:r>
        <w:rPr>
          <w:rFonts w:hint="eastAsia" w:ascii="仿宋" w:hAnsi="仿宋" w:eastAsia="仿宋" w:cs="仿宋"/>
          <w:color w:val="auto"/>
          <w:spacing w:val="-20"/>
          <w:sz w:val="28"/>
          <w:szCs w:val="28"/>
        </w:rPr>
        <w:t xml:space="preserve"> 。</w:t>
      </w:r>
    </w:p>
    <w:p w14:paraId="2170C153">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679" w:name="_Toc18201"/>
      <w:bookmarkStart w:id="680" w:name="_Toc19548"/>
      <w:bookmarkStart w:id="681" w:name="_Toc21242"/>
      <w:bookmarkStart w:id="682" w:name="_Toc25434"/>
      <w:bookmarkStart w:id="683" w:name="_Toc21423"/>
      <w:bookmarkStart w:id="684" w:name="_Toc9854"/>
      <w:bookmarkStart w:id="685" w:name="_Toc25260"/>
      <w:bookmarkStart w:id="686" w:name="_Toc27250"/>
      <w:bookmarkStart w:id="687" w:name="_Toc386"/>
      <w:bookmarkStart w:id="688" w:name="_Toc19554"/>
      <w:r>
        <w:rPr>
          <w:rFonts w:hint="eastAsia" w:ascii="仿宋" w:hAnsi="仿宋" w:eastAsia="仿宋" w:cs="仿宋"/>
          <w:b/>
          <w:color w:val="auto"/>
          <w:sz w:val="28"/>
          <w:szCs w:val="28"/>
        </w:rPr>
        <w:t>1.6 违约责任</w:t>
      </w:r>
      <w:bookmarkEnd w:id="679"/>
      <w:bookmarkEnd w:id="680"/>
      <w:bookmarkEnd w:id="681"/>
      <w:bookmarkEnd w:id="682"/>
      <w:bookmarkEnd w:id="683"/>
      <w:bookmarkEnd w:id="684"/>
      <w:bookmarkEnd w:id="685"/>
      <w:bookmarkEnd w:id="686"/>
      <w:bookmarkEnd w:id="687"/>
      <w:bookmarkEnd w:id="688"/>
    </w:p>
    <w:p w14:paraId="4086E49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%计算，最高限额为本合同总价的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%；迟延交付货物的违约金计算数额达到前述最高限额之日起，甲方有权在要求乙方支付违约金的同时，书面通知乙方解除本合同；</w:t>
      </w:r>
    </w:p>
    <w:p w14:paraId="6CD0FE1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%计算，最高限额为本合同总价的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%；迟延付款的违约金计算数额达到前述最高限额之日起，乙方有权在要求甲方支付违约金的同时，书面通知甲方解除本合同；</w:t>
      </w:r>
    </w:p>
    <w:p w14:paraId="56C55A3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F856F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9B4BB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A200DC">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1.6.6 如果出现政府采购监督管理部门在处理投诉事项期间，书面通知甲方暂停采购活动的情形，或者询问或质疑事项可能影响中标结果的，导致甲方中止履行合同的情形，均不视为甲方违约。</w:t>
      </w:r>
    </w:p>
    <w:p w14:paraId="2B955D0D">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689" w:name="_Toc32492"/>
      <w:bookmarkStart w:id="690" w:name="_Toc28375"/>
      <w:bookmarkStart w:id="691" w:name="_Toc15640"/>
      <w:bookmarkStart w:id="692" w:name="_Toc20711"/>
      <w:bookmarkStart w:id="693" w:name="_Toc8108"/>
      <w:bookmarkStart w:id="694" w:name="_Toc26606"/>
      <w:bookmarkStart w:id="695" w:name="_Toc16021"/>
      <w:bookmarkStart w:id="696" w:name="_Toc4767"/>
      <w:bookmarkStart w:id="697" w:name="_Toc15583"/>
      <w:r>
        <w:rPr>
          <w:rFonts w:hint="eastAsia" w:ascii="仿宋" w:hAnsi="仿宋" w:eastAsia="仿宋" w:cs="仿宋"/>
          <w:b/>
          <w:color w:val="auto"/>
          <w:sz w:val="28"/>
          <w:szCs w:val="28"/>
        </w:rPr>
        <w:t>1.7 合同争议的解决</w:t>
      </w:r>
      <w:bookmarkEnd w:id="689"/>
      <w:bookmarkEnd w:id="690"/>
      <w:bookmarkEnd w:id="691"/>
      <w:bookmarkEnd w:id="692"/>
      <w:bookmarkEnd w:id="693"/>
      <w:bookmarkEnd w:id="694"/>
      <w:bookmarkEnd w:id="695"/>
      <w:bookmarkEnd w:id="696"/>
      <w:bookmarkEnd w:id="697"/>
    </w:p>
    <w:p w14:paraId="072A34B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种方式解决：</w:t>
      </w:r>
    </w:p>
    <w:p w14:paraId="10F34CF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1.7.1 将争议提交</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仲裁委员会依申请仲裁时其现行有效的仲裁规则裁决；</w:t>
      </w:r>
    </w:p>
    <w:p w14:paraId="3B68A16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1.7.2 向</w:t>
      </w:r>
      <w:r>
        <w:rPr>
          <w:rFonts w:hint="eastAsia" w:ascii="仿宋" w:hAnsi="仿宋" w:eastAsia="仿宋" w:cs="仿宋"/>
          <w:color w:val="auto"/>
          <w:sz w:val="28"/>
          <w:szCs w:val="28"/>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8"/>
          <w:szCs w:val="28"/>
        </w:rPr>
        <w:t>人民法院起诉。</w:t>
      </w:r>
    </w:p>
    <w:p w14:paraId="26C8E494">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698" w:name="_Toc15322"/>
      <w:bookmarkStart w:id="699" w:name="_Toc7245"/>
      <w:bookmarkStart w:id="700" w:name="_Toc23600"/>
      <w:bookmarkStart w:id="701" w:name="_Toc1007"/>
      <w:bookmarkStart w:id="702" w:name="_Toc22745"/>
      <w:bookmarkStart w:id="703" w:name="_Toc11173"/>
      <w:bookmarkStart w:id="704" w:name="_Toc9073"/>
      <w:bookmarkStart w:id="705" w:name="_Toc22115"/>
      <w:bookmarkStart w:id="706" w:name="_Toc28209"/>
      <w:bookmarkStart w:id="707" w:name="_Toc14474"/>
      <w:r>
        <w:rPr>
          <w:rFonts w:hint="eastAsia" w:ascii="仿宋" w:hAnsi="仿宋" w:eastAsia="仿宋" w:cs="仿宋"/>
          <w:b/>
          <w:color w:val="auto"/>
          <w:sz w:val="28"/>
          <w:szCs w:val="28"/>
        </w:rPr>
        <w:t>1.8 合同生效</w:t>
      </w:r>
      <w:bookmarkEnd w:id="698"/>
      <w:bookmarkEnd w:id="699"/>
      <w:bookmarkEnd w:id="700"/>
      <w:bookmarkEnd w:id="701"/>
      <w:bookmarkEnd w:id="702"/>
      <w:bookmarkEnd w:id="703"/>
      <w:bookmarkEnd w:id="704"/>
      <w:bookmarkEnd w:id="705"/>
      <w:bookmarkEnd w:id="706"/>
      <w:bookmarkEnd w:id="707"/>
    </w:p>
    <w:p w14:paraId="4E323D0C">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rPr>
        <w:t>本合同自双方当事人盖章或者签字时生效。</w:t>
      </w:r>
    </w:p>
    <w:p w14:paraId="76B61121">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b/>
          <w:color w:val="auto"/>
          <w:sz w:val="28"/>
          <w:szCs w:val="28"/>
          <w:lang w:val="zh-CN"/>
        </w:rPr>
        <w:t>甲方</w:t>
      </w:r>
      <w:r>
        <w:rPr>
          <w:rFonts w:hint="eastAsia" w:ascii="仿宋" w:hAnsi="仿宋" w:eastAsia="仿宋" w:cs="仿宋"/>
          <w:color w:val="auto"/>
          <w:sz w:val="28"/>
          <w:szCs w:val="28"/>
          <w:lang w:val="zh-CN"/>
        </w:rPr>
        <w:t xml:space="preserve">：                             </w:t>
      </w:r>
      <w:r>
        <w:rPr>
          <w:rFonts w:hint="eastAsia" w:ascii="仿宋" w:hAnsi="仿宋" w:eastAsia="仿宋" w:cs="仿宋"/>
          <w:b/>
          <w:color w:val="auto"/>
          <w:sz w:val="28"/>
          <w:szCs w:val="28"/>
          <w:lang w:val="zh-CN"/>
        </w:rPr>
        <w:t xml:space="preserve">      乙方</w:t>
      </w:r>
      <w:r>
        <w:rPr>
          <w:rFonts w:hint="eastAsia" w:ascii="仿宋" w:hAnsi="仿宋" w:eastAsia="仿宋" w:cs="仿宋"/>
          <w:color w:val="auto"/>
          <w:sz w:val="28"/>
          <w:szCs w:val="28"/>
          <w:lang w:val="zh-CN"/>
        </w:rPr>
        <w:t>：</w:t>
      </w:r>
    </w:p>
    <w:p w14:paraId="47B12DAA">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统一社会信用代码：                        统一社会信用代码或身份证号码：</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身份证号码：</w:t>
      </w:r>
    </w:p>
    <w:p w14:paraId="678B6900">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住所：                                   住所：</w:t>
      </w:r>
    </w:p>
    <w:p w14:paraId="1809F8AB">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法定代表人或                             法定代表人</w:t>
      </w:r>
    </w:p>
    <w:p w14:paraId="4780643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授权代表（签字）：                        或授权代表（签字）: </w:t>
      </w:r>
    </w:p>
    <w:p w14:paraId="737855FB">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联系人：                                 联系人：</w:t>
      </w:r>
    </w:p>
    <w:p w14:paraId="6CA666D9">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约定送达地址：                           约定送达地址：</w:t>
      </w:r>
    </w:p>
    <w:p w14:paraId="79B8961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邮政编码：                               邮政编码：</w:t>
      </w:r>
    </w:p>
    <w:p w14:paraId="425E5453">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电话:                                    电话: </w:t>
      </w:r>
    </w:p>
    <w:p w14:paraId="5BF01E0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传真:                                    传真:</w:t>
      </w:r>
    </w:p>
    <w:p w14:paraId="03AB58E6">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zh-CN"/>
        </w:rPr>
        <w:t>电子邮箱：                               电子邮箱：</w:t>
      </w:r>
    </w:p>
    <w:p w14:paraId="1003402F">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开户银行：                               开户银行： </w:t>
      </w:r>
    </w:p>
    <w:p w14:paraId="3DEBE99A">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开户名称：                               开户名称： </w:t>
      </w:r>
    </w:p>
    <w:p w14:paraId="78E32852">
      <w:pPr>
        <w:keepNext w:val="0"/>
        <w:keepLines w:val="0"/>
        <w:pageBreakBefore w:val="0"/>
        <w:widowControl w:val="0"/>
        <w:kinsoku/>
        <w:wordWrap/>
        <w:overflowPunct/>
        <w:topLinePunct w:val="0"/>
        <w:autoSpaceDE w:val="0"/>
        <w:autoSpaceDN w:val="0"/>
        <w:bidi w:val="0"/>
        <w:adjustRightInd w:val="0"/>
        <w:snapToGrid/>
        <w:spacing w:line="480" w:lineRule="exact"/>
        <w:textAlignment w:val="auto"/>
        <w:rPr>
          <w:rFonts w:hint="eastAsia" w:ascii="仿宋" w:hAnsi="仿宋" w:eastAsia="仿宋" w:cs="仿宋"/>
          <w:b/>
          <w:color w:val="auto"/>
          <w:kern w:val="0"/>
          <w:sz w:val="28"/>
          <w:szCs w:val="28"/>
        </w:rPr>
      </w:pPr>
      <w:r>
        <w:rPr>
          <w:rFonts w:hint="eastAsia" w:ascii="仿宋" w:hAnsi="仿宋" w:eastAsia="仿宋" w:cs="仿宋"/>
          <w:color w:val="auto"/>
          <w:sz w:val="28"/>
          <w:szCs w:val="28"/>
        </w:rPr>
        <w:t>开户账号：</w:t>
      </w:r>
      <w:r>
        <w:rPr>
          <w:rFonts w:hint="eastAsia" w:ascii="仿宋" w:hAnsi="仿宋" w:eastAsia="仿宋" w:cs="仿宋"/>
          <w:color w:val="auto"/>
          <w:sz w:val="28"/>
          <w:szCs w:val="28"/>
          <w:lang w:val="zh-CN"/>
        </w:rPr>
        <w:t xml:space="preserve">                               </w:t>
      </w:r>
      <w:r>
        <w:rPr>
          <w:rFonts w:hint="eastAsia" w:ascii="仿宋" w:hAnsi="仿宋" w:eastAsia="仿宋" w:cs="仿宋"/>
          <w:color w:val="auto"/>
          <w:sz w:val="28"/>
          <w:szCs w:val="28"/>
        </w:rPr>
        <w:t>开户账号：</w:t>
      </w:r>
      <w:bookmarkStart w:id="708" w:name="_Toc331685783"/>
    </w:p>
    <w:p w14:paraId="0B6218F1">
      <w:pPr>
        <w:rPr>
          <w:rFonts w:hint="eastAsia" w:ascii="仿宋" w:hAnsi="仿宋" w:eastAsia="仿宋" w:cs="仿宋"/>
          <w:b/>
          <w:color w:val="auto"/>
          <w:sz w:val="28"/>
          <w:szCs w:val="28"/>
        </w:rPr>
      </w:pPr>
      <w:bookmarkStart w:id="709" w:name="_Toc9655"/>
      <w:bookmarkStart w:id="710" w:name="_Toc25620"/>
      <w:bookmarkStart w:id="711" w:name="_Toc9799"/>
      <w:bookmarkStart w:id="712" w:name="_Toc16617"/>
      <w:bookmarkStart w:id="713" w:name="_Toc15978"/>
      <w:bookmarkStart w:id="714" w:name="_Toc19968"/>
      <w:bookmarkStart w:id="715" w:name="_Toc11335"/>
      <w:bookmarkStart w:id="716" w:name="_Toc5921"/>
      <w:r>
        <w:rPr>
          <w:rFonts w:hint="eastAsia" w:ascii="仿宋" w:hAnsi="仿宋" w:eastAsia="仿宋" w:cs="仿宋"/>
          <w:b/>
          <w:color w:val="auto"/>
          <w:sz w:val="28"/>
          <w:szCs w:val="28"/>
        </w:rPr>
        <w:br w:type="page"/>
      </w:r>
    </w:p>
    <w:p w14:paraId="59AA366C">
      <w:pPr>
        <w:pStyle w:val="35"/>
        <w:keepNext w:val="0"/>
        <w:keepLines w:val="0"/>
        <w:pageBreakBefore w:val="0"/>
        <w:widowControl w:val="0"/>
        <w:kinsoku/>
        <w:wordWrap/>
        <w:overflowPunct/>
        <w:topLinePunct w:val="0"/>
        <w:bidi w:val="0"/>
        <w:snapToGrid/>
        <w:spacing w:line="480" w:lineRule="exact"/>
        <w:ind w:firstLine="200"/>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第二部分 合同一般条款</w:t>
      </w:r>
      <w:bookmarkEnd w:id="708"/>
      <w:bookmarkEnd w:id="709"/>
      <w:bookmarkEnd w:id="710"/>
      <w:bookmarkEnd w:id="711"/>
      <w:bookmarkEnd w:id="712"/>
      <w:bookmarkEnd w:id="713"/>
      <w:bookmarkEnd w:id="714"/>
      <w:bookmarkEnd w:id="715"/>
      <w:bookmarkEnd w:id="716"/>
    </w:p>
    <w:p w14:paraId="42553057">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17" w:name="_Toc487900349"/>
      <w:bookmarkStart w:id="718" w:name="_Toc28763"/>
      <w:bookmarkStart w:id="719" w:name="_Ref467378404"/>
      <w:bookmarkStart w:id="720" w:name="_Ref467378499"/>
      <w:bookmarkStart w:id="721" w:name="_Ref467379205"/>
      <w:bookmarkStart w:id="722" w:name="_Ref467378463"/>
      <w:bookmarkStart w:id="723" w:name="_Toc259093669"/>
      <w:bookmarkStart w:id="724" w:name="_Toc16917"/>
      <w:bookmarkStart w:id="725" w:name="_Toc19614"/>
      <w:bookmarkStart w:id="726" w:name="_Toc15170"/>
      <w:bookmarkStart w:id="727" w:name="_Toc5029"/>
      <w:bookmarkStart w:id="728" w:name="_Ref467379225"/>
      <w:bookmarkStart w:id="729" w:name="_Toc279701240"/>
      <w:bookmarkStart w:id="730" w:name="_Ref467379094"/>
      <w:bookmarkStart w:id="731" w:name="_Ref467379101"/>
      <w:bookmarkStart w:id="732" w:name="_Ref467379109"/>
      <w:bookmarkStart w:id="733" w:name="_Ref467379214"/>
      <w:bookmarkStart w:id="734" w:name="_Ref467379195"/>
      <w:bookmarkStart w:id="735" w:name="_Toc18196"/>
      <w:bookmarkStart w:id="736" w:name="_Toc5811"/>
      <w:bookmarkStart w:id="737" w:name="_Toc24533"/>
      <w:bookmarkStart w:id="738" w:name="_Toc18973"/>
      <w:bookmarkStart w:id="739" w:name="_Toc4466"/>
      <w:r>
        <w:rPr>
          <w:rFonts w:hint="eastAsia" w:ascii="仿宋" w:hAnsi="仿宋" w:eastAsia="仿宋" w:cs="仿宋"/>
          <w:b/>
          <w:color w:val="auto"/>
          <w:sz w:val="28"/>
          <w:szCs w:val="28"/>
        </w:rPr>
        <w:t>2.1 定义</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67E250E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本合同中的下列词语应按以下内容进行解释：</w:t>
      </w:r>
    </w:p>
    <w:p w14:paraId="1379A5A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 “合同”系指采购人和中标供应商签订的载明双方当事人所达成的协议，并包括所有的附件、附录和构成合同的其他文件。</w:t>
      </w:r>
    </w:p>
    <w:p w14:paraId="282195D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2.1.2 “合同价”系指根据合同约定，中标供应商在完全履行合同义务后，采购人应支付给中标供应商的价格。</w:t>
      </w:r>
    </w:p>
    <w:p w14:paraId="2BD830DA">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 “货物”系指中标供应商根据合同约定应向采购人交付的一切各种形态和种类的物品，包括原材料、燃料、设备、机械、仪表、备件、计算机软件、产品等，并包括工具、手册等其他相关资料。</w:t>
      </w:r>
    </w:p>
    <w:p w14:paraId="4ABE08D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40" w:name="_Ref467378840"/>
      <w:r>
        <w:rPr>
          <w:rFonts w:hint="eastAsia" w:ascii="仿宋" w:hAnsi="仿宋" w:eastAsia="仿宋" w:cs="仿宋"/>
          <w:color w:val="auto"/>
          <w:sz w:val="28"/>
          <w:szCs w:val="28"/>
        </w:rPr>
        <w:t>2.1.4 “甲方”系指与中标供应商签署合同的采购人</w:t>
      </w:r>
      <w:bookmarkEnd w:id="740"/>
      <w:r>
        <w:rPr>
          <w:rFonts w:hint="eastAsia" w:ascii="仿宋" w:hAnsi="仿宋" w:eastAsia="仿宋" w:cs="仿宋"/>
          <w:color w:val="auto"/>
          <w:sz w:val="28"/>
          <w:szCs w:val="28"/>
        </w:rPr>
        <w:t>；采购人委托采购代理机构代表其与乙方签订合同的，采购人的授权委托书作为合同附件。</w:t>
      </w:r>
    </w:p>
    <w:p w14:paraId="5178B04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41" w:name="_Ref467379400"/>
      <w:r>
        <w:rPr>
          <w:rFonts w:hint="eastAsia" w:ascii="仿宋" w:hAnsi="仿宋" w:eastAsia="仿宋" w:cs="仿宋"/>
          <w:color w:val="auto"/>
          <w:sz w:val="28"/>
          <w:szCs w:val="28"/>
        </w:rPr>
        <w:t>2.1.5 “乙方”系指根据合同约定交付货物的中标供应商</w:t>
      </w:r>
      <w:bookmarkEnd w:id="741"/>
      <w:r>
        <w:rPr>
          <w:rFonts w:hint="eastAsia" w:ascii="仿宋" w:hAnsi="仿宋" w:eastAsia="仿宋" w:cs="仿宋"/>
          <w:color w:val="auto"/>
          <w:sz w:val="28"/>
          <w:szCs w:val="28"/>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4951D7">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42" w:name="_Ref467379436"/>
      <w:r>
        <w:rPr>
          <w:rFonts w:hint="eastAsia" w:ascii="仿宋" w:hAnsi="仿宋" w:eastAsia="仿宋" w:cs="仿宋"/>
          <w:color w:val="auto"/>
          <w:sz w:val="28"/>
          <w:szCs w:val="28"/>
        </w:rPr>
        <w:t>2.1.6 “现场”系指合同约定货物将要运至或者安装的地点。</w:t>
      </w:r>
      <w:bookmarkEnd w:id="742"/>
    </w:p>
    <w:p w14:paraId="250E7CEB">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43" w:name="_Toc13850"/>
      <w:bookmarkStart w:id="744" w:name="_Toc6892"/>
      <w:bookmarkStart w:id="745" w:name="_Toc32504"/>
      <w:bookmarkStart w:id="746" w:name="_Toc13336"/>
      <w:bookmarkStart w:id="747" w:name="_Toc23538"/>
      <w:bookmarkStart w:id="748" w:name="_Toc279701241"/>
      <w:bookmarkStart w:id="749" w:name="_Toc259093670"/>
      <w:bookmarkStart w:id="750" w:name="_Toc27635"/>
      <w:bookmarkStart w:id="751" w:name="_Toc27021"/>
      <w:bookmarkStart w:id="752" w:name="_Toc5631"/>
      <w:bookmarkStart w:id="753" w:name="_Toc487900350"/>
      <w:bookmarkStart w:id="754" w:name="_Toc13784"/>
      <w:bookmarkStart w:id="755" w:name="_Toc11020"/>
      <w:r>
        <w:rPr>
          <w:rFonts w:hint="eastAsia" w:ascii="仿宋" w:hAnsi="仿宋" w:eastAsia="仿宋" w:cs="仿宋"/>
          <w:b/>
          <w:color w:val="auto"/>
          <w:sz w:val="28"/>
          <w:szCs w:val="28"/>
        </w:rPr>
        <w:t>2.2 技术规范</w:t>
      </w:r>
      <w:bookmarkEnd w:id="743"/>
      <w:bookmarkEnd w:id="744"/>
      <w:bookmarkEnd w:id="745"/>
      <w:bookmarkEnd w:id="746"/>
      <w:bookmarkEnd w:id="747"/>
      <w:bookmarkEnd w:id="748"/>
      <w:bookmarkEnd w:id="749"/>
      <w:bookmarkEnd w:id="750"/>
      <w:bookmarkEnd w:id="751"/>
      <w:bookmarkEnd w:id="752"/>
      <w:bookmarkEnd w:id="753"/>
      <w:bookmarkEnd w:id="754"/>
      <w:bookmarkEnd w:id="755"/>
    </w:p>
    <w:p w14:paraId="5914FB5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5B31C0F1">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56" w:name="_Toc9829"/>
      <w:bookmarkStart w:id="757" w:name="_Toc3850"/>
      <w:bookmarkStart w:id="758" w:name="_Toc279701242"/>
      <w:bookmarkStart w:id="759" w:name="_Toc27853"/>
      <w:bookmarkStart w:id="760" w:name="_Toc31634"/>
      <w:bookmarkStart w:id="761" w:name="_Toc487900351"/>
      <w:bookmarkStart w:id="762" w:name="_Toc259093671"/>
      <w:bookmarkStart w:id="763" w:name="_Toc2695"/>
      <w:bookmarkStart w:id="764" w:name="_Toc56"/>
      <w:bookmarkStart w:id="765" w:name="_Toc6076"/>
      <w:bookmarkStart w:id="766" w:name="_Toc22896"/>
      <w:bookmarkStart w:id="767" w:name="_Toc6159"/>
      <w:bookmarkStart w:id="768" w:name="_Toc20885"/>
      <w:r>
        <w:rPr>
          <w:rFonts w:hint="eastAsia" w:ascii="仿宋" w:hAnsi="仿宋" w:eastAsia="仿宋" w:cs="仿宋"/>
          <w:b/>
          <w:color w:val="auto"/>
          <w:sz w:val="28"/>
          <w:szCs w:val="28"/>
        </w:rPr>
        <w:t>2.3 知识产权</w:t>
      </w:r>
      <w:bookmarkEnd w:id="756"/>
      <w:bookmarkEnd w:id="757"/>
      <w:bookmarkEnd w:id="758"/>
      <w:bookmarkEnd w:id="759"/>
      <w:bookmarkEnd w:id="760"/>
      <w:bookmarkEnd w:id="761"/>
      <w:bookmarkEnd w:id="762"/>
      <w:bookmarkEnd w:id="763"/>
      <w:bookmarkEnd w:id="764"/>
      <w:bookmarkEnd w:id="765"/>
      <w:bookmarkEnd w:id="766"/>
      <w:bookmarkEnd w:id="767"/>
      <w:bookmarkEnd w:id="768"/>
    </w:p>
    <w:p w14:paraId="5A4D8E7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82F496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2.3.2具有知识产权的计算机软件等货物的知识产权归属，详见</w:t>
      </w:r>
      <w:r>
        <w:rPr>
          <w:rFonts w:hint="eastAsia" w:ascii="仿宋" w:hAnsi="仿宋" w:eastAsia="仿宋" w:cs="仿宋"/>
          <w:b/>
          <w:bCs/>
          <w:color w:val="auto"/>
          <w:sz w:val="28"/>
          <w:szCs w:val="28"/>
          <w:u w:val="single"/>
        </w:rPr>
        <w:t>合同专用条款。</w:t>
      </w:r>
    </w:p>
    <w:p w14:paraId="0110A17A">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69" w:name="_Toc5441"/>
      <w:bookmarkStart w:id="770" w:name="_Toc13822"/>
      <w:bookmarkStart w:id="771" w:name="_Toc11932"/>
      <w:bookmarkStart w:id="772" w:name="_Toc29149"/>
      <w:bookmarkStart w:id="773" w:name="_Toc18821"/>
      <w:bookmarkStart w:id="774" w:name="_Toc29363"/>
      <w:bookmarkStart w:id="775" w:name="_Toc359"/>
      <w:bookmarkStart w:id="776" w:name="_Toc3812"/>
      <w:bookmarkStart w:id="777" w:name="_Toc4194"/>
      <w:bookmarkStart w:id="778" w:name="_Toc30506"/>
      <w:r>
        <w:rPr>
          <w:rFonts w:hint="eastAsia" w:ascii="仿宋" w:hAnsi="仿宋" w:eastAsia="仿宋" w:cs="仿宋"/>
          <w:b/>
          <w:color w:val="auto"/>
          <w:sz w:val="28"/>
          <w:szCs w:val="28"/>
        </w:rPr>
        <w:t>2.4 包装和装运</w:t>
      </w:r>
      <w:bookmarkEnd w:id="769"/>
      <w:bookmarkEnd w:id="770"/>
      <w:bookmarkEnd w:id="771"/>
      <w:bookmarkEnd w:id="772"/>
      <w:bookmarkEnd w:id="773"/>
      <w:bookmarkEnd w:id="774"/>
      <w:bookmarkEnd w:id="775"/>
      <w:bookmarkEnd w:id="776"/>
      <w:bookmarkEnd w:id="777"/>
      <w:bookmarkEnd w:id="778"/>
    </w:p>
    <w:p w14:paraId="6FBE544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2.4.1除</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870D29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bCs/>
          <w:color w:val="auto"/>
          <w:sz w:val="28"/>
          <w:szCs w:val="28"/>
          <w:u w:val="single"/>
        </w:rPr>
      </w:pPr>
      <w:r>
        <w:rPr>
          <w:rFonts w:hint="eastAsia" w:ascii="仿宋" w:hAnsi="仿宋" w:eastAsia="仿宋" w:cs="仿宋"/>
          <w:color w:val="auto"/>
          <w:sz w:val="28"/>
          <w:szCs w:val="28"/>
        </w:rPr>
        <w:t>2.4.2 装运货物的要求和通知，详见</w:t>
      </w:r>
      <w:r>
        <w:rPr>
          <w:rFonts w:hint="eastAsia" w:ascii="仿宋" w:hAnsi="仿宋" w:eastAsia="仿宋" w:cs="仿宋"/>
          <w:b/>
          <w:bCs/>
          <w:color w:val="auto"/>
          <w:sz w:val="28"/>
          <w:szCs w:val="28"/>
          <w:u w:val="single"/>
        </w:rPr>
        <w:t>合同专用条款。</w:t>
      </w:r>
    </w:p>
    <w:p w14:paraId="61D0D27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779" w:name="_Ref467379542"/>
      <w:bookmarkStart w:id="780" w:name="_Ref467378591"/>
      <w:bookmarkStart w:id="781" w:name="_Toc279701245"/>
      <w:bookmarkStart w:id="782" w:name="_Toc487900354"/>
      <w:bookmarkStart w:id="783" w:name="_Ref467379527"/>
      <w:bookmarkStart w:id="784" w:name="_Ref467379536"/>
      <w:bookmarkStart w:id="785" w:name="_Toc259093674"/>
      <w:bookmarkStart w:id="786" w:name="_Ref467378541"/>
      <w:bookmarkStart w:id="787" w:name="_Toc19074"/>
      <w:bookmarkStart w:id="788" w:name="_Toc23837"/>
      <w:bookmarkStart w:id="789" w:name="_Toc22613"/>
      <w:bookmarkStart w:id="790" w:name="_Toc29663"/>
      <w:bookmarkStart w:id="791" w:name="_Toc26182"/>
      <w:bookmarkStart w:id="792" w:name="_Toc9614"/>
      <w:bookmarkStart w:id="793" w:name="_Toc26858"/>
      <w:bookmarkStart w:id="794" w:name="_Toc921"/>
      <w:bookmarkStart w:id="795" w:name="_Toc30272"/>
      <w:bookmarkStart w:id="796" w:name="_Toc23311"/>
      <w:r>
        <w:rPr>
          <w:rFonts w:hint="eastAsia" w:ascii="仿宋" w:hAnsi="仿宋" w:eastAsia="仿宋" w:cs="仿宋"/>
          <w:b/>
          <w:color w:val="auto"/>
          <w:sz w:val="28"/>
          <w:szCs w:val="28"/>
        </w:rPr>
        <w:t>2.</w:t>
      </w:r>
      <w:bookmarkEnd w:id="779"/>
      <w:bookmarkEnd w:id="780"/>
      <w:bookmarkEnd w:id="781"/>
      <w:bookmarkEnd w:id="782"/>
      <w:bookmarkEnd w:id="783"/>
      <w:bookmarkEnd w:id="784"/>
      <w:bookmarkEnd w:id="785"/>
      <w:bookmarkEnd w:id="786"/>
      <w:r>
        <w:rPr>
          <w:rFonts w:hint="eastAsia" w:ascii="仿宋" w:hAnsi="仿宋" w:eastAsia="仿宋" w:cs="仿宋"/>
          <w:b/>
          <w:color w:val="auto"/>
          <w:sz w:val="28"/>
          <w:szCs w:val="28"/>
        </w:rPr>
        <w:t>5 履约检查和问题反馈</w:t>
      </w:r>
      <w:bookmarkEnd w:id="787"/>
      <w:bookmarkEnd w:id="788"/>
      <w:bookmarkEnd w:id="789"/>
      <w:bookmarkEnd w:id="790"/>
      <w:bookmarkEnd w:id="791"/>
      <w:bookmarkEnd w:id="792"/>
      <w:bookmarkEnd w:id="793"/>
      <w:bookmarkEnd w:id="794"/>
      <w:bookmarkEnd w:id="795"/>
      <w:bookmarkEnd w:id="796"/>
    </w:p>
    <w:p w14:paraId="5C544D4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797" w:name="_Ref467379657"/>
      <w:r>
        <w:rPr>
          <w:rFonts w:hint="eastAsia" w:ascii="仿宋" w:hAnsi="仿宋" w:eastAsia="仿宋" w:cs="仿宋"/>
          <w:color w:val="auto"/>
          <w:sz w:val="28"/>
          <w:szCs w:val="28"/>
        </w:rPr>
        <w:t>2.5.1</w:t>
      </w:r>
      <w:bookmarkEnd w:id="797"/>
      <w:bookmarkStart w:id="798" w:name="_Toc186431854"/>
      <w:bookmarkStart w:id="799" w:name="_Toc259093676"/>
      <w:bookmarkStart w:id="800" w:name="_Ref467379807"/>
      <w:bookmarkStart w:id="801" w:name="_Ref467379793"/>
      <w:bookmarkStart w:id="802" w:name="_Toc279701247"/>
      <w:bookmarkStart w:id="803" w:name="_Toc487900357"/>
      <w:r>
        <w:rPr>
          <w:rFonts w:hint="eastAsia" w:ascii="仿宋" w:hAnsi="仿宋" w:eastAsia="仿宋" w:cs="仿宋"/>
          <w:color w:val="auto"/>
          <w:sz w:val="28"/>
          <w:szCs w:val="28"/>
        </w:rPr>
        <w:t>甲方有权在其认为必要时，对乙方是否能够按照合同约定交付货物进行履约检查，以确保乙方所交付的货物能够依约满足甲方之项目需求，但不得因履约检查妨碍乙方的正常工作，乙方应予积极配合；</w:t>
      </w:r>
    </w:p>
    <w:p w14:paraId="568C45B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2.5.2 合同履行期间，甲方有权将履行过程中出现的问题反馈给乙方，双方当事人应以书面形式约定需要完善和改进的内容</w:t>
      </w:r>
      <w:bookmarkEnd w:id="798"/>
      <w:bookmarkStart w:id="804" w:name="_Toc186431855"/>
      <w:r>
        <w:rPr>
          <w:rFonts w:hint="eastAsia" w:ascii="仿宋" w:hAnsi="仿宋" w:eastAsia="仿宋" w:cs="仿宋"/>
          <w:color w:val="auto"/>
          <w:sz w:val="28"/>
          <w:szCs w:val="28"/>
        </w:rPr>
        <w:t>。</w:t>
      </w:r>
    </w:p>
    <w:bookmarkEnd w:id="804"/>
    <w:p w14:paraId="19D3687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05" w:name="_Toc28451"/>
      <w:bookmarkStart w:id="806" w:name="_Toc19219"/>
      <w:bookmarkStart w:id="807" w:name="_Toc13706"/>
      <w:bookmarkStart w:id="808" w:name="_Toc19791"/>
      <w:bookmarkStart w:id="809" w:name="_Toc6776"/>
      <w:bookmarkStart w:id="810" w:name="_Toc28912"/>
      <w:bookmarkStart w:id="811" w:name="_Toc875"/>
      <w:bookmarkStart w:id="812" w:name="_Toc31059"/>
      <w:bookmarkStart w:id="813" w:name="_Toc7836"/>
      <w:bookmarkStart w:id="814" w:name="_Toc24486"/>
      <w:r>
        <w:rPr>
          <w:rFonts w:hint="eastAsia" w:ascii="仿宋" w:hAnsi="仿宋" w:eastAsia="仿宋" w:cs="仿宋"/>
          <w:b/>
          <w:color w:val="auto"/>
          <w:sz w:val="28"/>
          <w:szCs w:val="28"/>
        </w:rPr>
        <w:t>2.6 结算方式和付款条件</w:t>
      </w:r>
      <w:bookmarkEnd w:id="799"/>
      <w:bookmarkEnd w:id="800"/>
      <w:bookmarkEnd w:id="801"/>
      <w:bookmarkEnd w:id="802"/>
      <w:bookmarkEnd w:id="803"/>
      <w:bookmarkEnd w:id="805"/>
      <w:bookmarkEnd w:id="806"/>
      <w:bookmarkEnd w:id="807"/>
      <w:bookmarkEnd w:id="808"/>
      <w:bookmarkEnd w:id="809"/>
      <w:bookmarkEnd w:id="810"/>
      <w:bookmarkEnd w:id="811"/>
      <w:bookmarkEnd w:id="812"/>
      <w:bookmarkEnd w:id="813"/>
      <w:bookmarkEnd w:id="814"/>
    </w:p>
    <w:p w14:paraId="3C01AFF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详见</w:t>
      </w:r>
      <w:r>
        <w:rPr>
          <w:rFonts w:hint="eastAsia" w:ascii="仿宋" w:hAnsi="仿宋" w:eastAsia="仿宋" w:cs="仿宋"/>
          <w:b/>
          <w:bCs/>
          <w:color w:val="auto"/>
          <w:sz w:val="28"/>
          <w:szCs w:val="28"/>
          <w:u w:val="single"/>
        </w:rPr>
        <w:t>合同专用条款。</w:t>
      </w:r>
    </w:p>
    <w:p w14:paraId="5A796559">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15" w:name="_Ref467379852"/>
      <w:bookmarkStart w:id="816" w:name="_Toc487900358"/>
      <w:bookmarkStart w:id="817" w:name="_Toc279701248"/>
      <w:bookmarkStart w:id="818" w:name="_Ref467379863"/>
      <w:bookmarkStart w:id="819" w:name="_Toc259093677"/>
      <w:bookmarkStart w:id="820" w:name="_Ref467379923"/>
      <w:bookmarkStart w:id="821" w:name="_Toc3225"/>
      <w:bookmarkStart w:id="822" w:name="_Toc774"/>
      <w:bookmarkStart w:id="823" w:name="_Toc1227"/>
      <w:bookmarkStart w:id="824" w:name="_Toc27647"/>
      <w:bookmarkStart w:id="825" w:name="_Toc5468"/>
      <w:bookmarkStart w:id="826" w:name="_Toc30107"/>
      <w:bookmarkStart w:id="827" w:name="_Toc16110"/>
      <w:bookmarkStart w:id="828" w:name="_Toc9782"/>
      <w:bookmarkStart w:id="829" w:name="_Toc21058"/>
      <w:bookmarkStart w:id="830" w:name="_Toc20856"/>
      <w:r>
        <w:rPr>
          <w:rFonts w:hint="eastAsia" w:ascii="仿宋" w:hAnsi="仿宋" w:eastAsia="仿宋" w:cs="仿宋"/>
          <w:b/>
          <w:color w:val="auto"/>
          <w:sz w:val="28"/>
          <w:szCs w:val="28"/>
        </w:rPr>
        <w:t>2.7 技术资料</w:t>
      </w:r>
      <w:bookmarkEnd w:id="815"/>
      <w:bookmarkEnd w:id="816"/>
      <w:bookmarkEnd w:id="817"/>
      <w:bookmarkEnd w:id="818"/>
      <w:bookmarkEnd w:id="819"/>
      <w:bookmarkEnd w:id="820"/>
      <w:r>
        <w:rPr>
          <w:rFonts w:hint="eastAsia" w:ascii="仿宋" w:hAnsi="仿宋" w:eastAsia="仿宋" w:cs="仿宋"/>
          <w:b/>
          <w:color w:val="auto"/>
          <w:sz w:val="28"/>
          <w:szCs w:val="28"/>
        </w:rPr>
        <w:t>和保密义务</w:t>
      </w:r>
      <w:bookmarkEnd w:id="821"/>
      <w:bookmarkEnd w:id="822"/>
      <w:bookmarkEnd w:id="823"/>
      <w:bookmarkEnd w:id="824"/>
      <w:bookmarkEnd w:id="825"/>
      <w:bookmarkEnd w:id="826"/>
      <w:bookmarkEnd w:id="827"/>
      <w:bookmarkEnd w:id="828"/>
      <w:bookmarkEnd w:id="829"/>
      <w:bookmarkEnd w:id="830"/>
    </w:p>
    <w:p w14:paraId="1CB58E7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2.7.1 乙方有权依据合同约定和项目需要，向甲方了解有关情况，调阅有关资料等，甲方应予积极配合；</w:t>
      </w:r>
    </w:p>
    <w:p w14:paraId="77C332B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2.7.2 乙方有义务妥善保管和保护由甲方提供的前款信息和资料等；</w:t>
      </w:r>
    </w:p>
    <w:p w14:paraId="31E1F798">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22CC6D0">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31" w:name="_Toc17880"/>
      <w:bookmarkStart w:id="832" w:name="_Toc32282"/>
      <w:bookmarkStart w:id="833" w:name="_Toc26701"/>
      <w:bookmarkStart w:id="834" w:name="_Toc19128"/>
      <w:bookmarkStart w:id="835" w:name="_Toc3567"/>
      <w:bookmarkStart w:id="836" w:name="_Toc8300"/>
      <w:bookmarkStart w:id="837" w:name="_Toc7860"/>
      <w:bookmarkStart w:id="838" w:name="_Toc5647"/>
      <w:r>
        <w:rPr>
          <w:rFonts w:hint="eastAsia" w:ascii="仿宋" w:hAnsi="仿宋" w:eastAsia="仿宋" w:cs="仿宋"/>
          <w:b/>
          <w:color w:val="auto"/>
          <w:sz w:val="28"/>
          <w:szCs w:val="28"/>
        </w:rPr>
        <w:t>2.8 质量保证</w:t>
      </w:r>
      <w:bookmarkEnd w:id="831"/>
      <w:bookmarkEnd w:id="832"/>
      <w:bookmarkEnd w:id="833"/>
      <w:bookmarkEnd w:id="834"/>
      <w:bookmarkEnd w:id="835"/>
      <w:bookmarkEnd w:id="836"/>
      <w:bookmarkEnd w:id="837"/>
      <w:bookmarkEnd w:id="838"/>
    </w:p>
    <w:p w14:paraId="2CE1943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2.8.1 乙方应建立和完善履行合同的内部质量保证体系，并提供相关内部规章制度给甲方，以便甲方进行监督检查；</w:t>
      </w:r>
    </w:p>
    <w:p w14:paraId="3A40F965">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2.8.2 乙方应保证履行合同的人员数量和素质、软件和硬件设备的配置、场地、环境和设施等满足全面履行合同的要求，并应接受甲方的监督检查。</w:t>
      </w:r>
    </w:p>
    <w:p w14:paraId="4D50366D">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39" w:name="_Toc17053"/>
      <w:bookmarkStart w:id="840" w:name="_Toc11961"/>
      <w:bookmarkStart w:id="841" w:name="_Toc12306"/>
      <w:bookmarkStart w:id="842" w:name="_Toc17062"/>
      <w:bookmarkStart w:id="843" w:name="_Toc17244"/>
      <w:bookmarkStart w:id="844" w:name="_Toc21568"/>
      <w:bookmarkStart w:id="845" w:name="_Toc19236"/>
      <w:bookmarkStart w:id="846" w:name="_Toc31357"/>
      <w:bookmarkStart w:id="847" w:name="_Toc259093681"/>
      <w:bookmarkStart w:id="848" w:name="_Toc487900362"/>
      <w:bookmarkStart w:id="849" w:name="_Toc279701252"/>
      <w:r>
        <w:rPr>
          <w:rFonts w:hint="eastAsia" w:ascii="仿宋" w:hAnsi="仿宋" w:eastAsia="仿宋" w:cs="仿宋"/>
          <w:b/>
          <w:color w:val="auto"/>
          <w:sz w:val="28"/>
          <w:szCs w:val="28"/>
        </w:rPr>
        <w:t>2.9 货物的风险负担</w:t>
      </w:r>
      <w:bookmarkEnd w:id="839"/>
      <w:bookmarkEnd w:id="840"/>
      <w:bookmarkEnd w:id="841"/>
      <w:bookmarkEnd w:id="842"/>
      <w:bookmarkEnd w:id="843"/>
      <w:bookmarkEnd w:id="844"/>
      <w:bookmarkEnd w:id="845"/>
      <w:bookmarkEnd w:id="846"/>
    </w:p>
    <w:p w14:paraId="38C56C8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货物或者在途货物或者交付给第一承运人后的货物毁损、灭失的风险负担详见</w:t>
      </w:r>
      <w:r>
        <w:rPr>
          <w:rFonts w:hint="eastAsia" w:ascii="仿宋" w:hAnsi="仿宋" w:eastAsia="仿宋" w:cs="仿宋"/>
          <w:b/>
          <w:bCs/>
          <w:color w:val="auto"/>
          <w:sz w:val="28"/>
          <w:szCs w:val="28"/>
          <w:u w:val="single"/>
        </w:rPr>
        <w:t>合同专用条款。</w:t>
      </w:r>
    </w:p>
    <w:p w14:paraId="26757BE6">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50" w:name="_Toc6746"/>
      <w:bookmarkStart w:id="851" w:name="_Toc32294"/>
      <w:bookmarkStart w:id="852" w:name="_Toc18519"/>
      <w:bookmarkStart w:id="853" w:name="_Toc30162"/>
      <w:bookmarkStart w:id="854" w:name="_Toc14055"/>
      <w:bookmarkStart w:id="855" w:name="_Toc27877"/>
      <w:bookmarkStart w:id="856" w:name="_Toc26941"/>
      <w:bookmarkStart w:id="857" w:name="_Toc961"/>
      <w:r>
        <w:rPr>
          <w:rFonts w:hint="eastAsia" w:ascii="仿宋" w:hAnsi="仿宋" w:eastAsia="仿宋" w:cs="仿宋"/>
          <w:b/>
          <w:color w:val="auto"/>
          <w:sz w:val="28"/>
          <w:szCs w:val="28"/>
        </w:rPr>
        <w:t>2.10 延迟交货</w:t>
      </w:r>
      <w:bookmarkEnd w:id="847"/>
      <w:bookmarkEnd w:id="848"/>
      <w:bookmarkEnd w:id="849"/>
      <w:bookmarkEnd w:id="850"/>
      <w:bookmarkEnd w:id="851"/>
      <w:bookmarkEnd w:id="852"/>
      <w:bookmarkEnd w:id="853"/>
      <w:bookmarkEnd w:id="854"/>
      <w:bookmarkEnd w:id="855"/>
      <w:bookmarkEnd w:id="856"/>
      <w:bookmarkEnd w:id="857"/>
    </w:p>
    <w:p w14:paraId="30462BB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0AE973F">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58" w:name="_Toc10432"/>
      <w:bookmarkStart w:id="859" w:name="_Toc20163"/>
      <w:bookmarkStart w:id="860" w:name="_Toc16121"/>
      <w:bookmarkStart w:id="861" w:name="_Toc13652"/>
      <w:bookmarkStart w:id="862" w:name="_Toc13883"/>
      <w:bookmarkStart w:id="863" w:name="_Toc2937"/>
      <w:bookmarkStart w:id="864" w:name="_Toc1029"/>
      <w:bookmarkStart w:id="865" w:name="_Ref467378121"/>
      <w:bookmarkStart w:id="866" w:name="_Toc279701254"/>
      <w:bookmarkStart w:id="867" w:name="_Toc487900364"/>
      <w:bookmarkStart w:id="868" w:name="_Toc259093683"/>
      <w:r>
        <w:rPr>
          <w:rFonts w:hint="eastAsia" w:ascii="仿宋" w:hAnsi="仿宋" w:eastAsia="仿宋" w:cs="仿宋"/>
          <w:b/>
          <w:color w:val="auto"/>
          <w:sz w:val="28"/>
          <w:szCs w:val="28"/>
        </w:rPr>
        <w:t>2.11 合同变更</w:t>
      </w:r>
      <w:bookmarkEnd w:id="858"/>
      <w:bookmarkEnd w:id="859"/>
      <w:bookmarkEnd w:id="860"/>
      <w:bookmarkEnd w:id="861"/>
      <w:bookmarkEnd w:id="862"/>
      <w:bookmarkEnd w:id="863"/>
      <w:bookmarkEnd w:id="864"/>
    </w:p>
    <w:p w14:paraId="266426E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2.11.1双方当事人协商一致，可以签订书面补充合同的形式变更合同，但不得违背招标文件确定的事项，且如果系追加与合同标的相同的货物的，那么所有补充合同的采购金额不得超过原合同价的10%；</w:t>
      </w:r>
    </w:p>
    <w:p w14:paraId="757AD01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2.11.2 合同继续履行将损害国家利益和社会公共利益的，双方当事人应当以书面形式变更合同。有过错的一方应当承担赔偿责任，双方当事人都有过错的，各自承担相应的责任。</w:t>
      </w:r>
      <w:bookmarkStart w:id="869" w:name="_Toc487900369"/>
      <w:bookmarkStart w:id="870" w:name="_Toc279701259"/>
      <w:bookmarkStart w:id="871" w:name="_Toc259093688"/>
    </w:p>
    <w:p w14:paraId="4A09619D">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72" w:name="_Toc20597"/>
      <w:bookmarkStart w:id="873" w:name="_Toc16752"/>
      <w:bookmarkStart w:id="874" w:name="_Toc22955"/>
      <w:bookmarkStart w:id="875" w:name="_Toc683"/>
      <w:bookmarkStart w:id="876" w:name="_Toc2564"/>
      <w:bookmarkStart w:id="877" w:name="_Toc11774"/>
      <w:bookmarkStart w:id="878" w:name="_Toc10366"/>
      <w:bookmarkStart w:id="879" w:name="_Toc25386"/>
      <w:bookmarkStart w:id="880" w:name="_Toc28738"/>
      <w:bookmarkStart w:id="881" w:name="_Toc15237"/>
      <w:r>
        <w:rPr>
          <w:rFonts w:hint="eastAsia" w:ascii="仿宋" w:hAnsi="仿宋" w:eastAsia="仿宋" w:cs="仿宋"/>
          <w:b/>
          <w:color w:val="auto"/>
          <w:sz w:val="28"/>
          <w:szCs w:val="28"/>
        </w:rPr>
        <w:t>2.12 合同转让</w:t>
      </w:r>
      <w:bookmarkEnd w:id="869"/>
      <w:bookmarkEnd w:id="870"/>
      <w:bookmarkEnd w:id="871"/>
      <w:r>
        <w:rPr>
          <w:rFonts w:hint="eastAsia" w:ascii="仿宋" w:hAnsi="仿宋" w:eastAsia="仿宋" w:cs="仿宋"/>
          <w:b/>
          <w:color w:val="auto"/>
          <w:sz w:val="28"/>
          <w:szCs w:val="28"/>
        </w:rPr>
        <w:t>和分包</w:t>
      </w:r>
      <w:bookmarkEnd w:id="872"/>
      <w:bookmarkEnd w:id="873"/>
      <w:bookmarkEnd w:id="874"/>
      <w:bookmarkEnd w:id="875"/>
      <w:bookmarkEnd w:id="876"/>
      <w:bookmarkEnd w:id="877"/>
      <w:bookmarkEnd w:id="878"/>
      <w:bookmarkEnd w:id="879"/>
      <w:bookmarkEnd w:id="880"/>
      <w:bookmarkEnd w:id="881"/>
    </w:p>
    <w:p w14:paraId="689FD1D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A922B8C">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82" w:name="_Toc13566"/>
      <w:bookmarkStart w:id="883" w:name="_Toc23175"/>
      <w:bookmarkStart w:id="884" w:name="_Toc14066"/>
      <w:bookmarkStart w:id="885" w:name="_Toc31577"/>
      <w:bookmarkStart w:id="886" w:name="_Toc11482"/>
      <w:bookmarkStart w:id="887" w:name="_Toc17590"/>
      <w:bookmarkStart w:id="888" w:name="_Toc16508"/>
      <w:bookmarkStart w:id="889" w:name="_Toc12632"/>
      <w:bookmarkStart w:id="890" w:name="_Toc3803"/>
      <w:bookmarkStart w:id="891" w:name="_Toc16666"/>
      <w:r>
        <w:rPr>
          <w:rFonts w:hint="eastAsia" w:ascii="仿宋" w:hAnsi="仿宋" w:eastAsia="仿宋" w:cs="仿宋"/>
          <w:b/>
          <w:color w:val="auto"/>
          <w:sz w:val="28"/>
          <w:szCs w:val="28"/>
        </w:rPr>
        <w:t>2.13 不可抗力</w:t>
      </w:r>
      <w:bookmarkEnd w:id="882"/>
      <w:bookmarkEnd w:id="883"/>
      <w:bookmarkEnd w:id="884"/>
      <w:bookmarkEnd w:id="885"/>
      <w:bookmarkEnd w:id="886"/>
      <w:bookmarkEnd w:id="887"/>
      <w:bookmarkEnd w:id="888"/>
      <w:bookmarkEnd w:id="889"/>
      <w:bookmarkEnd w:id="890"/>
      <w:bookmarkEnd w:id="891"/>
    </w:p>
    <w:p w14:paraId="2837221D">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2.13.1如果任何一方遭遇法律规定的不可抗力，致使合同履行受阻时，履行合同的期限应予延长，延长的期限应相当于不可抗力所影响的时间；</w:t>
      </w:r>
    </w:p>
    <w:p w14:paraId="454DFDD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2.13.2 因不可抗力致使不能实现合同目的的，当事人可以解除合同；</w:t>
      </w:r>
    </w:p>
    <w:p w14:paraId="044BDC7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2.13.3 因不可抗力致使合同有变更必要的，双方当事人应在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约定时间内以书面形式变更合同；</w:t>
      </w:r>
    </w:p>
    <w:p w14:paraId="3447789E">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2.13.4受不可抗力影响的一方在不可抗力发生后，应在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约定时间内以书面形式通知对方当事人，并在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约定时间内，将有关部门出具的证明文件送达对方当事人。</w:t>
      </w:r>
    </w:p>
    <w:p w14:paraId="39F2A935">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892" w:name="_Toc23644"/>
      <w:bookmarkStart w:id="893" w:name="_Toc6969"/>
      <w:bookmarkStart w:id="894" w:name="_Toc14941"/>
      <w:bookmarkStart w:id="895" w:name="_Toc18952"/>
      <w:bookmarkStart w:id="896" w:name="_Toc10332"/>
      <w:bookmarkStart w:id="897" w:name="_Toc689"/>
      <w:bookmarkStart w:id="898" w:name="_Toc30676"/>
      <w:bookmarkStart w:id="899" w:name="_Toc487900365"/>
      <w:bookmarkStart w:id="900" w:name="_Toc20380"/>
      <w:bookmarkStart w:id="901" w:name="_Toc13511"/>
      <w:bookmarkStart w:id="902" w:name="_Toc259093684"/>
      <w:bookmarkStart w:id="903" w:name="_Toc5744"/>
      <w:bookmarkStart w:id="904" w:name="_Toc279701255"/>
      <w:r>
        <w:rPr>
          <w:rFonts w:hint="eastAsia" w:ascii="仿宋" w:hAnsi="仿宋" w:eastAsia="仿宋" w:cs="仿宋"/>
          <w:b/>
          <w:color w:val="auto"/>
          <w:sz w:val="28"/>
          <w:szCs w:val="28"/>
        </w:rPr>
        <w:t>2.14 税费</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30F6F56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与合同有关的一切税费，均按照中华人民共和国法律的相关规定。</w:t>
      </w:r>
    </w:p>
    <w:p w14:paraId="4822224F">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05" w:name="_Toc17872"/>
      <w:bookmarkStart w:id="906" w:name="_Toc8298"/>
      <w:bookmarkStart w:id="907" w:name="_Toc28727"/>
      <w:bookmarkStart w:id="908" w:name="_Toc7102"/>
      <w:bookmarkStart w:id="909" w:name="_Toc22498"/>
      <w:bookmarkStart w:id="910" w:name="_Toc5273"/>
      <w:bookmarkStart w:id="911" w:name="_Toc16959"/>
      <w:bookmarkStart w:id="912" w:name="_Toc487900368"/>
      <w:bookmarkStart w:id="913" w:name="_Toc259093687"/>
      <w:bookmarkStart w:id="914" w:name="_Toc279701258"/>
      <w:bookmarkStart w:id="915" w:name="_Toc1911"/>
      <w:bookmarkStart w:id="916" w:name="_Toc4745"/>
      <w:bookmarkStart w:id="917" w:name="_Toc40"/>
      <w:r>
        <w:rPr>
          <w:rFonts w:hint="eastAsia" w:ascii="仿宋" w:hAnsi="仿宋" w:eastAsia="仿宋" w:cs="仿宋"/>
          <w:b/>
          <w:color w:val="auto"/>
          <w:sz w:val="28"/>
          <w:szCs w:val="28"/>
        </w:rPr>
        <w:t>2.15 乙方破产</w:t>
      </w:r>
      <w:bookmarkEnd w:id="905"/>
      <w:bookmarkEnd w:id="906"/>
      <w:bookmarkEnd w:id="907"/>
      <w:bookmarkEnd w:id="908"/>
      <w:bookmarkEnd w:id="909"/>
      <w:bookmarkEnd w:id="910"/>
      <w:bookmarkEnd w:id="911"/>
      <w:bookmarkEnd w:id="912"/>
      <w:bookmarkEnd w:id="913"/>
      <w:bookmarkEnd w:id="914"/>
      <w:bookmarkEnd w:id="915"/>
      <w:bookmarkEnd w:id="916"/>
      <w:bookmarkEnd w:id="917"/>
    </w:p>
    <w:p w14:paraId="51A3B26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1126117">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18" w:name="_Toc29333"/>
      <w:bookmarkStart w:id="919" w:name="_Toc27763"/>
      <w:bookmarkStart w:id="920" w:name="_Toc5183"/>
      <w:bookmarkStart w:id="921" w:name="_Toc363"/>
      <w:bookmarkStart w:id="922" w:name="_Toc15387"/>
      <w:bookmarkStart w:id="923" w:name="_Toc23253"/>
      <w:bookmarkStart w:id="924" w:name="_Toc25350"/>
      <w:bookmarkStart w:id="925" w:name="_Toc1209"/>
      <w:bookmarkStart w:id="926" w:name="_Toc28445"/>
      <w:bookmarkStart w:id="927" w:name="_Toc6134"/>
      <w:r>
        <w:rPr>
          <w:rFonts w:hint="eastAsia" w:ascii="仿宋" w:hAnsi="仿宋" w:eastAsia="仿宋" w:cs="仿宋"/>
          <w:b/>
          <w:color w:val="auto"/>
          <w:sz w:val="28"/>
          <w:szCs w:val="28"/>
        </w:rPr>
        <w:t>2.16 合同中止、终止</w:t>
      </w:r>
      <w:bookmarkEnd w:id="918"/>
      <w:bookmarkEnd w:id="919"/>
      <w:bookmarkEnd w:id="920"/>
      <w:bookmarkEnd w:id="921"/>
      <w:bookmarkEnd w:id="922"/>
      <w:bookmarkEnd w:id="923"/>
      <w:bookmarkEnd w:id="924"/>
      <w:bookmarkEnd w:id="925"/>
      <w:bookmarkEnd w:id="926"/>
      <w:bookmarkEnd w:id="927"/>
    </w:p>
    <w:p w14:paraId="5E4157B6">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2.16.1 双方当事人不得擅自中止或者终止合同；</w:t>
      </w:r>
    </w:p>
    <w:p w14:paraId="0CEA4FE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2.16.2合同继续履行将损害国家利益和社会公共利益的，双方当事人应当中止或者终止合同。有过错的一方应当承担赔偿责任，双方当事人都有过错的，各自承担相应的责任。</w:t>
      </w:r>
    </w:p>
    <w:p w14:paraId="37C219A9">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28" w:name="_Toc10449"/>
      <w:bookmarkStart w:id="929" w:name="_Toc6596"/>
      <w:bookmarkStart w:id="930" w:name="_Toc14563"/>
      <w:bookmarkStart w:id="931" w:name="_Toc1125"/>
      <w:bookmarkStart w:id="932" w:name="_Toc6008"/>
      <w:bookmarkStart w:id="933" w:name="_Toc20870"/>
      <w:bookmarkStart w:id="934" w:name="_Toc4849"/>
      <w:bookmarkStart w:id="935" w:name="_Toc28685"/>
      <w:bookmarkStart w:id="936" w:name="_Toc23266"/>
      <w:bookmarkStart w:id="937" w:name="_Toc6604"/>
      <w:r>
        <w:rPr>
          <w:rFonts w:hint="eastAsia" w:ascii="仿宋" w:hAnsi="仿宋" w:eastAsia="仿宋" w:cs="仿宋"/>
          <w:b/>
          <w:color w:val="auto"/>
          <w:sz w:val="28"/>
          <w:szCs w:val="28"/>
        </w:rPr>
        <w:t>2.17 检验和验收</w:t>
      </w:r>
      <w:bookmarkEnd w:id="928"/>
      <w:bookmarkEnd w:id="929"/>
      <w:bookmarkEnd w:id="930"/>
      <w:bookmarkEnd w:id="931"/>
      <w:bookmarkEnd w:id="932"/>
      <w:bookmarkEnd w:id="933"/>
      <w:bookmarkEnd w:id="934"/>
      <w:bookmarkEnd w:id="935"/>
      <w:bookmarkEnd w:id="936"/>
      <w:bookmarkEnd w:id="937"/>
    </w:p>
    <w:p w14:paraId="11AF40B7">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2.17.1货物交付前，乙方应对货物的质量、数量等方面进行详细、全面的检验，并向甲方出具证明货物符合合同约定的文件；货物交付时，乙方在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约定时间内组织验收，并可依法邀请相关方参加，验收应出具验收书。</w:t>
      </w:r>
    </w:p>
    <w:p w14:paraId="3BCD78C1">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0D0D75E">
      <w:pPr>
        <w:keepNext w:val="0"/>
        <w:keepLines w:val="0"/>
        <w:pageBreakBefore w:val="0"/>
        <w:widowControl w:val="0"/>
        <w:tabs>
          <w:tab w:val="left" w:pos="360"/>
          <w:tab w:val="left" w:pos="540"/>
          <w:tab w:val="left" w:pos="1080"/>
        </w:tabs>
        <w:kinsoku/>
        <w:wordWrap/>
        <w:overflowPunct/>
        <w:topLinePunct w:val="0"/>
        <w:bidi w:val="0"/>
        <w:snapToGrid/>
        <w:spacing w:line="480" w:lineRule="exact"/>
        <w:ind w:firstLine="560" w:firstLineChars="200"/>
        <w:textAlignment w:val="auto"/>
        <w:rPr>
          <w:rFonts w:hint="eastAsia" w:ascii="仿宋" w:hAnsi="仿宋" w:eastAsia="仿宋" w:cs="仿宋"/>
          <w:b/>
          <w:bCs/>
          <w:color w:val="auto"/>
          <w:sz w:val="28"/>
          <w:szCs w:val="28"/>
          <w:u w:val="single"/>
        </w:rPr>
      </w:pPr>
      <w:r>
        <w:rPr>
          <w:rFonts w:hint="eastAsia" w:ascii="仿宋" w:hAnsi="仿宋" w:eastAsia="仿宋" w:cs="仿宋"/>
          <w:color w:val="auto"/>
          <w:sz w:val="28"/>
          <w:szCs w:val="28"/>
        </w:rPr>
        <w:t>2.17.3 检验和验收标准、程序等具体内容以及前述验收书的效力详见</w:t>
      </w:r>
      <w:r>
        <w:rPr>
          <w:rFonts w:hint="eastAsia" w:ascii="仿宋" w:hAnsi="仿宋" w:eastAsia="仿宋" w:cs="仿宋"/>
          <w:b/>
          <w:bCs/>
          <w:color w:val="auto"/>
          <w:sz w:val="28"/>
          <w:szCs w:val="28"/>
          <w:u w:val="single"/>
        </w:rPr>
        <w:t>合同专用条款。</w:t>
      </w:r>
    </w:p>
    <w:bookmarkEnd w:id="865"/>
    <w:bookmarkEnd w:id="866"/>
    <w:bookmarkEnd w:id="867"/>
    <w:bookmarkEnd w:id="868"/>
    <w:p w14:paraId="51019FD1">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38" w:name="_Toc279701261"/>
      <w:bookmarkStart w:id="939" w:name="_Toc487900371"/>
      <w:bookmarkStart w:id="940" w:name="_Toc259093690"/>
      <w:bookmarkStart w:id="941" w:name="_Toc19149"/>
      <w:bookmarkStart w:id="942" w:name="_Toc20655"/>
      <w:bookmarkStart w:id="943" w:name="_Toc19604"/>
      <w:bookmarkStart w:id="944" w:name="_Toc6145"/>
      <w:bookmarkStart w:id="945" w:name="_Toc25182"/>
      <w:bookmarkStart w:id="946" w:name="_Toc15242"/>
      <w:bookmarkStart w:id="947" w:name="_Toc17714"/>
      <w:bookmarkStart w:id="948" w:name="_Toc27484"/>
      <w:bookmarkStart w:id="949" w:name="_Toc31350"/>
      <w:bookmarkStart w:id="950" w:name="_Toc11284"/>
      <w:r>
        <w:rPr>
          <w:rFonts w:hint="eastAsia" w:ascii="仿宋" w:hAnsi="仿宋" w:eastAsia="仿宋" w:cs="仿宋"/>
          <w:b/>
          <w:color w:val="auto"/>
          <w:sz w:val="28"/>
          <w:szCs w:val="28"/>
        </w:rPr>
        <w:t>2.18 通知</w:t>
      </w:r>
      <w:bookmarkEnd w:id="938"/>
      <w:bookmarkEnd w:id="939"/>
      <w:bookmarkEnd w:id="940"/>
      <w:r>
        <w:rPr>
          <w:rFonts w:hint="eastAsia" w:ascii="仿宋" w:hAnsi="仿宋" w:eastAsia="仿宋" w:cs="仿宋"/>
          <w:b/>
          <w:color w:val="auto"/>
          <w:sz w:val="28"/>
          <w:szCs w:val="28"/>
        </w:rPr>
        <w:t>和送达</w:t>
      </w:r>
      <w:bookmarkEnd w:id="941"/>
      <w:bookmarkEnd w:id="942"/>
      <w:bookmarkEnd w:id="943"/>
      <w:bookmarkEnd w:id="944"/>
      <w:bookmarkEnd w:id="945"/>
      <w:bookmarkEnd w:id="946"/>
      <w:bookmarkEnd w:id="947"/>
      <w:bookmarkEnd w:id="948"/>
      <w:bookmarkEnd w:id="949"/>
      <w:bookmarkEnd w:id="950"/>
    </w:p>
    <w:p w14:paraId="08F856BB">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951" w:name="_Toc6698"/>
      <w:bookmarkStart w:id="952" w:name="_Toc3135"/>
      <w:bookmarkStart w:id="953" w:name="_Toc259093691"/>
      <w:bookmarkStart w:id="954" w:name="_Toc487900372"/>
      <w:bookmarkStart w:id="955" w:name="_Toc279701262"/>
      <w:r>
        <w:rPr>
          <w:rFonts w:hint="eastAsia" w:ascii="仿宋" w:hAnsi="仿宋" w:eastAsia="仿宋" w:cs="仿宋"/>
          <w:color w:val="auto"/>
          <w:sz w:val="28"/>
          <w:szCs w:val="28"/>
        </w:rPr>
        <w:t>2.18.1 任何一方因履行合同而以合同第一部分尾部所列明的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发出的所有通知、文件、材料，均视为已向对方当事人送达；任何一方变更上述送达方式或者地址的，应于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个工作日内书面通知对方当事人，在对方当事人收到有关变更通知之前，变更前的约定送达方式或者地址仍视为有效。</w:t>
      </w:r>
      <w:bookmarkEnd w:id="951"/>
      <w:bookmarkEnd w:id="952"/>
    </w:p>
    <w:p w14:paraId="0C23DE4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bookmarkStart w:id="956" w:name="_Toc23294"/>
      <w:bookmarkStart w:id="957" w:name="_Toc23128"/>
      <w:r>
        <w:rPr>
          <w:rFonts w:hint="eastAsia" w:ascii="仿宋" w:hAnsi="仿宋" w:eastAsia="仿宋" w:cs="仿宋"/>
          <w:color w:val="auto"/>
          <w:sz w:val="28"/>
          <w:szCs w:val="28"/>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56"/>
      <w:bookmarkEnd w:id="957"/>
    </w:p>
    <w:p w14:paraId="225A6E0D">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58" w:name="_Toc30599"/>
      <w:bookmarkStart w:id="959" w:name="_Toc10864"/>
      <w:bookmarkStart w:id="960" w:name="_Toc19260"/>
      <w:bookmarkStart w:id="961" w:name="_Toc21613"/>
      <w:bookmarkStart w:id="962" w:name="_Toc30142"/>
      <w:bookmarkStart w:id="963" w:name="_Toc4355"/>
      <w:bookmarkStart w:id="964" w:name="_Toc17879"/>
      <w:bookmarkStart w:id="965" w:name="_Toc18540"/>
      <w:bookmarkStart w:id="966" w:name="_Toc1334"/>
      <w:bookmarkStart w:id="967" w:name="_Toc8254"/>
      <w:r>
        <w:rPr>
          <w:rFonts w:hint="eastAsia" w:ascii="仿宋" w:hAnsi="仿宋" w:eastAsia="仿宋" w:cs="仿宋"/>
          <w:b/>
          <w:color w:val="auto"/>
          <w:sz w:val="28"/>
          <w:szCs w:val="28"/>
        </w:rPr>
        <w:t>2.19 计量单位</w:t>
      </w:r>
      <w:bookmarkEnd w:id="953"/>
      <w:bookmarkEnd w:id="954"/>
      <w:bookmarkEnd w:id="955"/>
      <w:bookmarkEnd w:id="958"/>
      <w:bookmarkEnd w:id="959"/>
      <w:bookmarkEnd w:id="960"/>
      <w:bookmarkEnd w:id="961"/>
      <w:bookmarkEnd w:id="962"/>
      <w:bookmarkEnd w:id="963"/>
      <w:bookmarkEnd w:id="964"/>
      <w:bookmarkEnd w:id="965"/>
      <w:bookmarkEnd w:id="966"/>
      <w:bookmarkEnd w:id="967"/>
    </w:p>
    <w:p w14:paraId="5B1ABE59">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除技术规范中另有规定外,合同的计量单位均使用国家法定计量单位。</w:t>
      </w:r>
    </w:p>
    <w:p w14:paraId="45FC5497">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68" w:name="_Toc10330"/>
      <w:bookmarkStart w:id="969" w:name="_Toc279701263"/>
      <w:bookmarkStart w:id="970" w:name="_Toc27615"/>
      <w:bookmarkStart w:id="971" w:name="_Toc18567"/>
      <w:bookmarkStart w:id="972" w:name="_Toc259093692"/>
      <w:bookmarkStart w:id="973" w:name="_Toc22209"/>
      <w:bookmarkStart w:id="974" w:name="_Toc8512"/>
      <w:bookmarkStart w:id="975" w:name="_Toc14430"/>
      <w:bookmarkStart w:id="976" w:name="_Toc26222"/>
      <w:bookmarkStart w:id="977" w:name="_Toc10167"/>
      <w:bookmarkStart w:id="978" w:name="_Toc12773"/>
      <w:bookmarkStart w:id="979" w:name="_Toc487900373"/>
      <w:bookmarkStart w:id="980" w:name="_Toc6678"/>
      <w:r>
        <w:rPr>
          <w:rFonts w:hint="eastAsia" w:ascii="仿宋" w:hAnsi="仿宋" w:eastAsia="仿宋" w:cs="仿宋"/>
          <w:b/>
          <w:color w:val="auto"/>
          <w:sz w:val="28"/>
          <w:szCs w:val="28"/>
        </w:rPr>
        <w:t>2.20 合同使用的文字和适用的法律</w:t>
      </w:r>
      <w:bookmarkEnd w:id="968"/>
      <w:bookmarkEnd w:id="969"/>
      <w:bookmarkEnd w:id="970"/>
      <w:bookmarkEnd w:id="971"/>
      <w:bookmarkEnd w:id="972"/>
      <w:bookmarkEnd w:id="973"/>
      <w:bookmarkEnd w:id="974"/>
      <w:bookmarkEnd w:id="975"/>
      <w:bookmarkEnd w:id="976"/>
      <w:bookmarkEnd w:id="977"/>
      <w:bookmarkEnd w:id="978"/>
      <w:bookmarkEnd w:id="979"/>
      <w:bookmarkEnd w:id="980"/>
    </w:p>
    <w:p w14:paraId="6C49128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2.20.1 合同使用汉语书就、变更和解释；</w:t>
      </w:r>
    </w:p>
    <w:p w14:paraId="1A5E2BF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2.20.2 合同适用中华人民共和国法律。</w:t>
      </w:r>
    </w:p>
    <w:p w14:paraId="0C89F56F">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81" w:name="_Toc16673"/>
      <w:bookmarkStart w:id="982" w:name="_Toc279701264"/>
      <w:bookmarkStart w:id="983" w:name="_Toc12004"/>
      <w:bookmarkStart w:id="984" w:name="_Toc15815"/>
      <w:bookmarkStart w:id="985" w:name="_Toc3148"/>
      <w:bookmarkStart w:id="986" w:name="_Toc10774"/>
      <w:bookmarkStart w:id="987" w:name="_Toc4134"/>
      <w:bookmarkStart w:id="988" w:name="_Toc17763"/>
      <w:bookmarkStart w:id="989" w:name="_Toc2420"/>
      <w:bookmarkStart w:id="990" w:name="_Toc259093693"/>
      <w:bookmarkStart w:id="991" w:name="_Toc29071"/>
      <w:bookmarkStart w:id="992" w:name="_Toc6961"/>
      <w:bookmarkStart w:id="993" w:name="_Toc487900374"/>
      <w:r>
        <w:rPr>
          <w:rFonts w:hint="eastAsia" w:ascii="仿宋" w:hAnsi="仿宋" w:eastAsia="仿宋" w:cs="仿宋"/>
          <w:b/>
          <w:color w:val="auto"/>
          <w:sz w:val="28"/>
          <w:szCs w:val="28"/>
        </w:rPr>
        <w:t>2.21 履约保证金</w:t>
      </w:r>
      <w:bookmarkEnd w:id="981"/>
      <w:bookmarkEnd w:id="982"/>
      <w:bookmarkEnd w:id="983"/>
      <w:bookmarkEnd w:id="984"/>
      <w:bookmarkEnd w:id="985"/>
      <w:bookmarkEnd w:id="986"/>
      <w:bookmarkEnd w:id="987"/>
      <w:bookmarkEnd w:id="988"/>
      <w:bookmarkEnd w:id="989"/>
      <w:bookmarkEnd w:id="990"/>
      <w:bookmarkEnd w:id="991"/>
      <w:bookmarkEnd w:id="992"/>
    </w:p>
    <w:p w14:paraId="518215DF">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2.21.1 招标文件要求乙方提交履约保证金的，乙方应按</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约定的方式，提交不超过合同价10%的履约保证金；</w:t>
      </w:r>
    </w:p>
    <w:p w14:paraId="67E541A2">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2.21.2  履约保证金在</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约定期间内或者货物质量保证期内不予退还或者应完全有效，前述约定期间届满或者货物质量保证期届满之日起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个工作日内，甲方应将履约保证金退还乙方；</w:t>
      </w:r>
    </w:p>
    <w:p w14:paraId="63EE5273">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93"/>
    <w:p w14:paraId="57DDF90A">
      <w:pPr>
        <w:keepNext w:val="0"/>
        <w:keepLines w:val="0"/>
        <w:pageBreakBefore w:val="0"/>
        <w:widowControl w:val="0"/>
        <w:kinsoku/>
        <w:wordWrap/>
        <w:overflowPunct/>
        <w:topLinePunct w:val="0"/>
        <w:bidi w:val="0"/>
        <w:snapToGrid/>
        <w:spacing w:line="480" w:lineRule="exact"/>
        <w:ind w:firstLine="562" w:firstLineChars="200"/>
        <w:textAlignment w:val="auto"/>
        <w:outlineLvl w:val="1"/>
        <w:rPr>
          <w:rFonts w:hint="eastAsia" w:ascii="仿宋" w:hAnsi="仿宋" w:eastAsia="仿宋" w:cs="仿宋"/>
          <w:b/>
          <w:color w:val="auto"/>
          <w:sz w:val="28"/>
          <w:szCs w:val="28"/>
        </w:rPr>
      </w:pPr>
      <w:bookmarkStart w:id="994" w:name="_Toc6885"/>
      <w:bookmarkStart w:id="995" w:name="_Toc27161"/>
      <w:bookmarkStart w:id="996" w:name="_Toc19890"/>
      <w:bookmarkStart w:id="997" w:name="_Toc818"/>
      <w:bookmarkStart w:id="998" w:name="_Toc20216"/>
      <w:bookmarkStart w:id="999" w:name="_Toc12702"/>
      <w:bookmarkStart w:id="1000" w:name="_Toc17123"/>
      <w:bookmarkStart w:id="1001" w:name="_Toc14001"/>
      <w:bookmarkStart w:id="1002" w:name="_Toc22368"/>
      <w:bookmarkStart w:id="1003" w:name="_Toc3481"/>
      <w:r>
        <w:rPr>
          <w:rFonts w:hint="eastAsia" w:ascii="仿宋" w:hAnsi="仿宋" w:eastAsia="仿宋" w:cs="仿宋"/>
          <w:b/>
          <w:color w:val="auto"/>
          <w:sz w:val="28"/>
          <w:szCs w:val="28"/>
        </w:rPr>
        <w:t>2.22 合同份数</w:t>
      </w:r>
      <w:bookmarkEnd w:id="994"/>
      <w:bookmarkEnd w:id="995"/>
      <w:bookmarkEnd w:id="996"/>
      <w:bookmarkEnd w:id="997"/>
      <w:bookmarkEnd w:id="998"/>
      <w:bookmarkEnd w:id="999"/>
      <w:bookmarkEnd w:id="1000"/>
      <w:bookmarkEnd w:id="1001"/>
      <w:bookmarkEnd w:id="1002"/>
      <w:bookmarkEnd w:id="1003"/>
    </w:p>
    <w:p w14:paraId="62669634">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合同份数按</w:t>
      </w:r>
      <w:r>
        <w:rPr>
          <w:rFonts w:hint="eastAsia" w:ascii="仿宋" w:hAnsi="仿宋" w:eastAsia="仿宋" w:cs="仿宋"/>
          <w:b/>
          <w:bCs/>
          <w:color w:val="auto"/>
          <w:sz w:val="28"/>
          <w:szCs w:val="28"/>
          <w:u w:val="single"/>
        </w:rPr>
        <w:t>合同专用条款</w:t>
      </w:r>
      <w:r>
        <w:rPr>
          <w:rFonts w:hint="eastAsia" w:ascii="仿宋" w:hAnsi="仿宋" w:eastAsia="仿宋" w:cs="仿宋"/>
          <w:color w:val="auto"/>
          <w:sz w:val="28"/>
          <w:szCs w:val="28"/>
        </w:rPr>
        <w:t>规定，每份均具有同等法律效力。</w:t>
      </w:r>
    </w:p>
    <w:p w14:paraId="20F05B2C">
      <w:pPr>
        <w:rPr>
          <w:rFonts w:hint="eastAsia" w:ascii="仿宋" w:hAnsi="仿宋" w:eastAsia="仿宋" w:cs="仿宋"/>
          <w:b/>
          <w:color w:val="auto"/>
          <w:sz w:val="28"/>
          <w:szCs w:val="28"/>
        </w:rPr>
      </w:pPr>
      <w:bookmarkStart w:id="1004" w:name="_Toc10844"/>
      <w:bookmarkStart w:id="1005" w:name="_Toc21661"/>
      <w:bookmarkStart w:id="1006" w:name="_Toc6009"/>
      <w:bookmarkStart w:id="1007" w:name="_Toc23366"/>
      <w:bookmarkStart w:id="1008" w:name="_Toc17358"/>
      <w:bookmarkStart w:id="1009" w:name="_Toc30769"/>
      <w:bookmarkStart w:id="1010" w:name="_Toc11925"/>
      <w:bookmarkStart w:id="1011" w:name="_Toc20701"/>
      <w:bookmarkStart w:id="1012" w:name="_Toc331685784"/>
      <w:r>
        <w:rPr>
          <w:rFonts w:hint="eastAsia" w:ascii="仿宋" w:hAnsi="仿宋" w:eastAsia="仿宋" w:cs="仿宋"/>
          <w:b/>
          <w:color w:val="auto"/>
          <w:sz w:val="28"/>
          <w:szCs w:val="28"/>
        </w:rPr>
        <w:br w:type="page"/>
      </w:r>
    </w:p>
    <w:p w14:paraId="7AEBC206">
      <w:pPr>
        <w:pStyle w:val="35"/>
        <w:keepNext w:val="0"/>
        <w:keepLines w:val="0"/>
        <w:pageBreakBefore w:val="0"/>
        <w:widowControl w:val="0"/>
        <w:kinsoku/>
        <w:wordWrap/>
        <w:overflowPunct/>
        <w:topLinePunct w:val="0"/>
        <w:bidi w:val="0"/>
        <w:snapToGrid/>
        <w:spacing w:line="480" w:lineRule="exact"/>
        <w:ind w:firstLine="0"/>
        <w:jc w:val="center"/>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第三部分  合同专用条款</w:t>
      </w:r>
      <w:bookmarkEnd w:id="1004"/>
      <w:bookmarkEnd w:id="1005"/>
      <w:bookmarkEnd w:id="1006"/>
      <w:bookmarkEnd w:id="1007"/>
      <w:bookmarkEnd w:id="1008"/>
      <w:bookmarkEnd w:id="1009"/>
      <w:bookmarkEnd w:id="1010"/>
      <w:bookmarkEnd w:id="1011"/>
      <w:bookmarkEnd w:id="1012"/>
    </w:p>
    <w:p w14:paraId="365948E0">
      <w:pPr>
        <w:keepNext w:val="0"/>
        <w:keepLines w:val="0"/>
        <w:pageBreakBefore w:val="0"/>
        <w:widowControl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A54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09DDF081">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条款号</w:t>
            </w:r>
          </w:p>
        </w:tc>
        <w:tc>
          <w:tcPr>
            <w:tcW w:w="7633" w:type="dxa"/>
            <w:noWrap w:val="0"/>
            <w:vAlign w:val="center"/>
          </w:tcPr>
          <w:p w14:paraId="1B9A4746">
            <w:pPr>
              <w:spacing w:line="44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约定内容</w:t>
            </w:r>
          </w:p>
        </w:tc>
      </w:tr>
      <w:tr w14:paraId="1283E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68392AED">
            <w:pPr>
              <w:spacing w:line="560" w:lineRule="exact"/>
              <w:rPr>
                <w:rFonts w:hint="eastAsia" w:ascii="仿宋" w:hAnsi="仿宋" w:eastAsia="仿宋" w:cs="仿宋"/>
                <w:color w:val="auto"/>
                <w:sz w:val="28"/>
                <w:szCs w:val="28"/>
              </w:rPr>
            </w:pPr>
          </w:p>
        </w:tc>
        <w:tc>
          <w:tcPr>
            <w:tcW w:w="7633" w:type="dxa"/>
            <w:noWrap w:val="0"/>
            <w:vAlign w:val="center"/>
          </w:tcPr>
          <w:p w14:paraId="244B87FB">
            <w:pPr>
              <w:spacing w:line="560" w:lineRule="exact"/>
              <w:rPr>
                <w:rFonts w:hint="eastAsia" w:ascii="仿宋" w:hAnsi="仿宋" w:eastAsia="仿宋" w:cs="仿宋"/>
                <w:color w:val="auto"/>
                <w:sz w:val="28"/>
                <w:szCs w:val="28"/>
              </w:rPr>
            </w:pPr>
          </w:p>
        </w:tc>
      </w:tr>
      <w:tr w14:paraId="02350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4869F072">
            <w:pPr>
              <w:spacing w:line="560" w:lineRule="exact"/>
              <w:rPr>
                <w:rFonts w:hint="eastAsia" w:ascii="仿宋" w:hAnsi="仿宋" w:eastAsia="仿宋" w:cs="仿宋"/>
                <w:color w:val="auto"/>
                <w:sz w:val="28"/>
                <w:szCs w:val="28"/>
              </w:rPr>
            </w:pPr>
          </w:p>
        </w:tc>
        <w:tc>
          <w:tcPr>
            <w:tcW w:w="7633" w:type="dxa"/>
            <w:noWrap w:val="0"/>
            <w:vAlign w:val="center"/>
          </w:tcPr>
          <w:p w14:paraId="1ED667C5">
            <w:pPr>
              <w:spacing w:line="560" w:lineRule="exact"/>
              <w:rPr>
                <w:rFonts w:hint="eastAsia" w:ascii="仿宋" w:hAnsi="仿宋" w:eastAsia="仿宋" w:cs="仿宋"/>
                <w:color w:val="auto"/>
                <w:sz w:val="28"/>
                <w:szCs w:val="28"/>
              </w:rPr>
            </w:pPr>
          </w:p>
        </w:tc>
      </w:tr>
      <w:tr w14:paraId="6E3E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703675E">
            <w:pPr>
              <w:spacing w:line="560" w:lineRule="exact"/>
              <w:rPr>
                <w:rFonts w:hint="eastAsia" w:ascii="仿宋" w:hAnsi="仿宋" w:eastAsia="仿宋" w:cs="仿宋"/>
                <w:color w:val="auto"/>
                <w:sz w:val="28"/>
                <w:szCs w:val="28"/>
              </w:rPr>
            </w:pPr>
          </w:p>
        </w:tc>
        <w:tc>
          <w:tcPr>
            <w:tcW w:w="7633" w:type="dxa"/>
            <w:noWrap w:val="0"/>
            <w:vAlign w:val="center"/>
          </w:tcPr>
          <w:p w14:paraId="5410F26B">
            <w:pPr>
              <w:spacing w:line="560" w:lineRule="exact"/>
              <w:rPr>
                <w:rFonts w:hint="eastAsia" w:ascii="仿宋" w:hAnsi="仿宋" w:eastAsia="仿宋" w:cs="仿宋"/>
                <w:color w:val="auto"/>
                <w:sz w:val="28"/>
                <w:szCs w:val="28"/>
              </w:rPr>
            </w:pPr>
          </w:p>
        </w:tc>
      </w:tr>
      <w:tr w14:paraId="44AD7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F59542E">
            <w:pPr>
              <w:spacing w:line="560" w:lineRule="exact"/>
              <w:rPr>
                <w:rFonts w:hint="eastAsia" w:ascii="仿宋" w:hAnsi="仿宋" w:eastAsia="仿宋" w:cs="仿宋"/>
                <w:color w:val="auto"/>
                <w:sz w:val="28"/>
                <w:szCs w:val="28"/>
              </w:rPr>
            </w:pPr>
          </w:p>
        </w:tc>
        <w:tc>
          <w:tcPr>
            <w:tcW w:w="7633" w:type="dxa"/>
            <w:noWrap w:val="0"/>
            <w:vAlign w:val="center"/>
          </w:tcPr>
          <w:p w14:paraId="5C17DA6C">
            <w:pPr>
              <w:spacing w:line="560" w:lineRule="exact"/>
              <w:rPr>
                <w:rFonts w:hint="eastAsia" w:ascii="仿宋" w:hAnsi="仿宋" w:eastAsia="仿宋" w:cs="仿宋"/>
                <w:color w:val="auto"/>
                <w:sz w:val="28"/>
                <w:szCs w:val="28"/>
              </w:rPr>
            </w:pPr>
          </w:p>
        </w:tc>
      </w:tr>
      <w:tr w14:paraId="2C2BA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7C7E4AA">
            <w:pPr>
              <w:spacing w:line="560" w:lineRule="exact"/>
              <w:rPr>
                <w:rFonts w:hint="eastAsia" w:ascii="仿宋" w:hAnsi="仿宋" w:eastAsia="仿宋" w:cs="仿宋"/>
                <w:color w:val="auto"/>
                <w:sz w:val="28"/>
                <w:szCs w:val="28"/>
              </w:rPr>
            </w:pPr>
          </w:p>
        </w:tc>
        <w:tc>
          <w:tcPr>
            <w:tcW w:w="7633" w:type="dxa"/>
            <w:noWrap w:val="0"/>
            <w:vAlign w:val="center"/>
          </w:tcPr>
          <w:p w14:paraId="21DDEA58">
            <w:pPr>
              <w:spacing w:line="560" w:lineRule="exact"/>
              <w:rPr>
                <w:rFonts w:hint="eastAsia" w:ascii="仿宋" w:hAnsi="仿宋" w:eastAsia="仿宋" w:cs="仿宋"/>
                <w:color w:val="auto"/>
                <w:sz w:val="28"/>
                <w:szCs w:val="28"/>
                <w:u w:val="single"/>
              </w:rPr>
            </w:pPr>
          </w:p>
        </w:tc>
      </w:tr>
      <w:tr w14:paraId="2501A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63ED673">
            <w:pPr>
              <w:spacing w:line="560" w:lineRule="exact"/>
              <w:rPr>
                <w:rFonts w:hint="eastAsia" w:ascii="仿宋" w:hAnsi="仿宋" w:eastAsia="仿宋" w:cs="仿宋"/>
                <w:color w:val="auto"/>
                <w:sz w:val="28"/>
                <w:szCs w:val="28"/>
              </w:rPr>
            </w:pPr>
          </w:p>
        </w:tc>
        <w:tc>
          <w:tcPr>
            <w:tcW w:w="7633" w:type="dxa"/>
            <w:noWrap w:val="0"/>
            <w:vAlign w:val="center"/>
          </w:tcPr>
          <w:p w14:paraId="3D17DE7C">
            <w:pPr>
              <w:spacing w:line="560" w:lineRule="exact"/>
              <w:rPr>
                <w:rFonts w:hint="eastAsia" w:ascii="仿宋" w:hAnsi="仿宋" w:eastAsia="仿宋" w:cs="仿宋"/>
                <w:color w:val="auto"/>
                <w:sz w:val="28"/>
                <w:szCs w:val="28"/>
              </w:rPr>
            </w:pPr>
          </w:p>
        </w:tc>
      </w:tr>
      <w:tr w14:paraId="34376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759897E">
            <w:pPr>
              <w:spacing w:line="560" w:lineRule="exact"/>
              <w:rPr>
                <w:rFonts w:hint="eastAsia" w:ascii="仿宋" w:hAnsi="仿宋" w:eastAsia="仿宋" w:cs="仿宋"/>
                <w:color w:val="auto"/>
                <w:sz w:val="28"/>
                <w:szCs w:val="28"/>
              </w:rPr>
            </w:pPr>
          </w:p>
        </w:tc>
        <w:tc>
          <w:tcPr>
            <w:tcW w:w="7633" w:type="dxa"/>
            <w:noWrap w:val="0"/>
            <w:vAlign w:val="center"/>
          </w:tcPr>
          <w:p w14:paraId="16FC4A9F">
            <w:pPr>
              <w:spacing w:line="560" w:lineRule="exact"/>
              <w:rPr>
                <w:rFonts w:hint="eastAsia" w:ascii="仿宋" w:hAnsi="仿宋" w:eastAsia="仿宋" w:cs="仿宋"/>
                <w:color w:val="auto"/>
                <w:sz w:val="28"/>
                <w:szCs w:val="28"/>
                <w:u w:val="single"/>
              </w:rPr>
            </w:pPr>
          </w:p>
        </w:tc>
      </w:tr>
      <w:tr w14:paraId="3E4D9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BD4EAB9">
            <w:pPr>
              <w:spacing w:line="560" w:lineRule="exact"/>
              <w:rPr>
                <w:rFonts w:hint="eastAsia" w:ascii="仿宋" w:hAnsi="仿宋" w:eastAsia="仿宋" w:cs="仿宋"/>
                <w:color w:val="auto"/>
                <w:sz w:val="28"/>
                <w:szCs w:val="28"/>
              </w:rPr>
            </w:pPr>
          </w:p>
        </w:tc>
        <w:tc>
          <w:tcPr>
            <w:tcW w:w="7633" w:type="dxa"/>
            <w:noWrap w:val="0"/>
            <w:vAlign w:val="center"/>
          </w:tcPr>
          <w:p w14:paraId="26296918">
            <w:pPr>
              <w:spacing w:line="560" w:lineRule="exact"/>
              <w:rPr>
                <w:rFonts w:hint="eastAsia" w:ascii="仿宋" w:hAnsi="仿宋" w:eastAsia="仿宋" w:cs="仿宋"/>
                <w:color w:val="auto"/>
                <w:sz w:val="28"/>
                <w:szCs w:val="28"/>
              </w:rPr>
            </w:pPr>
          </w:p>
        </w:tc>
      </w:tr>
      <w:tr w14:paraId="14134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D4A1D59">
            <w:pPr>
              <w:spacing w:line="560" w:lineRule="exact"/>
              <w:rPr>
                <w:rFonts w:hint="eastAsia" w:ascii="仿宋" w:hAnsi="仿宋" w:eastAsia="仿宋" w:cs="仿宋"/>
                <w:color w:val="auto"/>
                <w:sz w:val="28"/>
                <w:szCs w:val="28"/>
              </w:rPr>
            </w:pPr>
          </w:p>
        </w:tc>
        <w:tc>
          <w:tcPr>
            <w:tcW w:w="7633" w:type="dxa"/>
            <w:noWrap w:val="0"/>
            <w:vAlign w:val="center"/>
          </w:tcPr>
          <w:p w14:paraId="78B8F3F3">
            <w:pPr>
              <w:spacing w:line="560" w:lineRule="exact"/>
              <w:rPr>
                <w:rFonts w:hint="eastAsia" w:ascii="仿宋" w:hAnsi="仿宋" w:eastAsia="仿宋" w:cs="仿宋"/>
                <w:color w:val="auto"/>
                <w:sz w:val="28"/>
                <w:szCs w:val="28"/>
              </w:rPr>
            </w:pPr>
          </w:p>
        </w:tc>
      </w:tr>
      <w:tr w14:paraId="5092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63367A53">
            <w:pPr>
              <w:spacing w:line="560" w:lineRule="exact"/>
              <w:rPr>
                <w:rFonts w:hint="eastAsia" w:ascii="仿宋" w:hAnsi="仿宋" w:eastAsia="仿宋" w:cs="仿宋"/>
                <w:color w:val="auto"/>
                <w:sz w:val="28"/>
                <w:szCs w:val="28"/>
              </w:rPr>
            </w:pPr>
          </w:p>
        </w:tc>
        <w:tc>
          <w:tcPr>
            <w:tcW w:w="7633" w:type="dxa"/>
            <w:noWrap w:val="0"/>
            <w:vAlign w:val="center"/>
          </w:tcPr>
          <w:p w14:paraId="09D33CFC">
            <w:pPr>
              <w:spacing w:line="560" w:lineRule="exact"/>
              <w:rPr>
                <w:rFonts w:hint="eastAsia" w:ascii="仿宋" w:hAnsi="仿宋" w:eastAsia="仿宋" w:cs="仿宋"/>
                <w:color w:val="auto"/>
                <w:sz w:val="28"/>
                <w:szCs w:val="28"/>
              </w:rPr>
            </w:pPr>
          </w:p>
        </w:tc>
      </w:tr>
      <w:tr w14:paraId="72A8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14:paraId="2DB1ADEF">
            <w:pPr>
              <w:spacing w:line="560" w:lineRule="exact"/>
              <w:rPr>
                <w:rFonts w:hint="eastAsia" w:ascii="仿宋" w:hAnsi="仿宋" w:eastAsia="仿宋" w:cs="仿宋"/>
                <w:color w:val="auto"/>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5A66DDD2">
            <w:pPr>
              <w:spacing w:line="560" w:lineRule="exact"/>
              <w:rPr>
                <w:rFonts w:hint="eastAsia" w:ascii="仿宋" w:hAnsi="仿宋" w:eastAsia="仿宋" w:cs="仿宋"/>
                <w:color w:val="auto"/>
                <w:sz w:val="28"/>
                <w:szCs w:val="28"/>
              </w:rPr>
            </w:pPr>
          </w:p>
        </w:tc>
      </w:tr>
      <w:tr w14:paraId="4B671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noWrap w:val="0"/>
            <w:vAlign w:val="center"/>
          </w:tcPr>
          <w:p w14:paraId="13145546">
            <w:pPr>
              <w:spacing w:line="560" w:lineRule="exact"/>
              <w:rPr>
                <w:rFonts w:hint="eastAsia" w:ascii="仿宋" w:hAnsi="仿宋" w:eastAsia="仿宋" w:cs="仿宋"/>
                <w:color w:val="auto"/>
                <w:sz w:val="28"/>
                <w:szCs w:val="28"/>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2A19F0A1">
            <w:pPr>
              <w:spacing w:line="560" w:lineRule="exact"/>
              <w:rPr>
                <w:rFonts w:hint="eastAsia" w:ascii="仿宋" w:hAnsi="仿宋" w:eastAsia="仿宋" w:cs="仿宋"/>
                <w:color w:val="auto"/>
                <w:sz w:val="28"/>
                <w:szCs w:val="28"/>
              </w:rPr>
            </w:pPr>
          </w:p>
        </w:tc>
      </w:tr>
    </w:tbl>
    <w:p w14:paraId="3EF886E9">
      <w:pPr>
        <w:pStyle w:val="8"/>
        <w:spacing w:line="240" w:lineRule="atLeast"/>
        <w:ind w:left="1080" w:leftChars="257" w:hanging="540"/>
        <w:rPr>
          <w:rFonts w:hint="eastAsia" w:ascii="仿宋" w:hAnsi="仿宋" w:eastAsia="仿宋" w:cs="仿宋"/>
          <w:color w:val="auto"/>
          <w:sz w:val="28"/>
          <w:szCs w:val="28"/>
        </w:rPr>
      </w:pPr>
    </w:p>
    <w:p w14:paraId="2FF93FE3">
      <w:pPr>
        <w:pStyle w:val="13"/>
        <w:rPr>
          <w:rFonts w:hint="eastAsia"/>
          <w:color w:val="auto"/>
        </w:rPr>
      </w:pPr>
    </w:p>
    <w:sectPr>
      <w:footerReference r:id="rId13" w:type="default"/>
      <w:pgSz w:w="11907" w:h="16840"/>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6B69B-C21A-479D-B801-31FA32032F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4A49D6-078A-447F-87F4-E9822D3E7117}"/>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73D03200-9ECC-425D-AEDD-3DCC14AE9A46}"/>
  </w:font>
  <w:font w:name="Helvetica">
    <w:altName w:val="Arial"/>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decorative"/>
    <w:pitch w:val="default"/>
    <w:sig w:usb0="00000000" w:usb1="00000000" w:usb2="00000000" w:usb3="00000000" w:csb0="80000000" w:csb1="00000000"/>
    <w:embedRegular r:id="rId4" w:fontKey="{016A23E0-8CD7-4186-9A33-8BC7FA5DAB73}"/>
  </w:font>
  <w:font w:name="仿宋_GB2312">
    <w:panose1 w:val="02010609030101010101"/>
    <w:charset w:val="86"/>
    <w:family w:val="modern"/>
    <w:pitch w:val="default"/>
    <w:sig w:usb0="00000001" w:usb1="080E0000" w:usb2="00000000" w:usb3="00000000" w:csb0="00040000" w:csb1="00000000"/>
    <w:embedRegular r:id="rId5" w:fontKey="{F30BF5F1-68A5-4E34-BAB4-9C18D19BC3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DC03">
    <w:pPr>
      <w:pStyle w:val="19"/>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D0AD">
    <w:pPr>
      <w:pStyle w:val="19"/>
      <w:framePr w:wrap="around" w:vAnchor="text" w:hAnchor="margin" w:xAlign="center" w:y="1"/>
      <w:rPr>
        <w:rStyle w:val="31"/>
      </w:rPr>
    </w:pPr>
    <w:r>
      <w:fldChar w:fldCharType="begin"/>
    </w:r>
    <w:r>
      <w:rPr>
        <w:rStyle w:val="31"/>
      </w:rPr>
      <w:instrText xml:space="preserve">PAGE  </w:instrText>
    </w:r>
    <w:r>
      <w:fldChar w:fldCharType="end"/>
    </w:r>
  </w:p>
  <w:p w14:paraId="71017603">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F11A">
    <w:pPr>
      <w:pStyle w:val="13"/>
      <w:spacing w:line="14" w:lineRule="auto"/>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2C29F">
                          <w:pPr>
                            <w:pStyle w:val="1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2D2C29F">
                    <w:pPr>
                      <w:pStyle w:val="1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BD87">
    <w:pPr>
      <w:spacing w:line="179" w:lineRule="auto"/>
      <w:ind w:left="4168"/>
      <w:rPr>
        <w:rFonts w:ascii="宋体" w:hAnsi="宋体" w:eastAsia="宋体" w:cs="宋体"/>
        <w:sz w:val="17"/>
        <w:szCs w:val="17"/>
      </w:rPr>
    </w:pPr>
    <w:r>
      <w:rPr>
        <w:rFonts w:ascii="宋体" w:hAnsi="宋体" w:eastAsia="宋体" w:cs="宋体"/>
        <w:spacing w:val="1"/>
        <w:sz w:val="17"/>
        <w:szCs w:val="17"/>
      </w:rPr>
      <w:t>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CCD6">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6545FD">
                          <w:pPr>
                            <w:pStyle w:val="1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B6545FD">
                    <w:pPr>
                      <w:pStyle w:val="1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27813">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FF671">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58FF671">
                    <w:pPr>
                      <w:pStyle w:val="19"/>
                    </w:pPr>
                    <w:r>
                      <w:fldChar w:fldCharType="begin"/>
                    </w:r>
                    <w:r>
                      <w:instrText xml:space="preserve"> PAGE  \* MERGEFORMAT </w:instrText>
                    </w:r>
                    <w:r>
                      <w:fldChar w:fldCharType="separate"/>
                    </w:r>
                    <w:r>
                      <w:t>93</w:t>
                    </w:r>
                    <w:r>
                      <w:fldChar w:fldCharType="end"/>
                    </w:r>
                  </w:p>
                </w:txbxContent>
              </v:textbox>
            </v:shape>
          </w:pict>
        </mc:Fallback>
      </mc:AlternateContent>
    </w:r>
  </w:p>
  <w:p w14:paraId="06E04FC1">
    <w:pPr>
      <w:pStyle w:val="19"/>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8F69">
    <w:pPr>
      <w:pStyle w:val="20"/>
      <w:pBdr>
        <w:bottom w:val="single" w:color="auto" w:sz="4" w:space="1"/>
      </w:pBdr>
      <w:snapToGrid/>
      <w:spacing w:afterAutospacing="0" w:line="360" w:lineRule="auto"/>
      <w:jc w:val="both"/>
      <w:rPr>
        <w:u w:val="none"/>
      </w:rPr>
    </w:pPr>
    <w:r>
      <w:rPr>
        <w:rFonts w:hint="eastAsia"/>
        <w:u w:val="none"/>
      </w:rPr>
      <w:t>察布查尔锡伯自治县公安局2025年五金杂货采购项目</w:t>
    </w:r>
    <w:r>
      <w:rPr>
        <w:sz w:val="18"/>
        <w:u w:val="none"/>
      </w:rPr>
      <w:pict>
        <v:shape id="PowerPlusWaterMarkObject69990" o:spid="_x0000_s4100" o:spt="136" type="#_x0000_t136" style="position:absolute;left:0pt;height:55.15pt;width:633.9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EE2DF">
    <w:pPr>
      <w:pStyle w:val="2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
                  <pic:cNvPicPr>
                    <a:picLocks noChangeAspect="1"/>
                  </pic:cNvPicPr>
                </pic:nvPicPr>
                <pic:blipFill>
                  <a:blip r:embed="rId1">
                    <a:lum bright="70001" contrast="-70000"/>
                  </a:blip>
                  <a:stretch>
                    <a:fillRect/>
                  </a:stretch>
                </pic:blipFill>
                <pic:spPr>
                  <a:xfrm>
                    <a:off x="0" y="0"/>
                    <a:ext cx="6119495" cy="61194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57AD">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7EE2">
    <w:pPr>
      <w:pStyle w:val="20"/>
      <w:pBdr>
        <w:bottom w:val="none" w:color="auto" w:sz="0" w:space="1"/>
      </w:pBdr>
      <w:spacing w:afterAutospacing="0"/>
      <w:jc w:val="both"/>
      <w:rPr>
        <w:rFonts w:hint="eastAsia"/>
      </w:rPr>
    </w:pPr>
  </w:p>
  <w:p w14:paraId="1D695C8E">
    <w:pPr>
      <w:pStyle w:val="20"/>
      <w:pBdr>
        <w:bottom w:val="single" w:color="auto" w:sz="4" w:space="1"/>
      </w:pBdr>
      <w:spacing w:afterAutospacing="0"/>
      <w:jc w:val="both"/>
    </w:pPr>
    <w:r>
      <w:rPr>
        <w:rFonts w:hint="eastAsia"/>
      </w:rPr>
      <w:t>察布查尔锡伯自治县公安局2025年五金杂货采购项目</w:t>
    </w:r>
    <w:r>
      <w:rPr>
        <w:sz w:val="18"/>
      </w:rPr>
      <w:pict>
        <v:shape id="_x0000_s4102" o:spid="_x0000_s4102" o:spt="136" type="#_x0000_t136" style="position:absolute;left:0pt;height:55.15pt;width:633.9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3389D">
    <w:pPr>
      <w:pStyle w:val="20"/>
      <w:jc w:val="both"/>
      <w:rPr>
        <w:rFonts w:hint="eastAsia"/>
        <w:lang w:val="en-US" w:eastAsia="zh-CN"/>
      </w:rPr>
    </w:pPr>
    <w:r>
      <w:rPr>
        <w:sz w:val="18"/>
      </w:rPr>
      <w:pict>
        <v:shape id="PowerPlusWaterMarkObject101181" o:spid="_x0000_s4101" o:spt="136" type="#_x0000_t136" style="position:absolute;left:0pt;height:55.15pt;width:633.9pt;mso-position-horizontal:center;mso-position-horizontal-relative:margin;mso-position-vertical:center;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新疆长润泽建设工程管理有限公司" style="font-family:微软雅黑;font-size:36pt;v-same-letter-heights:f;v-text-align:center;"/>
        </v:shape>
      </w:pict>
    </w:r>
    <w:r>
      <w:rPr>
        <w:rFonts w:hint="eastAsia"/>
        <w:lang w:eastAsia="zh-CN"/>
      </w:rPr>
      <w:t>察布查尔锡伯自治县公安局2025年五金杂货采购项目</w:t>
    </w: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GY3YTMxMmFiZDI4MGUxZmI4Njk2NjdlOWQ1MTIifQ=="/>
  </w:docVars>
  <w:rsids>
    <w:rsidRoot w:val="0BD46CE0"/>
    <w:rsid w:val="00013654"/>
    <w:rsid w:val="00043144"/>
    <w:rsid w:val="000E7B1F"/>
    <w:rsid w:val="00176184"/>
    <w:rsid w:val="00207D7F"/>
    <w:rsid w:val="00215C08"/>
    <w:rsid w:val="00453B37"/>
    <w:rsid w:val="004E3EA4"/>
    <w:rsid w:val="00501EE6"/>
    <w:rsid w:val="00615EA1"/>
    <w:rsid w:val="00704336"/>
    <w:rsid w:val="00801B48"/>
    <w:rsid w:val="00A0756A"/>
    <w:rsid w:val="00A81D22"/>
    <w:rsid w:val="00B46918"/>
    <w:rsid w:val="00CB3C62"/>
    <w:rsid w:val="00D1102F"/>
    <w:rsid w:val="00D31E4F"/>
    <w:rsid w:val="00D9012D"/>
    <w:rsid w:val="00DA5C53"/>
    <w:rsid w:val="00DC6752"/>
    <w:rsid w:val="00EB60B2"/>
    <w:rsid w:val="00F9432B"/>
    <w:rsid w:val="01010A27"/>
    <w:rsid w:val="010F737D"/>
    <w:rsid w:val="0112363F"/>
    <w:rsid w:val="011253ED"/>
    <w:rsid w:val="011C44BE"/>
    <w:rsid w:val="01227D26"/>
    <w:rsid w:val="012D66CB"/>
    <w:rsid w:val="0156177E"/>
    <w:rsid w:val="015C31E5"/>
    <w:rsid w:val="016C71F3"/>
    <w:rsid w:val="017E6F26"/>
    <w:rsid w:val="01A41E1E"/>
    <w:rsid w:val="01C963F3"/>
    <w:rsid w:val="01D60B10"/>
    <w:rsid w:val="01D84888"/>
    <w:rsid w:val="01E33435"/>
    <w:rsid w:val="01EB45BC"/>
    <w:rsid w:val="01FB2325"/>
    <w:rsid w:val="01FE5971"/>
    <w:rsid w:val="0200481C"/>
    <w:rsid w:val="02054EED"/>
    <w:rsid w:val="022F6A08"/>
    <w:rsid w:val="02467A44"/>
    <w:rsid w:val="024737BC"/>
    <w:rsid w:val="0261487E"/>
    <w:rsid w:val="02674585"/>
    <w:rsid w:val="027A5940"/>
    <w:rsid w:val="028B4F54"/>
    <w:rsid w:val="029F7154"/>
    <w:rsid w:val="02C646E1"/>
    <w:rsid w:val="02D92666"/>
    <w:rsid w:val="02F2197A"/>
    <w:rsid w:val="02F456F2"/>
    <w:rsid w:val="02F54FC6"/>
    <w:rsid w:val="030D2310"/>
    <w:rsid w:val="03101E00"/>
    <w:rsid w:val="034877EC"/>
    <w:rsid w:val="035903B5"/>
    <w:rsid w:val="038274A1"/>
    <w:rsid w:val="038720C2"/>
    <w:rsid w:val="03B46C2F"/>
    <w:rsid w:val="03B7227C"/>
    <w:rsid w:val="03E77005"/>
    <w:rsid w:val="04041965"/>
    <w:rsid w:val="0405748B"/>
    <w:rsid w:val="04090D29"/>
    <w:rsid w:val="040C6A6B"/>
    <w:rsid w:val="043B4C5B"/>
    <w:rsid w:val="045126D0"/>
    <w:rsid w:val="04561A95"/>
    <w:rsid w:val="045A3333"/>
    <w:rsid w:val="04814D63"/>
    <w:rsid w:val="048B5207"/>
    <w:rsid w:val="048D2BD8"/>
    <w:rsid w:val="04912ACD"/>
    <w:rsid w:val="04A60F90"/>
    <w:rsid w:val="04A63ABD"/>
    <w:rsid w:val="04AD7905"/>
    <w:rsid w:val="04EB48D3"/>
    <w:rsid w:val="04F419D9"/>
    <w:rsid w:val="050E236F"/>
    <w:rsid w:val="051200B1"/>
    <w:rsid w:val="051675BB"/>
    <w:rsid w:val="05283431"/>
    <w:rsid w:val="052E47BF"/>
    <w:rsid w:val="05301949"/>
    <w:rsid w:val="054B711F"/>
    <w:rsid w:val="054D10EA"/>
    <w:rsid w:val="055E32F7"/>
    <w:rsid w:val="05687253"/>
    <w:rsid w:val="057C22D7"/>
    <w:rsid w:val="058314C5"/>
    <w:rsid w:val="05856AD5"/>
    <w:rsid w:val="05AA653C"/>
    <w:rsid w:val="05B178CA"/>
    <w:rsid w:val="05B747B5"/>
    <w:rsid w:val="05CD5D86"/>
    <w:rsid w:val="05D26E3A"/>
    <w:rsid w:val="05DD1BF7"/>
    <w:rsid w:val="05DE61E6"/>
    <w:rsid w:val="05F23A3F"/>
    <w:rsid w:val="05F31C91"/>
    <w:rsid w:val="06020126"/>
    <w:rsid w:val="060C1E02"/>
    <w:rsid w:val="061340E1"/>
    <w:rsid w:val="061623F8"/>
    <w:rsid w:val="0616772D"/>
    <w:rsid w:val="062537E8"/>
    <w:rsid w:val="06385A43"/>
    <w:rsid w:val="064047AA"/>
    <w:rsid w:val="06563FCE"/>
    <w:rsid w:val="06861303"/>
    <w:rsid w:val="068B65D1"/>
    <w:rsid w:val="06915006"/>
    <w:rsid w:val="06C66D57"/>
    <w:rsid w:val="06CB0518"/>
    <w:rsid w:val="06DC2725"/>
    <w:rsid w:val="06E20077"/>
    <w:rsid w:val="06E36073"/>
    <w:rsid w:val="06E67100"/>
    <w:rsid w:val="06EB43B9"/>
    <w:rsid w:val="06F04422"/>
    <w:rsid w:val="06F26EE0"/>
    <w:rsid w:val="06F37A6F"/>
    <w:rsid w:val="06FC4AE5"/>
    <w:rsid w:val="07302A71"/>
    <w:rsid w:val="074E161D"/>
    <w:rsid w:val="07554285"/>
    <w:rsid w:val="0781507A"/>
    <w:rsid w:val="07830DF3"/>
    <w:rsid w:val="078F59E9"/>
    <w:rsid w:val="079B25E0"/>
    <w:rsid w:val="079D6F9C"/>
    <w:rsid w:val="079E6452"/>
    <w:rsid w:val="07AB0349"/>
    <w:rsid w:val="07C0102B"/>
    <w:rsid w:val="07E01DA1"/>
    <w:rsid w:val="07F933E3"/>
    <w:rsid w:val="07FC0BA5"/>
    <w:rsid w:val="08002443"/>
    <w:rsid w:val="080A32C2"/>
    <w:rsid w:val="08110A1D"/>
    <w:rsid w:val="08122176"/>
    <w:rsid w:val="08326375"/>
    <w:rsid w:val="08346591"/>
    <w:rsid w:val="08394C78"/>
    <w:rsid w:val="086C7AD9"/>
    <w:rsid w:val="08793F74"/>
    <w:rsid w:val="087A48E9"/>
    <w:rsid w:val="087B41C0"/>
    <w:rsid w:val="08970AD5"/>
    <w:rsid w:val="089A76B6"/>
    <w:rsid w:val="089B4494"/>
    <w:rsid w:val="08BB4929"/>
    <w:rsid w:val="08C711B3"/>
    <w:rsid w:val="08CB0CA3"/>
    <w:rsid w:val="08DA0EE6"/>
    <w:rsid w:val="08F57ACE"/>
    <w:rsid w:val="090D2B1A"/>
    <w:rsid w:val="0913264A"/>
    <w:rsid w:val="092403B3"/>
    <w:rsid w:val="09273A00"/>
    <w:rsid w:val="092D03A8"/>
    <w:rsid w:val="09385C0D"/>
    <w:rsid w:val="09453417"/>
    <w:rsid w:val="09531D27"/>
    <w:rsid w:val="09552F0C"/>
    <w:rsid w:val="095962AF"/>
    <w:rsid w:val="09815806"/>
    <w:rsid w:val="0983332C"/>
    <w:rsid w:val="09AE6375"/>
    <w:rsid w:val="09AF2373"/>
    <w:rsid w:val="09B554AF"/>
    <w:rsid w:val="09BC683E"/>
    <w:rsid w:val="09C120A6"/>
    <w:rsid w:val="09CB6A81"/>
    <w:rsid w:val="09D26061"/>
    <w:rsid w:val="09D973F0"/>
    <w:rsid w:val="09EF451D"/>
    <w:rsid w:val="09FB1114"/>
    <w:rsid w:val="09FB55B8"/>
    <w:rsid w:val="0A0A75A9"/>
    <w:rsid w:val="0A0E5ECB"/>
    <w:rsid w:val="0A1C3158"/>
    <w:rsid w:val="0A2F0DBE"/>
    <w:rsid w:val="0A375EC4"/>
    <w:rsid w:val="0A5151D8"/>
    <w:rsid w:val="0A70536D"/>
    <w:rsid w:val="0A7E3AF3"/>
    <w:rsid w:val="0A7F7F97"/>
    <w:rsid w:val="0A805ABD"/>
    <w:rsid w:val="0A886720"/>
    <w:rsid w:val="0AB1341B"/>
    <w:rsid w:val="0AB573FD"/>
    <w:rsid w:val="0ABC5446"/>
    <w:rsid w:val="0ABF65E6"/>
    <w:rsid w:val="0AC7549A"/>
    <w:rsid w:val="0AE4351E"/>
    <w:rsid w:val="0AE75B3C"/>
    <w:rsid w:val="0AE95411"/>
    <w:rsid w:val="0AEC15D6"/>
    <w:rsid w:val="0AF52179"/>
    <w:rsid w:val="0AF67B2D"/>
    <w:rsid w:val="0B04224A"/>
    <w:rsid w:val="0B077F8D"/>
    <w:rsid w:val="0B183F48"/>
    <w:rsid w:val="0B1A49DF"/>
    <w:rsid w:val="0B1B102D"/>
    <w:rsid w:val="0B325009"/>
    <w:rsid w:val="0B4F3FD7"/>
    <w:rsid w:val="0B6E5916"/>
    <w:rsid w:val="0B70168E"/>
    <w:rsid w:val="0B835865"/>
    <w:rsid w:val="0B8D66E4"/>
    <w:rsid w:val="0BBE4AEF"/>
    <w:rsid w:val="0BBE689D"/>
    <w:rsid w:val="0BCD32B1"/>
    <w:rsid w:val="0BD46CE0"/>
    <w:rsid w:val="0BF91683"/>
    <w:rsid w:val="0C055274"/>
    <w:rsid w:val="0C2030B4"/>
    <w:rsid w:val="0C3923C8"/>
    <w:rsid w:val="0C4F5747"/>
    <w:rsid w:val="0C550884"/>
    <w:rsid w:val="0C5C7E64"/>
    <w:rsid w:val="0C655404"/>
    <w:rsid w:val="0C8C21A0"/>
    <w:rsid w:val="0C9E222B"/>
    <w:rsid w:val="0CA23AC9"/>
    <w:rsid w:val="0CA710DF"/>
    <w:rsid w:val="0CB47CA0"/>
    <w:rsid w:val="0CB63A18"/>
    <w:rsid w:val="0CBE780C"/>
    <w:rsid w:val="0CCF17F8"/>
    <w:rsid w:val="0CD10852"/>
    <w:rsid w:val="0CDE6ACB"/>
    <w:rsid w:val="0CFF53BF"/>
    <w:rsid w:val="0D3A1F53"/>
    <w:rsid w:val="0D450893"/>
    <w:rsid w:val="0D470B14"/>
    <w:rsid w:val="0D4C1C87"/>
    <w:rsid w:val="0D4E71B1"/>
    <w:rsid w:val="0D5D5544"/>
    <w:rsid w:val="0D6C2329"/>
    <w:rsid w:val="0D703BC7"/>
    <w:rsid w:val="0D7731A8"/>
    <w:rsid w:val="0D7C3D12"/>
    <w:rsid w:val="0D904B48"/>
    <w:rsid w:val="0D9773A6"/>
    <w:rsid w:val="0DA815B3"/>
    <w:rsid w:val="0DAA7BE0"/>
    <w:rsid w:val="0DC9777B"/>
    <w:rsid w:val="0DD979BE"/>
    <w:rsid w:val="0DDF67B7"/>
    <w:rsid w:val="0DE95727"/>
    <w:rsid w:val="0DED346A"/>
    <w:rsid w:val="0DF30354"/>
    <w:rsid w:val="0E0D1416"/>
    <w:rsid w:val="0E0D6AA9"/>
    <w:rsid w:val="0E1F0F9C"/>
    <w:rsid w:val="0E3015A8"/>
    <w:rsid w:val="0E3623F7"/>
    <w:rsid w:val="0E39220B"/>
    <w:rsid w:val="0E417312"/>
    <w:rsid w:val="0E532FE2"/>
    <w:rsid w:val="0E782A66"/>
    <w:rsid w:val="0E8F2773"/>
    <w:rsid w:val="0E913FA4"/>
    <w:rsid w:val="0E925DBF"/>
    <w:rsid w:val="0E952516"/>
    <w:rsid w:val="0E96765D"/>
    <w:rsid w:val="0E9A2E45"/>
    <w:rsid w:val="0EC427ED"/>
    <w:rsid w:val="0EC57F43"/>
    <w:rsid w:val="0EC8358F"/>
    <w:rsid w:val="0ECA7500"/>
    <w:rsid w:val="0EE859DF"/>
    <w:rsid w:val="0EF645A0"/>
    <w:rsid w:val="0EF80318"/>
    <w:rsid w:val="0F2729AB"/>
    <w:rsid w:val="0F380424"/>
    <w:rsid w:val="0F39623B"/>
    <w:rsid w:val="0F492922"/>
    <w:rsid w:val="0F4B602A"/>
    <w:rsid w:val="0F5117D6"/>
    <w:rsid w:val="0F6A6B8F"/>
    <w:rsid w:val="0F6B0AEA"/>
    <w:rsid w:val="0F7A6F7F"/>
    <w:rsid w:val="0F930041"/>
    <w:rsid w:val="0F933B9D"/>
    <w:rsid w:val="0F96520F"/>
    <w:rsid w:val="0F9718DF"/>
    <w:rsid w:val="0F987405"/>
    <w:rsid w:val="0FED7751"/>
    <w:rsid w:val="0FF9631D"/>
    <w:rsid w:val="100D1BA1"/>
    <w:rsid w:val="101C1DE4"/>
    <w:rsid w:val="102D4B1A"/>
    <w:rsid w:val="10354C54"/>
    <w:rsid w:val="103E61FE"/>
    <w:rsid w:val="10466E61"/>
    <w:rsid w:val="105C48D7"/>
    <w:rsid w:val="107C2883"/>
    <w:rsid w:val="108F3E01"/>
    <w:rsid w:val="109D1177"/>
    <w:rsid w:val="10A2678D"/>
    <w:rsid w:val="10A544F9"/>
    <w:rsid w:val="10DC3E0E"/>
    <w:rsid w:val="10FE598E"/>
    <w:rsid w:val="112847B9"/>
    <w:rsid w:val="112D2D43"/>
    <w:rsid w:val="1139307F"/>
    <w:rsid w:val="114C04A7"/>
    <w:rsid w:val="114D0915"/>
    <w:rsid w:val="115765DD"/>
    <w:rsid w:val="115B2DE0"/>
    <w:rsid w:val="1173012A"/>
    <w:rsid w:val="11812B3C"/>
    <w:rsid w:val="11B00A36"/>
    <w:rsid w:val="11E579A3"/>
    <w:rsid w:val="11E76422"/>
    <w:rsid w:val="11F254F3"/>
    <w:rsid w:val="12042B30"/>
    <w:rsid w:val="1209283C"/>
    <w:rsid w:val="12145176"/>
    <w:rsid w:val="121511E1"/>
    <w:rsid w:val="122A544F"/>
    <w:rsid w:val="122B630F"/>
    <w:rsid w:val="1255782F"/>
    <w:rsid w:val="126D730B"/>
    <w:rsid w:val="12B10F0A"/>
    <w:rsid w:val="12BD3A51"/>
    <w:rsid w:val="12BD67FA"/>
    <w:rsid w:val="12C677AC"/>
    <w:rsid w:val="12D746E8"/>
    <w:rsid w:val="12DE5A77"/>
    <w:rsid w:val="12E27315"/>
    <w:rsid w:val="12E82ACD"/>
    <w:rsid w:val="12F64B6E"/>
    <w:rsid w:val="13144FF5"/>
    <w:rsid w:val="13196AAF"/>
    <w:rsid w:val="13286CF2"/>
    <w:rsid w:val="13391E64"/>
    <w:rsid w:val="136917E4"/>
    <w:rsid w:val="136E6DFB"/>
    <w:rsid w:val="13712447"/>
    <w:rsid w:val="13723F8E"/>
    <w:rsid w:val="138C7281"/>
    <w:rsid w:val="139A199E"/>
    <w:rsid w:val="13A91BE1"/>
    <w:rsid w:val="13AC5677"/>
    <w:rsid w:val="13B862C8"/>
    <w:rsid w:val="13C609E5"/>
    <w:rsid w:val="13CC3B21"/>
    <w:rsid w:val="13D529D6"/>
    <w:rsid w:val="13F7291D"/>
    <w:rsid w:val="14011A1D"/>
    <w:rsid w:val="140E7C96"/>
    <w:rsid w:val="14164D9C"/>
    <w:rsid w:val="141F6347"/>
    <w:rsid w:val="142E0338"/>
    <w:rsid w:val="14305E5E"/>
    <w:rsid w:val="143C2A55"/>
    <w:rsid w:val="144813FA"/>
    <w:rsid w:val="149503B7"/>
    <w:rsid w:val="14A021FA"/>
    <w:rsid w:val="14C15977"/>
    <w:rsid w:val="14C91E0F"/>
    <w:rsid w:val="14E54E9B"/>
    <w:rsid w:val="14F614AD"/>
    <w:rsid w:val="15015A4D"/>
    <w:rsid w:val="1523710F"/>
    <w:rsid w:val="15267261"/>
    <w:rsid w:val="1559294C"/>
    <w:rsid w:val="1562473D"/>
    <w:rsid w:val="159C3209"/>
    <w:rsid w:val="15A0686E"/>
    <w:rsid w:val="15A5287C"/>
    <w:rsid w:val="15CA5E3E"/>
    <w:rsid w:val="15DB44F0"/>
    <w:rsid w:val="15DB5C31"/>
    <w:rsid w:val="15E81C52"/>
    <w:rsid w:val="15E909BB"/>
    <w:rsid w:val="15ED48A2"/>
    <w:rsid w:val="16133C89"/>
    <w:rsid w:val="16161084"/>
    <w:rsid w:val="16206B7C"/>
    <w:rsid w:val="163A54B3"/>
    <w:rsid w:val="165F6ECF"/>
    <w:rsid w:val="1663076D"/>
    <w:rsid w:val="16704C38"/>
    <w:rsid w:val="16822B68"/>
    <w:rsid w:val="168D5B19"/>
    <w:rsid w:val="16A14DF1"/>
    <w:rsid w:val="16A6065A"/>
    <w:rsid w:val="16AD4C0B"/>
    <w:rsid w:val="16B014D8"/>
    <w:rsid w:val="16E8367D"/>
    <w:rsid w:val="16F413C5"/>
    <w:rsid w:val="1720665E"/>
    <w:rsid w:val="1726398E"/>
    <w:rsid w:val="174D4F79"/>
    <w:rsid w:val="175E7186"/>
    <w:rsid w:val="177B0E6C"/>
    <w:rsid w:val="17832501"/>
    <w:rsid w:val="17887D5F"/>
    <w:rsid w:val="179E2135"/>
    <w:rsid w:val="179E57D5"/>
    <w:rsid w:val="17A32DEB"/>
    <w:rsid w:val="17B15508"/>
    <w:rsid w:val="17B76014"/>
    <w:rsid w:val="17D15BAA"/>
    <w:rsid w:val="17DA7247"/>
    <w:rsid w:val="18037057"/>
    <w:rsid w:val="180715CC"/>
    <w:rsid w:val="181949BB"/>
    <w:rsid w:val="181F7A9C"/>
    <w:rsid w:val="18303B05"/>
    <w:rsid w:val="18475E6C"/>
    <w:rsid w:val="184A3267"/>
    <w:rsid w:val="184E71FB"/>
    <w:rsid w:val="185760AF"/>
    <w:rsid w:val="185C36C6"/>
    <w:rsid w:val="185D2F9A"/>
    <w:rsid w:val="185F31B6"/>
    <w:rsid w:val="189A735D"/>
    <w:rsid w:val="189D783A"/>
    <w:rsid w:val="18C748B7"/>
    <w:rsid w:val="18CE20EA"/>
    <w:rsid w:val="18D56FD4"/>
    <w:rsid w:val="18F41B50"/>
    <w:rsid w:val="190F071A"/>
    <w:rsid w:val="19173A91"/>
    <w:rsid w:val="1917583F"/>
    <w:rsid w:val="192B2350"/>
    <w:rsid w:val="193F3E24"/>
    <w:rsid w:val="19570331"/>
    <w:rsid w:val="19616ABA"/>
    <w:rsid w:val="19792371"/>
    <w:rsid w:val="197C1B46"/>
    <w:rsid w:val="198D3D53"/>
    <w:rsid w:val="1991739F"/>
    <w:rsid w:val="199B021E"/>
    <w:rsid w:val="19A215AC"/>
    <w:rsid w:val="19A60971"/>
    <w:rsid w:val="19B1359D"/>
    <w:rsid w:val="19C77265"/>
    <w:rsid w:val="19CF7EC7"/>
    <w:rsid w:val="19D61256"/>
    <w:rsid w:val="19E219A9"/>
    <w:rsid w:val="19E531E6"/>
    <w:rsid w:val="19F17E3E"/>
    <w:rsid w:val="19F65454"/>
    <w:rsid w:val="1A0031CE"/>
    <w:rsid w:val="1A023DF9"/>
    <w:rsid w:val="1A0538E9"/>
    <w:rsid w:val="1A116732"/>
    <w:rsid w:val="1A4729C7"/>
    <w:rsid w:val="1A530AF8"/>
    <w:rsid w:val="1A7D3DC7"/>
    <w:rsid w:val="1A7E3DE6"/>
    <w:rsid w:val="1A883EB1"/>
    <w:rsid w:val="1A907657"/>
    <w:rsid w:val="1AAA0B28"/>
    <w:rsid w:val="1AB07CF9"/>
    <w:rsid w:val="1AB175CD"/>
    <w:rsid w:val="1AC13CB4"/>
    <w:rsid w:val="1ACD2659"/>
    <w:rsid w:val="1ADC289C"/>
    <w:rsid w:val="1AE479A2"/>
    <w:rsid w:val="1AE6371B"/>
    <w:rsid w:val="1AF35E37"/>
    <w:rsid w:val="1AF95B35"/>
    <w:rsid w:val="1B063DBD"/>
    <w:rsid w:val="1B102545"/>
    <w:rsid w:val="1B395F40"/>
    <w:rsid w:val="1B414DF5"/>
    <w:rsid w:val="1B506DE6"/>
    <w:rsid w:val="1B5A7C65"/>
    <w:rsid w:val="1B701236"/>
    <w:rsid w:val="1BA333BA"/>
    <w:rsid w:val="1BAB04C0"/>
    <w:rsid w:val="1BB90E2F"/>
    <w:rsid w:val="1BC81072"/>
    <w:rsid w:val="1BDB2B53"/>
    <w:rsid w:val="1BE96A15"/>
    <w:rsid w:val="1BF34341"/>
    <w:rsid w:val="1C094DB0"/>
    <w:rsid w:val="1C24274C"/>
    <w:rsid w:val="1C2775DA"/>
    <w:rsid w:val="1C285864"/>
    <w:rsid w:val="1C3404B6"/>
    <w:rsid w:val="1C346708"/>
    <w:rsid w:val="1C36422E"/>
    <w:rsid w:val="1C3B1844"/>
    <w:rsid w:val="1C5618EE"/>
    <w:rsid w:val="1C7C0C57"/>
    <w:rsid w:val="1C872CDB"/>
    <w:rsid w:val="1C9B0535"/>
    <w:rsid w:val="1CA13D9D"/>
    <w:rsid w:val="1CAB4C1C"/>
    <w:rsid w:val="1CBA09BB"/>
    <w:rsid w:val="1CBD6CF8"/>
    <w:rsid w:val="1CC97487"/>
    <w:rsid w:val="1CD557F5"/>
    <w:rsid w:val="1CEC2B3E"/>
    <w:rsid w:val="1CF739BD"/>
    <w:rsid w:val="1CFE11EF"/>
    <w:rsid w:val="1D0B4105"/>
    <w:rsid w:val="1D1C3400"/>
    <w:rsid w:val="1D331864"/>
    <w:rsid w:val="1D4961E3"/>
    <w:rsid w:val="1D4B1F5B"/>
    <w:rsid w:val="1D50131F"/>
    <w:rsid w:val="1D5232E9"/>
    <w:rsid w:val="1D6848BB"/>
    <w:rsid w:val="1D721295"/>
    <w:rsid w:val="1D772D50"/>
    <w:rsid w:val="1D7D4C37"/>
    <w:rsid w:val="1DAC5C6B"/>
    <w:rsid w:val="1DC31AF1"/>
    <w:rsid w:val="1DCF16F9"/>
    <w:rsid w:val="1DE5415D"/>
    <w:rsid w:val="1DF51CE6"/>
    <w:rsid w:val="1DF83E91"/>
    <w:rsid w:val="1E0740D4"/>
    <w:rsid w:val="1E114F52"/>
    <w:rsid w:val="1E2F2EAE"/>
    <w:rsid w:val="1E51534F"/>
    <w:rsid w:val="1E5B441F"/>
    <w:rsid w:val="1E65704C"/>
    <w:rsid w:val="1E7D4396"/>
    <w:rsid w:val="1E7E1EBC"/>
    <w:rsid w:val="1E890F8D"/>
    <w:rsid w:val="1E894AFB"/>
    <w:rsid w:val="1E8C6C30"/>
    <w:rsid w:val="1E8E20FF"/>
    <w:rsid w:val="1E91399D"/>
    <w:rsid w:val="1EA455A8"/>
    <w:rsid w:val="1EBC2425"/>
    <w:rsid w:val="1EC65D3D"/>
    <w:rsid w:val="1EC7766E"/>
    <w:rsid w:val="1ED32208"/>
    <w:rsid w:val="1ED57D2E"/>
    <w:rsid w:val="1EE00481"/>
    <w:rsid w:val="1EF328AA"/>
    <w:rsid w:val="1EF87EC0"/>
    <w:rsid w:val="1EFF124F"/>
    <w:rsid w:val="1F0C1276"/>
    <w:rsid w:val="1F1C595D"/>
    <w:rsid w:val="1F284C6B"/>
    <w:rsid w:val="1F2C1918"/>
    <w:rsid w:val="1F420707"/>
    <w:rsid w:val="1F4E7AE0"/>
    <w:rsid w:val="1F505606"/>
    <w:rsid w:val="1F525822"/>
    <w:rsid w:val="1F574BE7"/>
    <w:rsid w:val="1F6B2440"/>
    <w:rsid w:val="1F7312F5"/>
    <w:rsid w:val="1F7E6617"/>
    <w:rsid w:val="1F890B18"/>
    <w:rsid w:val="1F980D5B"/>
    <w:rsid w:val="1FBF531F"/>
    <w:rsid w:val="1FDB5818"/>
    <w:rsid w:val="1FDC50EC"/>
    <w:rsid w:val="1FE305D3"/>
    <w:rsid w:val="1FEB3581"/>
    <w:rsid w:val="1FF00B97"/>
    <w:rsid w:val="20005F1A"/>
    <w:rsid w:val="20084133"/>
    <w:rsid w:val="20112FE8"/>
    <w:rsid w:val="20140D2A"/>
    <w:rsid w:val="201E137B"/>
    <w:rsid w:val="20427645"/>
    <w:rsid w:val="204D5FEA"/>
    <w:rsid w:val="20592BE1"/>
    <w:rsid w:val="205D622D"/>
    <w:rsid w:val="208732AA"/>
    <w:rsid w:val="20943C19"/>
    <w:rsid w:val="20A11AB1"/>
    <w:rsid w:val="20B63B8F"/>
    <w:rsid w:val="20BD38E3"/>
    <w:rsid w:val="20C1027F"/>
    <w:rsid w:val="20D67D8D"/>
    <w:rsid w:val="20DA787E"/>
    <w:rsid w:val="20DA79D4"/>
    <w:rsid w:val="20DF30E6"/>
    <w:rsid w:val="20E431BB"/>
    <w:rsid w:val="20E56222"/>
    <w:rsid w:val="20E57FD0"/>
    <w:rsid w:val="20EE3329"/>
    <w:rsid w:val="21334C4D"/>
    <w:rsid w:val="21352D06"/>
    <w:rsid w:val="213977FF"/>
    <w:rsid w:val="21521B0A"/>
    <w:rsid w:val="215C64E4"/>
    <w:rsid w:val="2164183D"/>
    <w:rsid w:val="216D06F2"/>
    <w:rsid w:val="21841692"/>
    <w:rsid w:val="2186530F"/>
    <w:rsid w:val="218912A4"/>
    <w:rsid w:val="219C6B6A"/>
    <w:rsid w:val="21B622BD"/>
    <w:rsid w:val="21B922AD"/>
    <w:rsid w:val="21C4408A"/>
    <w:rsid w:val="21D73DBD"/>
    <w:rsid w:val="21D95D87"/>
    <w:rsid w:val="21EF7359"/>
    <w:rsid w:val="21F506E7"/>
    <w:rsid w:val="21FC1A76"/>
    <w:rsid w:val="22021D48"/>
    <w:rsid w:val="22023A3F"/>
    <w:rsid w:val="22123EBE"/>
    <w:rsid w:val="221F7512"/>
    <w:rsid w:val="22205764"/>
    <w:rsid w:val="22244F62"/>
    <w:rsid w:val="22266AF2"/>
    <w:rsid w:val="223676C5"/>
    <w:rsid w:val="224D22D1"/>
    <w:rsid w:val="22525B39"/>
    <w:rsid w:val="226A4C31"/>
    <w:rsid w:val="226C6BFB"/>
    <w:rsid w:val="227710FC"/>
    <w:rsid w:val="22851BCF"/>
    <w:rsid w:val="22925F36"/>
    <w:rsid w:val="22A77C33"/>
    <w:rsid w:val="22B934C3"/>
    <w:rsid w:val="22BF098E"/>
    <w:rsid w:val="22C049DD"/>
    <w:rsid w:val="22E569AE"/>
    <w:rsid w:val="22EA7B20"/>
    <w:rsid w:val="22EF3388"/>
    <w:rsid w:val="22F15352"/>
    <w:rsid w:val="234B4A63"/>
    <w:rsid w:val="235220FF"/>
    <w:rsid w:val="23606856"/>
    <w:rsid w:val="23847F75"/>
    <w:rsid w:val="23887BB0"/>
    <w:rsid w:val="23A128D5"/>
    <w:rsid w:val="23A14683"/>
    <w:rsid w:val="23D9206E"/>
    <w:rsid w:val="23EB1DA2"/>
    <w:rsid w:val="24013373"/>
    <w:rsid w:val="24145FD0"/>
    <w:rsid w:val="242157C3"/>
    <w:rsid w:val="242B4894"/>
    <w:rsid w:val="243A0633"/>
    <w:rsid w:val="245E2574"/>
    <w:rsid w:val="246D6C5B"/>
    <w:rsid w:val="24A25334"/>
    <w:rsid w:val="24E06E24"/>
    <w:rsid w:val="24E10731"/>
    <w:rsid w:val="24F8637D"/>
    <w:rsid w:val="24FB7DC2"/>
    <w:rsid w:val="24FD1D8D"/>
    <w:rsid w:val="250C1FD0"/>
    <w:rsid w:val="25140E84"/>
    <w:rsid w:val="254C6870"/>
    <w:rsid w:val="255A71DF"/>
    <w:rsid w:val="257362C1"/>
    <w:rsid w:val="257A33DD"/>
    <w:rsid w:val="25910727"/>
    <w:rsid w:val="25A641D2"/>
    <w:rsid w:val="25B608DD"/>
    <w:rsid w:val="25C66622"/>
    <w:rsid w:val="25E60A73"/>
    <w:rsid w:val="25F25669"/>
    <w:rsid w:val="25F27417"/>
    <w:rsid w:val="25FE5CF9"/>
    <w:rsid w:val="260F65E4"/>
    <w:rsid w:val="26153106"/>
    <w:rsid w:val="26170C2C"/>
    <w:rsid w:val="26263565"/>
    <w:rsid w:val="262F6C4E"/>
    <w:rsid w:val="264F7292"/>
    <w:rsid w:val="265E2CFF"/>
    <w:rsid w:val="269404CF"/>
    <w:rsid w:val="269F0C21"/>
    <w:rsid w:val="26A5448A"/>
    <w:rsid w:val="26AF46EB"/>
    <w:rsid w:val="26CA3EF0"/>
    <w:rsid w:val="26D23C48"/>
    <w:rsid w:val="26DE799C"/>
    <w:rsid w:val="26EA4592"/>
    <w:rsid w:val="26EA5448"/>
    <w:rsid w:val="2711135F"/>
    <w:rsid w:val="271909D4"/>
    <w:rsid w:val="271F69C2"/>
    <w:rsid w:val="27286E69"/>
    <w:rsid w:val="27392E24"/>
    <w:rsid w:val="2753038A"/>
    <w:rsid w:val="275D4D64"/>
    <w:rsid w:val="275D6B12"/>
    <w:rsid w:val="275E288B"/>
    <w:rsid w:val="276D655D"/>
    <w:rsid w:val="27765E26"/>
    <w:rsid w:val="279544FE"/>
    <w:rsid w:val="279F35CF"/>
    <w:rsid w:val="27A26C1B"/>
    <w:rsid w:val="27AF3540"/>
    <w:rsid w:val="27BA21B7"/>
    <w:rsid w:val="27BF77CD"/>
    <w:rsid w:val="27CC1EEA"/>
    <w:rsid w:val="27D019DA"/>
    <w:rsid w:val="27E64D5A"/>
    <w:rsid w:val="27F03E2A"/>
    <w:rsid w:val="28177609"/>
    <w:rsid w:val="281D62A2"/>
    <w:rsid w:val="28275C5B"/>
    <w:rsid w:val="28497097"/>
    <w:rsid w:val="285F68BA"/>
    <w:rsid w:val="287934E1"/>
    <w:rsid w:val="288F719F"/>
    <w:rsid w:val="2899001E"/>
    <w:rsid w:val="28A6098D"/>
    <w:rsid w:val="28A80261"/>
    <w:rsid w:val="28C657AC"/>
    <w:rsid w:val="28CC797B"/>
    <w:rsid w:val="28CF57EE"/>
    <w:rsid w:val="28D50537"/>
    <w:rsid w:val="28D57A5B"/>
    <w:rsid w:val="28D64DCE"/>
    <w:rsid w:val="28DF17A9"/>
    <w:rsid w:val="28E82D54"/>
    <w:rsid w:val="29114058"/>
    <w:rsid w:val="291E22D1"/>
    <w:rsid w:val="291E61AE"/>
    <w:rsid w:val="292875F4"/>
    <w:rsid w:val="292C0E92"/>
    <w:rsid w:val="293470A9"/>
    <w:rsid w:val="294361DC"/>
    <w:rsid w:val="296D0128"/>
    <w:rsid w:val="297901DE"/>
    <w:rsid w:val="2984158E"/>
    <w:rsid w:val="2987256D"/>
    <w:rsid w:val="29AC3D81"/>
    <w:rsid w:val="29B57DD0"/>
    <w:rsid w:val="29B665AC"/>
    <w:rsid w:val="29CA2459"/>
    <w:rsid w:val="29D46E34"/>
    <w:rsid w:val="29E21551"/>
    <w:rsid w:val="29E67293"/>
    <w:rsid w:val="29EC6874"/>
    <w:rsid w:val="29F80D74"/>
    <w:rsid w:val="29FA689B"/>
    <w:rsid w:val="2A1C471A"/>
    <w:rsid w:val="2A2D4EC2"/>
    <w:rsid w:val="2A3C6EB3"/>
    <w:rsid w:val="2A497822"/>
    <w:rsid w:val="2A4A087B"/>
    <w:rsid w:val="2A4E4E38"/>
    <w:rsid w:val="2A554419"/>
    <w:rsid w:val="2A720B27"/>
    <w:rsid w:val="2A88034A"/>
    <w:rsid w:val="2A9A36AC"/>
    <w:rsid w:val="2AA3113F"/>
    <w:rsid w:val="2AAB228B"/>
    <w:rsid w:val="2AAE5148"/>
    <w:rsid w:val="2AC11AAE"/>
    <w:rsid w:val="2AC5334C"/>
    <w:rsid w:val="2AD87DA3"/>
    <w:rsid w:val="2ADE7F6A"/>
    <w:rsid w:val="2AE5579D"/>
    <w:rsid w:val="2AF23A91"/>
    <w:rsid w:val="2AF36273"/>
    <w:rsid w:val="2B08148B"/>
    <w:rsid w:val="2B0D3856"/>
    <w:rsid w:val="2B0F6376"/>
    <w:rsid w:val="2B166EFF"/>
    <w:rsid w:val="2B230A70"/>
    <w:rsid w:val="2B243569"/>
    <w:rsid w:val="2B330D0F"/>
    <w:rsid w:val="2B385681"/>
    <w:rsid w:val="2B3E4EAD"/>
    <w:rsid w:val="2B504399"/>
    <w:rsid w:val="2B6F150A"/>
    <w:rsid w:val="2B786611"/>
    <w:rsid w:val="2B824D9A"/>
    <w:rsid w:val="2B941E9C"/>
    <w:rsid w:val="2B966A97"/>
    <w:rsid w:val="2B9F17C2"/>
    <w:rsid w:val="2BA60CCC"/>
    <w:rsid w:val="2BC2788C"/>
    <w:rsid w:val="2BC57E1E"/>
    <w:rsid w:val="2BCA7E74"/>
    <w:rsid w:val="2BE912BD"/>
    <w:rsid w:val="2C02237E"/>
    <w:rsid w:val="2C097269"/>
    <w:rsid w:val="2C1A3224"/>
    <w:rsid w:val="2C245E51"/>
    <w:rsid w:val="2C7A1F15"/>
    <w:rsid w:val="2C9254B0"/>
    <w:rsid w:val="2CA86A82"/>
    <w:rsid w:val="2CAB3EFE"/>
    <w:rsid w:val="2CAD22EA"/>
    <w:rsid w:val="2CAE7C0A"/>
    <w:rsid w:val="2CB20D73"/>
    <w:rsid w:val="2CBA1C4C"/>
    <w:rsid w:val="2CBD0053"/>
    <w:rsid w:val="2CC413E2"/>
    <w:rsid w:val="2CC82C80"/>
    <w:rsid w:val="2CD535EF"/>
    <w:rsid w:val="2CEF46B1"/>
    <w:rsid w:val="2D0143E4"/>
    <w:rsid w:val="2D030BFD"/>
    <w:rsid w:val="2D0619FA"/>
    <w:rsid w:val="2D122D03"/>
    <w:rsid w:val="2D19172E"/>
    <w:rsid w:val="2D1F486A"/>
    <w:rsid w:val="2D2F4203"/>
    <w:rsid w:val="2D307DF6"/>
    <w:rsid w:val="2D510EC7"/>
    <w:rsid w:val="2D564730"/>
    <w:rsid w:val="2D6D7CCB"/>
    <w:rsid w:val="2D6F57F1"/>
    <w:rsid w:val="2D727090"/>
    <w:rsid w:val="2D7352E2"/>
    <w:rsid w:val="2DA354EC"/>
    <w:rsid w:val="2DA82AB1"/>
    <w:rsid w:val="2DAE1FD2"/>
    <w:rsid w:val="2DBA2F11"/>
    <w:rsid w:val="2DBB0A37"/>
    <w:rsid w:val="2DC7118A"/>
    <w:rsid w:val="2DC773DC"/>
    <w:rsid w:val="2DE51610"/>
    <w:rsid w:val="2DF271BE"/>
    <w:rsid w:val="2DF34BF7"/>
    <w:rsid w:val="2E4647A4"/>
    <w:rsid w:val="2E5D2296"/>
    <w:rsid w:val="2E5F1FB0"/>
    <w:rsid w:val="2E8F2D40"/>
    <w:rsid w:val="2E9C71BB"/>
    <w:rsid w:val="2EA25753"/>
    <w:rsid w:val="2EB77450"/>
    <w:rsid w:val="2EBF6EA3"/>
    <w:rsid w:val="2EC21951"/>
    <w:rsid w:val="2ED8567D"/>
    <w:rsid w:val="2EE53E20"/>
    <w:rsid w:val="2EFB597A"/>
    <w:rsid w:val="2F4131BE"/>
    <w:rsid w:val="2F587BDE"/>
    <w:rsid w:val="2F994DA8"/>
    <w:rsid w:val="2FA15A0A"/>
    <w:rsid w:val="2FB7522E"/>
    <w:rsid w:val="2FC516F9"/>
    <w:rsid w:val="2FFB2B51"/>
    <w:rsid w:val="30000983"/>
    <w:rsid w:val="300A7BA6"/>
    <w:rsid w:val="30163A3F"/>
    <w:rsid w:val="301F409E"/>
    <w:rsid w:val="30297EDA"/>
    <w:rsid w:val="303348B4"/>
    <w:rsid w:val="303E7AE9"/>
    <w:rsid w:val="30444D13"/>
    <w:rsid w:val="30492C9C"/>
    <w:rsid w:val="30574F39"/>
    <w:rsid w:val="305A03B0"/>
    <w:rsid w:val="305D5DD5"/>
    <w:rsid w:val="306E7FE2"/>
    <w:rsid w:val="30843362"/>
    <w:rsid w:val="3098505F"/>
    <w:rsid w:val="30A6152A"/>
    <w:rsid w:val="30A9101A"/>
    <w:rsid w:val="30BC6FA0"/>
    <w:rsid w:val="30BF25EC"/>
    <w:rsid w:val="30C145B6"/>
    <w:rsid w:val="30C3032E"/>
    <w:rsid w:val="30C6397A"/>
    <w:rsid w:val="30CA3C63"/>
    <w:rsid w:val="30CC52EF"/>
    <w:rsid w:val="30CD5113"/>
    <w:rsid w:val="30CD6E71"/>
    <w:rsid w:val="30E1446E"/>
    <w:rsid w:val="310B75DF"/>
    <w:rsid w:val="311C7A3E"/>
    <w:rsid w:val="31232B7B"/>
    <w:rsid w:val="312C669A"/>
    <w:rsid w:val="31311FAB"/>
    <w:rsid w:val="313C1E8F"/>
    <w:rsid w:val="31662A49"/>
    <w:rsid w:val="316B4522"/>
    <w:rsid w:val="316C3378"/>
    <w:rsid w:val="31723B02"/>
    <w:rsid w:val="317258B0"/>
    <w:rsid w:val="31740B9D"/>
    <w:rsid w:val="317A29E0"/>
    <w:rsid w:val="318555E4"/>
    <w:rsid w:val="31CF4AB1"/>
    <w:rsid w:val="31D2634F"/>
    <w:rsid w:val="31E57E30"/>
    <w:rsid w:val="320076FD"/>
    <w:rsid w:val="320A5AE9"/>
    <w:rsid w:val="32144BB9"/>
    <w:rsid w:val="321B3DE3"/>
    <w:rsid w:val="3223427F"/>
    <w:rsid w:val="322B71D7"/>
    <w:rsid w:val="32382656"/>
    <w:rsid w:val="32456B21"/>
    <w:rsid w:val="32625BE7"/>
    <w:rsid w:val="326A2A2B"/>
    <w:rsid w:val="327139DF"/>
    <w:rsid w:val="32805DAB"/>
    <w:rsid w:val="3284589B"/>
    <w:rsid w:val="328A6C2A"/>
    <w:rsid w:val="328C4750"/>
    <w:rsid w:val="329655CE"/>
    <w:rsid w:val="32B87513"/>
    <w:rsid w:val="32C734F6"/>
    <w:rsid w:val="32D85BE7"/>
    <w:rsid w:val="32F32A21"/>
    <w:rsid w:val="33064502"/>
    <w:rsid w:val="330D4536"/>
    <w:rsid w:val="33274478"/>
    <w:rsid w:val="33353039"/>
    <w:rsid w:val="33572FB0"/>
    <w:rsid w:val="335D7E9A"/>
    <w:rsid w:val="336456CD"/>
    <w:rsid w:val="337575FD"/>
    <w:rsid w:val="337C2D44"/>
    <w:rsid w:val="33811DDB"/>
    <w:rsid w:val="338A5133"/>
    <w:rsid w:val="338C39A2"/>
    <w:rsid w:val="3390201E"/>
    <w:rsid w:val="33AD497E"/>
    <w:rsid w:val="33B43F5E"/>
    <w:rsid w:val="33BD6B47"/>
    <w:rsid w:val="33BF6367"/>
    <w:rsid w:val="33C00B55"/>
    <w:rsid w:val="33C30645"/>
    <w:rsid w:val="33C87AB6"/>
    <w:rsid w:val="33CA5530"/>
    <w:rsid w:val="33CE7CEA"/>
    <w:rsid w:val="33F16F60"/>
    <w:rsid w:val="33FB7DDF"/>
    <w:rsid w:val="340547BA"/>
    <w:rsid w:val="34120C85"/>
    <w:rsid w:val="342310E4"/>
    <w:rsid w:val="3428501D"/>
    <w:rsid w:val="342E1F62"/>
    <w:rsid w:val="34346E4D"/>
    <w:rsid w:val="343C6B12"/>
    <w:rsid w:val="3446549C"/>
    <w:rsid w:val="34594B05"/>
    <w:rsid w:val="345A1178"/>
    <w:rsid w:val="345E431C"/>
    <w:rsid w:val="34733E19"/>
    <w:rsid w:val="34763909"/>
    <w:rsid w:val="347C757D"/>
    <w:rsid w:val="34831B82"/>
    <w:rsid w:val="348736CE"/>
    <w:rsid w:val="34931EC5"/>
    <w:rsid w:val="34A57D4B"/>
    <w:rsid w:val="34A809FC"/>
    <w:rsid w:val="34AA5361"/>
    <w:rsid w:val="34B41D3C"/>
    <w:rsid w:val="34C401D1"/>
    <w:rsid w:val="34C93A39"/>
    <w:rsid w:val="34EE524E"/>
    <w:rsid w:val="34F81E55"/>
    <w:rsid w:val="34FB5BBD"/>
    <w:rsid w:val="350B4EB3"/>
    <w:rsid w:val="351E4709"/>
    <w:rsid w:val="3524459F"/>
    <w:rsid w:val="35316D9D"/>
    <w:rsid w:val="353C06AF"/>
    <w:rsid w:val="35415CC5"/>
    <w:rsid w:val="355552CD"/>
    <w:rsid w:val="35812566"/>
    <w:rsid w:val="35867B7C"/>
    <w:rsid w:val="358768A1"/>
    <w:rsid w:val="359D0A22"/>
    <w:rsid w:val="35A324DC"/>
    <w:rsid w:val="35BA7826"/>
    <w:rsid w:val="35CA5CBB"/>
    <w:rsid w:val="35CD7559"/>
    <w:rsid w:val="35F5085E"/>
    <w:rsid w:val="360016DD"/>
    <w:rsid w:val="36015455"/>
    <w:rsid w:val="36297C02"/>
    <w:rsid w:val="363A2CB9"/>
    <w:rsid w:val="363B2715"/>
    <w:rsid w:val="364C66D0"/>
    <w:rsid w:val="366003CD"/>
    <w:rsid w:val="36723C5D"/>
    <w:rsid w:val="36750A67"/>
    <w:rsid w:val="36826596"/>
    <w:rsid w:val="36852CE8"/>
    <w:rsid w:val="36AA33F6"/>
    <w:rsid w:val="36B64491"/>
    <w:rsid w:val="36BD137C"/>
    <w:rsid w:val="36D15C9E"/>
    <w:rsid w:val="36E0506A"/>
    <w:rsid w:val="36EE3C2B"/>
    <w:rsid w:val="36F34D9D"/>
    <w:rsid w:val="370A20E7"/>
    <w:rsid w:val="370C22CB"/>
    <w:rsid w:val="37135440"/>
    <w:rsid w:val="372F061D"/>
    <w:rsid w:val="375357D1"/>
    <w:rsid w:val="37620175"/>
    <w:rsid w:val="37661A13"/>
    <w:rsid w:val="377E4FAF"/>
    <w:rsid w:val="378571E0"/>
    <w:rsid w:val="37B00EE0"/>
    <w:rsid w:val="37B87D95"/>
    <w:rsid w:val="37BE35FD"/>
    <w:rsid w:val="37C357B7"/>
    <w:rsid w:val="37CE75B8"/>
    <w:rsid w:val="37DC5BEE"/>
    <w:rsid w:val="3828631E"/>
    <w:rsid w:val="38305977"/>
    <w:rsid w:val="38337C53"/>
    <w:rsid w:val="383C5DD6"/>
    <w:rsid w:val="383D7513"/>
    <w:rsid w:val="386B4E07"/>
    <w:rsid w:val="388F4F9A"/>
    <w:rsid w:val="389C5AD9"/>
    <w:rsid w:val="38AF2F46"/>
    <w:rsid w:val="38AF73EA"/>
    <w:rsid w:val="38C509BB"/>
    <w:rsid w:val="38CD7870"/>
    <w:rsid w:val="38CF35E8"/>
    <w:rsid w:val="38DE382B"/>
    <w:rsid w:val="38E946AA"/>
    <w:rsid w:val="38EE7F12"/>
    <w:rsid w:val="390C2146"/>
    <w:rsid w:val="39167469"/>
    <w:rsid w:val="39227BBC"/>
    <w:rsid w:val="392E47B3"/>
    <w:rsid w:val="3942025E"/>
    <w:rsid w:val="39445D84"/>
    <w:rsid w:val="39535FC7"/>
    <w:rsid w:val="395806F3"/>
    <w:rsid w:val="396B4DB7"/>
    <w:rsid w:val="39812B34"/>
    <w:rsid w:val="398E34A3"/>
    <w:rsid w:val="399F56D1"/>
    <w:rsid w:val="39A666D7"/>
    <w:rsid w:val="39A700C1"/>
    <w:rsid w:val="39AD1B7B"/>
    <w:rsid w:val="39C72511"/>
    <w:rsid w:val="39CD7B28"/>
    <w:rsid w:val="39D4535A"/>
    <w:rsid w:val="39E6508D"/>
    <w:rsid w:val="39F72E11"/>
    <w:rsid w:val="39FF3A59"/>
    <w:rsid w:val="3A1219DE"/>
    <w:rsid w:val="3A2A4F7A"/>
    <w:rsid w:val="3A3E4582"/>
    <w:rsid w:val="3A3F1B1E"/>
    <w:rsid w:val="3A437DEA"/>
    <w:rsid w:val="3A577D39"/>
    <w:rsid w:val="3A5B15D7"/>
    <w:rsid w:val="3A5B41B1"/>
    <w:rsid w:val="3A667F7C"/>
    <w:rsid w:val="3A6A7A6C"/>
    <w:rsid w:val="3AA0348E"/>
    <w:rsid w:val="3AA30888"/>
    <w:rsid w:val="3AAC17D9"/>
    <w:rsid w:val="3ABC194A"/>
    <w:rsid w:val="3AD81BEF"/>
    <w:rsid w:val="3ADB5466"/>
    <w:rsid w:val="3ADB6274"/>
    <w:rsid w:val="3ADD1FEC"/>
    <w:rsid w:val="3AE0388B"/>
    <w:rsid w:val="3AEE2015"/>
    <w:rsid w:val="3AF235BE"/>
    <w:rsid w:val="3B0F5F1E"/>
    <w:rsid w:val="3B370778"/>
    <w:rsid w:val="3B4262F3"/>
    <w:rsid w:val="3B4A33FA"/>
    <w:rsid w:val="3B5900B7"/>
    <w:rsid w:val="3B6C511E"/>
    <w:rsid w:val="3B781D15"/>
    <w:rsid w:val="3B854432"/>
    <w:rsid w:val="3B9D5C20"/>
    <w:rsid w:val="3BB84297"/>
    <w:rsid w:val="3BBD597A"/>
    <w:rsid w:val="3BC66F24"/>
    <w:rsid w:val="3BE86E9B"/>
    <w:rsid w:val="3BF375EE"/>
    <w:rsid w:val="3BF4646A"/>
    <w:rsid w:val="3BF53366"/>
    <w:rsid w:val="3BFF3016"/>
    <w:rsid w:val="3C0435A9"/>
    <w:rsid w:val="3C1934F8"/>
    <w:rsid w:val="3C485B8B"/>
    <w:rsid w:val="3C4A2F0A"/>
    <w:rsid w:val="3C5A766D"/>
    <w:rsid w:val="3C850B8E"/>
    <w:rsid w:val="3CBC3C0F"/>
    <w:rsid w:val="3CC571DC"/>
    <w:rsid w:val="3CCA034E"/>
    <w:rsid w:val="3CCA2A44"/>
    <w:rsid w:val="3CD64F45"/>
    <w:rsid w:val="3CFB0E50"/>
    <w:rsid w:val="3D145A6E"/>
    <w:rsid w:val="3D181C2D"/>
    <w:rsid w:val="3D2F4655"/>
    <w:rsid w:val="3D3B124C"/>
    <w:rsid w:val="3D453E79"/>
    <w:rsid w:val="3D605E5D"/>
    <w:rsid w:val="3D7E783F"/>
    <w:rsid w:val="3D7F382F"/>
    <w:rsid w:val="3D7F57A8"/>
    <w:rsid w:val="3DA07301"/>
    <w:rsid w:val="3DB80AEF"/>
    <w:rsid w:val="3DF5764D"/>
    <w:rsid w:val="3DFE0BF8"/>
    <w:rsid w:val="3E006048"/>
    <w:rsid w:val="3E241CE0"/>
    <w:rsid w:val="3E5C04C3"/>
    <w:rsid w:val="3E8310FD"/>
    <w:rsid w:val="3E8B7FB1"/>
    <w:rsid w:val="3EAD1CD6"/>
    <w:rsid w:val="3EB76FF8"/>
    <w:rsid w:val="3EC139D3"/>
    <w:rsid w:val="3EC51715"/>
    <w:rsid w:val="3ED05D2F"/>
    <w:rsid w:val="3EDD0446"/>
    <w:rsid w:val="3EE002FD"/>
    <w:rsid w:val="3EFB7BFF"/>
    <w:rsid w:val="3EFC2C5D"/>
    <w:rsid w:val="3F0F2990"/>
    <w:rsid w:val="3F1D32FF"/>
    <w:rsid w:val="3F21712E"/>
    <w:rsid w:val="3F253F62"/>
    <w:rsid w:val="3F3917BB"/>
    <w:rsid w:val="3F6251B6"/>
    <w:rsid w:val="3F634A8A"/>
    <w:rsid w:val="3F6F78D3"/>
    <w:rsid w:val="3F80388E"/>
    <w:rsid w:val="3F827606"/>
    <w:rsid w:val="3F8C3FE1"/>
    <w:rsid w:val="3F9410E8"/>
    <w:rsid w:val="3F941354"/>
    <w:rsid w:val="3F964E60"/>
    <w:rsid w:val="3FA806EF"/>
    <w:rsid w:val="3FB54092"/>
    <w:rsid w:val="3FC95AB0"/>
    <w:rsid w:val="3FD31C10"/>
    <w:rsid w:val="3FD414E4"/>
    <w:rsid w:val="3FD9024B"/>
    <w:rsid w:val="3FF04570"/>
    <w:rsid w:val="3FF37BBC"/>
    <w:rsid w:val="3FF878C8"/>
    <w:rsid w:val="400973E0"/>
    <w:rsid w:val="40112738"/>
    <w:rsid w:val="401A01BA"/>
    <w:rsid w:val="401B7113"/>
    <w:rsid w:val="401D3A9E"/>
    <w:rsid w:val="404228F2"/>
    <w:rsid w:val="404B7437"/>
    <w:rsid w:val="407D1B7C"/>
    <w:rsid w:val="408178BE"/>
    <w:rsid w:val="408E3D89"/>
    <w:rsid w:val="4090365D"/>
    <w:rsid w:val="40DD4172"/>
    <w:rsid w:val="40E51BFB"/>
    <w:rsid w:val="40E65973"/>
    <w:rsid w:val="410B53D9"/>
    <w:rsid w:val="412B104C"/>
    <w:rsid w:val="41405083"/>
    <w:rsid w:val="415A5405"/>
    <w:rsid w:val="41656898"/>
    <w:rsid w:val="416F5968"/>
    <w:rsid w:val="417C4D58"/>
    <w:rsid w:val="418A1219"/>
    <w:rsid w:val="4191768D"/>
    <w:rsid w:val="41961147"/>
    <w:rsid w:val="419823F7"/>
    <w:rsid w:val="41991EBF"/>
    <w:rsid w:val="41AF2209"/>
    <w:rsid w:val="41C21F3C"/>
    <w:rsid w:val="41D659E7"/>
    <w:rsid w:val="41DD61BA"/>
    <w:rsid w:val="41E86D20"/>
    <w:rsid w:val="41EC6FB9"/>
    <w:rsid w:val="41F47C4C"/>
    <w:rsid w:val="421107CE"/>
    <w:rsid w:val="422616C6"/>
    <w:rsid w:val="424961B9"/>
    <w:rsid w:val="42530DE6"/>
    <w:rsid w:val="425608D6"/>
    <w:rsid w:val="427A6373"/>
    <w:rsid w:val="427D40B5"/>
    <w:rsid w:val="427E2307"/>
    <w:rsid w:val="428A2A07"/>
    <w:rsid w:val="42916955"/>
    <w:rsid w:val="42942AA3"/>
    <w:rsid w:val="42953641"/>
    <w:rsid w:val="42956604"/>
    <w:rsid w:val="4298306B"/>
    <w:rsid w:val="42AD6748"/>
    <w:rsid w:val="42AE0712"/>
    <w:rsid w:val="42B20202"/>
    <w:rsid w:val="42D75573"/>
    <w:rsid w:val="42DC0926"/>
    <w:rsid w:val="42E45EE2"/>
    <w:rsid w:val="42E61C5A"/>
    <w:rsid w:val="42F06FB7"/>
    <w:rsid w:val="43170B42"/>
    <w:rsid w:val="433504EC"/>
    <w:rsid w:val="43362BE2"/>
    <w:rsid w:val="433724B6"/>
    <w:rsid w:val="433A17D1"/>
    <w:rsid w:val="43452E25"/>
    <w:rsid w:val="43601A0D"/>
    <w:rsid w:val="43776D56"/>
    <w:rsid w:val="439E6707"/>
    <w:rsid w:val="43BB6C43"/>
    <w:rsid w:val="43D30430"/>
    <w:rsid w:val="43E50164"/>
    <w:rsid w:val="43FE2FD4"/>
    <w:rsid w:val="44071E88"/>
    <w:rsid w:val="44134CD1"/>
    <w:rsid w:val="444B446B"/>
    <w:rsid w:val="446C2633"/>
    <w:rsid w:val="44827761"/>
    <w:rsid w:val="4484172B"/>
    <w:rsid w:val="4487121B"/>
    <w:rsid w:val="44872FC9"/>
    <w:rsid w:val="44A91191"/>
    <w:rsid w:val="44C36444"/>
    <w:rsid w:val="44C57AEB"/>
    <w:rsid w:val="44D22496"/>
    <w:rsid w:val="44FE14DD"/>
    <w:rsid w:val="45132AAF"/>
    <w:rsid w:val="45240818"/>
    <w:rsid w:val="454315E6"/>
    <w:rsid w:val="45433394"/>
    <w:rsid w:val="45462E84"/>
    <w:rsid w:val="4554734F"/>
    <w:rsid w:val="45596065"/>
    <w:rsid w:val="455E01CE"/>
    <w:rsid w:val="457277D5"/>
    <w:rsid w:val="459B358C"/>
    <w:rsid w:val="45C51FFB"/>
    <w:rsid w:val="45D747E8"/>
    <w:rsid w:val="45F02A41"/>
    <w:rsid w:val="45FF375F"/>
    <w:rsid w:val="460A3EB2"/>
    <w:rsid w:val="460A5C60"/>
    <w:rsid w:val="461E4CCA"/>
    <w:rsid w:val="46366A55"/>
    <w:rsid w:val="463D7DE3"/>
    <w:rsid w:val="465313B5"/>
    <w:rsid w:val="4667066F"/>
    <w:rsid w:val="466E2692"/>
    <w:rsid w:val="46794B93"/>
    <w:rsid w:val="46957C1F"/>
    <w:rsid w:val="469F0A9E"/>
    <w:rsid w:val="46A240EA"/>
    <w:rsid w:val="46A460B4"/>
    <w:rsid w:val="46B362F7"/>
    <w:rsid w:val="46C36B78"/>
    <w:rsid w:val="46C978C9"/>
    <w:rsid w:val="46DE1C38"/>
    <w:rsid w:val="46FC37FA"/>
    <w:rsid w:val="470703F1"/>
    <w:rsid w:val="470E352E"/>
    <w:rsid w:val="47136D96"/>
    <w:rsid w:val="47290367"/>
    <w:rsid w:val="474451A1"/>
    <w:rsid w:val="475278BE"/>
    <w:rsid w:val="47571378"/>
    <w:rsid w:val="47685334"/>
    <w:rsid w:val="476F0470"/>
    <w:rsid w:val="479C4FDD"/>
    <w:rsid w:val="479E2B03"/>
    <w:rsid w:val="479E48B1"/>
    <w:rsid w:val="47BE31A6"/>
    <w:rsid w:val="47C120B3"/>
    <w:rsid w:val="47C22C96"/>
    <w:rsid w:val="47D12ED9"/>
    <w:rsid w:val="47D6229D"/>
    <w:rsid w:val="47F24BFD"/>
    <w:rsid w:val="47FB57AB"/>
    <w:rsid w:val="481E1BB0"/>
    <w:rsid w:val="483B7538"/>
    <w:rsid w:val="483D231C"/>
    <w:rsid w:val="484A2C8B"/>
    <w:rsid w:val="488C5052"/>
    <w:rsid w:val="48A16297"/>
    <w:rsid w:val="48D507A7"/>
    <w:rsid w:val="48D83DF3"/>
    <w:rsid w:val="490948F4"/>
    <w:rsid w:val="49184B37"/>
    <w:rsid w:val="491C63D6"/>
    <w:rsid w:val="49282FCC"/>
    <w:rsid w:val="492B3326"/>
    <w:rsid w:val="49350B6D"/>
    <w:rsid w:val="49366D6C"/>
    <w:rsid w:val="49396F88"/>
    <w:rsid w:val="493D00FA"/>
    <w:rsid w:val="493D6DA4"/>
    <w:rsid w:val="494476DB"/>
    <w:rsid w:val="494B7380"/>
    <w:rsid w:val="49635DB3"/>
    <w:rsid w:val="4968786D"/>
    <w:rsid w:val="49753D38"/>
    <w:rsid w:val="49831FB1"/>
    <w:rsid w:val="498D2E30"/>
    <w:rsid w:val="49902920"/>
    <w:rsid w:val="49B82D27"/>
    <w:rsid w:val="49C36851"/>
    <w:rsid w:val="49C5081B"/>
    <w:rsid w:val="49CA7BE0"/>
    <w:rsid w:val="49D4280C"/>
    <w:rsid w:val="4A01737A"/>
    <w:rsid w:val="4A0C644A"/>
    <w:rsid w:val="4A1A5A27"/>
    <w:rsid w:val="4A2A4B22"/>
    <w:rsid w:val="4A3634C7"/>
    <w:rsid w:val="4A4333E9"/>
    <w:rsid w:val="4A437992"/>
    <w:rsid w:val="4A4A2ACF"/>
    <w:rsid w:val="4A5120AF"/>
    <w:rsid w:val="4A577705"/>
    <w:rsid w:val="4A5E2A1E"/>
    <w:rsid w:val="4A631DE2"/>
    <w:rsid w:val="4AD827D0"/>
    <w:rsid w:val="4AE178D7"/>
    <w:rsid w:val="4AF3760A"/>
    <w:rsid w:val="4AF60F55"/>
    <w:rsid w:val="4AF902DB"/>
    <w:rsid w:val="4B117A90"/>
    <w:rsid w:val="4B1E3227"/>
    <w:rsid w:val="4B2B2811"/>
    <w:rsid w:val="4B3043BA"/>
    <w:rsid w:val="4B313C8F"/>
    <w:rsid w:val="4B3814C1"/>
    <w:rsid w:val="4B7C315C"/>
    <w:rsid w:val="4B86222C"/>
    <w:rsid w:val="4B9A48DF"/>
    <w:rsid w:val="4BA426B2"/>
    <w:rsid w:val="4BCB7C3F"/>
    <w:rsid w:val="4BD42F98"/>
    <w:rsid w:val="4BDC1E4C"/>
    <w:rsid w:val="4BDC3BFA"/>
    <w:rsid w:val="4BF54CBC"/>
    <w:rsid w:val="4BF70A34"/>
    <w:rsid w:val="4C261319"/>
    <w:rsid w:val="4C303F46"/>
    <w:rsid w:val="4C3B5A15"/>
    <w:rsid w:val="4C575977"/>
    <w:rsid w:val="4C6065D9"/>
    <w:rsid w:val="4C665CE7"/>
    <w:rsid w:val="4C687066"/>
    <w:rsid w:val="4C6A56AA"/>
    <w:rsid w:val="4C713CE8"/>
    <w:rsid w:val="4C7E2F03"/>
    <w:rsid w:val="4CA86B33"/>
    <w:rsid w:val="4CA918DF"/>
    <w:rsid w:val="4CA94424"/>
    <w:rsid w:val="4CB16E35"/>
    <w:rsid w:val="4CB701C3"/>
    <w:rsid w:val="4CBA03DF"/>
    <w:rsid w:val="4CBC2CF4"/>
    <w:rsid w:val="4CD60F91"/>
    <w:rsid w:val="4CDD40CE"/>
    <w:rsid w:val="4CDD4969"/>
    <w:rsid w:val="4CEE0089"/>
    <w:rsid w:val="4D063625"/>
    <w:rsid w:val="4D123956"/>
    <w:rsid w:val="4D245859"/>
    <w:rsid w:val="4D3D28B8"/>
    <w:rsid w:val="4D3F6B37"/>
    <w:rsid w:val="4D4759EB"/>
    <w:rsid w:val="4D532D26"/>
    <w:rsid w:val="4D71406E"/>
    <w:rsid w:val="4D7B7443"/>
    <w:rsid w:val="4D9724CF"/>
    <w:rsid w:val="4DB017E2"/>
    <w:rsid w:val="4DB07878"/>
    <w:rsid w:val="4DB779E3"/>
    <w:rsid w:val="4DCF5DB9"/>
    <w:rsid w:val="4DEC34D2"/>
    <w:rsid w:val="4DF571F5"/>
    <w:rsid w:val="4DF9657C"/>
    <w:rsid w:val="4E013DEC"/>
    <w:rsid w:val="4E0A20C3"/>
    <w:rsid w:val="4E0D2791"/>
    <w:rsid w:val="4E0D4016"/>
    <w:rsid w:val="4E192EE4"/>
    <w:rsid w:val="4E21448E"/>
    <w:rsid w:val="4E402B66"/>
    <w:rsid w:val="4E4361B3"/>
    <w:rsid w:val="4E571C5E"/>
    <w:rsid w:val="4E9764FE"/>
    <w:rsid w:val="4E9F6CA2"/>
    <w:rsid w:val="4EA97036"/>
    <w:rsid w:val="4EB96475"/>
    <w:rsid w:val="4EC8490A"/>
    <w:rsid w:val="4ECC14F3"/>
    <w:rsid w:val="4ED65279"/>
    <w:rsid w:val="4EE74D90"/>
    <w:rsid w:val="4EFB6A8D"/>
    <w:rsid w:val="4F1F09CE"/>
    <w:rsid w:val="4F204746"/>
    <w:rsid w:val="4F22226C"/>
    <w:rsid w:val="4F522B32"/>
    <w:rsid w:val="4F5543EF"/>
    <w:rsid w:val="4F681C13"/>
    <w:rsid w:val="4F697E9B"/>
    <w:rsid w:val="4F8D1DDB"/>
    <w:rsid w:val="4F976877"/>
    <w:rsid w:val="4F9F3ABC"/>
    <w:rsid w:val="4FA42C81"/>
    <w:rsid w:val="4FC86390"/>
    <w:rsid w:val="4FD07F1A"/>
    <w:rsid w:val="4FDF1F0B"/>
    <w:rsid w:val="4FE6773D"/>
    <w:rsid w:val="502246FD"/>
    <w:rsid w:val="502A762A"/>
    <w:rsid w:val="503B1837"/>
    <w:rsid w:val="50724B2D"/>
    <w:rsid w:val="50BB2978"/>
    <w:rsid w:val="50DB42B0"/>
    <w:rsid w:val="50DE0415"/>
    <w:rsid w:val="50E84DEF"/>
    <w:rsid w:val="5100482F"/>
    <w:rsid w:val="510B6E43"/>
    <w:rsid w:val="511B6F73"/>
    <w:rsid w:val="513E21AB"/>
    <w:rsid w:val="515D3A2F"/>
    <w:rsid w:val="516F6BB0"/>
    <w:rsid w:val="51927F4F"/>
    <w:rsid w:val="51932FAD"/>
    <w:rsid w:val="51960CEF"/>
    <w:rsid w:val="519B6306"/>
    <w:rsid w:val="519D01B0"/>
    <w:rsid w:val="51A46F68"/>
    <w:rsid w:val="51B3364F"/>
    <w:rsid w:val="51C15D6C"/>
    <w:rsid w:val="51E043F4"/>
    <w:rsid w:val="51EB4B97"/>
    <w:rsid w:val="51F36142"/>
    <w:rsid w:val="51FC6DA4"/>
    <w:rsid w:val="5208399B"/>
    <w:rsid w:val="522105B9"/>
    <w:rsid w:val="522D51B0"/>
    <w:rsid w:val="522E0F28"/>
    <w:rsid w:val="52342D13"/>
    <w:rsid w:val="524B67B1"/>
    <w:rsid w:val="52500E9E"/>
    <w:rsid w:val="526F57C8"/>
    <w:rsid w:val="52794D53"/>
    <w:rsid w:val="527F3531"/>
    <w:rsid w:val="52825B8E"/>
    <w:rsid w:val="52990A97"/>
    <w:rsid w:val="52A13BC2"/>
    <w:rsid w:val="52BC7C45"/>
    <w:rsid w:val="52E87329"/>
    <w:rsid w:val="52EC6E19"/>
    <w:rsid w:val="531243A6"/>
    <w:rsid w:val="531719BC"/>
    <w:rsid w:val="532644A8"/>
    <w:rsid w:val="53424C8B"/>
    <w:rsid w:val="534C5B09"/>
    <w:rsid w:val="534E1882"/>
    <w:rsid w:val="53535A8F"/>
    <w:rsid w:val="536A5F90"/>
    <w:rsid w:val="536B290F"/>
    <w:rsid w:val="537137C2"/>
    <w:rsid w:val="5373753A"/>
    <w:rsid w:val="53964FD7"/>
    <w:rsid w:val="53D224B3"/>
    <w:rsid w:val="53E750B0"/>
    <w:rsid w:val="53F817ED"/>
    <w:rsid w:val="53FA211D"/>
    <w:rsid w:val="540939FA"/>
    <w:rsid w:val="542425E2"/>
    <w:rsid w:val="54342932"/>
    <w:rsid w:val="543F2BDB"/>
    <w:rsid w:val="544762D1"/>
    <w:rsid w:val="544931CE"/>
    <w:rsid w:val="544E765F"/>
    <w:rsid w:val="54501629"/>
    <w:rsid w:val="547E7F44"/>
    <w:rsid w:val="54817A35"/>
    <w:rsid w:val="54A06A1A"/>
    <w:rsid w:val="54C55B73"/>
    <w:rsid w:val="54D5124F"/>
    <w:rsid w:val="54D92B14"/>
    <w:rsid w:val="54E56216"/>
    <w:rsid w:val="54FE2E33"/>
    <w:rsid w:val="55180399"/>
    <w:rsid w:val="55191A1B"/>
    <w:rsid w:val="551D428E"/>
    <w:rsid w:val="55286102"/>
    <w:rsid w:val="55676C2B"/>
    <w:rsid w:val="556C5FEF"/>
    <w:rsid w:val="5579200B"/>
    <w:rsid w:val="55986DE4"/>
    <w:rsid w:val="55AE5387"/>
    <w:rsid w:val="55B41BBF"/>
    <w:rsid w:val="55C05154"/>
    <w:rsid w:val="55EB160A"/>
    <w:rsid w:val="55EE2EA8"/>
    <w:rsid w:val="55F52488"/>
    <w:rsid w:val="55FC3817"/>
    <w:rsid w:val="56095F34"/>
    <w:rsid w:val="560B1CAC"/>
    <w:rsid w:val="5612303A"/>
    <w:rsid w:val="56177552"/>
    <w:rsid w:val="56446F6C"/>
    <w:rsid w:val="564F7942"/>
    <w:rsid w:val="566B62A7"/>
    <w:rsid w:val="566F0982"/>
    <w:rsid w:val="56794E67"/>
    <w:rsid w:val="568B06F7"/>
    <w:rsid w:val="568F468B"/>
    <w:rsid w:val="56CF2CD9"/>
    <w:rsid w:val="570021F2"/>
    <w:rsid w:val="570404A9"/>
    <w:rsid w:val="5712706A"/>
    <w:rsid w:val="57144265"/>
    <w:rsid w:val="57270276"/>
    <w:rsid w:val="572B1EDA"/>
    <w:rsid w:val="57316D0F"/>
    <w:rsid w:val="57343239"/>
    <w:rsid w:val="57435475"/>
    <w:rsid w:val="575760F4"/>
    <w:rsid w:val="57852DEC"/>
    <w:rsid w:val="57B819BF"/>
    <w:rsid w:val="57BC49A4"/>
    <w:rsid w:val="57CD4D3F"/>
    <w:rsid w:val="57D04F5B"/>
    <w:rsid w:val="57E24C8E"/>
    <w:rsid w:val="57E722A5"/>
    <w:rsid w:val="57E94CAC"/>
    <w:rsid w:val="57F30C49"/>
    <w:rsid w:val="581752B6"/>
    <w:rsid w:val="581A62F8"/>
    <w:rsid w:val="5827444F"/>
    <w:rsid w:val="58300956"/>
    <w:rsid w:val="583B614D"/>
    <w:rsid w:val="58562F86"/>
    <w:rsid w:val="586631C9"/>
    <w:rsid w:val="58670CF0"/>
    <w:rsid w:val="5886386C"/>
    <w:rsid w:val="588B2C30"/>
    <w:rsid w:val="589C4E3D"/>
    <w:rsid w:val="58A4140A"/>
    <w:rsid w:val="58A42B80"/>
    <w:rsid w:val="58B02697"/>
    <w:rsid w:val="58B54151"/>
    <w:rsid w:val="58BA52C3"/>
    <w:rsid w:val="58C3686E"/>
    <w:rsid w:val="58C779E0"/>
    <w:rsid w:val="58F76517"/>
    <w:rsid w:val="590B0FBC"/>
    <w:rsid w:val="5923730C"/>
    <w:rsid w:val="59264194"/>
    <w:rsid w:val="592E180D"/>
    <w:rsid w:val="592F5CB1"/>
    <w:rsid w:val="593E7CA2"/>
    <w:rsid w:val="594159E5"/>
    <w:rsid w:val="59576FB6"/>
    <w:rsid w:val="595C38B0"/>
    <w:rsid w:val="597B2CA5"/>
    <w:rsid w:val="59851D75"/>
    <w:rsid w:val="598F6750"/>
    <w:rsid w:val="59AB20A1"/>
    <w:rsid w:val="59C72452"/>
    <w:rsid w:val="59C74B1F"/>
    <w:rsid w:val="59CF11CC"/>
    <w:rsid w:val="59D16D68"/>
    <w:rsid w:val="59EA7E2A"/>
    <w:rsid w:val="59EC3BA2"/>
    <w:rsid w:val="59EC76FE"/>
    <w:rsid w:val="5A033D79"/>
    <w:rsid w:val="5A0709DC"/>
    <w:rsid w:val="5A07278A"/>
    <w:rsid w:val="5A094754"/>
    <w:rsid w:val="5A0A04CC"/>
    <w:rsid w:val="5A2450EA"/>
    <w:rsid w:val="5A2C0443"/>
    <w:rsid w:val="5A3E3CD2"/>
    <w:rsid w:val="5A427C66"/>
    <w:rsid w:val="5A4B6B1B"/>
    <w:rsid w:val="5A4C2893"/>
    <w:rsid w:val="5A625609"/>
    <w:rsid w:val="5A854D8F"/>
    <w:rsid w:val="5AA004E9"/>
    <w:rsid w:val="5AC468CD"/>
    <w:rsid w:val="5AD3266C"/>
    <w:rsid w:val="5AD51772"/>
    <w:rsid w:val="5AE900E2"/>
    <w:rsid w:val="5AFD30BF"/>
    <w:rsid w:val="5B0373F5"/>
    <w:rsid w:val="5B0A2C7F"/>
    <w:rsid w:val="5B174C4F"/>
    <w:rsid w:val="5B1D632B"/>
    <w:rsid w:val="5B2D4472"/>
    <w:rsid w:val="5B2F1F99"/>
    <w:rsid w:val="5B340CC6"/>
    <w:rsid w:val="5B3E6680"/>
    <w:rsid w:val="5B7C2D04"/>
    <w:rsid w:val="5B8147BE"/>
    <w:rsid w:val="5B834092"/>
    <w:rsid w:val="5BA54009"/>
    <w:rsid w:val="5BB029AE"/>
    <w:rsid w:val="5BB64468"/>
    <w:rsid w:val="5BB71F8E"/>
    <w:rsid w:val="5BBA55DA"/>
    <w:rsid w:val="5BC30933"/>
    <w:rsid w:val="5C1949F7"/>
    <w:rsid w:val="5C2707DA"/>
    <w:rsid w:val="5C3B2BBF"/>
    <w:rsid w:val="5C49708A"/>
    <w:rsid w:val="5C642116"/>
    <w:rsid w:val="5C66288B"/>
    <w:rsid w:val="5C677510"/>
    <w:rsid w:val="5C702869"/>
    <w:rsid w:val="5C746021"/>
    <w:rsid w:val="5C79623E"/>
    <w:rsid w:val="5C8C6F77"/>
    <w:rsid w:val="5C9A53A1"/>
    <w:rsid w:val="5C9D73D6"/>
    <w:rsid w:val="5CAE513F"/>
    <w:rsid w:val="5CB63FF4"/>
    <w:rsid w:val="5CDA23D8"/>
    <w:rsid w:val="5CDC6150"/>
    <w:rsid w:val="5CE72F5C"/>
    <w:rsid w:val="5CF27722"/>
    <w:rsid w:val="5CF90968"/>
    <w:rsid w:val="5D011713"/>
    <w:rsid w:val="5D243653"/>
    <w:rsid w:val="5D467A6D"/>
    <w:rsid w:val="5D4E06D0"/>
    <w:rsid w:val="5D5850AB"/>
    <w:rsid w:val="5D9E51B4"/>
    <w:rsid w:val="5DA84284"/>
    <w:rsid w:val="5DB744C7"/>
    <w:rsid w:val="5DCD7847"/>
    <w:rsid w:val="5DD24E5D"/>
    <w:rsid w:val="5DDC7A8A"/>
    <w:rsid w:val="5DDD2180"/>
    <w:rsid w:val="5DE03A1E"/>
    <w:rsid w:val="5DE401DE"/>
    <w:rsid w:val="5DEA03F9"/>
    <w:rsid w:val="5DED177F"/>
    <w:rsid w:val="5DFF2BC0"/>
    <w:rsid w:val="5E046458"/>
    <w:rsid w:val="5E086AD1"/>
    <w:rsid w:val="5E190CDE"/>
    <w:rsid w:val="5E2F405E"/>
    <w:rsid w:val="5E420397"/>
    <w:rsid w:val="5E4F2952"/>
    <w:rsid w:val="5E5341F0"/>
    <w:rsid w:val="5E5B4E53"/>
    <w:rsid w:val="5E9F11E3"/>
    <w:rsid w:val="5EAA39AC"/>
    <w:rsid w:val="5EB50A07"/>
    <w:rsid w:val="5EB9022B"/>
    <w:rsid w:val="5ECE307B"/>
    <w:rsid w:val="5EFC6636"/>
    <w:rsid w:val="5F0C439F"/>
    <w:rsid w:val="5F0E787D"/>
    <w:rsid w:val="5F223BC2"/>
    <w:rsid w:val="5F322057"/>
    <w:rsid w:val="5F381638"/>
    <w:rsid w:val="5F4955F3"/>
    <w:rsid w:val="5F4D6E91"/>
    <w:rsid w:val="5F5A7800"/>
    <w:rsid w:val="5F5D4BFA"/>
    <w:rsid w:val="5F613AD9"/>
    <w:rsid w:val="5F781A34"/>
    <w:rsid w:val="5FBE7D8F"/>
    <w:rsid w:val="5FD01870"/>
    <w:rsid w:val="5FD0613A"/>
    <w:rsid w:val="5FD2383A"/>
    <w:rsid w:val="5FD56E87"/>
    <w:rsid w:val="5FD9364E"/>
    <w:rsid w:val="5FDC0F0C"/>
    <w:rsid w:val="5FDC1FC3"/>
    <w:rsid w:val="5FE904E2"/>
    <w:rsid w:val="60001041"/>
    <w:rsid w:val="6008036D"/>
    <w:rsid w:val="600A36DC"/>
    <w:rsid w:val="600C0AFA"/>
    <w:rsid w:val="601230BB"/>
    <w:rsid w:val="601A205F"/>
    <w:rsid w:val="60483AFC"/>
    <w:rsid w:val="605C4EB2"/>
    <w:rsid w:val="605E0C2A"/>
    <w:rsid w:val="605E1635"/>
    <w:rsid w:val="60786190"/>
    <w:rsid w:val="60803296"/>
    <w:rsid w:val="608F7035"/>
    <w:rsid w:val="60AF1486"/>
    <w:rsid w:val="60C72C73"/>
    <w:rsid w:val="60D40EEC"/>
    <w:rsid w:val="60D84E80"/>
    <w:rsid w:val="60E4101A"/>
    <w:rsid w:val="60EE6452"/>
    <w:rsid w:val="60EF52F0"/>
    <w:rsid w:val="60FB291D"/>
    <w:rsid w:val="60FD6695"/>
    <w:rsid w:val="60FF5B8E"/>
    <w:rsid w:val="61001CE1"/>
    <w:rsid w:val="61025A59"/>
    <w:rsid w:val="610572F8"/>
    <w:rsid w:val="611C2FBF"/>
    <w:rsid w:val="613300E3"/>
    <w:rsid w:val="61386B7E"/>
    <w:rsid w:val="6139713B"/>
    <w:rsid w:val="614913F6"/>
    <w:rsid w:val="615C33BC"/>
    <w:rsid w:val="615E3269"/>
    <w:rsid w:val="61822775"/>
    <w:rsid w:val="61860438"/>
    <w:rsid w:val="618D5C6B"/>
    <w:rsid w:val="61972646"/>
    <w:rsid w:val="61A51218"/>
    <w:rsid w:val="61B34FA6"/>
    <w:rsid w:val="61B41449"/>
    <w:rsid w:val="61B551C2"/>
    <w:rsid w:val="61BC24CC"/>
    <w:rsid w:val="61F07FA8"/>
    <w:rsid w:val="620D46B6"/>
    <w:rsid w:val="621A6DD3"/>
    <w:rsid w:val="62287742"/>
    <w:rsid w:val="62307304"/>
    <w:rsid w:val="62402CDD"/>
    <w:rsid w:val="6260512D"/>
    <w:rsid w:val="62650996"/>
    <w:rsid w:val="62764951"/>
    <w:rsid w:val="62B45479"/>
    <w:rsid w:val="62B62F9F"/>
    <w:rsid w:val="62B92A90"/>
    <w:rsid w:val="62DB2A06"/>
    <w:rsid w:val="62E713AB"/>
    <w:rsid w:val="62F835B8"/>
    <w:rsid w:val="630E06E5"/>
    <w:rsid w:val="630F26B0"/>
    <w:rsid w:val="63195DA0"/>
    <w:rsid w:val="631D4DCC"/>
    <w:rsid w:val="632310EB"/>
    <w:rsid w:val="63304B00"/>
    <w:rsid w:val="63563696"/>
    <w:rsid w:val="635D341B"/>
    <w:rsid w:val="63701BA4"/>
    <w:rsid w:val="638E1826"/>
    <w:rsid w:val="6399043C"/>
    <w:rsid w:val="639F58B4"/>
    <w:rsid w:val="63C4349A"/>
    <w:rsid w:val="63D12B27"/>
    <w:rsid w:val="63D63F11"/>
    <w:rsid w:val="64081FD3"/>
    <w:rsid w:val="64093CEB"/>
    <w:rsid w:val="640E3B97"/>
    <w:rsid w:val="640F4D03"/>
    <w:rsid w:val="642C3481"/>
    <w:rsid w:val="64476FBC"/>
    <w:rsid w:val="646D768E"/>
    <w:rsid w:val="646F3406"/>
    <w:rsid w:val="647749B0"/>
    <w:rsid w:val="647C3D75"/>
    <w:rsid w:val="649B41FB"/>
    <w:rsid w:val="64A05CB5"/>
    <w:rsid w:val="64AE27E5"/>
    <w:rsid w:val="64B27B6D"/>
    <w:rsid w:val="64D0373B"/>
    <w:rsid w:val="64DE2339"/>
    <w:rsid w:val="64E831B8"/>
    <w:rsid w:val="64FB738F"/>
    <w:rsid w:val="650C334B"/>
    <w:rsid w:val="650C6EA7"/>
    <w:rsid w:val="653E102A"/>
    <w:rsid w:val="654523B9"/>
    <w:rsid w:val="65530BB8"/>
    <w:rsid w:val="65876E75"/>
    <w:rsid w:val="65901886"/>
    <w:rsid w:val="659F468D"/>
    <w:rsid w:val="65A43583"/>
    <w:rsid w:val="65A816AA"/>
    <w:rsid w:val="65EC1FFC"/>
    <w:rsid w:val="65F362B8"/>
    <w:rsid w:val="65F968F3"/>
    <w:rsid w:val="65FC7F22"/>
    <w:rsid w:val="6609788A"/>
    <w:rsid w:val="662E109F"/>
    <w:rsid w:val="663521C0"/>
    <w:rsid w:val="66417024"/>
    <w:rsid w:val="66552ACF"/>
    <w:rsid w:val="6672542F"/>
    <w:rsid w:val="66770A72"/>
    <w:rsid w:val="6683763C"/>
    <w:rsid w:val="668F5FE1"/>
    <w:rsid w:val="66B07D06"/>
    <w:rsid w:val="66D32372"/>
    <w:rsid w:val="66E14363"/>
    <w:rsid w:val="66E16111"/>
    <w:rsid w:val="66F83B86"/>
    <w:rsid w:val="670267B3"/>
    <w:rsid w:val="67177D85"/>
    <w:rsid w:val="67193AFD"/>
    <w:rsid w:val="671B7875"/>
    <w:rsid w:val="67256946"/>
    <w:rsid w:val="674416BF"/>
    <w:rsid w:val="67582877"/>
    <w:rsid w:val="676254A4"/>
    <w:rsid w:val="677146B7"/>
    <w:rsid w:val="677B0314"/>
    <w:rsid w:val="67966EFB"/>
    <w:rsid w:val="679679C3"/>
    <w:rsid w:val="67A21D44"/>
    <w:rsid w:val="67A755AC"/>
    <w:rsid w:val="67B850C4"/>
    <w:rsid w:val="67CC0B6F"/>
    <w:rsid w:val="67CF67A3"/>
    <w:rsid w:val="67D57A24"/>
    <w:rsid w:val="67E934CF"/>
    <w:rsid w:val="67EE31DB"/>
    <w:rsid w:val="67EE6D37"/>
    <w:rsid w:val="67F56318"/>
    <w:rsid w:val="67F73E3E"/>
    <w:rsid w:val="67F833D2"/>
    <w:rsid w:val="67FD6F7B"/>
    <w:rsid w:val="680848B9"/>
    <w:rsid w:val="682B7F8C"/>
    <w:rsid w:val="683A01CF"/>
    <w:rsid w:val="68466B73"/>
    <w:rsid w:val="68490412"/>
    <w:rsid w:val="68580655"/>
    <w:rsid w:val="685F501B"/>
    <w:rsid w:val="686F0ED6"/>
    <w:rsid w:val="68727968"/>
    <w:rsid w:val="6880464C"/>
    <w:rsid w:val="688D47A2"/>
    <w:rsid w:val="68994EF5"/>
    <w:rsid w:val="68B03FED"/>
    <w:rsid w:val="68B51201"/>
    <w:rsid w:val="68BA7955"/>
    <w:rsid w:val="68DC7BDA"/>
    <w:rsid w:val="68E1064A"/>
    <w:rsid w:val="68E5013A"/>
    <w:rsid w:val="68E51EE8"/>
    <w:rsid w:val="68F24605"/>
    <w:rsid w:val="68F93BE6"/>
    <w:rsid w:val="68F93E51"/>
    <w:rsid w:val="69046F01"/>
    <w:rsid w:val="690A7BA1"/>
    <w:rsid w:val="69146C72"/>
    <w:rsid w:val="69236EB5"/>
    <w:rsid w:val="69482477"/>
    <w:rsid w:val="69653029"/>
    <w:rsid w:val="696848C8"/>
    <w:rsid w:val="696E0130"/>
    <w:rsid w:val="69731BEA"/>
    <w:rsid w:val="698931BC"/>
    <w:rsid w:val="69D63F27"/>
    <w:rsid w:val="69D74EB4"/>
    <w:rsid w:val="69E00902"/>
    <w:rsid w:val="69EC1CB4"/>
    <w:rsid w:val="6A10568B"/>
    <w:rsid w:val="6A1231B1"/>
    <w:rsid w:val="6A1A3E14"/>
    <w:rsid w:val="6A350C4E"/>
    <w:rsid w:val="6A5C442C"/>
    <w:rsid w:val="6A72672B"/>
    <w:rsid w:val="6A7379C8"/>
    <w:rsid w:val="6A7E25F5"/>
    <w:rsid w:val="6AA54025"/>
    <w:rsid w:val="6AF91C7B"/>
    <w:rsid w:val="6AFE54E3"/>
    <w:rsid w:val="6B170353"/>
    <w:rsid w:val="6B1E3BA6"/>
    <w:rsid w:val="6B320A36"/>
    <w:rsid w:val="6B4849B1"/>
    <w:rsid w:val="6B4A697B"/>
    <w:rsid w:val="6B5477F9"/>
    <w:rsid w:val="6B610944"/>
    <w:rsid w:val="6B827EC3"/>
    <w:rsid w:val="6B855C05"/>
    <w:rsid w:val="6B9A25C8"/>
    <w:rsid w:val="6B9D4848"/>
    <w:rsid w:val="6BA22313"/>
    <w:rsid w:val="6BA75B7B"/>
    <w:rsid w:val="6BA9096B"/>
    <w:rsid w:val="6BB34520"/>
    <w:rsid w:val="6BBB5183"/>
    <w:rsid w:val="6C0828E8"/>
    <w:rsid w:val="6C1D408F"/>
    <w:rsid w:val="6C23664B"/>
    <w:rsid w:val="6C450EF0"/>
    <w:rsid w:val="6C5C0714"/>
    <w:rsid w:val="6C6B6BA9"/>
    <w:rsid w:val="6C6C4AF3"/>
    <w:rsid w:val="6C6D154A"/>
    <w:rsid w:val="6C74510B"/>
    <w:rsid w:val="6C7F08A6"/>
    <w:rsid w:val="6C985AA7"/>
    <w:rsid w:val="6CAE4CE7"/>
    <w:rsid w:val="6CD24E7A"/>
    <w:rsid w:val="6CDE55CC"/>
    <w:rsid w:val="6D033285"/>
    <w:rsid w:val="6D0D7C60"/>
    <w:rsid w:val="6D1A237D"/>
    <w:rsid w:val="6D371181"/>
    <w:rsid w:val="6D3715E9"/>
    <w:rsid w:val="6D5A0320"/>
    <w:rsid w:val="6D6D6950"/>
    <w:rsid w:val="6D705117"/>
    <w:rsid w:val="6D88378A"/>
    <w:rsid w:val="6D8A16D9"/>
    <w:rsid w:val="6DB1683D"/>
    <w:rsid w:val="6DC70D5C"/>
    <w:rsid w:val="6DEC5AC7"/>
    <w:rsid w:val="6E072901"/>
    <w:rsid w:val="6E097188"/>
    <w:rsid w:val="6E0E1EE1"/>
    <w:rsid w:val="6E1D3EA0"/>
    <w:rsid w:val="6E1D3ED3"/>
    <w:rsid w:val="6E2434B3"/>
    <w:rsid w:val="6E483229"/>
    <w:rsid w:val="6E7865D7"/>
    <w:rsid w:val="6E851A78"/>
    <w:rsid w:val="6E9C573F"/>
    <w:rsid w:val="6EA42846"/>
    <w:rsid w:val="6EA840E4"/>
    <w:rsid w:val="6ECD207E"/>
    <w:rsid w:val="6ECE1671"/>
    <w:rsid w:val="6EEB3FD1"/>
    <w:rsid w:val="6EF2535F"/>
    <w:rsid w:val="6F0137F4"/>
    <w:rsid w:val="6F0937A0"/>
    <w:rsid w:val="6F152DFC"/>
    <w:rsid w:val="6F20011E"/>
    <w:rsid w:val="6F2474E3"/>
    <w:rsid w:val="6F3040D9"/>
    <w:rsid w:val="6F377216"/>
    <w:rsid w:val="6F4831D1"/>
    <w:rsid w:val="6F5243B3"/>
    <w:rsid w:val="6F651FD5"/>
    <w:rsid w:val="6F683873"/>
    <w:rsid w:val="6F6A75EB"/>
    <w:rsid w:val="6F775864"/>
    <w:rsid w:val="6F857768"/>
    <w:rsid w:val="6F912DCA"/>
    <w:rsid w:val="6FA04DBB"/>
    <w:rsid w:val="6FAA79E8"/>
    <w:rsid w:val="6FBB1BF5"/>
    <w:rsid w:val="6FC36CFC"/>
    <w:rsid w:val="6FCD12F8"/>
    <w:rsid w:val="6FD66A2F"/>
    <w:rsid w:val="6FD827A7"/>
    <w:rsid w:val="6FDC6B5F"/>
    <w:rsid w:val="7000585A"/>
    <w:rsid w:val="70011985"/>
    <w:rsid w:val="70083ED5"/>
    <w:rsid w:val="70161521"/>
    <w:rsid w:val="70271038"/>
    <w:rsid w:val="7027728A"/>
    <w:rsid w:val="704C638F"/>
    <w:rsid w:val="705D0EFE"/>
    <w:rsid w:val="707D7D60"/>
    <w:rsid w:val="70B12FF8"/>
    <w:rsid w:val="70D07922"/>
    <w:rsid w:val="70DC62C7"/>
    <w:rsid w:val="70E00857"/>
    <w:rsid w:val="70E57BE1"/>
    <w:rsid w:val="70F629BB"/>
    <w:rsid w:val="71245578"/>
    <w:rsid w:val="712B2DAA"/>
    <w:rsid w:val="712F289B"/>
    <w:rsid w:val="713C0B14"/>
    <w:rsid w:val="713C4FB8"/>
    <w:rsid w:val="715C7408"/>
    <w:rsid w:val="716562BC"/>
    <w:rsid w:val="717B788E"/>
    <w:rsid w:val="717C3606"/>
    <w:rsid w:val="71864485"/>
    <w:rsid w:val="718F5F79"/>
    <w:rsid w:val="71926986"/>
    <w:rsid w:val="71A87F57"/>
    <w:rsid w:val="71B52674"/>
    <w:rsid w:val="71C1726B"/>
    <w:rsid w:val="71CF3E29"/>
    <w:rsid w:val="71ED53C5"/>
    <w:rsid w:val="71FE04BF"/>
    <w:rsid w:val="72035AD5"/>
    <w:rsid w:val="721003C5"/>
    <w:rsid w:val="72111FA0"/>
    <w:rsid w:val="7214383E"/>
    <w:rsid w:val="722424EC"/>
    <w:rsid w:val="72273A51"/>
    <w:rsid w:val="72393272"/>
    <w:rsid w:val="72457E9C"/>
    <w:rsid w:val="725325B9"/>
    <w:rsid w:val="72691DDC"/>
    <w:rsid w:val="726B5B54"/>
    <w:rsid w:val="7298621E"/>
    <w:rsid w:val="72987FCC"/>
    <w:rsid w:val="729F75AC"/>
    <w:rsid w:val="72A21CFF"/>
    <w:rsid w:val="72AE3C93"/>
    <w:rsid w:val="72B8066E"/>
    <w:rsid w:val="72B917BC"/>
    <w:rsid w:val="72C25048"/>
    <w:rsid w:val="72C66324"/>
    <w:rsid w:val="72D00517"/>
    <w:rsid w:val="72DA4A88"/>
    <w:rsid w:val="72EE0533"/>
    <w:rsid w:val="72F1592E"/>
    <w:rsid w:val="72FF44EF"/>
    <w:rsid w:val="731358A4"/>
    <w:rsid w:val="73191889"/>
    <w:rsid w:val="731D4975"/>
    <w:rsid w:val="732C6966"/>
    <w:rsid w:val="733221CE"/>
    <w:rsid w:val="733C4DFB"/>
    <w:rsid w:val="73463ECB"/>
    <w:rsid w:val="736A17B3"/>
    <w:rsid w:val="7372081D"/>
    <w:rsid w:val="737547B1"/>
    <w:rsid w:val="73882884"/>
    <w:rsid w:val="73C31078"/>
    <w:rsid w:val="73CF5C6F"/>
    <w:rsid w:val="73FD6130"/>
    <w:rsid w:val="74033B6B"/>
    <w:rsid w:val="740718AD"/>
    <w:rsid w:val="740759EF"/>
    <w:rsid w:val="740A2536"/>
    <w:rsid w:val="7416564C"/>
    <w:rsid w:val="741D350E"/>
    <w:rsid w:val="742E508B"/>
    <w:rsid w:val="743B50B2"/>
    <w:rsid w:val="744645AA"/>
    <w:rsid w:val="744909A2"/>
    <w:rsid w:val="746A5998"/>
    <w:rsid w:val="746D7236"/>
    <w:rsid w:val="7479207F"/>
    <w:rsid w:val="747C102B"/>
    <w:rsid w:val="747C1C85"/>
    <w:rsid w:val="74962C31"/>
    <w:rsid w:val="74A7099A"/>
    <w:rsid w:val="74AC7D5E"/>
    <w:rsid w:val="74D53759"/>
    <w:rsid w:val="750556C0"/>
    <w:rsid w:val="750D6F2C"/>
    <w:rsid w:val="753E74EA"/>
    <w:rsid w:val="75587EE6"/>
    <w:rsid w:val="75647B92"/>
    <w:rsid w:val="757271FA"/>
    <w:rsid w:val="758415D8"/>
    <w:rsid w:val="758B3E18"/>
    <w:rsid w:val="75BF40A3"/>
    <w:rsid w:val="75C94940"/>
    <w:rsid w:val="75D21A46"/>
    <w:rsid w:val="75DA132A"/>
    <w:rsid w:val="75DC4673"/>
    <w:rsid w:val="75E31EA6"/>
    <w:rsid w:val="75F23E97"/>
    <w:rsid w:val="7614205F"/>
    <w:rsid w:val="761E6A3A"/>
    <w:rsid w:val="76273BFB"/>
    <w:rsid w:val="76366479"/>
    <w:rsid w:val="76392B57"/>
    <w:rsid w:val="764F3097"/>
    <w:rsid w:val="76515061"/>
    <w:rsid w:val="76530DD9"/>
    <w:rsid w:val="76544B51"/>
    <w:rsid w:val="765668DA"/>
    <w:rsid w:val="76740D50"/>
    <w:rsid w:val="7678122F"/>
    <w:rsid w:val="768C42EB"/>
    <w:rsid w:val="76957293"/>
    <w:rsid w:val="76984A3E"/>
    <w:rsid w:val="76985AB4"/>
    <w:rsid w:val="769C41AB"/>
    <w:rsid w:val="76A35191"/>
    <w:rsid w:val="76AF1D88"/>
    <w:rsid w:val="76B15B00"/>
    <w:rsid w:val="76BA1D3C"/>
    <w:rsid w:val="76C770D1"/>
    <w:rsid w:val="76D161A2"/>
    <w:rsid w:val="76E01F41"/>
    <w:rsid w:val="76E9529A"/>
    <w:rsid w:val="76EF3D2C"/>
    <w:rsid w:val="76F9147F"/>
    <w:rsid w:val="76FA1495"/>
    <w:rsid w:val="76FF2D0F"/>
    <w:rsid w:val="77072CA8"/>
    <w:rsid w:val="770B16B4"/>
    <w:rsid w:val="771805CB"/>
    <w:rsid w:val="771F6F0D"/>
    <w:rsid w:val="772207AC"/>
    <w:rsid w:val="773F135E"/>
    <w:rsid w:val="774B7D02"/>
    <w:rsid w:val="77642B72"/>
    <w:rsid w:val="77644920"/>
    <w:rsid w:val="777E0606"/>
    <w:rsid w:val="778B7459"/>
    <w:rsid w:val="77B5517C"/>
    <w:rsid w:val="77BE6726"/>
    <w:rsid w:val="77C356D5"/>
    <w:rsid w:val="77C61AA8"/>
    <w:rsid w:val="77DD0A83"/>
    <w:rsid w:val="77E93077"/>
    <w:rsid w:val="77F4039A"/>
    <w:rsid w:val="77F71C38"/>
    <w:rsid w:val="780B7492"/>
    <w:rsid w:val="78160310"/>
    <w:rsid w:val="78177844"/>
    <w:rsid w:val="784D7AAA"/>
    <w:rsid w:val="78564BB1"/>
    <w:rsid w:val="78577977"/>
    <w:rsid w:val="78624E83"/>
    <w:rsid w:val="78827754"/>
    <w:rsid w:val="78A07EF6"/>
    <w:rsid w:val="78C7785D"/>
    <w:rsid w:val="78D930EC"/>
    <w:rsid w:val="78E47CFE"/>
    <w:rsid w:val="78E55F35"/>
    <w:rsid w:val="78E8577B"/>
    <w:rsid w:val="78EE4DE9"/>
    <w:rsid w:val="78F30652"/>
    <w:rsid w:val="79110AD8"/>
    <w:rsid w:val="791D56CF"/>
    <w:rsid w:val="792D2B46"/>
    <w:rsid w:val="79304E75"/>
    <w:rsid w:val="79404F19"/>
    <w:rsid w:val="79425135"/>
    <w:rsid w:val="794B223C"/>
    <w:rsid w:val="796450AB"/>
    <w:rsid w:val="79647F07"/>
    <w:rsid w:val="79694470"/>
    <w:rsid w:val="796E3B0E"/>
    <w:rsid w:val="796F0529"/>
    <w:rsid w:val="79815591"/>
    <w:rsid w:val="79872B48"/>
    <w:rsid w:val="79984D55"/>
    <w:rsid w:val="79B221C4"/>
    <w:rsid w:val="79B323EB"/>
    <w:rsid w:val="79B9081F"/>
    <w:rsid w:val="79BA4CCB"/>
    <w:rsid w:val="79BD47BC"/>
    <w:rsid w:val="79BE0C60"/>
    <w:rsid w:val="79CB17D1"/>
    <w:rsid w:val="79D044EF"/>
    <w:rsid w:val="79F77CCE"/>
    <w:rsid w:val="79FA5A10"/>
    <w:rsid w:val="79FC3536"/>
    <w:rsid w:val="7A1E34AC"/>
    <w:rsid w:val="7A2501C8"/>
    <w:rsid w:val="7A252A8D"/>
    <w:rsid w:val="7A326F58"/>
    <w:rsid w:val="7A5C3FD5"/>
    <w:rsid w:val="7A5F74BC"/>
    <w:rsid w:val="7A613399"/>
    <w:rsid w:val="7A61783D"/>
    <w:rsid w:val="7A6B246A"/>
    <w:rsid w:val="7A7255A6"/>
    <w:rsid w:val="7A8D23E0"/>
    <w:rsid w:val="7AA91265"/>
    <w:rsid w:val="7AB12572"/>
    <w:rsid w:val="7AE07E53"/>
    <w:rsid w:val="7AEA54F7"/>
    <w:rsid w:val="7AFD57B8"/>
    <w:rsid w:val="7B2368A0"/>
    <w:rsid w:val="7B2D5347"/>
    <w:rsid w:val="7B2E3BC3"/>
    <w:rsid w:val="7B310FBD"/>
    <w:rsid w:val="7B364826"/>
    <w:rsid w:val="7B4231CA"/>
    <w:rsid w:val="7B4B60C0"/>
    <w:rsid w:val="7B852963"/>
    <w:rsid w:val="7B8E5D6D"/>
    <w:rsid w:val="7B971768"/>
    <w:rsid w:val="7BB11B26"/>
    <w:rsid w:val="7BD06A28"/>
    <w:rsid w:val="7BDE6A7E"/>
    <w:rsid w:val="7BE20509"/>
    <w:rsid w:val="7BEE3352"/>
    <w:rsid w:val="7BF045C5"/>
    <w:rsid w:val="7BF12D7D"/>
    <w:rsid w:val="7C042B76"/>
    <w:rsid w:val="7C25567E"/>
    <w:rsid w:val="7C6929D9"/>
    <w:rsid w:val="7C7750F6"/>
    <w:rsid w:val="7C7C095E"/>
    <w:rsid w:val="7C8415C1"/>
    <w:rsid w:val="7C9428A4"/>
    <w:rsid w:val="7C9712F4"/>
    <w:rsid w:val="7CB77BE8"/>
    <w:rsid w:val="7CC80851"/>
    <w:rsid w:val="7CDD6705"/>
    <w:rsid w:val="7D2376F2"/>
    <w:rsid w:val="7D27455C"/>
    <w:rsid w:val="7D2C4132"/>
    <w:rsid w:val="7D31799A"/>
    <w:rsid w:val="7D371C1F"/>
    <w:rsid w:val="7D3C3975"/>
    <w:rsid w:val="7D425FCE"/>
    <w:rsid w:val="7D466695"/>
    <w:rsid w:val="7D4B4E66"/>
    <w:rsid w:val="7D725243"/>
    <w:rsid w:val="7D752E25"/>
    <w:rsid w:val="7D8C697F"/>
    <w:rsid w:val="7D913F95"/>
    <w:rsid w:val="7DA24756"/>
    <w:rsid w:val="7DA63EE4"/>
    <w:rsid w:val="7DB67EA0"/>
    <w:rsid w:val="7DBA3683"/>
    <w:rsid w:val="7DC75C09"/>
    <w:rsid w:val="7DDC1195"/>
    <w:rsid w:val="7DE8278A"/>
    <w:rsid w:val="7DF32EA2"/>
    <w:rsid w:val="7E0230E5"/>
    <w:rsid w:val="7E1A4F6B"/>
    <w:rsid w:val="7E21356B"/>
    <w:rsid w:val="7E2E5C88"/>
    <w:rsid w:val="7E4F6A09"/>
    <w:rsid w:val="7E550395"/>
    <w:rsid w:val="7E682F48"/>
    <w:rsid w:val="7E6B0C8A"/>
    <w:rsid w:val="7E7062A0"/>
    <w:rsid w:val="7E7318ED"/>
    <w:rsid w:val="7E835FD4"/>
    <w:rsid w:val="7E956EBF"/>
    <w:rsid w:val="7EAF6DC9"/>
    <w:rsid w:val="7EB02B41"/>
    <w:rsid w:val="7EB10D93"/>
    <w:rsid w:val="7EC11C74"/>
    <w:rsid w:val="7ED44A81"/>
    <w:rsid w:val="7EE527EB"/>
    <w:rsid w:val="7EF61968"/>
    <w:rsid w:val="7F0A3FFF"/>
    <w:rsid w:val="7F0C5FC9"/>
    <w:rsid w:val="7F1B7FBA"/>
    <w:rsid w:val="7F313C82"/>
    <w:rsid w:val="7F48126D"/>
    <w:rsid w:val="7F4D0390"/>
    <w:rsid w:val="7F696E9A"/>
    <w:rsid w:val="7F73429A"/>
    <w:rsid w:val="7FCF6FF7"/>
    <w:rsid w:val="7FE75214"/>
    <w:rsid w:val="7FEE1B73"/>
    <w:rsid w:val="7FF058EB"/>
    <w:rsid w:val="7FF2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32"/>
      <w:szCs w:val="20"/>
    </w:rPr>
  </w:style>
  <w:style w:type="paragraph" w:styleId="3">
    <w:name w:val="heading 2"/>
    <w:basedOn w:val="1"/>
    <w:next w:val="1"/>
    <w:autoRedefine/>
    <w:qFormat/>
    <w:uiPriority w:val="0"/>
    <w:pPr>
      <w:keepNext/>
      <w:keepLines/>
      <w:spacing w:before="260" w:after="260" w:line="500" w:lineRule="exact"/>
      <w:outlineLvl w:val="1"/>
    </w:pPr>
    <w:rPr>
      <w:rFonts w:ascii="Arial" w:hAnsi="Arial" w:eastAsia="黑体"/>
      <w:sz w:val="28"/>
      <w:szCs w:val="20"/>
    </w:rPr>
  </w:style>
  <w:style w:type="paragraph" w:styleId="4">
    <w:name w:val="heading 3"/>
    <w:basedOn w:val="1"/>
    <w:next w:val="1"/>
    <w:autoRedefine/>
    <w:qFormat/>
    <w:uiPriority w:val="0"/>
    <w:pPr>
      <w:keepNext/>
      <w:keepLines/>
      <w:spacing w:before="260" w:after="260" w:line="412" w:lineRule="auto"/>
      <w:outlineLvl w:val="2"/>
    </w:pPr>
    <w:rPr>
      <w:b/>
      <w:sz w:val="32"/>
      <w:szCs w:val="20"/>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paragraph" w:styleId="6">
    <w:name w:val="heading 8"/>
    <w:basedOn w:val="1"/>
    <w:next w:val="1"/>
    <w:qFormat/>
    <w:uiPriority w:val="1"/>
    <w:pPr>
      <w:ind w:left="305"/>
      <w:outlineLvl w:val="7"/>
    </w:pPr>
    <w:rPr>
      <w:rFonts w:ascii="宋体" w:hAnsi="宋体" w:eastAsia="宋体" w:cs="宋体"/>
      <w:sz w:val="28"/>
      <w:szCs w:val="28"/>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autoRedefine/>
    <w:qFormat/>
    <w:uiPriority w:val="0"/>
    <w:pPr>
      <w:ind w:left="420" w:leftChars="200"/>
    </w:pPr>
  </w:style>
  <w:style w:type="paragraph" w:styleId="8">
    <w:name w:val="Normal Indent"/>
    <w:basedOn w:val="1"/>
    <w:next w:val="9"/>
    <w:autoRedefine/>
    <w:qFormat/>
    <w:uiPriority w:val="0"/>
    <w:pPr>
      <w:ind w:firstLine="420"/>
    </w:pPr>
    <w:rPr>
      <w:szCs w:val="20"/>
    </w:rPr>
  </w:style>
  <w:style w:type="paragraph" w:styleId="9">
    <w:name w:val="toc 4"/>
    <w:basedOn w:val="1"/>
    <w:next w:val="1"/>
    <w:qFormat/>
    <w:uiPriority w:val="39"/>
    <w:pPr>
      <w:ind w:left="1260" w:leftChars="600"/>
    </w:pPr>
  </w:style>
  <w:style w:type="paragraph" w:styleId="10">
    <w:name w:val="toa heading"/>
    <w:basedOn w:val="1"/>
    <w:next w:val="1"/>
    <w:qFormat/>
    <w:uiPriority w:val="0"/>
    <w:pPr>
      <w:spacing w:before="120"/>
    </w:pPr>
    <w:rPr>
      <w:rFonts w:ascii="Cambria" w:hAnsi="Cambria"/>
      <w:sz w:val="24"/>
      <w:szCs w:val="24"/>
    </w:rPr>
  </w:style>
  <w:style w:type="paragraph" w:styleId="11">
    <w:name w:val="annotation text"/>
    <w:basedOn w:val="1"/>
    <w:autoRedefine/>
    <w:qFormat/>
    <w:uiPriority w:val="0"/>
    <w:pPr>
      <w:jc w:val="left"/>
    </w:pPr>
  </w:style>
  <w:style w:type="paragraph" w:styleId="12">
    <w:name w:val="index 6"/>
    <w:basedOn w:val="1"/>
    <w:next w:val="1"/>
    <w:qFormat/>
    <w:uiPriority w:val="99"/>
    <w:pPr>
      <w:ind w:left="2100"/>
    </w:pPr>
  </w:style>
  <w:style w:type="paragraph" w:styleId="13">
    <w:name w:val="Body Text"/>
    <w:basedOn w:val="1"/>
    <w:autoRedefine/>
    <w:semiHidden/>
    <w:qFormat/>
    <w:uiPriority w:val="0"/>
    <w:pPr>
      <w:spacing w:before="100" w:beforeAutospacing="1" w:after="100" w:afterAutospacing="1" w:line="600" w:lineRule="auto"/>
    </w:pPr>
    <w:rPr>
      <w:kern w:val="0"/>
      <w:sz w:val="20"/>
    </w:rPr>
  </w:style>
  <w:style w:type="paragraph" w:styleId="14">
    <w:name w:val="Body Text Indent"/>
    <w:basedOn w:val="1"/>
    <w:next w:val="15"/>
    <w:autoRedefine/>
    <w:qFormat/>
    <w:uiPriority w:val="0"/>
    <w:pPr>
      <w:ind w:firstLine="630"/>
    </w:pPr>
    <w:rPr>
      <w:sz w:val="32"/>
      <w:szCs w:val="20"/>
    </w:rPr>
  </w:style>
  <w:style w:type="paragraph" w:styleId="15">
    <w:name w:val="envelope return"/>
    <w:basedOn w:val="1"/>
    <w:qFormat/>
    <w:uiPriority w:val="0"/>
    <w:pPr>
      <w:snapToGrid w:val="0"/>
    </w:pPr>
    <w:rPr>
      <w:rFonts w:ascii="Arial" w:hAnsi="Arial" w:eastAsia="宋体" w:cs="Arial"/>
    </w:rPr>
  </w:style>
  <w:style w:type="paragraph" w:styleId="16">
    <w:name w:val="Plain Text"/>
    <w:basedOn w:val="1"/>
    <w:next w:val="1"/>
    <w:autoRedefine/>
    <w:qFormat/>
    <w:uiPriority w:val="0"/>
    <w:rPr>
      <w:rFonts w:ascii="宋体" w:hAnsi="Courier New" w:cs="Courier New"/>
      <w:szCs w:val="21"/>
    </w:rPr>
  </w:style>
  <w:style w:type="paragraph" w:styleId="17">
    <w:name w:val="Date"/>
    <w:basedOn w:val="1"/>
    <w:next w:val="1"/>
    <w:autoRedefine/>
    <w:qFormat/>
    <w:uiPriority w:val="0"/>
    <w:rPr>
      <w:color w:val="000000"/>
      <w:kern w:val="0"/>
      <w:sz w:val="30"/>
    </w:rPr>
  </w:style>
  <w:style w:type="paragraph" w:styleId="18">
    <w:name w:val="Body Text Indent 2"/>
    <w:basedOn w:val="1"/>
    <w:autoRedefine/>
    <w:qFormat/>
    <w:uiPriority w:val="0"/>
    <w:pPr>
      <w:ind w:firstLine="630"/>
    </w:pPr>
    <w:rPr>
      <w:sz w:val="32"/>
      <w:szCs w:val="20"/>
    </w:rPr>
  </w:style>
  <w:style w:type="paragraph" w:styleId="19">
    <w:name w:val="footer"/>
    <w:basedOn w:val="1"/>
    <w:autoRedefine/>
    <w:qFormat/>
    <w:uiPriority w:val="0"/>
    <w:pPr>
      <w:tabs>
        <w:tab w:val="center" w:pos="4153"/>
        <w:tab w:val="right" w:pos="8306"/>
      </w:tabs>
      <w:snapToGrid w:val="0"/>
      <w:jc w:val="left"/>
    </w:pPr>
    <w:rPr>
      <w:sz w:val="18"/>
      <w:szCs w:val="20"/>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21">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2">
    <w:name w:val="Body Text 2"/>
    <w:basedOn w:val="1"/>
    <w:autoRedefine/>
    <w:qFormat/>
    <w:uiPriority w:val="0"/>
    <w:pPr>
      <w:autoSpaceDE w:val="0"/>
      <w:autoSpaceDN w:val="0"/>
      <w:adjustRightInd w:val="0"/>
      <w:jc w:val="center"/>
    </w:pPr>
    <w:rPr>
      <w:rFonts w:ascii="幼圆" w:eastAsia="幼圆"/>
      <w:b/>
      <w:bCs/>
      <w:color w:val="000000"/>
      <w:kern w:val="0"/>
      <w:sz w:val="72"/>
      <w:szCs w:val="44"/>
    </w:rPr>
  </w:style>
  <w:style w:type="paragraph" w:styleId="23">
    <w:name w:val="HTML Preformatted"/>
    <w:basedOn w:val="1"/>
    <w:qFormat/>
    <w:uiPriority w:val="0"/>
    <w:rPr>
      <w:rFonts w:ascii="Courier New" w:hAnsi="Courier New" w:eastAsia="宋体" w:cs="Times New Roman"/>
      <w:sz w:val="20"/>
    </w:r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25">
    <w:name w:val="Body Text First Indent"/>
    <w:basedOn w:val="13"/>
    <w:qFormat/>
    <w:uiPriority w:val="0"/>
    <w:pPr>
      <w:tabs>
        <w:tab w:val="left" w:pos="567"/>
        <w:tab w:val="left" w:pos="630"/>
      </w:tabs>
      <w:spacing w:after="120" w:afterLines="0"/>
      <w:ind w:firstLine="100" w:firstLineChars="100"/>
      <w:jc w:val="both"/>
      <w:textAlignment w:val="auto"/>
    </w:pPr>
    <w:rPr>
      <w:rFonts w:ascii="Times New Roman"/>
      <w:sz w:val="21"/>
      <w:szCs w:val="24"/>
    </w:rPr>
  </w:style>
  <w:style w:type="paragraph" w:styleId="26">
    <w:name w:val="Body Text First Indent 2"/>
    <w:basedOn w:val="14"/>
    <w:next w:val="1"/>
    <w:qFormat/>
    <w:uiPriority w:val="0"/>
    <w:pPr>
      <w:ind w:firstLine="420" w:firstLineChars="200"/>
    </w:pPr>
    <w:rPr>
      <w:rFonts w:ascii="Times New Roman" w:hAnsi="Times New Roman" w:eastAsia="宋体" w:cs="Times New Roman"/>
      <w:kern w:val="0"/>
      <w:sz w:val="20"/>
      <w:szCs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rFonts w:ascii="Times New Roman" w:hAnsi="Times New Roman" w:eastAsia="宋体" w:cs="Times New Roman"/>
      <w:b/>
    </w:rPr>
  </w:style>
  <w:style w:type="character" w:styleId="31">
    <w:name w:val="page number"/>
    <w:basedOn w:val="29"/>
    <w:autoRedefine/>
    <w:qFormat/>
    <w:uiPriority w:val="0"/>
  </w:style>
  <w:style w:type="character" w:styleId="32">
    <w:name w:val="Hyperlink"/>
    <w:autoRedefine/>
    <w:qFormat/>
    <w:uiPriority w:val="0"/>
    <w:rPr>
      <w:color w:val="136EC2"/>
      <w:u w:val="single"/>
    </w:rPr>
  </w:style>
  <w:style w:type="paragraph" w:customStyle="1" w:styleId="3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正文（缩进）"/>
    <w:basedOn w:val="1"/>
    <w:autoRedefine/>
    <w:qFormat/>
    <w:uiPriority w:val="0"/>
    <w:pPr>
      <w:spacing w:beforeLines="50" w:afterLines="50"/>
      <w:ind w:firstLine="480"/>
    </w:pPr>
    <w:rPr>
      <w:sz w:val="24"/>
    </w:rPr>
  </w:style>
  <w:style w:type="paragraph" w:customStyle="1" w:styleId="35">
    <w:name w:val="正文缩进1"/>
    <w:basedOn w:val="1"/>
    <w:autoRedefine/>
    <w:qFormat/>
    <w:uiPriority w:val="0"/>
    <w:pPr>
      <w:ind w:firstLine="420" w:firstLineChars="200"/>
    </w:p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Table Paragraph"/>
    <w:basedOn w:val="1"/>
    <w:autoRedefine/>
    <w:qFormat/>
    <w:uiPriority w:val="1"/>
    <w:rPr>
      <w:rFonts w:ascii="宋体" w:hAnsi="宋体" w:eastAsia="宋体" w:cs="宋体"/>
      <w:lang w:val="zh-CN" w:eastAsia="zh-CN" w:bidi="zh-CN"/>
    </w:rPr>
  </w:style>
  <w:style w:type="paragraph" w:customStyle="1" w:styleId="38">
    <w:name w:val="p0"/>
    <w:basedOn w:val="1"/>
    <w:autoRedefine/>
    <w:qFormat/>
    <w:uiPriority w:val="0"/>
    <w:pPr>
      <w:widowControl/>
    </w:pPr>
    <w:rPr>
      <w:kern w:val="0"/>
      <w:szCs w:val="21"/>
    </w:rPr>
  </w:style>
  <w:style w:type="paragraph" w:customStyle="1" w:styleId="39">
    <w:name w:val="样式 首行缩进:  2 字符"/>
    <w:basedOn w:val="1"/>
    <w:autoRedefine/>
    <w:qFormat/>
    <w:uiPriority w:val="0"/>
    <w:pPr>
      <w:spacing w:line="400" w:lineRule="exact"/>
      <w:ind w:firstLine="200" w:firstLineChars="200"/>
    </w:pPr>
    <w:rPr>
      <w:rFonts w:cs="宋体"/>
      <w:sz w:val="24"/>
    </w:rPr>
  </w:style>
  <w:style w:type="paragraph" w:customStyle="1" w:styleId="40">
    <w:name w:val="Char1"/>
    <w:basedOn w:val="1"/>
    <w:autoRedefine/>
    <w:qFormat/>
    <w:uiPriority w:val="0"/>
    <w:rPr>
      <w:szCs w:val="21"/>
    </w:rPr>
  </w:style>
  <w:style w:type="paragraph" w:styleId="41">
    <w:name w:val="List Paragraph"/>
    <w:basedOn w:val="1"/>
    <w:autoRedefine/>
    <w:qFormat/>
    <w:uiPriority w:val="34"/>
    <w:pPr>
      <w:ind w:firstLine="420" w:firstLineChars="200"/>
    </w:pPr>
  </w:style>
  <w:style w:type="paragraph" w:customStyle="1" w:styleId="42">
    <w:name w:val="Other|1"/>
    <w:basedOn w:val="1"/>
    <w:autoRedefine/>
    <w:qFormat/>
    <w:uiPriority w:val="0"/>
    <w:rPr>
      <w:rFonts w:ascii="宋体" w:hAnsi="宋体" w:eastAsia="宋体" w:cs="宋体"/>
      <w:sz w:val="17"/>
      <w:szCs w:val="17"/>
      <w:lang w:val="zh-CN" w:eastAsia="zh-CN" w:bidi="zh-CN"/>
    </w:rPr>
  </w:style>
  <w:style w:type="paragraph" w:customStyle="1" w:styleId="43">
    <w:name w:val="Body text|1"/>
    <w:basedOn w:val="1"/>
    <w:autoRedefine/>
    <w:qFormat/>
    <w:uiPriority w:val="0"/>
    <w:rPr>
      <w:rFonts w:ascii="宋体" w:hAnsi="宋体" w:eastAsia="宋体" w:cs="宋体"/>
      <w:sz w:val="19"/>
      <w:szCs w:val="19"/>
      <w:lang w:val="zh-CN" w:eastAsia="zh-CN" w:bidi="zh-CN"/>
    </w:rPr>
  </w:style>
  <w:style w:type="character" w:customStyle="1" w:styleId="44">
    <w:name w:val="font71"/>
    <w:basedOn w:val="29"/>
    <w:autoRedefine/>
    <w:qFormat/>
    <w:uiPriority w:val="0"/>
    <w:rPr>
      <w:rFonts w:hint="eastAsia" w:ascii="宋体" w:hAnsi="宋体" w:eastAsia="宋体" w:cs="宋体"/>
      <w:color w:val="000000"/>
      <w:sz w:val="21"/>
      <w:szCs w:val="21"/>
      <w:u w:val="none"/>
    </w:rPr>
  </w:style>
  <w:style w:type="character" w:customStyle="1" w:styleId="45">
    <w:name w:val="font61"/>
    <w:basedOn w:val="29"/>
    <w:autoRedefine/>
    <w:qFormat/>
    <w:uiPriority w:val="0"/>
    <w:rPr>
      <w:rFonts w:hint="default" w:ascii="Arial" w:hAnsi="Arial" w:cs="Arial"/>
      <w:color w:val="000000"/>
      <w:sz w:val="22"/>
      <w:szCs w:val="22"/>
      <w:u w:val="none"/>
    </w:rPr>
  </w:style>
  <w:style w:type="character" w:customStyle="1" w:styleId="46">
    <w:name w:val="font11"/>
    <w:basedOn w:val="29"/>
    <w:autoRedefine/>
    <w:qFormat/>
    <w:uiPriority w:val="0"/>
    <w:rPr>
      <w:rFonts w:hint="eastAsia" w:ascii="宋体" w:hAnsi="宋体" w:eastAsia="宋体" w:cs="宋体"/>
      <w:color w:val="000000"/>
      <w:sz w:val="22"/>
      <w:szCs w:val="22"/>
      <w:u w:val="none"/>
    </w:rPr>
  </w:style>
  <w:style w:type="paragraph" w:customStyle="1" w:styleId="47">
    <w:name w:val="Default"/>
    <w:next w:val="48"/>
    <w:autoRedefine/>
    <w:qFormat/>
    <w:uiPriority w:val="0"/>
    <w:pPr>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48">
    <w:name w:val="大标题"/>
    <w:basedOn w:val="1"/>
    <w:next w:val="26"/>
    <w:qFormat/>
    <w:uiPriority w:val="0"/>
    <w:pPr>
      <w:jc w:val="center"/>
    </w:pPr>
    <w:rPr>
      <w:rFonts w:ascii="Arial" w:hAnsi="Arial" w:eastAsia="宋体" w:cs="Times New Roman"/>
      <w:b/>
      <w:sz w:val="28"/>
      <w:szCs w:val="24"/>
    </w:rPr>
  </w:style>
  <w:style w:type="paragraph" w:customStyle="1" w:styleId="49">
    <w:name w:val="UP正文"/>
    <w:basedOn w:val="1"/>
    <w:autoRedefine/>
    <w:qFormat/>
    <w:uiPriority w:val="0"/>
    <w:pPr>
      <w:spacing w:line="360" w:lineRule="auto"/>
      <w:ind w:left="420" w:leftChars="200" w:firstLine="420" w:firstLineChars="200"/>
    </w:pPr>
    <w:rPr>
      <w:rFonts w:ascii="Tahoma" w:hAnsi="Calibri"/>
      <w:szCs w:val="20"/>
    </w:rPr>
  </w:style>
  <w:style w:type="character" w:customStyle="1" w:styleId="50">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51">
    <w:name w:val="PlainText"/>
    <w:basedOn w:val="1"/>
    <w:autoRedefine/>
    <w:qFormat/>
    <w:uiPriority w:val="0"/>
    <w:pPr>
      <w:jc w:val="both"/>
      <w:textAlignment w:val="baseline"/>
    </w:pPr>
    <w:rPr>
      <w:rFonts w:ascii="宋体" w:hAnsi="Courier New"/>
      <w:kern w:val="2"/>
      <w:sz w:val="21"/>
      <w:szCs w:val="21"/>
      <w:lang w:val="en-US" w:eastAsia="zh-CN" w:bidi="ar-SA"/>
    </w:rPr>
  </w:style>
  <w:style w:type="character" w:customStyle="1" w:styleId="52">
    <w:name w:val="font51"/>
    <w:basedOn w:val="29"/>
    <w:autoRedefine/>
    <w:qFormat/>
    <w:uiPriority w:val="0"/>
    <w:rPr>
      <w:rFonts w:hint="eastAsia" w:ascii="宋体" w:hAnsi="宋体" w:eastAsia="宋体" w:cs="宋体"/>
      <w:color w:val="000000"/>
      <w:sz w:val="20"/>
      <w:szCs w:val="20"/>
      <w:u w:val="none"/>
    </w:rPr>
  </w:style>
  <w:style w:type="character" w:customStyle="1" w:styleId="53">
    <w:name w:val="font41"/>
    <w:basedOn w:val="29"/>
    <w:autoRedefine/>
    <w:qFormat/>
    <w:uiPriority w:val="0"/>
    <w:rPr>
      <w:rFonts w:hint="eastAsia" w:ascii="宋体" w:hAnsi="宋体" w:eastAsia="宋体" w:cs="宋体"/>
      <w:color w:val="000000"/>
      <w:sz w:val="20"/>
      <w:szCs w:val="20"/>
      <w:u w:val="none"/>
    </w:rPr>
  </w:style>
  <w:style w:type="character" w:customStyle="1" w:styleId="54">
    <w:name w:val="font31"/>
    <w:basedOn w:val="29"/>
    <w:autoRedefine/>
    <w:qFormat/>
    <w:uiPriority w:val="0"/>
    <w:rPr>
      <w:rFonts w:hint="eastAsia" w:ascii="宋体" w:hAnsi="宋体" w:eastAsia="宋体" w:cs="宋体"/>
      <w:color w:val="000000"/>
      <w:sz w:val="22"/>
      <w:szCs w:val="22"/>
      <w:u w:val="none"/>
    </w:rPr>
  </w:style>
  <w:style w:type="character" w:customStyle="1" w:styleId="55">
    <w:name w:val="font01"/>
    <w:basedOn w:val="29"/>
    <w:autoRedefine/>
    <w:qFormat/>
    <w:uiPriority w:val="0"/>
    <w:rPr>
      <w:rFonts w:hint="eastAsia" w:ascii="宋体" w:hAnsi="宋体" w:eastAsia="宋体" w:cs="宋体"/>
      <w:color w:val="000000"/>
      <w:sz w:val="21"/>
      <w:szCs w:val="21"/>
      <w:u w:val="none"/>
    </w:rPr>
  </w:style>
  <w:style w:type="paragraph" w:customStyle="1" w:styleId="56">
    <w:name w:val="Table Text"/>
    <w:basedOn w:val="1"/>
    <w:autoRedefine/>
    <w:semiHidden/>
    <w:qFormat/>
    <w:uiPriority w:val="0"/>
    <w:rPr>
      <w:rFonts w:ascii="宋体" w:hAnsi="宋体" w:eastAsia="宋体" w:cs="宋体"/>
      <w:sz w:val="24"/>
      <w:szCs w:val="24"/>
      <w:lang w:val="en-US" w:eastAsia="en-US" w:bidi="ar-SA"/>
    </w:rPr>
  </w:style>
  <w:style w:type="paragraph" w:customStyle="1" w:styleId="57">
    <w:name w:val="彩色列表1"/>
    <w:basedOn w:val="1"/>
    <w:autoRedefine/>
    <w:qFormat/>
    <w:uiPriority w:val="0"/>
    <w:pPr>
      <w:ind w:firstLine="420" w:firstLineChars="200"/>
    </w:pPr>
    <w:rPr>
      <w:rFonts w:ascii="Times New Roman" w:hAnsi="Times New Roman" w:eastAsia="宋体" w:cs="Times New Roman"/>
    </w:rPr>
  </w:style>
  <w:style w:type="character" w:customStyle="1" w:styleId="58">
    <w:name w:val="font21"/>
    <w:basedOn w:val="29"/>
    <w:autoRedefine/>
    <w:qFormat/>
    <w:uiPriority w:val="0"/>
    <w:rPr>
      <w:rFonts w:hint="eastAsia" w:ascii="仿宋" w:hAnsi="仿宋" w:eastAsia="仿宋" w:cs="仿宋"/>
      <w:color w:val="000000"/>
      <w:sz w:val="22"/>
      <w:szCs w:val="22"/>
      <w:u w:val="none"/>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1">
    <w:name w:val="bookmark-item uuid-1536114237662 code-00006"/>
    <w:autoRedefine/>
    <w:qFormat/>
    <w:uiPriority w:val="0"/>
  </w:style>
  <w:style w:type="character" w:customStyle="1" w:styleId="62">
    <w:name w:val="UserStyle_12"/>
    <w:qFormat/>
    <w:uiPriority w:val="0"/>
    <w:rPr>
      <w:kern w:val="2"/>
      <w:sz w:val="21"/>
      <w:szCs w:val="24"/>
      <w:lang w:val="en-US" w:eastAsia="zh-CN" w:bidi="ar-SA"/>
    </w:rPr>
  </w:style>
  <w:style w:type="paragraph" w:customStyle="1" w:styleId="63">
    <w:name w:val="章正文"/>
    <w:basedOn w:val="1"/>
    <w:qFormat/>
    <w:uiPriority w:val="0"/>
    <w:pPr>
      <w:spacing w:beforeLines="50" w:after="120" w:line="300" w:lineRule="auto"/>
      <w:ind w:firstLine="480"/>
    </w:pPr>
    <w:rPr>
      <w:rFonts w:ascii="Helvetica" w:hAnsi="Helvetica" w:eastAsia="宋体" w:cs="Times New Roman"/>
    </w:rPr>
  </w:style>
  <w:style w:type="paragraph" w:customStyle="1" w:styleId="64">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缩进_1"/>
    <w:basedOn w:val="67"/>
    <w:qFormat/>
    <w:uiPriority w:val="0"/>
    <w:pPr>
      <w:ind w:firstLine="420" w:firstLineChars="200"/>
    </w:pPr>
    <w:rPr>
      <w:rFonts w:ascii="Calibri" w:hAnsi="Calibri" w:eastAsia="宋体" w:cs="Times New Roman"/>
      <w:kern w:val="0"/>
      <w:sz w:val="20"/>
      <w:szCs w:val="20"/>
    </w:rPr>
  </w:style>
  <w:style w:type="paragraph" w:customStyle="1" w:styleId="6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
    <w:qFormat/>
    <w:uiPriority w:val="0"/>
    <w:rPr>
      <w:rFonts w:ascii="Times New Roman" w:hAnsi="Times New Roman" w:eastAsia="Times New Roman" w:cs="Times New Roman"/>
      <w:sz w:val="24"/>
      <w:szCs w:val="24"/>
      <w:lang w:val="en-US" w:eastAsia="zh-CN" w:bidi="ar-SA"/>
    </w:rPr>
  </w:style>
  <w:style w:type="paragraph" w:customStyle="1" w:styleId="69">
    <w:name w:val="首行缩进"/>
    <w:basedOn w:val="1"/>
    <w:qFormat/>
    <w:uiPriority w:val="0"/>
    <w:pPr>
      <w:ind w:firstLine="480" w:firstLineChars="200"/>
    </w:pPr>
    <w:rPr>
      <w:szCs w:val="20"/>
      <w:lang w:val="zh-CN"/>
    </w:rPr>
  </w:style>
  <w:style w:type="paragraph" w:customStyle="1" w:styleId="70">
    <w:name w:val="UserStyle_0"/>
    <w:next w:val="1"/>
    <w:qFormat/>
    <w:uiPriority w:val="0"/>
    <w:pPr>
      <w:widowControl/>
      <w:ind w:firstLine="200" w:firstLineChars="200"/>
      <w:jc w:val="both"/>
      <w:textAlignment w:val="baseline"/>
    </w:pPr>
    <w:rPr>
      <w:rFonts w:ascii="宋体" w:hAnsi="Times New Roman" w:eastAsia="宋体" w:cs="Times New Roman"/>
      <w:sz w:val="21"/>
      <w:szCs w:val="22"/>
      <w:lang w:val="en-US" w:eastAsia="zh-CN" w:bidi="ar-SA"/>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qFormat/>
    <w:uiPriority w:val="0"/>
    <w:pPr>
      <w:ind w:firstLine="420" w:firstLineChars="200"/>
    </w:pPr>
    <w:rPr>
      <w:szCs w:val="21"/>
    </w:rPr>
  </w:style>
  <w:style w:type="paragraph" w:customStyle="1" w:styleId="73">
    <w:name w:val="Heading2"/>
    <w:basedOn w:val="1"/>
    <w:next w:val="74"/>
    <w:qFormat/>
    <w:uiPriority w:val="0"/>
    <w:pPr>
      <w:keepNext/>
      <w:keepLines/>
      <w:spacing w:before="120" w:line="300" w:lineRule="auto"/>
      <w:jc w:val="center"/>
      <w:textAlignment w:val="baseline"/>
    </w:pPr>
    <w:rPr>
      <w:rFonts w:ascii="Arial" w:hAnsi="Arial" w:eastAsia="黑体"/>
      <w:b/>
      <w:kern w:val="0"/>
      <w:sz w:val="30"/>
      <w:szCs w:val="20"/>
      <w:lang w:val="en-US" w:eastAsia="zh-CN" w:bidi="ar-SA"/>
    </w:rPr>
  </w:style>
  <w:style w:type="paragraph" w:customStyle="1" w:styleId="74">
    <w:name w:val="NormalIndent"/>
    <w:basedOn w:val="1"/>
    <w:qFormat/>
    <w:uiPriority w:val="0"/>
    <w:pPr>
      <w:ind w:firstLine="420"/>
      <w:jc w:val="left"/>
      <w:textAlignment w:val="baseline"/>
    </w:pPr>
    <w:rPr>
      <w:rFonts w:ascii="宋体"/>
      <w:kern w:val="0"/>
      <w:sz w:val="24"/>
      <w:szCs w:val="20"/>
      <w:lang w:val="en-US" w:eastAsia="zh-CN" w:bidi="ar-SA"/>
    </w:rPr>
  </w:style>
  <w:style w:type="paragraph" w:customStyle="1" w:styleId="75">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76">
    <w:name w:val="纯文本1"/>
    <w:basedOn w:val="1"/>
    <w:qFormat/>
    <w:uiPriority w:val="0"/>
    <w:rPr>
      <w:rFonts w:ascii="宋体" w:hAnsi="Courier New"/>
      <w:kern w:val="0"/>
      <w:sz w:val="20"/>
      <w:szCs w:val="20"/>
    </w:rPr>
  </w:style>
  <w:style w:type="paragraph" w:customStyle="1" w:styleId="77">
    <w:name w:val="WPSOffice手动目录 1"/>
    <w:qFormat/>
    <w:uiPriority w:val="0"/>
    <w:pPr>
      <w:ind w:leftChars="0"/>
    </w:pPr>
    <w:rPr>
      <w:rFonts w:ascii="Times New Roman" w:hAnsi="Times New Roman" w:eastAsia="宋体" w:cs="Times New Roman"/>
      <w:sz w:val="20"/>
      <w:szCs w:val="20"/>
    </w:rPr>
  </w:style>
  <w:style w:type="paragraph" w:customStyle="1" w:styleId="7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customShpInfo spid="_x0000_s1026" textRotate="1"/>
    <customShpInfo spid="_x0000_s4102"/>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20245</Words>
  <Characters>21702</Characters>
  <Lines>0</Lines>
  <Paragraphs>0</Paragraphs>
  <TotalTime>19</TotalTime>
  <ScaleCrop>false</ScaleCrop>
  <LinksUpToDate>false</LinksUpToDate>
  <CharactersWithSpaces>21888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2020-12-22T10:25:00Z</dcterms:created>
  <dc:creator>吴涛</dc:creator>
  <cp:lastModifiedBy>*喵了个咪*</cp:lastModifiedBy>
  <cp:lastPrinted>2021-12-02T05:18:00Z</cp:lastPrinted>
  <dcterms:modified xsi:type="dcterms:W3CDTF">2025-06-30T09:42:02Z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F04B3D02D1F6472282548A0F5F80B50E_13</vt:lpwstr>
  </property>
  <property fmtid="{D5CDD505-2E9C-101B-9397-08002B2CF9AE}" pid="4" name="KSOTemplateDocerSaveRecord">
    <vt:lpwstr>eyJoZGlkIjoiM2RlZGFmODA5MzY0N2VjNjRmMWI4MDA2OGQwMDMxZGMiLCJ1c2VySWQiOiIzOTcyMzQwMjEifQ==</vt:lpwstr>
  </property>
</Properties>
</file>